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1DB6E" w14:textId="252D135A" w:rsidR="00EC39BD" w:rsidRDefault="002018B5" w:rsidP="002018B5">
      <w:pPr>
        <w:pStyle w:val="Pagedecouverture"/>
        <w:rPr>
          <w:noProof/>
        </w:rPr>
      </w:pPr>
      <w:bookmarkStart w:id="0" w:name="LW_BM_COVERPAGE"/>
      <w:r>
        <w:rPr>
          <w:noProof/>
        </w:rPr>
        <w:pict w14:anchorId="069B7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9EFA61-9812-43B4-B441-3A9EA5292BD5" style="width:455.25pt;height:310.5pt">
            <v:imagedata r:id="rId8" o:title=""/>
          </v:shape>
        </w:pict>
      </w:r>
    </w:p>
    <w:bookmarkEnd w:id="0"/>
    <w:p w14:paraId="756BF402" w14:textId="77777777" w:rsidR="00EC39BD" w:rsidRDefault="00EC39BD" w:rsidP="00EC39BD">
      <w:pPr>
        <w:rPr>
          <w:noProof/>
        </w:rPr>
        <w:sectPr w:rsidR="00EC39BD" w:rsidSect="002018B5">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14:paraId="054AADFA" w14:textId="1D00FDAE" w:rsidR="001464A4" w:rsidRPr="001464A4" w:rsidRDefault="001464A4" w:rsidP="001464A4">
      <w:pPr>
        <w:pStyle w:val="Typedudocument"/>
        <w:rPr>
          <w:noProof/>
        </w:rPr>
      </w:pPr>
      <w:bookmarkStart w:id="1" w:name="_GoBack"/>
      <w:bookmarkEnd w:id="1"/>
      <w:r w:rsidRPr="001464A4">
        <w:rPr>
          <w:noProof/>
        </w:rPr>
        <w:lastRenderedPageBreak/>
        <w:t>RELATÓRIO DA COMISSÃO AO PARLAMENTO EUROPEU E AO CONSELHO</w:t>
      </w:r>
    </w:p>
    <w:p w14:paraId="74DC7B24" w14:textId="496D1841" w:rsidR="001464A4" w:rsidRPr="001464A4" w:rsidRDefault="001464A4" w:rsidP="001464A4">
      <w:pPr>
        <w:pStyle w:val="Titreobjet"/>
        <w:rPr>
          <w:noProof/>
        </w:rPr>
      </w:pPr>
      <w:bookmarkStart w:id="2" w:name="_Hlk148109224"/>
      <w:r w:rsidRPr="001464A4">
        <w:rPr>
          <w:noProof/>
        </w:rPr>
        <w:t>sobre o trabalho dos comités em 2022</w:t>
      </w:r>
      <w:bookmarkEnd w:id="2"/>
    </w:p>
    <w:p w14:paraId="1713286C" w14:textId="020E2CE2" w:rsidR="00EC39BD" w:rsidRPr="00955347" w:rsidRDefault="00EC39BD" w:rsidP="00EC39BD">
      <w:pPr>
        <w:pStyle w:val="ManualHeading1"/>
        <w:spacing w:after="240"/>
        <w:ind w:left="851" w:hanging="851"/>
        <w:rPr>
          <w:noProof/>
        </w:rPr>
      </w:pPr>
      <w:r>
        <w:rPr>
          <w:noProof/>
        </w:rPr>
        <w:t>1.</w:t>
      </w:r>
      <w:r>
        <w:rPr>
          <w:noProof/>
        </w:rPr>
        <w:tab/>
        <w:t>Introdução</w:t>
      </w:r>
    </w:p>
    <w:p w14:paraId="55026743" w14:textId="77777777" w:rsidR="00EC39BD" w:rsidRPr="00AA0B4A" w:rsidRDefault="00EC39BD" w:rsidP="00EC39BD">
      <w:pPr>
        <w:jc w:val="both"/>
        <w:rPr>
          <w:rFonts w:ascii="Times New Roman" w:hAnsi="Times New Roman"/>
          <w:noProof/>
          <w:sz w:val="24"/>
          <w:szCs w:val="24"/>
        </w:rPr>
      </w:pPr>
      <w:r>
        <w:rPr>
          <w:rFonts w:ascii="Times New Roman" w:hAnsi="Times New Roman"/>
          <w:noProof/>
          <w:sz w:val="24"/>
        </w:rPr>
        <w:t>Em conformidade com o artigo 10.º, n.º 2, do Regulamento (UE) n.º 182/2011, que estabelece as regras e os princípios gerais relativos aos mecanismos de controlo pelos Estados-Membros do exercício das competências de execução pela Comissão</w:t>
      </w:r>
      <w:r>
        <w:rPr>
          <w:rFonts w:ascii="Times New Roman" w:hAnsi="Times New Roman"/>
          <w:noProof/>
          <w:sz w:val="24"/>
          <w:szCs w:val="24"/>
          <w:vertAlign w:val="superscript"/>
        </w:rPr>
        <w:footnoteReference w:id="2"/>
      </w:r>
      <w:r>
        <w:rPr>
          <w:rFonts w:ascii="Times New Roman" w:hAnsi="Times New Roman"/>
          <w:noProof/>
          <w:sz w:val="24"/>
        </w:rPr>
        <w:t xml:space="preserve"> («Regulamento Comitologia»), a Comissão apresenta seguidamente o relatório anual sobre o trabalho dos comités no decurso de 2022.</w:t>
      </w:r>
    </w:p>
    <w:p w14:paraId="58405FBD" w14:textId="77777777" w:rsidR="00EC39BD" w:rsidRDefault="00EC39BD" w:rsidP="00EC39BD">
      <w:pPr>
        <w:jc w:val="both"/>
        <w:rPr>
          <w:rFonts w:ascii="Times New Roman" w:hAnsi="Times New Roman"/>
          <w:noProof/>
          <w:sz w:val="24"/>
          <w:szCs w:val="24"/>
        </w:rPr>
      </w:pPr>
      <w:r>
        <w:rPr>
          <w:rFonts w:ascii="Times New Roman" w:hAnsi="Times New Roman"/>
          <w:noProof/>
          <w:sz w:val="24"/>
        </w:rPr>
        <w:t>O presente relatório apresenta uma panorâmica geral da evolução do sistema de comitologia em 2022, que se prende com os comités consultados pela Comissão sobre os projetos de atos de execução.</w:t>
      </w:r>
      <w:r>
        <w:rPr>
          <w:noProof/>
        </w:rPr>
        <w:t xml:space="preserve"> </w:t>
      </w:r>
      <w:r>
        <w:rPr>
          <w:rFonts w:ascii="Times New Roman" w:hAnsi="Times New Roman"/>
          <w:noProof/>
          <w:sz w:val="24"/>
        </w:rPr>
        <w:t xml:space="preserve">Estes comités são compostos por representantes dos Estados-Membros, sendo presididos pela Comissão e seguem procedimentos operacionais distintos consoante o ato de base (cf. quadro II). </w:t>
      </w:r>
    </w:p>
    <w:p w14:paraId="38A5ACCD" w14:textId="77777777" w:rsidR="00EC39BD" w:rsidRPr="00AA0B4A" w:rsidRDefault="00EC39BD" w:rsidP="00EC39BD">
      <w:pPr>
        <w:jc w:val="both"/>
        <w:rPr>
          <w:rFonts w:ascii="Times New Roman" w:hAnsi="Times New Roman"/>
          <w:noProof/>
          <w:sz w:val="24"/>
          <w:szCs w:val="24"/>
        </w:rPr>
      </w:pPr>
      <w:r>
        <w:rPr>
          <w:rFonts w:ascii="Times New Roman" w:hAnsi="Times New Roman"/>
          <w:noProof/>
          <w:sz w:val="24"/>
        </w:rPr>
        <w:t xml:space="preserve">O relatório apresenta uma sinopse das atividades dos comités, sendo acompanhado de um </w:t>
      </w:r>
      <w:r>
        <w:rPr>
          <w:rFonts w:ascii="Times New Roman" w:hAnsi="Times New Roman"/>
          <w:b/>
          <w:noProof/>
          <w:sz w:val="24"/>
        </w:rPr>
        <w:t>documento de trabalho dos serviços da Comissão</w:t>
      </w:r>
      <w:r>
        <w:rPr>
          <w:rFonts w:ascii="Times New Roman" w:hAnsi="Times New Roman"/>
          <w:noProof/>
          <w:sz w:val="24"/>
        </w:rPr>
        <w:t xml:space="preserve"> com estatísticas pormenorizadas sobre os trabalhos dos diferentes comités em cada domínio de intervenção</w:t>
      </w:r>
      <w:r>
        <w:rPr>
          <w:rStyle w:val="FootnoteReference"/>
          <w:rFonts w:ascii="Times New Roman" w:hAnsi="Times New Roman"/>
          <w:noProof/>
          <w:sz w:val="24"/>
          <w:szCs w:val="24"/>
        </w:rPr>
        <w:footnoteReference w:id="3"/>
      </w:r>
      <w:r>
        <w:rPr>
          <w:rFonts w:ascii="Times New Roman" w:hAnsi="Times New Roman"/>
          <w:noProof/>
          <w:sz w:val="24"/>
        </w:rPr>
        <w:t>. Destaca as principais alterações e tendências observadas numa base anual, apresentando dados globais a respeito das reuniões, procedimentos escritos, pareceres emitidos (favoráveis, negativos ou sem parecer) e atos adotados. Apresenta igualmente uma panorâmica geral dos casos que foram remetidos para o comité de recurso e das objeções formuladas pelo Parlamento Europeu e pelo Conselho nos termos do artigo 11.º do Regulamento Comitologia. São ainda fornecidas informações sobre as medidas adotadas segundo o procedimento de regulamentação com controlo.</w:t>
      </w:r>
    </w:p>
    <w:p w14:paraId="46E317D4" w14:textId="77777777" w:rsidR="00EC39BD" w:rsidRPr="003A0E03" w:rsidRDefault="00EC39BD" w:rsidP="00EC39BD">
      <w:pPr>
        <w:pStyle w:val="ManualHeading1"/>
        <w:spacing w:after="240"/>
        <w:ind w:left="851" w:hanging="851"/>
        <w:rPr>
          <w:noProof/>
        </w:rPr>
      </w:pPr>
      <w:r>
        <w:rPr>
          <w:noProof/>
        </w:rPr>
        <w:t>2.</w:t>
      </w:r>
      <w:r>
        <w:rPr>
          <w:noProof/>
        </w:rPr>
        <w:tab/>
        <w:t>Panorâmica da evolução do sistema de comitologia em 2022</w:t>
      </w:r>
    </w:p>
    <w:p w14:paraId="1115F450" w14:textId="77777777" w:rsidR="00EC39BD" w:rsidRPr="00AA0B4A" w:rsidRDefault="00EC39BD" w:rsidP="00EC39BD">
      <w:pPr>
        <w:pStyle w:val="ManualHeading2"/>
        <w:spacing w:before="360" w:after="240"/>
        <w:ind w:left="851" w:hanging="851"/>
        <w:rPr>
          <w:noProof/>
        </w:rPr>
      </w:pPr>
      <w:r>
        <w:rPr>
          <w:noProof/>
        </w:rPr>
        <w:t>2.1.</w:t>
      </w:r>
      <w:r>
        <w:rPr>
          <w:noProof/>
        </w:rPr>
        <w:tab/>
        <w:t>Evolução geral</w:t>
      </w:r>
    </w:p>
    <w:p w14:paraId="124A61CE" w14:textId="77777777" w:rsidR="00EC39BD" w:rsidRPr="00AA0B4A" w:rsidRDefault="00EC39BD" w:rsidP="00EC39BD">
      <w:pPr>
        <w:jc w:val="both"/>
        <w:rPr>
          <w:rFonts w:ascii="Times New Roman" w:hAnsi="Times New Roman"/>
          <w:noProof/>
          <w:sz w:val="24"/>
          <w:szCs w:val="24"/>
        </w:rPr>
      </w:pPr>
      <w:r>
        <w:rPr>
          <w:rFonts w:ascii="Times New Roman" w:hAnsi="Times New Roman"/>
          <w:noProof/>
          <w:sz w:val="24"/>
        </w:rPr>
        <w:t>Em 2022, os comités da comitologia funcionaram de acordo com as modalidades previstas no Regulamento Comitologia, ou seja, com base no procedimento consultivo (artigo 4.º) e de exame (artigo 5.º), bem como ao abrigo do procedimento de regulamentação com controlo previsto no artigo 5.º-A da Decisão Comitologia</w:t>
      </w:r>
      <w:r>
        <w:rPr>
          <w:rStyle w:val="FootnoteReference"/>
          <w:rFonts w:ascii="Times New Roman" w:hAnsi="Times New Roman"/>
          <w:noProof/>
          <w:sz w:val="24"/>
          <w:szCs w:val="24"/>
        </w:rPr>
        <w:footnoteReference w:id="4"/>
      </w:r>
      <w:r>
        <w:rPr>
          <w:rFonts w:ascii="Times New Roman" w:hAnsi="Times New Roman"/>
          <w:noProof/>
          <w:sz w:val="24"/>
        </w:rPr>
        <w:t>.</w:t>
      </w:r>
    </w:p>
    <w:p w14:paraId="4A96CCEA" w14:textId="77777777" w:rsidR="00EC39BD" w:rsidRDefault="00EC39BD" w:rsidP="00EC39BD">
      <w:pPr>
        <w:spacing w:after="160"/>
        <w:jc w:val="both"/>
        <w:rPr>
          <w:rFonts w:ascii="Times New Roman" w:hAnsi="Times New Roman"/>
          <w:noProof/>
          <w:sz w:val="24"/>
          <w:szCs w:val="24"/>
        </w:rPr>
      </w:pPr>
      <w:r>
        <w:rPr>
          <w:rFonts w:ascii="Times New Roman" w:hAnsi="Times New Roman"/>
          <w:noProof/>
          <w:sz w:val="24"/>
        </w:rPr>
        <w:t>O levantamento gradual das restrições relacionadas com a COVID-19 permitiu que se realizassem mais regularmente reuniões presenciais (ou híbridas) dos comités de comitologia. Todas as reuniões, independentemente da forma em que tiveram lugar (presencialmente, à distância ou em formato híbrido) são enumeradas como reuniões no Registo da Comitologia</w:t>
      </w:r>
      <w:r>
        <w:rPr>
          <w:rStyle w:val="FootnoteReference"/>
          <w:rFonts w:ascii="Times New Roman" w:hAnsi="Times New Roman"/>
          <w:noProof/>
          <w:sz w:val="24"/>
          <w:szCs w:val="24"/>
        </w:rPr>
        <w:footnoteReference w:id="5"/>
      </w:r>
      <w:r>
        <w:rPr>
          <w:rFonts w:ascii="Times New Roman" w:hAnsi="Times New Roman"/>
          <w:noProof/>
          <w:sz w:val="24"/>
        </w:rPr>
        <w:t xml:space="preserve"> e o registo sumário especifica a forma da reunião.</w:t>
      </w:r>
    </w:p>
    <w:p w14:paraId="164005E0" w14:textId="352E9A53" w:rsidR="00EC39BD" w:rsidRDefault="00EC39BD" w:rsidP="00EC39BD">
      <w:pPr>
        <w:jc w:val="both"/>
        <w:rPr>
          <w:rFonts w:ascii="Times New Roman" w:hAnsi="Times New Roman"/>
          <w:noProof/>
          <w:sz w:val="24"/>
          <w:szCs w:val="24"/>
        </w:rPr>
      </w:pPr>
      <w:r>
        <w:rPr>
          <w:rFonts w:ascii="Times New Roman" w:hAnsi="Times New Roman"/>
          <w:noProof/>
          <w:sz w:val="24"/>
        </w:rPr>
        <w:t>O Acordo Interinstitucional sobre Legislar Melhor</w:t>
      </w:r>
      <w:r>
        <w:rPr>
          <w:rStyle w:val="FootnoteReference"/>
          <w:rFonts w:ascii="Times New Roman" w:hAnsi="Times New Roman"/>
          <w:noProof/>
          <w:sz w:val="24"/>
          <w:szCs w:val="24"/>
        </w:rPr>
        <w:footnoteReference w:id="6"/>
      </w:r>
      <w:r>
        <w:rPr>
          <w:rFonts w:ascii="Times New Roman" w:hAnsi="Times New Roman"/>
          <w:noProof/>
          <w:sz w:val="24"/>
        </w:rPr>
        <w:t>, de 13 de abril de 2016, relembra a necessidade de adaptar os atos que ainda se referem ao procedimento de regulamentação com controlo ao quadro jurídico introduzido pelo Tratado de Lisboa. Em 2022 prosseguiram as discussões interinstitucionais sobre a harmonização dos atos de base remanescentes, com base nas propostas da Comissão de 2016. No que diz respeito à proposta de adaptação geral</w:t>
      </w:r>
      <w:r>
        <w:rPr>
          <w:rStyle w:val="FootnoteReference"/>
          <w:rFonts w:ascii="Times New Roman" w:hAnsi="Times New Roman"/>
          <w:noProof/>
          <w:sz w:val="24"/>
          <w:szCs w:val="24"/>
        </w:rPr>
        <w:footnoteReference w:id="7"/>
      </w:r>
      <w:r>
        <w:rPr>
          <w:rFonts w:ascii="Times New Roman" w:hAnsi="Times New Roman"/>
          <w:noProof/>
          <w:sz w:val="24"/>
        </w:rPr>
        <w:t>, após um acordo parcial alcançado em 2019, a parte restante que abrange 104 atos ainda será objeto de novos debates, uma vez que, até à data, os colegisladores não conseguiram chegar a acordo sobre a possibilidade de adaptar os atos relativos ao procedimento de regulamentação com controlo aos atos delegados ou aos atos de execução. Entretanto, vinte e cinco atos foram revogados por outros atos legislativos ou as suas disposições relativas ao procedimento de regulamentação com controlo foram adaptadas a atos delegados ou a atos de execução no contexto das alterações legislativas introduzidas nos respetivos atos de base. Esses atos já não precisam de ser adaptados no contexto da presente proposta.</w:t>
      </w:r>
    </w:p>
    <w:p w14:paraId="312E2630" w14:textId="77777777" w:rsidR="00EC39BD" w:rsidRDefault="00EC39BD" w:rsidP="00EC39BD">
      <w:pPr>
        <w:jc w:val="both"/>
        <w:rPr>
          <w:rFonts w:ascii="Times New Roman" w:hAnsi="Times New Roman"/>
          <w:noProof/>
          <w:sz w:val="24"/>
          <w:szCs w:val="24"/>
        </w:rPr>
      </w:pPr>
      <w:r>
        <w:rPr>
          <w:rFonts w:ascii="Times New Roman" w:hAnsi="Times New Roman"/>
          <w:noProof/>
          <w:sz w:val="24"/>
        </w:rPr>
        <w:t>Quanto à proposta de adaptação específica relativa ao domínio da justiça</w:t>
      </w:r>
      <w:r>
        <w:rPr>
          <w:rStyle w:val="FootnoteReference"/>
          <w:rFonts w:ascii="Times New Roman" w:hAnsi="Times New Roman"/>
          <w:noProof/>
          <w:sz w:val="24"/>
          <w:szCs w:val="24"/>
        </w:rPr>
        <w:footnoteReference w:id="8"/>
      </w:r>
      <w:r>
        <w:rPr>
          <w:rFonts w:ascii="Times New Roman" w:hAnsi="Times New Roman"/>
          <w:noProof/>
          <w:sz w:val="24"/>
        </w:rPr>
        <w:t>, conseguiu-se chegar a acordo em 2022. Com a sua resolução legislativa de 18 de outubro de 2022, o Parlamento Europeu aprovou a posição do Conselho em primeira leitura, sem mais alterações. O texto final, publicado em 25 de outubro</w:t>
      </w:r>
      <w:r>
        <w:rPr>
          <w:rStyle w:val="FootnoteReference"/>
          <w:rFonts w:ascii="Times New Roman" w:hAnsi="Times New Roman"/>
          <w:noProof/>
          <w:sz w:val="24"/>
          <w:szCs w:val="24"/>
        </w:rPr>
        <w:footnoteReference w:id="9"/>
      </w:r>
      <w:r>
        <w:rPr>
          <w:rFonts w:ascii="Times New Roman" w:hAnsi="Times New Roman"/>
          <w:noProof/>
          <w:sz w:val="24"/>
        </w:rPr>
        <w:t>, diz apenas respeito à adaptação</w:t>
      </w:r>
      <w:r>
        <w:rPr>
          <w:rStyle w:val="FootnoteReference"/>
          <w:rFonts w:ascii="Times New Roman" w:hAnsi="Times New Roman"/>
          <w:noProof/>
          <w:sz w:val="24"/>
          <w:szCs w:val="24"/>
        </w:rPr>
        <w:footnoteReference w:id="10"/>
      </w:r>
      <w:r>
        <w:rPr>
          <w:rFonts w:ascii="Times New Roman" w:hAnsi="Times New Roman"/>
          <w:noProof/>
          <w:sz w:val="24"/>
        </w:rPr>
        <w:t xml:space="preserve"> do Regulamento (CE) n.º 805/2004 que cria o título executivo europeu para créditos não contestados, uma vez que os outros dois atos da proposta original foram entretanto revogados.</w:t>
      </w:r>
    </w:p>
    <w:p w14:paraId="527BC1AC" w14:textId="77777777" w:rsidR="00EC39BD" w:rsidRDefault="00EC39BD" w:rsidP="00EC39BD">
      <w:pPr>
        <w:jc w:val="both"/>
        <w:rPr>
          <w:rFonts w:ascii="Times New Roman" w:hAnsi="Times New Roman"/>
          <w:noProof/>
          <w:sz w:val="24"/>
          <w:szCs w:val="24"/>
        </w:rPr>
      </w:pPr>
      <w:r>
        <w:rPr>
          <w:rFonts w:ascii="Times New Roman" w:hAnsi="Times New Roman"/>
          <w:noProof/>
          <w:sz w:val="24"/>
        </w:rPr>
        <w:t>No que diz respeito à proposta da Comissão, de 14 de fevereiro de 2017</w:t>
      </w:r>
      <w:r>
        <w:rPr>
          <w:rStyle w:val="FootnoteReference"/>
          <w:rFonts w:ascii="Times New Roman" w:hAnsi="Times New Roman"/>
          <w:noProof/>
          <w:sz w:val="24"/>
          <w:szCs w:val="24"/>
          <w:lang w:eastAsia="en-GB"/>
        </w:rPr>
        <w:footnoteReference w:id="11"/>
      </w:r>
      <w:r>
        <w:rPr>
          <w:rFonts w:ascii="Times New Roman" w:hAnsi="Times New Roman"/>
          <w:noProof/>
          <w:sz w:val="24"/>
        </w:rPr>
        <w:t>, que visa alterar o Regulamento (UE) n.º 182/2011 relativo à comitologia no que diz respeito ao comité de recurso e, nomeadamente, dar resposta a situações de «ausência de parecer» em domínios sensíveis</w:t>
      </w:r>
      <w:r>
        <w:rPr>
          <w:rStyle w:val="FootnoteReference"/>
          <w:rFonts w:ascii="Times New Roman" w:hAnsi="Times New Roman"/>
          <w:noProof/>
          <w:sz w:val="24"/>
          <w:szCs w:val="24"/>
        </w:rPr>
        <w:footnoteReference w:id="12"/>
      </w:r>
      <w:r>
        <w:rPr>
          <w:rFonts w:ascii="Times New Roman" w:hAnsi="Times New Roman"/>
          <w:noProof/>
          <w:sz w:val="24"/>
        </w:rPr>
        <w:t>, não foram possíveis progressos em 2022, uma vez que as posições respetivas dos colegisladores permaneceram muito distantes.</w:t>
      </w:r>
    </w:p>
    <w:p w14:paraId="70C1D333" w14:textId="77777777" w:rsidR="00EC39BD" w:rsidRDefault="00EC39BD" w:rsidP="00EC39BD">
      <w:pPr>
        <w:jc w:val="both"/>
        <w:rPr>
          <w:rFonts w:ascii="Times New Roman" w:hAnsi="Times New Roman"/>
          <w:noProof/>
          <w:sz w:val="24"/>
          <w:szCs w:val="24"/>
        </w:rPr>
      </w:pPr>
      <w:r>
        <w:rPr>
          <w:rFonts w:ascii="Times New Roman" w:hAnsi="Times New Roman"/>
          <w:noProof/>
          <w:sz w:val="24"/>
        </w:rPr>
        <w:t>A Comissão continuou a divulgar ao público, durante um período de quatro semanas, os projetos de atos delegados e projetos de atos de execução importantes, a fim de permitir às partes interessadas formular observações. Em 2022, 72 projetos de atos foram assim publicados na secção «Dê a sua opinião»</w:t>
      </w:r>
      <w:r>
        <w:rPr>
          <w:rStyle w:val="FootnoteReference"/>
          <w:rFonts w:ascii="Times New Roman" w:hAnsi="Times New Roman"/>
          <w:noProof/>
          <w:sz w:val="24"/>
          <w:szCs w:val="24"/>
        </w:rPr>
        <w:footnoteReference w:id="13"/>
      </w:r>
      <w:r>
        <w:rPr>
          <w:rFonts w:ascii="Times New Roman" w:hAnsi="Times New Roman"/>
          <w:noProof/>
          <w:sz w:val="24"/>
        </w:rPr>
        <w:t xml:space="preserve"> do sítio Web da Comissão para o público poder enviar os seus comentários, o que é ligeiramente menos do que os 85 projetos de atos de execução que foram publicados em 2021. </w:t>
      </w:r>
    </w:p>
    <w:p w14:paraId="56D0450F" w14:textId="77777777" w:rsidR="00EC39BD" w:rsidRPr="00020271" w:rsidRDefault="00EC39BD" w:rsidP="00EC39BD">
      <w:pPr>
        <w:pStyle w:val="ManualHeading2"/>
        <w:spacing w:before="360" w:after="240"/>
        <w:ind w:left="851" w:hanging="851"/>
        <w:rPr>
          <w:noProof/>
        </w:rPr>
      </w:pPr>
      <w:r>
        <w:rPr>
          <w:noProof/>
        </w:rPr>
        <w:t>2.2.</w:t>
      </w:r>
      <w:r>
        <w:rPr>
          <w:noProof/>
        </w:rPr>
        <w:tab/>
        <w:t xml:space="preserve">Evolução da jurisprudência </w:t>
      </w:r>
    </w:p>
    <w:p w14:paraId="0EF64245" w14:textId="6DC0A068" w:rsidR="00EC39BD" w:rsidRDefault="00EC39BD" w:rsidP="00EC39BD">
      <w:pPr>
        <w:spacing w:after="120"/>
        <w:jc w:val="both"/>
        <w:rPr>
          <w:rFonts w:ascii="Times New Roman" w:hAnsi="Times New Roman"/>
          <w:noProof/>
          <w:sz w:val="24"/>
          <w:szCs w:val="24"/>
        </w:rPr>
      </w:pPr>
      <w:r>
        <w:rPr>
          <w:rFonts w:ascii="Times New Roman" w:hAnsi="Times New Roman"/>
          <w:noProof/>
          <w:sz w:val="24"/>
        </w:rPr>
        <w:t>No seu acórdão de 14 de julho de 2022 proferido no âmbito do processo Comissão Europeia/República da Polónia</w:t>
      </w:r>
      <w:r>
        <w:rPr>
          <w:rStyle w:val="FootnoteReference"/>
          <w:rFonts w:ascii="Times New Roman" w:hAnsi="Times New Roman"/>
          <w:noProof/>
          <w:sz w:val="24"/>
          <w:szCs w:val="24"/>
        </w:rPr>
        <w:footnoteReference w:id="14"/>
      </w:r>
      <w:r>
        <w:rPr>
          <w:rFonts w:ascii="Times New Roman" w:hAnsi="Times New Roman"/>
          <w:noProof/>
          <w:sz w:val="24"/>
        </w:rPr>
        <w:t>, o Tribunal confirmou o acórdão do Tribunal Geral no processo T-699/17. Em causa estava o período e as disposições transitórias relativas à votação por maioria qualificada aquando da passagem das regras de votação do Tratado de Nice para as do Tratado de Lisboa. Tratava-se, designadamente, da aplicação no tempo do artigo 3.º, n.º 2, do Protocolo n.º 36 do Tratado de Lisboa, que prevê que, entre 1 de novembro de 2014 e 31 de março de 2017, quando deva ser tomada uma deliberação por maioria qualificada, um Estado-Membro pode pedir que essa deliberação seja tomada pela maioria qualificada aplicável antes de 31 de outubro de 2014 (ou seja, a maioria qualificada aplicável antes da entrada em vigor do Tratado de Lisboa). O litígio dizia respeito à questão de saber se tanto o pedido de um Estado-Membro como a votação deviam ter lugar antes de 31 de março de 2017, ou se bastava que o pedido de um Estado-Membro fosse apresentado antes dessa data, enquanto a votação poderia ter lugar em data posterior. O Tribunal Geral decidiu que era suficiente que um Estado-Membro tivesse apresentado o pedido antes de 31 de março de 2017 e, em sede de recurso, o Tribunal confirmou o acórdão do Tribunal Geral.</w:t>
      </w:r>
    </w:p>
    <w:p w14:paraId="1859012C" w14:textId="11D6A6B4" w:rsidR="00EC39BD" w:rsidRPr="00B123B9" w:rsidRDefault="00EC39BD" w:rsidP="00EC39BD">
      <w:pPr>
        <w:spacing w:after="120"/>
        <w:jc w:val="both"/>
        <w:rPr>
          <w:rFonts w:ascii="Times New Roman" w:hAnsi="Times New Roman"/>
          <w:noProof/>
          <w:sz w:val="24"/>
          <w:szCs w:val="24"/>
        </w:rPr>
      </w:pPr>
      <w:r>
        <w:rPr>
          <w:rFonts w:ascii="Times New Roman" w:hAnsi="Times New Roman"/>
          <w:noProof/>
          <w:sz w:val="24"/>
        </w:rPr>
        <w:t>No que diz respeito à transparência do trabalho dos comités de comitologia, nos processos apensos T-371/20 e T-554/20 (Pollinis France/Comissão</w:t>
      </w:r>
      <w:r>
        <w:rPr>
          <w:rStyle w:val="FootnoteReference"/>
          <w:rFonts w:ascii="Times New Roman" w:hAnsi="Times New Roman"/>
          <w:noProof/>
          <w:sz w:val="24"/>
          <w:szCs w:val="24"/>
        </w:rPr>
        <w:footnoteReference w:id="15"/>
      </w:r>
      <w:r>
        <w:rPr>
          <w:rFonts w:ascii="Times New Roman" w:hAnsi="Times New Roman"/>
          <w:noProof/>
          <w:sz w:val="24"/>
        </w:rPr>
        <w:t>), o Tribunal Geral examinou a recusa da Comissão em conceder acesso aos documentos (ao abrigo do Regulamento (CE) n.º 1049/2001</w:t>
      </w:r>
      <w:r>
        <w:rPr>
          <w:rStyle w:val="FootnoteReference"/>
          <w:rFonts w:ascii="Times New Roman" w:hAnsi="Times New Roman"/>
          <w:noProof/>
          <w:sz w:val="24"/>
          <w:szCs w:val="24"/>
        </w:rPr>
        <w:footnoteReference w:id="16"/>
      </w:r>
      <w:r>
        <w:rPr>
          <w:rFonts w:ascii="Times New Roman" w:hAnsi="Times New Roman"/>
          <w:noProof/>
          <w:sz w:val="24"/>
        </w:rPr>
        <w:t>) que indicam as posições individuais dos Estados-Membros expressas no contexto de um comité de comitologia. No seu acórdão de 14 de setembro de 2022, o Tribunal Geral rejeitou os argumentos da Comissão baseados na necessidade de proteger o processo decisório em curso e anulou as respetivas decisões da Comissão que recusavam o acesso. Subsequentemente, a Comissão interpôs recurso desse acórdão.</w:t>
      </w:r>
    </w:p>
    <w:p w14:paraId="298EBFFD" w14:textId="77777777" w:rsidR="00EC39BD" w:rsidRDefault="00EC39BD" w:rsidP="00EC39BD">
      <w:pPr>
        <w:pStyle w:val="ManualHeading1"/>
        <w:spacing w:after="0"/>
        <w:ind w:left="851" w:hanging="851"/>
        <w:rPr>
          <w:noProof/>
        </w:rPr>
      </w:pPr>
      <w:r>
        <w:rPr>
          <w:noProof/>
        </w:rPr>
        <w:t>3.</w:t>
      </w:r>
      <w:r>
        <w:rPr>
          <w:noProof/>
        </w:rPr>
        <w:tab/>
        <w:t>Panorâmica geral das atividades</w:t>
      </w:r>
    </w:p>
    <w:p w14:paraId="64681FEE" w14:textId="77777777" w:rsidR="00EC39BD" w:rsidRPr="00D04E7D" w:rsidRDefault="00EC39BD" w:rsidP="00D04E7D">
      <w:pPr>
        <w:pStyle w:val="Text1"/>
        <w:spacing w:before="240"/>
        <w:ind w:left="0"/>
        <w:rPr>
          <w:noProof/>
          <w:spacing w:val="-4"/>
        </w:rPr>
      </w:pPr>
      <w:r w:rsidRPr="00D04E7D">
        <w:rPr>
          <w:noProof/>
          <w:spacing w:val="-4"/>
        </w:rPr>
        <w:t>Os valores indicados nas secções seguintes baseiam-se nas conclusões apresentadas em pormenor no documento de trabalho dos serviços da Comissão que acompanha o presente relatório.</w:t>
      </w:r>
    </w:p>
    <w:p w14:paraId="099DD132" w14:textId="77777777" w:rsidR="00EC39BD" w:rsidRPr="00AA0B4A" w:rsidRDefault="00EC39BD" w:rsidP="00D04E7D">
      <w:pPr>
        <w:pStyle w:val="ManualHeading2"/>
        <w:spacing w:before="240" w:after="240"/>
        <w:ind w:left="0" w:firstLine="0"/>
        <w:rPr>
          <w:noProof/>
        </w:rPr>
      </w:pPr>
      <w:r>
        <w:rPr>
          <w:noProof/>
        </w:rPr>
        <w:t>3.1.</w:t>
      </w:r>
      <w:r>
        <w:rPr>
          <w:noProof/>
        </w:rPr>
        <w:tab/>
        <w:t xml:space="preserve">Número de comités </w:t>
      </w:r>
    </w:p>
    <w:p w14:paraId="066F1594" w14:textId="77777777" w:rsidR="00EC39BD" w:rsidRPr="00AA0B4A" w:rsidRDefault="00EC39BD" w:rsidP="00EC39BD">
      <w:pPr>
        <w:spacing w:after="120"/>
        <w:jc w:val="both"/>
        <w:rPr>
          <w:rFonts w:ascii="Times New Roman" w:hAnsi="Times New Roman"/>
          <w:noProof/>
          <w:sz w:val="24"/>
          <w:szCs w:val="24"/>
        </w:rPr>
      </w:pPr>
      <w:r>
        <w:rPr>
          <w:rFonts w:ascii="Times New Roman" w:hAnsi="Times New Roman"/>
          <w:noProof/>
          <w:sz w:val="24"/>
        </w:rPr>
        <w:t xml:space="preserve">O presente relatório centra-se exclusivamente nos comités de comitologia que foram criados pelo legislador para assistir a Comissão no exercício das competências de execução que lhe foram conferidas pelos atos jurídicos de base. Outras entidades, em especial os grupos de peritos criados pela própria Comissão, não são abrangidas pelo presente relatório. </w:t>
      </w:r>
    </w:p>
    <w:p w14:paraId="6E9B7AE5" w14:textId="77777777" w:rsidR="00EC39BD" w:rsidRDefault="00EC39BD" w:rsidP="00EC39BD">
      <w:pPr>
        <w:jc w:val="both"/>
        <w:rPr>
          <w:rFonts w:ascii="Times New Roman" w:hAnsi="Times New Roman"/>
          <w:b/>
          <w:noProof/>
          <w:sz w:val="24"/>
          <w:szCs w:val="24"/>
          <w:u w:val="single"/>
        </w:rPr>
      </w:pPr>
      <w:r>
        <w:rPr>
          <w:rFonts w:ascii="Times New Roman" w:hAnsi="Times New Roman"/>
          <w:noProof/>
          <w:sz w:val="24"/>
        </w:rPr>
        <w:t xml:space="preserve">O quadro I apresenta o número de comités de comitologia que existiram durante o período compreendido entre 1 de janeiro e 31 de dezembro de 2022, tendo sido acrescentados os dados respeitantes ao ano anterior para fins de comparação. </w:t>
      </w:r>
    </w:p>
    <w:p w14:paraId="28630C45" w14:textId="77777777" w:rsidR="00EC39BD" w:rsidRPr="00AA0B4A" w:rsidRDefault="00EC39BD" w:rsidP="00D04E7D">
      <w:pPr>
        <w:keepNext/>
        <w:spacing w:after="120" w:line="240" w:lineRule="auto"/>
        <w:rPr>
          <w:rFonts w:ascii="Times New Roman" w:hAnsi="Times New Roman"/>
          <w:b/>
          <w:noProof/>
          <w:sz w:val="24"/>
          <w:szCs w:val="24"/>
          <w:u w:val="single"/>
        </w:rPr>
      </w:pPr>
      <w:r>
        <w:rPr>
          <w:rFonts w:ascii="Times New Roman" w:hAnsi="Times New Roman"/>
          <w:b/>
          <w:noProof/>
          <w:sz w:val="24"/>
          <w:u w:val="single"/>
        </w:rPr>
        <w:t>QUADRO I - Número total de comités</w:t>
      </w:r>
    </w:p>
    <w:tbl>
      <w:tblPr>
        <w:tblW w:w="4961" w:type="pct"/>
        <w:tblInd w:w="108" w:type="dxa"/>
        <w:tblLayout w:type="fixed"/>
        <w:tblLook w:val="0000" w:firstRow="0" w:lastRow="0" w:firstColumn="0" w:lastColumn="0" w:noHBand="0" w:noVBand="0"/>
      </w:tblPr>
      <w:tblGrid>
        <w:gridCol w:w="7232"/>
        <w:gridCol w:w="991"/>
        <w:gridCol w:w="991"/>
      </w:tblGrid>
      <w:tr w:rsidR="00EC39BD" w:rsidRPr="00AA0B4A" w14:paraId="471C7109" w14:textId="77777777" w:rsidTr="00D04E7D">
        <w:trPr>
          <w:trHeight w:val="375"/>
        </w:trPr>
        <w:tc>
          <w:tcPr>
            <w:tcW w:w="3924"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7ADA82F0" w14:textId="77777777" w:rsidR="00EC39BD" w:rsidRPr="00AA0B4A" w:rsidRDefault="00EC39BD" w:rsidP="00E55B57">
            <w:pPr>
              <w:spacing w:after="0" w:line="240" w:lineRule="auto"/>
              <w:ind w:left="-149"/>
              <w:jc w:val="center"/>
              <w:rPr>
                <w:rFonts w:ascii="Times New Roman" w:hAnsi="Times New Roman"/>
                <w:b/>
                <w:noProof/>
                <w:color w:val="000000"/>
                <w:sz w:val="18"/>
                <w:szCs w:val="18"/>
              </w:rPr>
            </w:pPr>
            <w:r>
              <w:rPr>
                <w:rFonts w:ascii="Times New Roman" w:hAnsi="Times New Roman"/>
                <w:b/>
                <w:noProof/>
                <w:color w:val="000000"/>
                <w:sz w:val="18"/>
              </w:rPr>
              <w:t>Serviço da Comissão</w:t>
            </w:r>
          </w:p>
        </w:tc>
        <w:tc>
          <w:tcPr>
            <w:tcW w:w="538" w:type="pct"/>
            <w:tcBorders>
              <w:top w:val="single" w:sz="4" w:space="0" w:color="auto"/>
              <w:left w:val="nil"/>
              <w:bottom w:val="single" w:sz="4" w:space="0" w:color="auto"/>
              <w:right w:val="single" w:sz="4" w:space="0" w:color="auto"/>
            </w:tcBorders>
            <w:shd w:val="clear" w:color="auto" w:fill="FFFF99"/>
            <w:vAlign w:val="center"/>
          </w:tcPr>
          <w:p w14:paraId="2BDE2328"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center"/>
          </w:tcPr>
          <w:p w14:paraId="03F773A7"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r>
      <w:tr w:rsidR="00EC39BD" w:rsidRPr="00AA0B4A" w14:paraId="449AC092"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292935EC"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AGRI (Agricultura e Desenvolvimento Rural)</w:t>
            </w:r>
          </w:p>
        </w:tc>
        <w:tc>
          <w:tcPr>
            <w:tcW w:w="538" w:type="pct"/>
            <w:tcBorders>
              <w:top w:val="single" w:sz="4" w:space="0" w:color="auto"/>
              <w:left w:val="nil"/>
              <w:bottom w:val="single" w:sz="4" w:space="0" w:color="auto"/>
              <w:right w:val="single" w:sz="4" w:space="0" w:color="auto"/>
            </w:tcBorders>
            <w:shd w:val="clear" w:color="auto" w:fill="FFFF99"/>
            <w:vAlign w:val="bottom"/>
          </w:tcPr>
          <w:p w14:paraId="2D06556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67084DBA" w14:textId="77777777" w:rsidR="00EC39BD" w:rsidRPr="005B5F61"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rsidR="00EC39BD" w:rsidRPr="00AA0B4A" w14:paraId="1ECCF5FB"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7FDA7F5F"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BUDG (Orçamento)</w:t>
            </w:r>
          </w:p>
        </w:tc>
        <w:tc>
          <w:tcPr>
            <w:tcW w:w="538" w:type="pct"/>
            <w:tcBorders>
              <w:top w:val="single" w:sz="4" w:space="0" w:color="auto"/>
              <w:left w:val="nil"/>
              <w:bottom w:val="single" w:sz="4" w:space="0" w:color="auto"/>
              <w:right w:val="single" w:sz="4" w:space="0" w:color="auto"/>
            </w:tcBorders>
            <w:shd w:val="clear" w:color="auto" w:fill="FFFF99"/>
            <w:vAlign w:val="bottom"/>
          </w:tcPr>
          <w:p w14:paraId="7C5553A6"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7076F61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rsidR="00EC39BD" w:rsidRPr="00AA0B4A" w14:paraId="6EADE5A2"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3805554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 (Ação Climática)</w:t>
            </w:r>
          </w:p>
        </w:tc>
        <w:tc>
          <w:tcPr>
            <w:tcW w:w="538" w:type="pct"/>
            <w:tcBorders>
              <w:top w:val="single" w:sz="4" w:space="0" w:color="auto"/>
              <w:left w:val="nil"/>
              <w:bottom w:val="single" w:sz="4" w:space="0" w:color="auto"/>
              <w:right w:val="single" w:sz="4" w:space="0" w:color="auto"/>
            </w:tcBorders>
            <w:shd w:val="clear" w:color="auto" w:fill="FFFF99"/>
            <w:vAlign w:val="bottom"/>
          </w:tcPr>
          <w:p w14:paraId="3FA48BDC"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26964A52"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rsidR="00EC39BD" w:rsidRPr="00AA0B4A" w14:paraId="7D49DD77"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204F5A6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 (Redes de Comunicação, Conteúdos e Tecnologias)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1F4B360C"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23653909"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r>
      <w:tr w:rsidR="00EC39BD" w:rsidRPr="00AA0B4A" w14:paraId="2A569B29"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15C21E3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DEFIS (Indústria da Defesa e do Espaço)</w:t>
            </w:r>
          </w:p>
        </w:tc>
        <w:tc>
          <w:tcPr>
            <w:tcW w:w="538" w:type="pct"/>
            <w:tcBorders>
              <w:top w:val="single" w:sz="4" w:space="0" w:color="auto"/>
              <w:left w:val="nil"/>
              <w:bottom w:val="single" w:sz="4" w:space="0" w:color="auto"/>
              <w:right w:val="single" w:sz="4" w:space="0" w:color="auto"/>
            </w:tcBorders>
            <w:shd w:val="clear" w:color="auto" w:fill="FFFF99"/>
            <w:vAlign w:val="bottom"/>
          </w:tcPr>
          <w:p w14:paraId="530DBA62"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50B4275A"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rsidR="00EC39BD" w:rsidRPr="00AA0B4A" w14:paraId="2791E6BE"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578B4A3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 (Informática)</w:t>
            </w:r>
          </w:p>
        </w:tc>
        <w:tc>
          <w:tcPr>
            <w:tcW w:w="538" w:type="pct"/>
            <w:tcBorders>
              <w:top w:val="single" w:sz="4" w:space="0" w:color="auto"/>
              <w:left w:val="nil"/>
              <w:bottom w:val="single" w:sz="4" w:space="0" w:color="auto"/>
              <w:right w:val="single" w:sz="4" w:space="0" w:color="auto"/>
            </w:tcBorders>
            <w:shd w:val="clear" w:color="auto" w:fill="FFFF99"/>
            <w:vAlign w:val="bottom"/>
          </w:tcPr>
          <w:p w14:paraId="15AADD0D"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56EEF09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rsidR="00EC39BD" w:rsidRPr="00AA0B4A" w14:paraId="3779D298"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234DDED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EAC (Educação e Cultura)</w:t>
            </w:r>
          </w:p>
        </w:tc>
        <w:tc>
          <w:tcPr>
            <w:tcW w:w="538" w:type="pct"/>
            <w:tcBorders>
              <w:top w:val="single" w:sz="4" w:space="0" w:color="auto"/>
              <w:left w:val="nil"/>
              <w:bottom w:val="single" w:sz="4" w:space="0" w:color="auto"/>
              <w:right w:val="single" w:sz="4" w:space="0" w:color="auto"/>
            </w:tcBorders>
            <w:shd w:val="clear" w:color="auto" w:fill="FFFF99"/>
            <w:vAlign w:val="bottom"/>
          </w:tcPr>
          <w:p w14:paraId="7D6AB372"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0173185A"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rsidR="00EC39BD" w:rsidRPr="00AA0B4A" w14:paraId="25E78D9F"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5790D6E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 (Assuntos Económicos e Financeiros)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6A913E5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6112B646"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rsidR="00EC39BD" w:rsidRPr="00AA0B4A" w14:paraId="5FCB39F4"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3F30DFB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ECHO (Ajuda Humanitária e Proteção Civil)</w:t>
            </w:r>
          </w:p>
        </w:tc>
        <w:tc>
          <w:tcPr>
            <w:tcW w:w="538" w:type="pct"/>
            <w:tcBorders>
              <w:top w:val="single" w:sz="4" w:space="0" w:color="auto"/>
              <w:left w:val="nil"/>
              <w:bottom w:val="single" w:sz="4" w:space="0" w:color="auto"/>
              <w:right w:val="single" w:sz="4" w:space="0" w:color="auto"/>
            </w:tcBorders>
            <w:shd w:val="clear" w:color="auto" w:fill="FFFF99"/>
            <w:vAlign w:val="bottom"/>
          </w:tcPr>
          <w:p w14:paraId="5102FF84"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7B113FD8"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rsidR="00EC39BD" w:rsidRPr="00AA0B4A" w14:paraId="1D7A791E"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127B227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EMPL (Emprego, Assuntos Sociais e Inclusão)</w:t>
            </w:r>
          </w:p>
        </w:tc>
        <w:tc>
          <w:tcPr>
            <w:tcW w:w="538" w:type="pct"/>
            <w:tcBorders>
              <w:top w:val="single" w:sz="4" w:space="0" w:color="auto"/>
              <w:left w:val="nil"/>
              <w:bottom w:val="single" w:sz="4" w:space="0" w:color="auto"/>
              <w:right w:val="single" w:sz="4" w:space="0" w:color="auto"/>
            </w:tcBorders>
            <w:shd w:val="clear" w:color="auto" w:fill="FFFF99"/>
            <w:vAlign w:val="bottom"/>
          </w:tcPr>
          <w:p w14:paraId="18E67E2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5D839F13"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rsidR="00EC39BD" w:rsidRPr="00AA0B4A" w14:paraId="07B97C2A"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7E8525DF"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ENER (Energia)</w:t>
            </w:r>
          </w:p>
        </w:tc>
        <w:tc>
          <w:tcPr>
            <w:tcW w:w="538" w:type="pct"/>
            <w:tcBorders>
              <w:top w:val="single" w:sz="4" w:space="0" w:color="auto"/>
              <w:left w:val="nil"/>
              <w:bottom w:val="single" w:sz="4" w:space="0" w:color="auto"/>
              <w:right w:val="single" w:sz="4" w:space="0" w:color="auto"/>
            </w:tcBorders>
            <w:shd w:val="clear" w:color="auto" w:fill="FFFF99"/>
            <w:vAlign w:val="bottom"/>
          </w:tcPr>
          <w:p w14:paraId="550AE222"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1D921196"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rsidR="00EC39BD" w:rsidRPr="00AA0B4A" w14:paraId="15960BA2"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71DD1479" w14:textId="77777777" w:rsidR="00EC39BD" w:rsidRPr="00AA0B4A" w:rsidRDefault="00EC39BD" w:rsidP="00E55B57">
            <w:pPr>
              <w:spacing w:after="0" w:line="240" w:lineRule="auto"/>
              <w:rPr>
                <w:rFonts w:ascii="Times New Roman" w:hAnsi="Times New Roman"/>
                <w:b/>
                <w:noProof/>
                <w:sz w:val="18"/>
                <w:szCs w:val="18"/>
              </w:rPr>
            </w:pPr>
            <w:r>
              <w:rPr>
                <w:rFonts w:ascii="Times New Roman" w:hAnsi="Times New Roman"/>
                <w:b/>
                <w:noProof/>
                <w:color w:val="000000"/>
                <w:sz w:val="18"/>
              </w:rPr>
              <w:t>ENV (Ambiente)</w:t>
            </w:r>
          </w:p>
        </w:tc>
        <w:tc>
          <w:tcPr>
            <w:tcW w:w="538" w:type="pct"/>
            <w:tcBorders>
              <w:top w:val="single" w:sz="4" w:space="0" w:color="auto"/>
              <w:left w:val="nil"/>
              <w:bottom w:val="single" w:sz="4" w:space="0" w:color="auto"/>
              <w:right w:val="single" w:sz="4" w:space="0" w:color="auto"/>
            </w:tcBorders>
            <w:shd w:val="clear" w:color="auto" w:fill="FFFF99"/>
            <w:vAlign w:val="bottom"/>
          </w:tcPr>
          <w:p w14:paraId="49674F2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27</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1B548C4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26</w:t>
            </w:r>
          </w:p>
        </w:tc>
      </w:tr>
      <w:tr w:rsidR="00EC39BD" w:rsidRPr="00AA0B4A" w14:paraId="7F57E2D4"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3849142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 (Eurostat)</w:t>
            </w:r>
          </w:p>
        </w:tc>
        <w:tc>
          <w:tcPr>
            <w:tcW w:w="538" w:type="pct"/>
            <w:tcBorders>
              <w:top w:val="single" w:sz="4" w:space="0" w:color="auto"/>
              <w:left w:val="nil"/>
              <w:bottom w:val="single" w:sz="4" w:space="0" w:color="auto"/>
              <w:right w:val="single" w:sz="4" w:space="0" w:color="auto"/>
            </w:tcBorders>
            <w:shd w:val="clear" w:color="auto" w:fill="FFFF99"/>
            <w:vAlign w:val="bottom"/>
          </w:tcPr>
          <w:p w14:paraId="6696EEE3"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475768A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rsidR="00EC39BD" w:rsidRPr="00AA0B4A" w14:paraId="010FC9AA"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69A5D660"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 (Estabilidade Financeira, Serviços Financeiros e União dos Mercados de Capitais)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1A1E085B"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0D33389E"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rsidR="00EC39BD" w:rsidRPr="00AA0B4A" w14:paraId="2C009C71"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55B81E1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FPI (Serviço dos Instrumentos de Política Externa)</w:t>
            </w:r>
          </w:p>
        </w:tc>
        <w:tc>
          <w:tcPr>
            <w:tcW w:w="538" w:type="pct"/>
            <w:tcBorders>
              <w:top w:val="single" w:sz="4" w:space="0" w:color="auto"/>
              <w:left w:val="nil"/>
              <w:bottom w:val="single" w:sz="4" w:space="0" w:color="auto"/>
              <w:right w:val="single" w:sz="4" w:space="0" w:color="auto"/>
            </w:tcBorders>
            <w:shd w:val="clear" w:color="auto" w:fill="FFFF99"/>
            <w:vAlign w:val="bottom"/>
          </w:tcPr>
          <w:p w14:paraId="1366BC43"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675110DB"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rsidR="00EC39BD" w:rsidRPr="00AA0B4A" w14:paraId="593218B2"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2E7E70B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GROW (Mercado Interno, Indústria, Empreendedorismo e PME)</w:t>
            </w:r>
          </w:p>
        </w:tc>
        <w:tc>
          <w:tcPr>
            <w:tcW w:w="538" w:type="pct"/>
            <w:tcBorders>
              <w:top w:val="single" w:sz="4" w:space="0" w:color="auto"/>
              <w:left w:val="nil"/>
              <w:bottom w:val="single" w:sz="4" w:space="0" w:color="auto"/>
              <w:right w:val="single" w:sz="4" w:space="0" w:color="auto"/>
            </w:tcBorders>
            <w:shd w:val="clear" w:color="auto" w:fill="FFFF99"/>
            <w:vAlign w:val="bottom"/>
          </w:tcPr>
          <w:p w14:paraId="43B627BE"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39</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3E1F7E03"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r>
      <w:tr w:rsidR="00EC39BD" w:rsidRPr="00AA0B4A" w14:paraId="3AFA0C28"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71EA5C2C"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HOME (Migração e Assuntos Internos)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46DEF952"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730FAA02"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rsidR="00EC39BD" w:rsidRPr="00AA0B4A" w14:paraId="1895C0C2"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25B1371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 xml:space="preserve">INTPA (Parcerias Internacionais) </w:t>
            </w:r>
          </w:p>
        </w:tc>
        <w:tc>
          <w:tcPr>
            <w:tcW w:w="538" w:type="pct"/>
            <w:tcBorders>
              <w:top w:val="single" w:sz="4" w:space="0" w:color="auto"/>
              <w:left w:val="nil"/>
              <w:bottom w:val="single" w:sz="4" w:space="0" w:color="auto"/>
              <w:right w:val="single" w:sz="4" w:space="0" w:color="auto"/>
            </w:tcBorders>
            <w:shd w:val="clear" w:color="auto" w:fill="FFFF99"/>
            <w:vAlign w:val="bottom"/>
          </w:tcPr>
          <w:p w14:paraId="1A9A6D88"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3168B287"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rsidR="00EC39BD" w:rsidRPr="00AA0B4A" w14:paraId="15571B6F"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4410928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JUST (Justiça e Consumidores)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4AD29D96"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0CF45B16"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r>
      <w:tr w:rsidR="00EC39BD" w:rsidRPr="00AA0B4A" w14:paraId="58EAF180"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49C42CE4" w14:textId="77777777" w:rsidR="00EC39BD" w:rsidRPr="00AA0B4A" w:rsidRDefault="00EC39BD" w:rsidP="00E55B57">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MARE (Assuntos Marítimos e Pescas)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05FB102E" w14:textId="77777777" w:rsidR="00EC39BD" w:rsidRPr="00AA0B4A"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0BA87707" w14:textId="77777777" w:rsidR="00EC39BD" w:rsidRPr="00AA0B4A"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r>
      <w:tr w:rsidR="00EC39BD" w:rsidRPr="00AA0B4A" w14:paraId="547F68EB"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483FB0E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MOVE (Mobilidade e Transportes)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4E72CCA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252340F3"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rsidR="00EC39BD" w:rsidRPr="00AA0B4A" w14:paraId="6745DA3E"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36E8D38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NEAR (Política de Vizinhança e Negociações de Alargamento)</w:t>
            </w:r>
          </w:p>
        </w:tc>
        <w:tc>
          <w:tcPr>
            <w:tcW w:w="538" w:type="pct"/>
            <w:tcBorders>
              <w:top w:val="single" w:sz="4" w:space="0" w:color="auto"/>
              <w:left w:val="nil"/>
              <w:bottom w:val="single" w:sz="4" w:space="0" w:color="auto"/>
              <w:right w:val="single" w:sz="4" w:space="0" w:color="auto"/>
            </w:tcBorders>
            <w:shd w:val="clear" w:color="auto" w:fill="FFFF99"/>
            <w:vAlign w:val="bottom"/>
          </w:tcPr>
          <w:p w14:paraId="1D07481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3B668695"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rsidR="00EC39BD" w:rsidRPr="00AA0B4A" w14:paraId="2E70126C"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7DD26DB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OLAF (Organismo Europeu de Luta Antifraude)</w:t>
            </w:r>
          </w:p>
        </w:tc>
        <w:tc>
          <w:tcPr>
            <w:tcW w:w="538" w:type="pct"/>
            <w:tcBorders>
              <w:top w:val="single" w:sz="4" w:space="0" w:color="auto"/>
              <w:left w:val="nil"/>
              <w:bottom w:val="single" w:sz="4" w:space="0" w:color="auto"/>
              <w:right w:val="single" w:sz="4" w:space="0" w:color="auto"/>
            </w:tcBorders>
            <w:shd w:val="clear" w:color="auto" w:fill="FFFF99"/>
            <w:vAlign w:val="bottom"/>
          </w:tcPr>
          <w:p w14:paraId="0CC8D71C"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0FF112E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rsidR="00EC39BD" w:rsidRPr="00AA0B4A" w14:paraId="343F3BDB"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1C7F8A8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REFORM (Apoio às Reformas Estruturais)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63F26051"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6465E641"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rsidR="00EC39BD" w:rsidRPr="00AA0B4A" w14:paraId="364F19CE"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78E81E2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 (Política Regional e Urbana)</w:t>
            </w:r>
          </w:p>
        </w:tc>
        <w:tc>
          <w:tcPr>
            <w:tcW w:w="538" w:type="pct"/>
            <w:tcBorders>
              <w:top w:val="single" w:sz="4" w:space="0" w:color="auto"/>
              <w:left w:val="nil"/>
              <w:bottom w:val="single" w:sz="4" w:space="0" w:color="auto"/>
              <w:right w:val="single" w:sz="4" w:space="0" w:color="auto"/>
            </w:tcBorders>
            <w:shd w:val="clear" w:color="auto" w:fill="FFFF99"/>
            <w:vAlign w:val="bottom"/>
          </w:tcPr>
          <w:p w14:paraId="7BD94642" w14:textId="77777777" w:rsidR="00EC39BD"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5969437E" w14:textId="77777777" w:rsidR="00EC39BD"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rsidR="00EC39BD" w:rsidRPr="00AA0B4A" w14:paraId="1DD06F4D" w14:textId="77777777" w:rsidTr="00D04E7D">
        <w:trPr>
          <w:trHeight w:val="240"/>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139DD64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RTD (Investigação e Inovação)</w:t>
            </w:r>
          </w:p>
        </w:tc>
        <w:tc>
          <w:tcPr>
            <w:tcW w:w="538" w:type="pct"/>
            <w:tcBorders>
              <w:top w:val="single" w:sz="4" w:space="0" w:color="auto"/>
              <w:left w:val="nil"/>
              <w:bottom w:val="single" w:sz="4" w:space="0" w:color="auto"/>
              <w:right w:val="single" w:sz="4" w:space="0" w:color="auto"/>
            </w:tcBorders>
            <w:shd w:val="clear" w:color="auto" w:fill="FFFF99"/>
            <w:vAlign w:val="bottom"/>
          </w:tcPr>
          <w:p w14:paraId="2932C8A6"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1C485422"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rsidR="00EC39BD" w:rsidRPr="00AA0B4A" w14:paraId="6BE51DC0" w14:textId="77777777" w:rsidTr="00D04E7D">
        <w:trPr>
          <w:trHeight w:val="255"/>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604A935E"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 (Saúde e Segurança dos Alimentos)</w:t>
            </w:r>
          </w:p>
        </w:tc>
        <w:tc>
          <w:tcPr>
            <w:tcW w:w="538" w:type="pct"/>
            <w:tcBorders>
              <w:top w:val="single" w:sz="4" w:space="0" w:color="auto"/>
              <w:left w:val="nil"/>
              <w:bottom w:val="single" w:sz="4" w:space="0" w:color="auto"/>
              <w:right w:val="single" w:sz="4" w:space="0" w:color="auto"/>
            </w:tcBorders>
            <w:shd w:val="clear" w:color="auto" w:fill="FFFF99"/>
            <w:vAlign w:val="bottom"/>
          </w:tcPr>
          <w:p w14:paraId="28047868"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4E8BFFE7"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r>
      <w:tr w:rsidR="00EC39BD" w:rsidRPr="00AA0B4A" w14:paraId="3311AF9F" w14:textId="77777777" w:rsidTr="00D04E7D">
        <w:trPr>
          <w:trHeight w:val="255"/>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4FB350F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SG (Secretariado-Geral) *</w:t>
            </w:r>
          </w:p>
        </w:tc>
        <w:tc>
          <w:tcPr>
            <w:tcW w:w="538" w:type="pct"/>
            <w:tcBorders>
              <w:top w:val="single" w:sz="4" w:space="0" w:color="auto"/>
              <w:left w:val="nil"/>
              <w:bottom w:val="single" w:sz="4" w:space="0" w:color="auto"/>
              <w:right w:val="single" w:sz="4" w:space="0" w:color="auto"/>
            </w:tcBorders>
            <w:shd w:val="clear" w:color="auto" w:fill="FFFF99"/>
            <w:vAlign w:val="bottom"/>
          </w:tcPr>
          <w:p w14:paraId="2D3654F9"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1866993E"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rsidR="00EC39BD" w:rsidRPr="00AA0B4A" w14:paraId="27D3B0A8" w14:textId="77777777" w:rsidTr="00D04E7D">
        <w:trPr>
          <w:trHeight w:val="236"/>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488B474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 (Fiscalidade e União Aduaneira)</w:t>
            </w:r>
          </w:p>
        </w:tc>
        <w:tc>
          <w:tcPr>
            <w:tcW w:w="538" w:type="pct"/>
            <w:tcBorders>
              <w:top w:val="single" w:sz="4" w:space="0" w:color="auto"/>
              <w:left w:val="nil"/>
              <w:bottom w:val="single" w:sz="4" w:space="0" w:color="auto"/>
              <w:right w:val="single" w:sz="4" w:space="0" w:color="auto"/>
            </w:tcBorders>
            <w:shd w:val="clear" w:color="auto" w:fill="FFFF99"/>
            <w:vAlign w:val="bottom"/>
          </w:tcPr>
          <w:p w14:paraId="2239FA1C"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253CC80F" w14:textId="77777777" w:rsidR="00EC39BD" w:rsidRPr="00AA0B4A"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w:t>
            </w:r>
          </w:p>
        </w:tc>
      </w:tr>
      <w:tr w:rsidR="00EC39BD" w:rsidRPr="00AA0B4A" w14:paraId="55C1FE24" w14:textId="77777777" w:rsidTr="00D04E7D">
        <w:trPr>
          <w:trHeight w:val="255"/>
        </w:trPr>
        <w:tc>
          <w:tcPr>
            <w:tcW w:w="3924" w:type="pct"/>
            <w:tcBorders>
              <w:top w:val="nil"/>
              <w:left w:val="single" w:sz="4" w:space="0" w:color="auto"/>
              <w:bottom w:val="single" w:sz="4" w:space="0" w:color="auto"/>
              <w:right w:val="single" w:sz="4" w:space="0" w:color="auto"/>
            </w:tcBorders>
            <w:shd w:val="clear" w:color="auto" w:fill="FFFF99"/>
            <w:noWrap/>
            <w:vAlign w:val="bottom"/>
          </w:tcPr>
          <w:p w14:paraId="7F2CE243" w14:textId="77777777" w:rsidR="00EC39BD" w:rsidRPr="00AA0B4A" w:rsidRDefault="00EC39BD" w:rsidP="00E55B57">
            <w:pPr>
              <w:spacing w:after="0" w:line="240" w:lineRule="auto"/>
              <w:rPr>
                <w:rFonts w:ascii="Times New Roman" w:hAnsi="Times New Roman"/>
                <w:b/>
                <w:noProof/>
                <w:sz w:val="18"/>
                <w:szCs w:val="18"/>
              </w:rPr>
            </w:pPr>
            <w:r>
              <w:rPr>
                <w:rFonts w:ascii="Times New Roman" w:hAnsi="Times New Roman"/>
                <w:b/>
                <w:noProof/>
                <w:sz w:val="18"/>
              </w:rPr>
              <w:t>TRADE (Comércio)</w:t>
            </w:r>
          </w:p>
        </w:tc>
        <w:tc>
          <w:tcPr>
            <w:tcW w:w="538" w:type="pct"/>
            <w:tcBorders>
              <w:top w:val="single" w:sz="4" w:space="0" w:color="auto"/>
              <w:left w:val="nil"/>
              <w:bottom w:val="single" w:sz="4" w:space="0" w:color="auto"/>
              <w:right w:val="single" w:sz="4" w:space="0" w:color="auto"/>
            </w:tcBorders>
            <w:shd w:val="clear" w:color="auto" w:fill="FFFF99"/>
            <w:vAlign w:val="bottom"/>
          </w:tcPr>
          <w:p w14:paraId="77F11E3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7822451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w:t>
            </w:r>
          </w:p>
        </w:tc>
      </w:tr>
      <w:tr w:rsidR="00EC39BD" w:rsidRPr="00AA0B4A" w14:paraId="7FCBE752" w14:textId="77777777" w:rsidTr="00D04E7D">
        <w:trPr>
          <w:trHeight w:val="255"/>
        </w:trPr>
        <w:tc>
          <w:tcPr>
            <w:tcW w:w="3924" w:type="pct"/>
            <w:tcBorders>
              <w:top w:val="nil"/>
              <w:left w:val="single" w:sz="4" w:space="0" w:color="auto"/>
              <w:bottom w:val="single" w:sz="4" w:space="0" w:color="auto"/>
              <w:right w:val="single" w:sz="4" w:space="0" w:color="auto"/>
            </w:tcBorders>
            <w:shd w:val="clear" w:color="auto" w:fill="FFFF99"/>
            <w:noWrap/>
            <w:vAlign w:val="center"/>
          </w:tcPr>
          <w:p w14:paraId="0E3F831F" w14:textId="77777777" w:rsidR="00EC39BD" w:rsidRPr="00AA0B4A" w:rsidRDefault="00EC39BD" w:rsidP="00E55B57">
            <w:pPr>
              <w:spacing w:after="0" w:line="240" w:lineRule="auto"/>
              <w:rPr>
                <w:rFonts w:ascii="Times New Roman" w:hAnsi="Times New Roman"/>
                <w:b/>
                <w:bCs/>
                <w:noProof/>
                <w:sz w:val="18"/>
                <w:szCs w:val="18"/>
              </w:rPr>
            </w:pPr>
            <w:r>
              <w:rPr>
                <w:rFonts w:ascii="Times New Roman" w:hAnsi="Times New Roman"/>
                <w:b/>
                <w:noProof/>
                <w:sz w:val="18"/>
              </w:rPr>
              <w:t>TOTAL:</w:t>
            </w:r>
          </w:p>
        </w:tc>
        <w:tc>
          <w:tcPr>
            <w:tcW w:w="538" w:type="pct"/>
            <w:tcBorders>
              <w:top w:val="single" w:sz="4" w:space="0" w:color="auto"/>
              <w:left w:val="nil"/>
              <w:bottom w:val="single" w:sz="4" w:space="0" w:color="auto"/>
              <w:right w:val="single" w:sz="4" w:space="0" w:color="auto"/>
            </w:tcBorders>
            <w:shd w:val="clear" w:color="auto" w:fill="FFFF99"/>
            <w:vAlign w:val="bottom"/>
          </w:tcPr>
          <w:p w14:paraId="35960026"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353</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bottom"/>
          </w:tcPr>
          <w:p w14:paraId="56907B02"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322</w:t>
            </w:r>
          </w:p>
        </w:tc>
      </w:tr>
    </w:tbl>
    <w:p w14:paraId="4C762EB2" w14:textId="77777777" w:rsidR="00EC39BD" w:rsidRPr="001F6C98" w:rsidRDefault="00EC39BD" w:rsidP="00EC39BD">
      <w:pPr>
        <w:spacing w:after="120"/>
        <w:jc w:val="both"/>
        <w:rPr>
          <w:rFonts w:ascii="Times New Roman" w:hAnsi="Times New Roman"/>
          <w:i/>
          <w:noProof/>
          <w:sz w:val="18"/>
          <w:szCs w:val="18"/>
        </w:rPr>
      </w:pPr>
      <w:r>
        <w:rPr>
          <w:rFonts w:ascii="Times New Roman" w:hAnsi="Times New Roman"/>
          <w:noProof/>
          <w:sz w:val="18"/>
        </w:rPr>
        <w:t xml:space="preserve">* </w:t>
      </w:r>
      <w:r>
        <w:rPr>
          <w:rFonts w:ascii="Times New Roman" w:hAnsi="Times New Roman"/>
          <w:i/>
          <w:noProof/>
          <w:sz w:val="18"/>
        </w:rPr>
        <w:t>Incluindo o comité de recurso</w:t>
      </w:r>
      <w:r>
        <w:rPr>
          <w:rStyle w:val="FootnoteReference"/>
          <w:rFonts w:ascii="Times New Roman" w:hAnsi="Times New Roman"/>
          <w:i/>
          <w:noProof/>
          <w:sz w:val="18"/>
          <w:szCs w:val="18"/>
        </w:rPr>
        <w:footnoteReference w:id="17"/>
      </w:r>
    </w:p>
    <w:p w14:paraId="6CEA50E2" w14:textId="77777777" w:rsidR="00EC39BD" w:rsidRDefault="00EC39BD" w:rsidP="00EC39BD">
      <w:pPr>
        <w:spacing w:after="120"/>
        <w:jc w:val="both"/>
        <w:rPr>
          <w:rFonts w:ascii="Times New Roman" w:hAnsi="Times New Roman"/>
          <w:noProof/>
          <w:sz w:val="24"/>
          <w:szCs w:val="24"/>
        </w:rPr>
      </w:pPr>
      <w:r>
        <w:rPr>
          <w:rFonts w:ascii="Times New Roman" w:hAnsi="Times New Roman"/>
          <w:noProof/>
          <w:sz w:val="24"/>
        </w:rPr>
        <w:t xml:space="preserve">Em 2022, existiram ao longo do ano </w:t>
      </w:r>
      <w:r>
        <w:rPr>
          <w:rFonts w:ascii="Times New Roman" w:hAnsi="Times New Roman"/>
          <w:b/>
          <w:noProof/>
          <w:sz w:val="24"/>
        </w:rPr>
        <w:t>322 comités de comitologia</w:t>
      </w:r>
      <w:r>
        <w:rPr>
          <w:rFonts w:ascii="Times New Roman" w:hAnsi="Times New Roman"/>
          <w:noProof/>
          <w:sz w:val="24"/>
        </w:rPr>
        <w:t>, incluindo todas as configurações de comités</w:t>
      </w:r>
      <w:r>
        <w:rPr>
          <w:rStyle w:val="FootnoteReference"/>
          <w:rFonts w:ascii="Times New Roman" w:hAnsi="Times New Roman"/>
          <w:noProof/>
          <w:sz w:val="24"/>
          <w:szCs w:val="24"/>
        </w:rPr>
        <w:footnoteReference w:id="18"/>
      </w:r>
      <w:r>
        <w:rPr>
          <w:rFonts w:ascii="Times New Roman" w:hAnsi="Times New Roman"/>
          <w:noProof/>
          <w:sz w:val="24"/>
        </w:rPr>
        <w:t>, o que constitui uma pequena diminuição do número de comités em comparação com 2021 (quando havia 353 comités de comitologia). Tal deveu-se principalmente à abolição de uma série de «antigos» comités que tinham servido no âmbito da geração anterior de programas e fundos do Quadro Financeiro Plurianual (QFP)</w:t>
      </w:r>
      <w:r>
        <w:rPr>
          <w:rStyle w:val="FootnoteReference"/>
          <w:rFonts w:ascii="Times New Roman" w:hAnsi="Times New Roman"/>
          <w:noProof/>
          <w:sz w:val="24"/>
          <w:szCs w:val="24"/>
        </w:rPr>
        <w:footnoteReference w:id="19"/>
      </w:r>
      <w:r>
        <w:rPr>
          <w:rFonts w:ascii="Times New Roman" w:hAnsi="Times New Roman"/>
          <w:noProof/>
          <w:sz w:val="24"/>
        </w:rPr>
        <w:t>. Uma vez que a nova legislação que entrou em vigor em 2022 criou novos comités em apenas alguns casos, o número de comités de comitologia diminuiu em relação a 2021 e regressou aos níveis registados nos anos anteriores a 2021</w:t>
      </w:r>
      <w:r>
        <w:rPr>
          <w:rStyle w:val="FootnoteReference"/>
          <w:rFonts w:ascii="Times New Roman" w:hAnsi="Times New Roman"/>
          <w:noProof/>
          <w:sz w:val="24"/>
          <w:szCs w:val="24"/>
        </w:rPr>
        <w:footnoteReference w:id="20"/>
      </w:r>
      <w:r>
        <w:rPr>
          <w:rFonts w:ascii="Times New Roman" w:hAnsi="Times New Roman"/>
          <w:noProof/>
          <w:sz w:val="24"/>
        </w:rPr>
        <w:t>.</w:t>
      </w:r>
      <w:bookmarkStart w:id="3" w:name="_Toc138589006"/>
    </w:p>
    <w:p w14:paraId="742DCF5B" w14:textId="77777777" w:rsidR="00EC39BD" w:rsidRPr="00CC24AD" w:rsidRDefault="00EC39BD" w:rsidP="00EC39BD">
      <w:pPr>
        <w:spacing w:after="120"/>
        <w:jc w:val="both"/>
        <w:rPr>
          <w:rFonts w:ascii="Times New Roman" w:hAnsi="Times New Roman"/>
          <w:noProof/>
          <w:sz w:val="24"/>
          <w:szCs w:val="24"/>
        </w:rPr>
      </w:pPr>
    </w:p>
    <w:p w14:paraId="1C78CD92" w14:textId="77777777" w:rsidR="00EC39BD" w:rsidRPr="00AA0B4A" w:rsidRDefault="00EC39BD" w:rsidP="00EC39BD">
      <w:pPr>
        <w:keepNext/>
        <w:spacing w:line="240" w:lineRule="auto"/>
        <w:rPr>
          <w:rFonts w:ascii="Times New Roman" w:hAnsi="Times New Roman"/>
          <w:b/>
          <w:smallCaps/>
          <w:noProof/>
          <w:sz w:val="24"/>
          <w:szCs w:val="24"/>
          <w:u w:val="single"/>
        </w:rPr>
      </w:pPr>
      <w:r>
        <w:rPr>
          <w:rFonts w:ascii="Times New Roman" w:hAnsi="Times New Roman"/>
          <w:b/>
          <w:noProof/>
          <w:sz w:val="24"/>
          <w:u w:val="single"/>
        </w:rPr>
        <w:t>QUADRO II - Número de comités por tipo de procedimento</w:t>
      </w:r>
      <w:bookmarkEnd w:id="3"/>
    </w:p>
    <w:tbl>
      <w:tblPr>
        <w:tblW w:w="4885" w:type="pct"/>
        <w:tblInd w:w="108" w:type="dxa"/>
        <w:tblLook w:val="0000" w:firstRow="0" w:lastRow="0" w:firstColumn="0" w:lastColumn="0" w:noHBand="0" w:noVBand="0"/>
      </w:tblPr>
      <w:tblGrid>
        <w:gridCol w:w="2072"/>
        <w:gridCol w:w="1303"/>
        <w:gridCol w:w="1306"/>
        <w:gridCol w:w="1496"/>
        <w:gridCol w:w="1356"/>
        <w:gridCol w:w="1539"/>
      </w:tblGrid>
      <w:tr w:rsidR="00EC39BD" w:rsidRPr="00AA0B4A" w14:paraId="317AE9CC" w14:textId="77777777" w:rsidTr="00E55B57">
        <w:trPr>
          <w:trHeight w:val="329"/>
        </w:trPr>
        <w:tc>
          <w:tcPr>
            <w:tcW w:w="1163" w:type="pct"/>
            <w:vMerge w:val="restart"/>
            <w:tcBorders>
              <w:top w:val="single" w:sz="4" w:space="0" w:color="auto"/>
              <w:left w:val="single" w:sz="4" w:space="0" w:color="auto"/>
              <w:right w:val="single" w:sz="4" w:space="0" w:color="auto"/>
            </w:tcBorders>
            <w:shd w:val="clear" w:color="auto" w:fill="FFFF99"/>
            <w:noWrap/>
            <w:vAlign w:val="bottom"/>
          </w:tcPr>
          <w:p w14:paraId="6173291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Serviço da Comissão</w:t>
            </w:r>
          </w:p>
        </w:tc>
        <w:tc>
          <w:tcPr>
            <w:tcW w:w="2967" w:type="pct"/>
            <w:gridSpan w:val="4"/>
            <w:tcBorders>
              <w:top w:val="single" w:sz="4" w:space="0" w:color="auto"/>
              <w:left w:val="nil"/>
              <w:bottom w:val="single" w:sz="4" w:space="0" w:color="auto"/>
              <w:right w:val="single" w:sz="4" w:space="0" w:color="auto"/>
            </w:tcBorders>
            <w:shd w:val="clear" w:color="auto" w:fill="FFFF99"/>
            <w:vAlign w:val="center"/>
          </w:tcPr>
          <w:p w14:paraId="19FC2309"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Tipo de procedimento</w:t>
            </w:r>
          </w:p>
        </w:tc>
        <w:tc>
          <w:tcPr>
            <w:tcW w:w="869" w:type="pct"/>
            <w:tcBorders>
              <w:top w:val="single" w:sz="4" w:space="0" w:color="auto"/>
              <w:left w:val="nil"/>
              <w:bottom w:val="single" w:sz="4" w:space="0" w:color="auto"/>
              <w:right w:val="single" w:sz="4" w:space="0" w:color="auto"/>
            </w:tcBorders>
            <w:shd w:val="clear" w:color="auto" w:fill="FFFF99"/>
            <w:vAlign w:val="center"/>
          </w:tcPr>
          <w:p w14:paraId="78D8D546"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p>
        </w:tc>
      </w:tr>
      <w:tr w:rsidR="00EC39BD" w:rsidRPr="00AA0B4A" w14:paraId="46D81463" w14:textId="77777777" w:rsidTr="00E55B57">
        <w:trPr>
          <w:trHeight w:val="251"/>
        </w:trPr>
        <w:tc>
          <w:tcPr>
            <w:tcW w:w="1163" w:type="pct"/>
            <w:vMerge/>
            <w:tcBorders>
              <w:left w:val="single" w:sz="4" w:space="0" w:color="auto"/>
              <w:bottom w:val="single" w:sz="4" w:space="0" w:color="auto"/>
              <w:right w:val="single" w:sz="4" w:space="0" w:color="auto"/>
            </w:tcBorders>
            <w:shd w:val="clear" w:color="auto" w:fill="FFFF99"/>
            <w:noWrap/>
            <w:vAlign w:val="bottom"/>
          </w:tcPr>
          <w:p w14:paraId="53680B41" w14:textId="77777777" w:rsidR="00EC39BD" w:rsidRPr="00AA0B4A" w:rsidRDefault="00EC39BD" w:rsidP="00E55B57">
            <w:pPr>
              <w:spacing w:after="0" w:line="240" w:lineRule="auto"/>
              <w:rPr>
                <w:rFonts w:ascii="Times New Roman" w:hAnsi="Times New Roman"/>
                <w:noProof/>
                <w:color w:val="000000"/>
                <w:sz w:val="18"/>
                <w:szCs w:val="18"/>
                <w:lang w:eastAsia="en-GB"/>
              </w:rPr>
            </w:pPr>
          </w:p>
        </w:tc>
        <w:tc>
          <w:tcPr>
            <w:tcW w:w="739" w:type="pct"/>
            <w:tcBorders>
              <w:top w:val="single" w:sz="4" w:space="0" w:color="auto"/>
              <w:left w:val="nil"/>
              <w:bottom w:val="single" w:sz="4" w:space="0" w:color="auto"/>
              <w:right w:val="single" w:sz="4" w:space="0" w:color="auto"/>
            </w:tcBorders>
            <w:shd w:val="clear" w:color="auto" w:fill="FFFF99"/>
            <w:vAlign w:val="center"/>
          </w:tcPr>
          <w:p w14:paraId="598495C7"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Consultivo</w:t>
            </w:r>
          </w:p>
        </w:tc>
        <w:tc>
          <w:tcPr>
            <w:tcW w:w="741" w:type="pct"/>
            <w:tcBorders>
              <w:top w:val="single" w:sz="4" w:space="0" w:color="auto"/>
              <w:left w:val="nil"/>
              <w:bottom w:val="single" w:sz="4" w:space="0" w:color="auto"/>
              <w:right w:val="single" w:sz="4" w:space="0" w:color="auto"/>
            </w:tcBorders>
            <w:shd w:val="clear" w:color="auto" w:fill="FFFF99"/>
            <w:vAlign w:val="center"/>
          </w:tcPr>
          <w:p w14:paraId="4E72D2FA"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Exame</w:t>
            </w:r>
          </w:p>
        </w:tc>
        <w:tc>
          <w:tcPr>
            <w:tcW w:w="741" w:type="pct"/>
            <w:tcBorders>
              <w:top w:val="single" w:sz="4" w:space="0" w:color="auto"/>
              <w:left w:val="nil"/>
              <w:bottom w:val="single" w:sz="4" w:space="0" w:color="auto"/>
              <w:right w:val="single" w:sz="4" w:space="0" w:color="auto"/>
            </w:tcBorders>
            <w:shd w:val="clear" w:color="auto" w:fill="FFFF99"/>
            <w:vAlign w:val="center"/>
          </w:tcPr>
          <w:p w14:paraId="261498F0"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Regulamentação com controlo</w:t>
            </w:r>
          </w:p>
        </w:tc>
        <w:tc>
          <w:tcPr>
            <w:tcW w:w="747" w:type="pct"/>
            <w:tcBorders>
              <w:top w:val="single" w:sz="4" w:space="0" w:color="auto"/>
              <w:left w:val="nil"/>
              <w:bottom w:val="single" w:sz="4" w:space="0" w:color="auto"/>
              <w:right w:val="single" w:sz="4" w:space="0" w:color="auto"/>
            </w:tcBorders>
            <w:shd w:val="clear" w:color="auto" w:fill="FFFF99"/>
            <w:vAlign w:val="center"/>
          </w:tcPr>
          <w:p w14:paraId="7F3BFA0A"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Procedimentos múltiplos</w:t>
            </w:r>
          </w:p>
        </w:tc>
        <w:tc>
          <w:tcPr>
            <w:tcW w:w="869" w:type="pct"/>
            <w:tcBorders>
              <w:top w:val="single" w:sz="4" w:space="0" w:color="auto"/>
              <w:left w:val="nil"/>
              <w:bottom w:val="single" w:sz="4" w:space="0" w:color="auto"/>
              <w:right w:val="single" w:sz="4" w:space="0" w:color="auto"/>
            </w:tcBorders>
            <w:shd w:val="clear" w:color="auto" w:fill="FFFF99"/>
            <w:vAlign w:val="center"/>
          </w:tcPr>
          <w:p w14:paraId="3AF43D15"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TOTAL:</w:t>
            </w:r>
          </w:p>
        </w:tc>
      </w:tr>
      <w:tr w:rsidR="00EC39BD" w:rsidRPr="00AA0B4A" w14:paraId="3DBF7FDC"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92F7EC"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39" w:type="pct"/>
            <w:tcBorders>
              <w:top w:val="nil"/>
              <w:left w:val="nil"/>
              <w:bottom w:val="single" w:sz="4" w:space="0" w:color="auto"/>
              <w:right w:val="single" w:sz="4" w:space="0" w:color="auto"/>
            </w:tcBorders>
            <w:shd w:val="clear" w:color="auto" w:fill="FFFF99"/>
            <w:noWrap/>
            <w:vAlign w:val="bottom"/>
          </w:tcPr>
          <w:p w14:paraId="233E106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1F07CF9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1" w:type="pct"/>
            <w:tcBorders>
              <w:top w:val="nil"/>
              <w:left w:val="nil"/>
              <w:bottom w:val="single" w:sz="4" w:space="0" w:color="auto"/>
              <w:right w:val="single" w:sz="4" w:space="0" w:color="auto"/>
            </w:tcBorders>
            <w:shd w:val="clear" w:color="auto" w:fill="FFFF99"/>
            <w:noWrap/>
            <w:vAlign w:val="bottom"/>
          </w:tcPr>
          <w:p w14:paraId="09B429C8"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5FB3812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46F5293"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12</w:t>
            </w:r>
          </w:p>
        </w:tc>
      </w:tr>
      <w:tr w:rsidR="00EC39BD" w:rsidRPr="00AA0B4A" w14:paraId="664EFB41"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698E61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39" w:type="pct"/>
            <w:tcBorders>
              <w:top w:val="nil"/>
              <w:left w:val="nil"/>
              <w:bottom w:val="single" w:sz="4" w:space="0" w:color="auto"/>
              <w:right w:val="single" w:sz="4" w:space="0" w:color="auto"/>
            </w:tcBorders>
            <w:shd w:val="clear" w:color="auto" w:fill="FFFF99"/>
            <w:noWrap/>
            <w:vAlign w:val="bottom"/>
          </w:tcPr>
          <w:p w14:paraId="62BF47D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5F349E8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00B3B369"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08F6865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48D2846"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r>
      <w:tr w:rsidR="00EC39BD" w:rsidRPr="00AA0B4A" w14:paraId="2A9B3699"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F09CB8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39" w:type="pct"/>
            <w:tcBorders>
              <w:top w:val="nil"/>
              <w:left w:val="nil"/>
              <w:bottom w:val="single" w:sz="4" w:space="0" w:color="auto"/>
              <w:right w:val="single" w:sz="4" w:space="0" w:color="auto"/>
            </w:tcBorders>
            <w:shd w:val="clear" w:color="auto" w:fill="FFFF99"/>
            <w:noWrap/>
            <w:vAlign w:val="bottom"/>
          </w:tcPr>
          <w:p w14:paraId="35D29905"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6B4522A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564FC965"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4DEE086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3FC6042E"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5</w:t>
            </w:r>
          </w:p>
        </w:tc>
      </w:tr>
      <w:tr w:rsidR="00EC39BD" w:rsidRPr="00AA0B4A" w14:paraId="6E134FD1"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8A55E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39" w:type="pct"/>
            <w:tcBorders>
              <w:top w:val="nil"/>
              <w:left w:val="nil"/>
              <w:bottom w:val="single" w:sz="4" w:space="0" w:color="auto"/>
              <w:right w:val="single" w:sz="4" w:space="0" w:color="auto"/>
            </w:tcBorders>
            <w:shd w:val="clear" w:color="auto" w:fill="FFFF99"/>
            <w:noWrap/>
            <w:vAlign w:val="bottom"/>
          </w:tcPr>
          <w:p w14:paraId="190EACAE"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63034B4D"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1" w:type="pct"/>
            <w:tcBorders>
              <w:top w:val="nil"/>
              <w:left w:val="nil"/>
              <w:bottom w:val="single" w:sz="4" w:space="0" w:color="auto"/>
              <w:right w:val="single" w:sz="4" w:space="0" w:color="auto"/>
            </w:tcBorders>
            <w:shd w:val="clear" w:color="auto" w:fill="FFFF99"/>
            <w:noWrap/>
            <w:vAlign w:val="bottom"/>
          </w:tcPr>
          <w:p w14:paraId="106CBCBD"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36916A7D"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3AF105C"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15</w:t>
            </w:r>
          </w:p>
        </w:tc>
      </w:tr>
      <w:tr w:rsidR="00EC39BD" w:rsidRPr="00AA0B4A" w14:paraId="5DAAE88C"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5EA002E"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DEFIS</w:t>
            </w:r>
          </w:p>
        </w:tc>
        <w:tc>
          <w:tcPr>
            <w:tcW w:w="739" w:type="pct"/>
            <w:tcBorders>
              <w:top w:val="nil"/>
              <w:left w:val="nil"/>
              <w:bottom w:val="single" w:sz="4" w:space="0" w:color="auto"/>
              <w:right w:val="single" w:sz="4" w:space="0" w:color="auto"/>
            </w:tcBorders>
            <w:shd w:val="clear" w:color="auto" w:fill="FFFF99"/>
            <w:noWrap/>
            <w:vAlign w:val="bottom"/>
          </w:tcPr>
          <w:p w14:paraId="2D15DD4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3AD683F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5290B99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152DF96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1FC4D84E"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8</w:t>
            </w:r>
          </w:p>
        </w:tc>
      </w:tr>
      <w:tr w:rsidR="00EC39BD" w:rsidRPr="00AA0B4A" w14:paraId="4BCE296B"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0A8364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39" w:type="pct"/>
            <w:tcBorders>
              <w:top w:val="nil"/>
              <w:left w:val="nil"/>
              <w:bottom w:val="single" w:sz="4" w:space="0" w:color="auto"/>
              <w:right w:val="single" w:sz="4" w:space="0" w:color="auto"/>
            </w:tcBorders>
            <w:shd w:val="clear" w:color="auto" w:fill="FFFF99"/>
            <w:noWrap/>
            <w:vAlign w:val="bottom"/>
          </w:tcPr>
          <w:p w14:paraId="50360499"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435B492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201183B5"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5AF66EE0"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3B086316"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7687C0F5"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F17D353"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39" w:type="pct"/>
            <w:tcBorders>
              <w:top w:val="nil"/>
              <w:left w:val="nil"/>
              <w:bottom w:val="single" w:sz="4" w:space="0" w:color="auto"/>
              <w:right w:val="single" w:sz="4" w:space="0" w:color="auto"/>
            </w:tcBorders>
            <w:shd w:val="clear" w:color="auto" w:fill="FFFF99"/>
            <w:noWrap/>
            <w:vAlign w:val="bottom"/>
          </w:tcPr>
          <w:p w14:paraId="1012EEB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415DD5D3"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1" w:type="pct"/>
            <w:tcBorders>
              <w:top w:val="nil"/>
              <w:left w:val="nil"/>
              <w:bottom w:val="single" w:sz="4" w:space="0" w:color="auto"/>
              <w:right w:val="single" w:sz="4" w:space="0" w:color="auto"/>
            </w:tcBorders>
            <w:shd w:val="clear" w:color="auto" w:fill="FFFF99"/>
            <w:noWrap/>
            <w:vAlign w:val="bottom"/>
          </w:tcPr>
          <w:p w14:paraId="47E0E195"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193AFA7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6A80300"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r>
      <w:tr w:rsidR="00EC39BD" w:rsidRPr="00AA0B4A" w14:paraId="4D2EE916"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1026C6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39" w:type="pct"/>
            <w:tcBorders>
              <w:top w:val="nil"/>
              <w:left w:val="nil"/>
              <w:bottom w:val="single" w:sz="4" w:space="0" w:color="auto"/>
              <w:right w:val="single" w:sz="4" w:space="0" w:color="auto"/>
            </w:tcBorders>
            <w:shd w:val="clear" w:color="auto" w:fill="FFFF99"/>
            <w:noWrap/>
            <w:vAlign w:val="bottom"/>
          </w:tcPr>
          <w:p w14:paraId="6506109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34B8961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2863445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03411F0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45071E9"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r>
      <w:tr w:rsidR="00EC39BD" w:rsidRPr="00AA0B4A" w14:paraId="2FF9E722"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BB0E210"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39" w:type="pct"/>
            <w:tcBorders>
              <w:top w:val="nil"/>
              <w:left w:val="nil"/>
              <w:bottom w:val="single" w:sz="4" w:space="0" w:color="auto"/>
              <w:right w:val="single" w:sz="4" w:space="0" w:color="auto"/>
            </w:tcBorders>
            <w:shd w:val="clear" w:color="auto" w:fill="FFFF99"/>
            <w:noWrap/>
            <w:vAlign w:val="bottom"/>
          </w:tcPr>
          <w:p w14:paraId="6BDD36F5"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20924938"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1" w:type="pct"/>
            <w:tcBorders>
              <w:top w:val="nil"/>
              <w:left w:val="nil"/>
              <w:bottom w:val="single" w:sz="4" w:space="0" w:color="auto"/>
              <w:right w:val="single" w:sz="4" w:space="0" w:color="auto"/>
            </w:tcBorders>
            <w:shd w:val="clear" w:color="auto" w:fill="FFFF99"/>
            <w:noWrap/>
            <w:vAlign w:val="bottom"/>
          </w:tcPr>
          <w:p w14:paraId="270FB8B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212D45D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0DD9715"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r>
      <w:tr w:rsidR="00EC39BD" w:rsidRPr="00AA0B4A" w14:paraId="6536291F"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124C96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39" w:type="pct"/>
            <w:tcBorders>
              <w:top w:val="nil"/>
              <w:left w:val="nil"/>
              <w:bottom w:val="single" w:sz="4" w:space="0" w:color="auto"/>
              <w:right w:val="single" w:sz="4" w:space="0" w:color="auto"/>
            </w:tcBorders>
            <w:shd w:val="clear" w:color="auto" w:fill="FFFF99"/>
            <w:noWrap/>
            <w:vAlign w:val="bottom"/>
          </w:tcPr>
          <w:p w14:paraId="1B4F949E"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5705323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7D64200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7" w:type="pct"/>
            <w:tcBorders>
              <w:top w:val="nil"/>
              <w:left w:val="nil"/>
              <w:bottom w:val="single" w:sz="4" w:space="0" w:color="auto"/>
              <w:right w:val="single" w:sz="4" w:space="0" w:color="auto"/>
            </w:tcBorders>
            <w:shd w:val="clear" w:color="auto" w:fill="FFFF99"/>
            <w:vAlign w:val="bottom"/>
          </w:tcPr>
          <w:p w14:paraId="052D814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3DC5B825"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5</w:t>
            </w:r>
          </w:p>
        </w:tc>
      </w:tr>
      <w:tr w:rsidR="00EC39BD" w:rsidRPr="00AA0B4A" w14:paraId="30D3B800"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9D4879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39" w:type="pct"/>
            <w:tcBorders>
              <w:top w:val="nil"/>
              <w:left w:val="nil"/>
              <w:bottom w:val="single" w:sz="4" w:space="0" w:color="auto"/>
              <w:right w:val="single" w:sz="4" w:space="0" w:color="auto"/>
            </w:tcBorders>
            <w:shd w:val="clear" w:color="auto" w:fill="FFFF99"/>
            <w:noWrap/>
            <w:vAlign w:val="bottom"/>
          </w:tcPr>
          <w:p w14:paraId="19638DD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1" w:type="pct"/>
            <w:tcBorders>
              <w:top w:val="nil"/>
              <w:left w:val="nil"/>
              <w:bottom w:val="single" w:sz="4" w:space="0" w:color="auto"/>
              <w:right w:val="single" w:sz="4" w:space="0" w:color="auto"/>
            </w:tcBorders>
            <w:shd w:val="clear" w:color="auto" w:fill="FFFF99"/>
            <w:noWrap/>
            <w:vAlign w:val="bottom"/>
          </w:tcPr>
          <w:p w14:paraId="1B446777"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1" w:type="pct"/>
            <w:tcBorders>
              <w:top w:val="nil"/>
              <w:left w:val="nil"/>
              <w:bottom w:val="single" w:sz="4" w:space="0" w:color="auto"/>
              <w:right w:val="single" w:sz="4" w:space="0" w:color="auto"/>
            </w:tcBorders>
            <w:shd w:val="clear" w:color="auto" w:fill="FFFF99"/>
            <w:noWrap/>
            <w:vAlign w:val="bottom"/>
          </w:tcPr>
          <w:p w14:paraId="2A420039"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410F42D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1839ABB"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13</w:t>
            </w:r>
          </w:p>
        </w:tc>
      </w:tr>
      <w:tr w:rsidR="00EC39BD" w:rsidRPr="00AA0B4A" w14:paraId="619DA8EC"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546971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39" w:type="pct"/>
            <w:tcBorders>
              <w:top w:val="nil"/>
              <w:left w:val="nil"/>
              <w:bottom w:val="single" w:sz="4" w:space="0" w:color="auto"/>
              <w:right w:val="single" w:sz="4" w:space="0" w:color="auto"/>
            </w:tcBorders>
            <w:shd w:val="clear" w:color="auto" w:fill="FFFF99"/>
            <w:noWrap/>
            <w:vAlign w:val="bottom"/>
          </w:tcPr>
          <w:p w14:paraId="401F3073"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07927AE8"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741" w:type="pct"/>
            <w:tcBorders>
              <w:top w:val="nil"/>
              <w:left w:val="nil"/>
              <w:bottom w:val="single" w:sz="4" w:space="0" w:color="auto"/>
              <w:right w:val="single" w:sz="4" w:space="0" w:color="auto"/>
            </w:tcBorders>
            <w:shd w:val="clear" w:color="auto" w:fill="FFFF99"/>
            <w:noWrap/>
            <w:vAlign w:val="bottom"/>
          </w:tcPr>
          <w:p w14:paraId="1981C291"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7" w:type="pct"/>
            <w:tcBorders>
              <w:top w:val="nil"/>
              <w:left w:val="nil"/>
              <w:bottom w:val="single" w:sz="4" w:space="0" w:color="auto"/>
              <w:right w:val="single" w:sz="4" w:space="0" w:color="auto"/>
            </w:tcBorders>
            <w:shd w:val="clear" w:color="auto" w:fill="FFFF99"/>
            <w:vAlign w:val="bottom"/>
          </w:tcPr>
          <w:p w14:paraId="2211F591"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26067AB1"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sz w:val="18"/>
              </w:rPr>
              <w:t>26</w:t>
            </w:r>
          </w:p>
        </w:tc>
      </w:tr>
      <w:tr w:rsidR="00EC39BD" w:rsidRPr="00AA0B4A" w14:paraId="58927F8E"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86650A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39" w:type="pct"/>
            <w:tcBorders>
              <w:top w:val="nil"/>
              <w:left w:val="nil"/>
              <w:bottom w:val="single" w:sz="4" w:space="0" w:color="auto"/>
              <w:right w:val="single" w:sz="4" w:space="0" w:color="auto"/>
            </w:tcBorders>
            <w:shd w:val="clear" w:color="auto" w:fill="FFFF99"/>
            <w:noWrap/>
            <w:vAlign w:val="bottom"/>
          </w:tcPr>
          <w:p w14:paraId="08311E97"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5F6F4D83"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4BFD7F71"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570EFE9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54AFB2A"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r>
      <w:tr w:rsidR="00EC39BD" w:rsidRPr="00AA0B4A" w14:paraId="6149A236"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73449D3"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39" w:type="pct"/>
            <w:tcBorders>
              <w:top w:val="nil"/>
              <w:left w:val="nil"/>
              <w:bottom w:val="single" w:sz="4" w:space="0" w:color="auto"/>
              <w:right w:val="single" w:sz="4" w:space="0" w:color="auto"/>
            </w:tcBorders>
            <w:shd w:val="clear" w:color="auto" w:fill="FFFF99"/>
            <w:noWrap/>
            <w:vAlign w:val="bottom"/>
          </w:tcPr>
          <w:p w14:paraId="7C00D1F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46838795"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1" w:type="pct"/>
            <w:tcBorders>
              <w:top w:val="nil"/>
              <w:left w:val="nil"/>
              <w:bottom w:val="single" w:sz="4" w:space="0" w:color="auto"/>
              <w:right w:val="single" w:sz="4" w:space="0" w:color="auto"/>
            </w:tcBorders>
            <w:shd w:val="clear" w:color="auto" w:fill="FFFF99"/>
            <w:noWrap/>
            <w:vAlign w:val="bottom"/>
          </w:tcPr>
          <w:p w14:paraId="3EF54867"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7" w:type="pct"/>
            <w:tcBorders>
              <w:top w:val="nil"/>
              <w:left w:val="nil"/>
              <w:bottom w:val="single" w:sz="4" w:space="0" w:color="auto"/>
              <w:right w:val="single" w:sz="4" w:space="0" w:color="auto"/>
            </w:tcBorders>
            <w:shd w:val="clear" w:color="auto" w:fill="FFFF99"/>
            <w:vAlign w:val="bottom"/>
          </w:tcPr>
          <w:p w14:paraId="62E7791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51E9511"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11</w:t>
            </w:r>
          </w:p>
        </w:tc>
      </w:tr>
      <w:tr w:rsidR="00EC39BD" w:rsidRPr="00AA0B4A" w14:paraId="1ADCAFD3"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0E0E72E"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39" w:type="pct"/>
            <w:tcBorders>
              <w:top w:val="nil"/>
              <w:left w:val="nil"/>
              <w:bottom w:val="single" w:sz="4" w:space="0" w:color="auto"/>
              <w:right w:val="single" w:sz="4" w:space="0" w:color="auto"/>
            </w:tcBorders>
            <w:shd w:val="clear" w:color="auto" w:fill="FFFF99"/>
            <w:noWrap/>
            <w:vAlign w:val="bottom"/>
          </w:tcPr>
          <w:p w14:paraId="2F11A95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5399B848"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1" w:type="pct"/>
            <w:tcBorders>
              <w:top w:val="nil"/>
              <w:left w:val="nil"/>
              <w:bottom w:val="single" w:sz="4" w:space="0" w:color="auto"/>
              <w:right w:val="single" w:sz="4" w:space="0" w:color="auto"/>
            </w:tcBorders>
            <w:shd w:val="clear" w:color="auto" w:fill="FFFF99"/>
            <w:noWrap/>
            <w:vAlign w:val="bottom"/>
          </w:tcPr>
          <w:p w14:paraId="4B3F87E9"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5F4DC2B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4534EFB4"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r>
      <w:tr w:rsidR="00EC39BD" w:rsidRPr="00AA0B4A" w14:paraId="3DAC7B7A"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51E68E"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39" w:type="pct"/>
            <w:tcBorders>
              <w:top w:val="nil"/>
              <w:left w:val="nil"/>
              <w:bottom w:val="single" w:sz="4" w:space="0" w:color="auto"/>
              <w:right w:val="single" w:sz="4" w:space="0" w:color="auto"/>
            </w:tcBorders>
            <w:shd w:val="clear" w:color="auto" w:fill="FFFF99"/>
            <w:noWrap/>
            <w:vAlign w:val="bottom"/>
          </w:tcPr>
          <w:p w14:paraId="2406923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1" w:type="pct"/>
            <w:tcBorders>
              <w:top w:val="nil"/>
              <w:left w:val="nil"/>
              <w:bottom w:val="single" w:sz="4" w:space="0" w:color="auto"/>
              <w:right w:val="single" w:sz="4" w:space="0" w:color="auto"/>
            </w:tcBorders>
            <w:shd w:val="clear" w:color="auto" w:fill="FFFF99"/>
            <w:noWrap/>
            <w:vAlign w:val="bottom"/>
          </w:tcPr>
          <w:p w14:paraId="2B23ACB5"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1" w:type="pct"/>
            <w:tcBorders>
              <w:top w:val="nil"/>
              <w:left w:val="nil"/>
              <w:bottom w:val="single" w:sz="4" w:space="0" w:color="auto"/>
              <w:right w:val="single" w:sz="4" w:space="0" w:color="auto"/>
            </w:tcBorders>
            <w:shd w:val="clear" w:color="auto" w:fill="FFFF99"/>
            <w:noWrap/>
            <w:vAlign w:val="bottom"/>
          </w:tcPr>
          <w:p w14:paraId="12A5711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7" w:type="pct"/>
            <w:tcBorders>
              <w:top w:val="nil"/>
              <w:left w:val="nil"/>
              <w:bottom w:val="single" w:sz="4" w:space="0" w:color="auto"/>
              <w:right w:val="single" w:sz="4" w:space="0" w:color="auto"/>
            </w:tcBorders>
            <w:shd w:val="clear" w:color="auto" w:fill="FFFF99"/>
            <w:vAlign w:val="bottom"/>
          </w:tcPr>
          <w:p w14:paraId="6FF0A1A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D7647C6"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38</w:t>
            </w:r>
          </w:p>
        </w:tc>
      </w:tr>
      <w:tr w:rsidR="00EC39BD" w:rsidRPr="00AA0B4A" w14:paraId="217B5EE4"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D09DD9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39" w:type="pct"/>
            <w:tcBorders>
              <w:top w:val="nil"/>
              <w:left w:val="nil"/>
              <w:bottom w:val="single" w:sz="4" w:space="0" w:color="auto"/>
              <w:right w:val="single" w:sz="4" w:space="0" w:color="auto"/>
            </w:tcBorders>
            <w:shd w:val="clear" w:color="auto" w:fill="FFFF99"/>
            <w:noWrap/>
            <w:vAlign w:val="bottom"/>
          </w:tcPr>
          <w:p w14:paraId="1E870E1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3E34B4E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1" w:type="pct"/>
            <w:tcBorders>
              <w:top w:val="nil"/>
              <w:left w:val="nil"/>
              <w:bottom w:val="single" w:sz="4" w:space="0" w:color="auto"/>
              <w:right w:val="single" w:sz="4" w:space="0" w:color="auto"/>
            </w:tcBorders>
            <w:shd w:val="clear" w:color="auto" w:fill="FFFF99"/>
            <w:noWrap/>
            <w:vAlign w:val="bottom"/>
          </w:tcPr>
          <w:p w14:paraId="070D5B10"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266B376D"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A3A166D"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18</w:t>
            </w:r>
          </w:p>
        </w:tc>
      </w:tr>
      <w:tr w:rsidR="00EC39BD" w:rsidRPr="00AA0B4A" w14:paraId="46DB5933"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4F41E1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INTPA</w:t>
            </w:r>
          </w:p>
        </w:tc>
        <w:tc>
          <w:tcPr>
            <w:tcW w:w="739" w:type="pct"/>
            <w:tcBorders>
              <w:top w:val="nil"/>
              <w:left w:val="nil"/>
              <w:bottom w:val="single" w:sz="4" w:space="0" w:color="auto"/>
              <w:right w:val="single" w:sz="4" w:space="0" w:color="auto"/>
            </w:tcBorders>
            <w:shd w:val="clear" w:color="auto" w:fill="FFFF99"/>
            <w:noWrap/>
            <w:vAlign w:val="bottom"/>
          </w:tcPr>
          <w:p w14:paraId="7432C98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5B69CE81"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1" w:type="pct"/>
            <w:tcBorders>
              <w:top w:val="nil"/>
              <w:left w:val="nil"/>
              <w:bottom w:val="single" w:sz="4" w:space="0" w:color="auto"/>
              <w:right w:val="single" w:sz="4" w:space="0" w:color="auto"/>
            </w:tcBorders>
            <w:shd w:val="clear" w:color="auto" w:fill="FFFF99"/>
            <w:noWrap/>
            <w:vAlign w:val="bottom"/>
          </w:tcPr>
          <w:p w14:paraId="052406F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522B7B2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9218AEB"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r>
      <w:tr w:rsidR="00EC39BD" w:rsidRPr="00AA0B4A" w14:paraId="3B10D30D"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7F9CEB8"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39" w:type="pct"/>
            <w:tcBorders>
              <w:top w:val="nil"/>
              <w:left w:val="nil"/>
              <w:bottom w:val="single" w:sz="4" w:space="0" w:color="auto"/>
              <w:right w:val="single" w:sz="4" w:space="0" w:color="auto"/>
            </w:tcBorders>
            <w:shd w:val="clear" w:color="auto" w:fill="FFFF99"/>
            <w:noWrap/>
            <w:vAlign w:val="bottom"/>
          </w:tcPr>
          <w:p w14:paraId="757C56D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1" w:type="pct"/>
            <w:tcBorders>
              <w:top w:val="nil"/>
              <w:left w:val="nil"/>
              <w:bottom w:val="single" w:sz="4" w:space="0" w:color="auto"/>
              <w:right w:val="single" w:sz="4" w:space="0" w:color="auto"/>
            </w:tcBorders>
            <w:shd w:val="clear" w:color="auto" w:fill="FFFF99"/>
            <w:noWrap/>
            <w:vAlign w:val="bottom"/>
          </w:tcPr>
          <w:p w14:paraId="3E1C4275"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1" w:type="pct"/>
            <w:tcBorders>
              <w:top w:val="nil"/>
              <w:left w:val="nil"/>
              <w:bottom w:val="single" w:sz="4" w:space="0" w:color="auto"/>
              <w:right w:val="single" w:sz="4" w:space="0" w:color="auto"/>
            </w:tcBorders>
            <w:shd w:val="clear" w:color="auto" w:fill="FFFF99"/>
            <w:noWrap/>
            <w:vAlign w:val="bottom"/>
          </w:tcPr>
          <w:p w14:paraId="5D2E5FF0"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7" w:type="pct"/>
            <w:tcBorders>
              <w:top w:val="nil"/>
              <w:left w:val="nil"/>
              <w:bottom w:val="single" w:sz="4" w:space="0" w:color="auto"/>
              <w:right w:val="single" w:sz="4" w:space="0" w:color="auto"/>
            </w:tcBorders>
            <w:shd w:val="clear" w:color="auto" w:fill="FFFF99"/>
            <w:vAlign w:val="bottom"/>
          </w:tcPr>
          <w:p w14:paraId="5723676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443E0B9"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24</w:t>
            </w:r>
          </w:p>
        </w:tc>
      </w:tr>
      <w:tr w:rsidR="00EC39BD" w:rsidRPr="00AA0B4A" w14:paraId="2C2F6360"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F7D7C4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39" w:type="pct"/>
            <w:tcBorders>
              <w:top w:val="nil"/>
              <w:left w:val="nil"/>
              <w:bottom w:val="single" w:sz="4" w:space="0" w:color="auto"/>
              <w:right w:val="single" w:sz="4" w:space="0" w:color="auto"/>
            </w:tcBorders>
            <w:shd w:val="clear" w:color="auto" w:fill="FFFF99"/>
            <w:noWrap/>
            <w:vAlign w:val="bottom"/>
          </w:tcPr>
          <w:p w14:paraId="5C149DF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1DFD9441"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1" w:type="pct"/>
            <w:tcBorders>
              <w:top w:val="nil"/>
              <w:left w:val="nil"/>
              <w:bottom w:val="single" w:sz="4" w:space="0" w:color="auto"/>
              <w:right w:val="single" w:sz="4" w:space="0" w:color="auto"/>
            </w:tcBorders>
            <w:shd w:val="clear" w:color="auto" w:fill="FFFF99"/>
            <w:noWrap/>
            <w:vAlign w:val="bottom"/>
          </w:tcPr>
          <w:p w14:paraId="242D54F0"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7A202E10"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3F940277"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r>
      <w:tr w:rsidR="00EC39BD" w:rsidRPr="00AA0B4A" w14:paraId="3D9903BA"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104330A" w14:textId="77777777" w:rsidR="00EC39BD" w:rsidRPr="00160466"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39" w:type="pct"/>
            <w:tcBorders>
              <w:top w:val="nil"/>
              <w:left w:val="nil"/>
              <w:bottom w:val="single" w:sz="4" w:space="0" w:color="auto"/>
              <w:right w:val="single" w:sz="4" w:space="0" w:color="auto"/>
            </w:tcBorders>
            <w:shd w:val="clear" w:color="auto" w:fill="FFFF99"/>
            <w:noWrap/>
            <w:vAlign w:val="bottom"/>
          </w:tcPr>
          <w:p w14:paraId="0926E65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1" w:type="pct"/>
            <w:tcBorders>
              <w:top w:val="nil"/>
              <w:left w:val="nil"/>
              <w:bottom w:val="single" w:sz="4" w:space="0" w:color="auto"/>
              <w:right w:val="single" w:sz="4" w:space="0" w:color="auto"/>
            </w:tcBorders>
            <w:shd w:val="clear" w:color="auto" w:fill="FFFF99"/>
            <w:noWrap/>
            <w:vAlign w:val="bottom"/>
          </w:tcPr>
          <w:p w14:paraId="345E898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741" w:type="pct"/>
            <w:tcBorders>
              <w:top w:val="nil"/>
              <w:left w:val="nil"/>
              <w:bottom w:val="single" w:sz="4" w:space="0" w:color="auto"/>
              <w:right w:val="single" w:sz="4" w:space="0" w:color="auto"/>
            </w:tcBorders>
            <w:shd w:val="clear" w:color="auto" w:fill="FFFF99"/>
            <w:noWrap/>
            <w:vAlign w:val="bottom"/>
          </w:tcPr>
          <w:p w14:paraId="29CF645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7" w:type="pct"/>
            <w:tcBorders>
              <w:top w:val="nil"/>
              <w:left w:val="nil"/>
              <w:bottom w:val="single" w:sz="4" w:space="0" w:color="auto"/>
              <w:right w:val="single" w:sz="4" w:space="0" w:color="auto"/>
            </w:tcBorders>
            <w:shd w:val="clear" w:color="auto" w:fill="FFFF99"/>
            <w:vAlign w:val="bottom"/>
          </w:tcPr>
          <w:p w14:paraId="144995C8"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603DF43" w14:textId="77777777" w:rsidR="00EC39BD" w:rsidRPr="009A3C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31</w:t>
            </w:r>
          </w:p>
        </w:tc>
      </w:tr>
      <w:tr w:rsidR="00EC39BD" w:rsidRPr="00AA0B4A" w14:paraId="4226B1E2"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230D01C"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39" w:type="pct"/>
            <w:tcBorders>
              <w:top w:val="nil"/>
              <w:left w:val="nil"/>
              <w:bottom w:val="single" w:sz="4" w:space="0" w:color="auto"/>
              <w:right w:val="single" w:sz="4" w:space="0" w:color="auto"/>
            </w:tcBorders>
            <w:shd w:val="clear" w:color="auto" w:fill="FFFF99"/>
            <w:noWrap/>
            <w:vAlign w:val="bottom"/>
          </w:tcPr>
          <w:p w14:paraId="15AC9E5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1A430CC1"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1" w:type="pct"/>
            <w:tcBorders>
              <w:top w:val="nil"/>
              <w:left w:val="nil"/>
              <w:bottom w:val="single" w:sz="4" w:space="0" w:color="auto"/>
              <w:right w:val="single" w:sz="4" w:space="0" w:color="auto"/>
            </w:tcBorders>
            <w:shd w:val="clear" w:color="auto" w:fill="FFFF99"/>
            <w:noWrap/>
            <w:vAlign w:val="bottom"/>
          </w:tcPr>
          <w:p w14:paraId="194D14D8"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3D2555F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5C5EF696"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r>
      <w:tr w:rsidR="00EC39BD" w:rsidRPr="00AA0B4A" w14:paraId="43E55BFD"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182F953"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739" w:type="pct"/>
            <w:tcBorders>
              <w:top w:val="nil"/>
              <w:left w:val="nil"/>
              <w:bottom w:val="single" w:sz="4" w:space="0" w:color="auto"/>
              <w:right w:val="single" w:sz="4" w:space="0" w:color="auto"/>
            </w:tcBorders>
            <w:shd w:val="clear" w:color="auto" w:fill="FFFF99"/>
            <w:noWrap/>
            <w:vAlign w:val="bottom"/>
          </w:tcPr>
          <w:p w14:paraId="78A3D74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40863E0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79070D0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1E8BA800"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EB8D58C"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r>
      <w:tr w:rsidR="00EC39BD" w:rsidRPr="00AA0B4A" w14:paraId="76437E1A"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106C3C3" w14:textId="77777777" w:rsidR="00EC39BD" w:rsidRPr="00160466"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REFORM</w:t>
            </w:r>
          </w:p>
        </w:tc>
        <w:tc>
          <w:tcPr>
            <w:tcW w:w="739" w:type="pct"/>
            <w:tcBorders>
              <w:top w:val="nil"/>
              <w:left w:val="nil"/>
              <w:bottom w:val="single" w:sz="4" w:space="0" w:color="auto"/>
              <w:right w:val="single" w:sz="4" w:space="0" w:color="auto"/>
            </w:tcBorders>
            <w:shd w:val="clear" w:color="auto" w:fill="FFFF99"/>
            <w:noWrap/>
            <w:vAlign w:val="bottom"/>
          </w:tcPr>
          <w:p w14:paraId="0B90FB4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1" w:type="pct"/>
            <w:tcBorders>
              <w:top w:val="nil"/>
              <w:left w:val="nil"/>
              <w:bottom w:val="single" w:sz="4" w:space="0" w:color="auto"/>
              <w:right w:val="single" w:sz="4" w:space="0" w:color="auto"/>
            </w:tcBorders>
            <w:shd w:val="clear" w:color="auto" w:fill="FFFF99"/>
            <w:noWrap/>
            <w:vAlign w:val="bottom"/>
          </w:tcPr>
          <w:p w14:paraId="54050B7E"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6096B0C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10095BA7"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520DCB77"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r>
      <w:tr w:rsidR="00EC39BD" w:rsidRPr="00AA0B4A" w14:paraId="068A506E"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6499E8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39" w:type="pct"/>
            <w:tcBorders>
              <w:top w:val="nil"/>
              <w:left w:val="nil"/>
              <w:bottom w:val="single" w:sz="4" w:space="0" w:color="auto"/>
              <w:right w:val="single" w:sz="4" w:space="0" w:color="auto"/>
            </w:tcBorders>
            <w:shd w:val="clear" w:color="auto" w:fill="FFFF99"/>
            <w:noWrap/>
            <w:vAlign w:val="bottom"/>
          </w:tcPr>
          <w:p w14:paraId="2153C79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261D7D58"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545E725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465601A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C8A090E" w14:textId="77777777" w:rsidR="00EC39BD" w:rsidRPr="009A3C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r>
      <w:tr w:rsidR="00EC39BD" w:rsidRPr="00AA0B4A" w14:paraId="41BC7743"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33C46A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39" w:type="pct"/>
            <w:tcBorders>
              <w:top w:val="nil"/>
              <w:left w:val="nil"/>
              <w:bottom w:val="single" w:sz="4" w:space="0" w:color="auto"/>
              <w:right w:val="single" w:sz="4" w:space="0" w:color="auto"/>
            </w:tcBorders>
            <w:shd w:val="clear" w:color="auto" w:fill="FFFF99"/>
            <w:noWrap/>
            <w:vAlign w:val="bottom"/>
          </w:tcPr>
          <w:p w14:paraId="3A6E70F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39EFC151"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1" w:type="pct"/>
            <w:tcBorders>
              <w:top w:val="nil"/>
              <w:left w:val="nil"/>
              <w:bottom w:val="single" w:sz="4" w:space="0" w:color="auto"/>
              <w:right w:val="single" w:sz="4" w:space="0" w:color="auto"/>
            </w:tcBorders>
            <w:shd w:val="clear" w:color="auto" w:fill="FFFF99"/>
            <w:noWrap/>
            <w:vAlign w:val="bottom"/>
          </w:tcPr>
          <w:p w14:paraId="3DD8234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27CD64D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DA30326"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17</w:t>
            </w:r>
          </w:p>
        </w:tc>
      </w:tr>
      <w:tr w:rsidR="00EC39BD" w:rsidRPr="00AA0B4A" w14:paraId="7CE80433"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638107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39" w:type="pct"/>
            <w:tcBorders>
              <w:top w:val="nil"/>
              <w:left w:val="nil"/>
              <w:bottom w:val="single" w:sz="4" w:space="0" w:color="auto"/>
              <w:right w:val="single" w:sz="4" w:space="0" w:color="auto"/>
            </w:tcBorders>
            <w:shd w:val="clear" w:color="auto" w:fill="FFFF99"/>
            <w:noWrap/>
            <w:vAlign w:val="bottom"/>
          </w:tcPr>
          <w:p w14:paraId="5FDD92B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5252EB92"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741" w:type="pct"/>
            <w:tcBorders>
              <w:top w:val="nil"/>
              <w:left w:val="nil"/>
              <w:bottom w:val="single" w:sz="4" w:space="0" w:color="auto"/>
              <w:right w:val="single" w:sz="4" w:space="0" w:color="auto"/>
            </w:tcBorders>
            <w:shd w:val="clear" w:color="auto" w:fill="FFFF99"/>
            <w:noWrap/>
            <w:vAlign w:val="bottom"/>
          </w:tcPr>
          <w:p w14:paraId="52241F7F"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4ED934B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DC80155" w14:textId="77777777" w:rsidR="00EC39BD" w:rsidRPr="009A3C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33</w:t>
            </w:r>
          </w:p>
        </w:tc>
      </w:tr>
      <w:tr w:rsidR="00EC39BD" w:rsidRPr="00AA0B4A" w14:paraId="4CC16903"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BF60F23"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39" w:type="pct"/>
            <w:tcBorders>
              <w:top w:val="nil"/>
              <w:left w:val="nil"/>
              <w:bottom w:val="single" w:sz="4" w:space="0" w:color="auto"/>
              <w:right w:val="single" w:sz="4" w:space="0" w:color="auto"/>
            </w:tcBorders>
            <w:shd w:val="clear" w:color="auto" w:fill="FFFF99"/>
            <w:noWrap/>
            <w:vAlign w:val="bottom"/>
          </w:tcPr>
          <w:p w14:paraId="59AFA03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41A2F4A4"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1" w:type="pct"/>
            <w:tcBorders>
              <w:top w:val="nil"/>
              <w:left w:val="nil"/>
              <w:bottom w:val="single" w:sz="4" w:space="0" w:color="auto"/>
              <w:right w:val="single" w:sz="4" w:space="0" w:color="auto"/>
            </w:tcBorders>
            <w:shd w:val="clear" w:color="auto" w:fill="FFFF99"/>
            <w:noWrap/>
            <w:vAlign w:val="bottom"/>
          </w:tcPr>
          <w:p w14:paraId="238FFF10"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6638C73A"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2B3FE1AD" w14:textId="77777777" w:rsidR="00EC39BD" w:rsidRPr="009A3C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r>
      <w:tr w:rsidR="00EC39BD" w:rsidRPr="00AA0B4A" w14:paraId="03A6D239"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2E676A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39" w:type="pct"/>
            <w:tcBorders>
              <w:top w:val="nil"/>
              <w:left w:val="nil"/>
              <w:bottom w:val="single" w:sz="4" w:space="0" w:color="auto"/>
              <w:right w:val="single" w:sz="4" w:space="0" w:color="auto"/>
            </w:tcBorders>
            <w:shd w:val="clear" w:color="auto" w:fill="FFFF99"/>
            <w:noWrap/>
            <w:vAlign w:val="bottom"/>
          </w:tcPr>
          <w:p w14:paraId="4E62A0F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1" w:type="pct"/>
            <w:tcBorders>
              <w:top w:val="nil"/>
              <w:left w:val="nil"/>
              <w:bottom w:val="single" w:sz="4" w:space="0" w:color="auto"/>
              <w:right w:val="single" w:sz="4" w:space="0" w:color="auto"/>
            </w:tcBorders>
            <w:shd w:val="clear" w:color="auto" w:fill="FFFF99"/>
            <w:noWrap/>
            <w:vAlign w:val="bottom"/>
          </w:tcPr>
          <w:p w14:paraId="38C6C5DB"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1" w:type="pct"/>
            <w:tcBorders>
              <w:top w:val="nil"/>
              <w:left w:val="nil"/>
              <w:bottom w:val="single" w:sz="4" w:space="0" w:color="auto"/>
              <w:right w:val="single" w:sz="4" w:space="0" w:color="auto"/>
            </w:tcBorders>
            <w:shd w:val="clear" w:color="auto" w:fill="FFFF99"/>
            <w:noWrap/>
            <w:vAlign w:val="bottom"/>
          </w:tcPr>
          <w:p w14:paraId="3CA12206"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0CA31441"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74CAD72" w14:textId="77777777" w:rsidR="00EC39BD" w:rsidRPr="00B42886"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26</w:t>
            </w:r>
          </w:p>
        </w:tc>
      </w:tr>
      <w:tr w:rsidR="00EC39BD" w:rsidRPr="00AA0B4A" w14:paraId="270F80AA"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1DB861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39" w:type="pct"/>
            <w:tcBorders>
              <w:top w:val="nil"/>
              <w:left w:val="nil"/>
              <w:bottom w:val="single" w:sz="4" w:space="0" w:color="auto"/>
              <w:right w:val="single" w:sz="4" w:space="0" w:color="auto"/>
            </w:tcBorders>
            <w:shd w:val="clear" w:color="auto" w:fill="FFFF99"/>
            <w:noWrap/>
            <w:vAlign w:val="bottom"/>
          </w:tcPr>
          <w:p w14:paraId="4DB3C85E"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1" w:type="pct"/>
            <w:tcBorders>
              <w:top w:val="nil"/>
              <w:left w:val="nil"/>
              <w:bottom w:val="single" w:sz="4" w:space="0" w:color="auto"/>
              <w:right w:val="single" w:sz="4" w:space="0" w:color="auto"/>
            </w:tcBorders>
            <w:shd w:val="clear" w:color="auto" w:fill="FFFF99"/>
            <w:noWrap/>
            <w:vAlign w:val="bottom"/>
          </w:tcPr>
          <w:p w14:paraId="051A97D7"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1" w:type="pct"/>
            <w:tcBorders>
              <w:top w:val="nil"/>
              <w:left w:val="nil"/>
              <w:bottom w:val="single" w:sz="4" w:space="0" w:color="auto"/>
              <w:right w:val="single" w:sz="4" w:space="0" w:color="auto"/>
            </w:tcBorders>
            <w:shd w:val="clear" w:color="auto" w:fill="FFFF99"/>
            <w:noWrap/>
            <w:vAlign w:val="bottom"/>
          </w:tcPr>
          <w:p w14:paraId="683FD6D7"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7" w:type="pct"/>
            <w:tcBorders>
              <w:top w:val="nil"/>
              <w:left w:val="nil"/>
              <w:bottom w:val="single" w:sz="4" w:space="0" w:color="auto"/>
              <w:right w:val="single" w:sz="4" w:space="0" w:color="auto"/>
            </w:tcBorders>
            <w:shd w:val="clear" w:color="auto" w:fill="FFFF99"/>
            <w:vAlign w:val="bottom"/>
          </w:tcPr>
          <w:p w14:paraId="7421D7BC" w14:textId="77777777" w:rsidR="00EC39BD" w:rsidRPr="00160466"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515E3B23" w14:textId="77777777" w:rsidR="00EC39BD" w:rsidRPr="009A3C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sz w:val="18"/>
              </w:rPr>
              <w:t>12</w:t>
            </w:r>
          </w:p>
        </w:tc>
      </w:tr>
      <w:tr w:rsidR="00EC39BD" w:rsidRPr="00AA0B4A" w14:paraId="52AF6305" w14:textId="77777777" w:rsidTr="00E55B57">
        <w:trPr>
          <w:trHeight w:val="301"/>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8C7B029" w14:textId="77777777" w:rsidR="00EC39BD" w:rsidRPr="00AA0B4A" w:rsidRDefault="00EC39BD" w:rsidP="00E55B57">
            <w:pPr>
              <w:spacing w:after="0"/>
              <w:rPr>
                <w:rFonts w:ascii="Times New Roman" w:hAnsi="Times New Roman"/>
                <w:b/>
                <w:bCs/>
                <w:noProof/>
                <w:color w:val="000000"/>
                <w:sz w:val="18"/>
                <w:szCs w:val="18"/>
              </w:rPr>
            </w:pPr>
            <w:r>
              <w:rPr>
                <w:rFonts w:ascii="Times New Roman" w:hAnsi="Times New Roman"/>
                <w:b/>
                <w:noProof/>
                <w:color w:val="000000"/>
                <w:sz w:val="18"/>
              </w:rPr>
              <w:t>TOTAL:</w:t>
            </w:r>
          </w:p>
        </w:tc>
        <w:tc>
          <w:tcPr>
            <w:tcW w:w="739" w:type="pct"/>
            <w:tcBorders>
              <w:top w:val="nil"/>
              <w:left w:val="nil"/>
              <w:bottom w:val="single" w:sz="4" w:space="0" w:color="auto"/>
              <w:right w:val="single" w:sz="4" w:space="0" w:color="auto"/>
            </w:tcBorders>
            <w:shd w:val="clear" w:color="auto" w:fill="FFFF99"/>
            <w:noWrap/>
            <w:vAlign w:val="bottom"/>
          </w:tcPr>
          <w:p w14:paraId="3FBDC36D" w14:textId="77777777" w:rsidR="00EC39BD" w:rsidRPr="00160466" w:rsidRDefault="00EC39BD" w:rsidP="00E55B57">
            <w:pPr>
              <w:spacing w:after="0"/>
              <w:jc w:val="center"/>
              <w:rPr>
                <w:rFonts w:ascii="Times New Roman" w:hAnsi="Times New Roman"/>
                <w:b/>
                <w:noProof/>
                <w:color w:val="000000"/>
                <w:sz w:val="18"/>
                <w:szCs w:val="18"/>
              </w:rPr>
            </w:pPr>
            <w:r>
              <w:rPr>
                <w:rFonts w:ascii="Times New Roman" w:hAnsi="Times New Roman"/>
                <w:b/>
                <w:noProof/>
                <w:color w:val="000000"/>
                <w:sz w:val="18"/>
              </w:rPr>
              <w:t>21</w:t>
            </w:r>
          </w:p>
        </w:tc>
        <w:tc>
          <w:tcPr>
            <w:tcW w:w="741" w:type="pct"/>
            <w:tcBorders>
              <w:top w:val="nil"/>
              <w:left w:val="nil"/>
              <w:bottom w:val="single" w:sz="4" w:space="0" w:color="auto"/>
              <w:right w:val="single" w:sz="4" w:space="0" w:color="auto"/>
            </w:tcBorders>
            <w:shd w:val="clear" w:color="auto" w:fill="FFFF99"/>
            <w:noWrap/>
            <w:vAlign w:val="bottom"/>
          </w:tcPr>
          <w:p w14:paraId="6DFEFEB7" w14:textId="77777777" w:rsidR="00EC39BD" w:rsidRPr="00160466" w:rsidRDefault="00EC39BD" w:rsidP="00E55B57">
            <w:pPr>
              <w:spacing w:after="0"/>
              <w:jc w:val="center"/>
              <w:rPr>
                <w:rFonts w:ascii="Times New Roman" w:hAnsi="Times New Roman"/>
                <w:b/>
                <w:noProof/>
                <w:color w:val="000000"/>
                <w:sz w:val="18"/>
                <w:szCs w:val="18"/>
              </w:rPr>
            </w:pPr>
            <w:r>
              <w:rPr>
                <w:rFonts w:ascii="Times New Roman" w:hAnsi="Times New Roman"/>
                <w:b/>
                <w:noProof/>
                <w:color w:val="000000"/>
                <w:sz w:val="18"/>
              </w:rPr>
              <w:t>141</w:t>
            </w:r>
          </w:p>
        </w:tc>
        <w:tc>
          <w:tcPr>
            <w:tcW w:w="741" w:type="pct"/>
            <w:tcBorders>
              <w:top w:val="nil"/>
              <w:left w:val="nil"/>
              <w:bottom w:val="single" w:sz="4" w:space="0" w:color="auto"/>
              <w:right w:val="single" w:sz="4" w:space="0" w:color="auto"/>
            </w:tcBorders>
            <w:shd w:val="clear" w:color="auto" w:fill="FFFF99"/>
            <w:noWrap/>
            <w:vAlign w:val="bottom"/>
          </w:tcPr>
          <w:p w14:paraId="6A7EB5AD" w14:textId="77777777" w:rsidR="00EC39BD" w:rsidRPr="00160466" w:rsidRDefault="00EC39BD" w:rsidP="00E55B57">
            <w:pPr>
              <w:spacing w:after="0"/>
              <w:jc w:val="center"/>
              <w:rPr>
                <w:rFonts w:ascii="Times New Roman" w:hAnsi="Times New Roman"/>
                <w:b/>
                <w:noProof/>
                <w:color w:val="000000"/>
                <w:sz w:val="18"/>
                <w:szCs w:val="18"/>
              </w:rPr>
            </w:pPr>
            <w:r>
              <w:rPr>
                <w:rFonts w:ascii="Times New Roman" w:hAnsi="Times New Roman"/>
                <w:b/>
                <w:noProof/>
                <w:color w:val="000000"/>
                <w:sz w:val="18"/>
              </w:rPr>
              <w:t>9</w:t>
            </w:r>
          </w:p>
        </w:tc>
        <w:tc>
          <w:tcPr>
            <w:tcW w:w="747" w:type="pct"/>
            <w:tcBorders>
              <w:top w:val="nil"/>
              <w:left w:val="nil"/>
              <w:bottom w:val="single" w:sz="4" w:space="0" w:color="auto"/>
              <w:right w:val="single" w:sz="4" w:space="0" w:color="auto"/>
            </w:tcBorders>
            <w:shd w:val="clear" w:color="auto" w:fill="FFFF99"/>
            <w:vAlign w:val="bottom"/>
          </w:tcPr>
          <w:p w14:paraId="1A0CB027" w14:textId="77777777" w:rsidR="00EC39BD" w:rsidRPr="00160466" w:rsidRDefault="00EC39BD" w:rsidP="00E55B57">
            <w:pPr>
              <w:spacing w:after="0"/>
              <w:jc w:val="center"/>
              <w:rPr>
                <w:rFonts w:ascii="Times New Roman" w:hAnsi="Times New Roman"/>
                <w:b/>
                <w:noProof/>
                <w:color w:val="000000"/>
                <w:sz w:val="18"/>
                <w:szCs w:val="18"/>
              </w:rPr>
            </w:pPr>
            <w:r>
              <w:rPr>
                <w:rFonts w:ascii="Times New Roman" w:hAnsi="Times New Roman"/>
                <w:b/>
                <w:noProof/>
                <w:color w:val="000000"/>
                <w:sz w:val="18"/>
              </w:rPr>
              <w:t>151</w:t>
            </w:r>
          </w:p>
        </w:tc>
        <w:tc>
          <w:tcPr>
            <w:tcW w:w="869" w:type="pct"/>
            <w:tcBorders>
              <w:top w:val="nil"/>
              <w:left w:val="nil"/>
              <w:bottom w:val="single" w:sz="4" w:space="0" w:color="auto"/>
              <w:right w:val="single" w:sz="4" w:space="0" w:color="auto"/>
            </w:tcBorders>
            <w:shd w:val="clear" w:color="auto" w:fill="FFFF99"/>
            <w:vAlign w:val="bottom"/>
          </w:tcPr>
          <w:p w14:paraId="73CE76C5" w14:textId="77777777" w:rsidR="00EC39BD" w:rsidRPr="00160466" w:rsidRDefault="00EC39BD" w:rsidP="00E55B57">
            <w:pPr>
              <w:spacing w:after="0"/>
              <w:jc w:val="center"/>
              <w:rPr>
                <w:rFonts w:ascii="Times New Roman" w:hAnsi="Times New Roman"/>
                <w:b/>
                <w:noProof/>
                <w:color w:val="000000"/>
                <w:sz w:val="18"/>
                <w:szCs w:val="18"/>
              </w:rPr>
            </w:pPr>
            <w:r>
              <w:rPr>
                <w:rFonts w:ascii="Times New Roman" w:hAnsi="Times New Roman"/>
                <w:b/>
                <w:noProof/>
                <w:color w:val="000000"/>
                <w:sz w:val="18"/>
              </w:rPr>
              <w:t>322</w:t>
            </w:r>
          </w:p>
        </w:tc>
      </w:tr>
    </w:tbl>
    <w:p w14:paraId="2D768F9C" w14:textId="77777777" w:rsidR="00EC39BD" w:rsidRPr="008B1ED8" w:rsidRDefault="00EC39BD" w:rsidP="00EC39BD">
      <w:pPr>
        <w:spacing w:line="240" w:lineRule="auto"/>
        <w:jc w:val="both"/>
        <w:rPr>
          <w:rFonts w:ascii="Times New Roman" w:hAnsi="Times New Roman"/>
          <w:i/>
          <w:noProof/>
          <w:sz w:val="18"/>
          <w:szCs w:val="18"/>
        </w:rPr>
      </w:pPr>
      <w:r>
        <w:rPr>
          <w:rFonts w:ascii="Times New Roman" w:hAnsi="Times New Roman"/>
          <w:noProof/>
          <w:sz w:val="18"/>
        </w:rPr>
        <w:t xml:space="preserve">* </w:t>
      </w:r>
      <w:r>
        <w:rPr>
          <w:rFonts w:ascii="Times New Roman" w:hAnsi="Times New Roman"/>
          <w:i/>
          <w:noProof/>
          <w:sz w:val="18"/>
        </w:rPr>
        <w:t>Incluindo o comité de recurso</w:t>
      </w:r>
    </w:p>
    <w:p w14:paraId="38701084" w14:textId="77777777" w:rsidR="00EC39BD" w:rsidRPr="00DD2932" w:rsidRDefault="00EC39BD" w:rsidP="00EC39BD">
      <w:pPr>
        <w:jc w:val="both"/>
        <w:rPr>
          <w:rFonts w:ascii="Times New Roman" w:hAnsi="Times New Roman"/>
          <w:noProof/>
          <w:sz w:val="24"/>
          <w:szCs w:val="24"/>
        </w:rPr>
      </w:pPr>
      <w:r>
        <w:rPr>
          <w:rFonts w:ascii="Times New Roman" w:hAnsi="Times New Roman"/>
          <w:noProof/>
          <w:sz w:val="24"/>
        </w:rPr>
        <w:t>O quadro II apresenta uma repartição dos comités em 2022 consoante o tipo de procedimento que rege a sua atividade (procedimento consultivo, procedimento de exame, procedimento de regulamentação com controlo). Os comités que se regem por procedimentos múltiplos foram separados daqueles que se regem por um único procedimento.</w:t>
      </w:r>
    </w:p>
    <w:p w14:paraId="3E365E50" w14:textId="77777777" w:rsidR="00EC39BD" w:rsidRPr="00AA0B4A" w:rsidRDefault="00EC39BD" w:rsidP="00EC39BD">
      <w:pPr>
        <w:pStyle w:val="ManualHeading2"/>
        <w:spacing w:before="360" w:after="240"/>
        <w:ind w:left="851" w:hanging="851"/>
        <w:rPr>
          <w:noProof/>
        </w:rPr>
      </w:pPr>
      <w:r>
        <w:rPr>
          <w:noProof/>
        </w:rPr>
        <w:t>3.2.</w:t>
      </w:r>
      <w:r>
        <w:rPr>
          <w:noProof/>
        </w:rPr>
        <w:tab/>
        <w:t>Número de reuniões e de procedimentos escritos</w:t>
      </w:r>
    </w:p>
    <w:p w14:paraId="46CCEC0B" w14:textId="77777777" w:rsidR="00EC39BD" w:rsidRPr="00AA0B4A" w:rsidRDefault="00EC39BD" w:rsidP="00EC39BD">
      <w:pPr>
        <w:jc w:val="both"/>
        <w:rPr>
          <w:noProof/>
          <w:szCs w:val="24"/>
        </w:rPr>
      </w:pPr>
      <w:r>
        <w:rPr>
          <w:rFonts w:ascii="Times New Roman" w:hAnsi="Times New Roman"/>
          <w:noProof/>
          <w:sz w:val="24"/>
        </w:rPr>
        <w:t>A intensidade das atividades dos comités é essencialmente definida pelo número de reuniões dos comités e pelo número de procedimentos escritos</w:t>
      </w:r>
      <w:r>
        <w:rPr>
          <w:rStyle w:val="FootnoteReference"/>
          <w:rFonts w:ascii="Times New Roman" w:hAnsi="Times New Roman"/>
          <w:noProof/>
          <w:sz w:val="24"/>
          <w:szCs w:val="24"/>
        </w:rPr>
        <w:footnoteReference w:id="21"/>
      </w:r>
      <w:r>
        <w:rPr>
          <w:rFonts w:ascii="Times New Roman" w:hAnsi="Times New Roman"/>
          <w:noProof/>
          <w:sz w:val="24"/>
        </w:rPr>
        <w:t>. Esses números figuram no quadro III.</w:t>
      </w:r>
    </w:p>
    <w:p w14:paraId="3E8838B0" w14:textId="77777777" w:rsidR="00EC39BD" w:rsidRPr="00AA0B4A" w:rsidRDefault="00EC39BD" w:rsidP="00EC39BD">
      <w:pPr>
        <w:keepNext/>
        <w:spacing w:line="240" w:lineRule="auto"/>
        <w:rPr>
          <w:rFonts w:ascii="Times New Roman" w:hAnsi="Times New Roman"/>
          <w:b/>
          <w:noProof/>
          <w:sz w:val="24"/>
          <w:szCs w:val="24"/>
          <w:u w:val="single"/>
        </w:rPr>
      </w:pPr>
      <w:r>
        <w:rPr>
          <w:rFonts w:ascii="Times New Roman" w:hAnsi="Times New Roman"/>
          <w:b/>
          <w:noProof/>
          <w:sz w:val="24"/>
          <w:u w:val="single"/>
        </w:rPr>
        <w:t>QUADRO III — Número de reuniões e de procedimentos escritos</w:t>
      </w:r>
    </w:p>
    <w:tbl>
      <w:tblPr>
        <w:tblW w:w="4885" w:type="pct"/>
        <w:tblInd w:w="108" w:type="dxa"/>
        <w:tblLook w:val="0000" w:firstRow="0" w:lastRow="0" w:firstColumn="0" w:lastColumn="0" w:noHBand="0" w:noVBand="0"/>
      </w:tblPr>
      <w:tblGrid>
        <w:gridCol w:w="2109"/>
        <w:gridCol w:w="1341"/>
        <w:gridCol w:w="1341"/>
        <w:gridCol w:w="1448"/>
        <w:gridCol w:w="1441"/>
        <w:gridCol w:w="1392"/>
      </w:tblGrid>
      <w:tr w:rsidR="00EC39BD" w:rsidRPr="00AA0B4A" w14:paraId="6E19880C" w14:textId="77777777" w:rsidTr="00E55B57">
        <w:trPr>
          <w:trHeight w:val="550"/>
        </w:trPr>
        <w:tc>
          <w:tcPr>
            <w:tcW w:w="1163" w:type="pct"/>
            <w:vMerge w:val="restart"/>
            <w:tcBorders>
              <w:top w:val="single" w:sz="4" w:space="0" w:color="auto"/>
              <w:left w:val="single" w:sz="4" w:space="0" w:color="auto"/>
              <w:right w:val="single" w:sz="4" w:space="0" w:color="auto"/>
            </w:tcBorders>
            <w:shd w:val="clear" w:color="auto" w:fill="FFFF99"/>
            <w:noWrap/>
            <w:vAlign w:val="center"/>
          </w:tcPr>
          <w:p w14:paraId="0AF397D9" w14:textId="77777777" w:rsidR="00EC39BD" w:rsidRPr="00EA7E10"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Serviço da Comissão</w:t>
            </w:r>
          </w:p>
        </w:tc>
        <w:tc>
          <w:tcPr>
            <w:tcW w:w="739" w:type="pct"/>
            <w:vMerge w:val="restart"/>
            <w:tcBorders>
              <w:top w:val="single" w:sz="4" w:space="0" w:color="auto"/>
              <w:left w:val="nil"/>
              <w:right w:val="single" w:sz="4" w:space="0" w:color="auto"/>
            </w:tcBorders>
            <w:shd w:val="clear" w:color="auto" w:fill="FFFF99"/>
            <w:vAlign w:val="center"/>
          </w:tcPr>
          <w:p w14:paraId="3E15267D"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Número de comités </w:t>
            </w:r>
          </w:p>
        </w:tc>
        <w:tc>
          <w:tcPr>
            <w:tcW w:w="1537" w:type="pct"/>
            <w:gridSpan w:val="2"/>
            <w:tcBorders>
              <w:top w:val="single" w:sz="4" w:space="0" w:color="auto"/>
              <w:left w:val="nil"/>
              <w:bottom w:val="single" w:sz="4" w:space="0" w:color="auto"/>
              <w:right w:val="single" w:sz="4" w:space="0" w:color="auto"/>
            </w:tcBorders>
            <w:shd w:val="clear" w:color="auto" w:fill="FFFF99"/>
            <w:vAlign w:val="center"/>
          </w:tcPr>
          <w:p w14:paraId="4C726E43"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Reuniões</w:t>
            </w:r>
          </w:p>
        </w:tc>
        <w:tc>
          <w:tcPr>
            <w:tcW w:w="1561" w:type="pct"/>
            <w:gridSpan w:val="2"/>
            <w:tcBorders>
              <w:top w:val="single" w:sz="4" w:space="0" w:color="auto"/>
              <w:left w:val="nil"/>
              <w:bottom w:val="single" w:sz="4" w:space="0" w:color="auto"/>
              <w:right w:val="single" w:sz="4" w:space="0" w:color="auto"/>
            </w:tcBorders>
            <w:shd w:val="clear" w:color="auto" w:fill="FFFF99"/>
            <w:vAlign w:val="center"/>
          </w:tcPr>
          <w:p w14:paraId="5CFCECE9"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Procedimentos escritos</w:t>
            </w:r>
          </w:p>
        </w:tc>
      </w:tr>
      <w:tr w:rsidR="00EC39BD" w:rsidRPr="00AA0B4A" w14:paraId="2E89E19C" w14:textId="77777777" w:rsidTr="00E55B57">
        <w:trPr>
          <w:trHeight w:val="550"/>
        </w:trPr>
        <w:tc>
          <w:tcPr>
            <w:tcW w:w="1163" w:type="pct"/>
            <w:vMerge/>
            <w:tcBorders>
              <w:left w:val="single" w:sz="4" w:space="0" w:color="auto"/>
              <w:bottom w:val="single" w:sz="4" w:space="0" w:color="auto"/>
              <w:right w:val="single" w:sz="4" w:space="0" w:color="auto"/>
            </w:tcBorders>
            <w:shd w:val="clear" w:color="auto" w:fill="FFFF99"/>
            <w:noWrap/>
            <w:vAlign w:val="center"/>
          </w:tcPr>
          <w:p w14:paraId="648539A8"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p>
        </w:tc>
        <w:tc>
          <w:tcPr>
            <w:tcW w:w="739" w:type="pct"/>
            <w:vMerge/>
            <w:tcBorders>
              <w:left w:val="nil"/>
              <w:bottom w:val="single" w:sz="4" w:space="0" w:color="auto"/>
              <w:right w:val="single" w:sz="4" w:space="0" w:color="auto"/>
            </w:tcBorders>
            <w:shd w:val="clear" w:color="auto" w:fill="FFFF99"/>
            <w:vAlign w:val="center"/>
          </w:tcPr>
          <w:p w14:paraId="6601C143"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p>
        </w:tc>
        <w:tc>
          <w:tcPr>
            <w:tcW w:w="739" w:type="pct"/>
            <w:tcBorders>
              <w:top w:val="single" w:sz="4" w:space="0" w:color="auto"/>
              <w:left w:val="nil"/>
              <w:bottom w:val="single" w:sz="4" w:space="0" w:color="auto"/>
              <w:right w:val="single" w:sz="4" w:space="0" w:color="auto"/>
            </w:tcBorders>
            <w:shd w:val="clear" w:color="auto" w:fill="FFFF99"/>
            <w:vAlign w:val="center"/>
          </w:tcPr>
          <w:p w14:paraId="6C60225F"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2021</w:t>
            </w:r>
          </w:p>
        </w:tc>
        <w:tc>
          <w:tcPr>
            <w:tcW w:w="798" w:type="pct"/>
            <w:tcBorders>
              <w:top w:val="single" w:sz="4" w:space="0" w:color="auto"/>
              <w:left w:val="nil"/>
              <w:bottom w:val="single" w:sz="4" w:space="0" w:color="auto"/>
              <w:right w:val="single" w:sz="4" w:space="0" w:color="auto"/>
            </w:tcBorders>
            <w:shd w:val="clear" w:color="auto" w:fill="FFFF99"/>
            <w:vAlign w:val="center"/>
          </w:tcPr>
          <w:p w14:paraId="3F137A18"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c>
          <w:tcPr>
            <w:tcW w:w="794" w:type="pct"/>
            <w:tcBorders>
              <w:top w:val="single" w:sz="4" w:space="0" w:color="auto"/>
              <w:left w:val="nil"/>
              <w:bottom w:val="single" w:sz="4" w:space="0" w:color="auto"/>
              <w:right w:val="single" w:sz="4" w:space="0" w:color="auto"/>
            </w:tcBorders>
            <w:shd w:val="clear" w:color="auto" w:fill="FFFF99"/>
            <w:vAlign w:val="center"/>
          </w:tcPr>
          <w:p w14:paraId="693FADA1"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2021</w:t>
            </w:r>
          </w:p>
        </w:tc>
        <w:tc>
          <w:tcPr>
            <w:tcW w:w="767" w:type="pct"/>
            <w:tcBorders>
              <w:top w:val="single" w:sz="4" w:space="0" w:color="auto"/>
              <w:left w:val="nil"/>
              <w:bottom w:val="single" w:sz="4" w:space="0" w:color="auto"/>
              <w:right w:val="single" w:sz="4" w:space="0" w:color="auto"/>
            </w:tcBorders>
            <w:shd w:val="clear" w:color="auto" w:fill="FFFF99"/>
            <w:vAlign w:val="center"/>
          </w:tcPr>
          <w:p w14:paraId="4AF4DB32"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r>
      <w:tr w:rsidR="00EC39BD" w:rsidRPr="00AA0B4A" w14:paraId="4D41A465"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AA0EC58"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A97E18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12</w:t>
            </w:r>
          </w:p>
        </w:tc>
        <w:tc>
          <w:tcPr>
            <w:tcW w:w="739" w:type="pct"/>
            <w:tcBorders>
              <w:top w:val="nil"/>
              <w:left w:val="nil"/>
              <w:bottom w:val="single" w:sz="4" w:space="0" w:color="auto"/>
              <w:right w:val="single" w:sz="4" w:space="0" w:color="auto"/>
            </w:tcBorders>
            <w:shd w:val="clear" w:color="auto" w:fill="FFFF99"/>
            <w:noWrap/>
            <w:vAlign w:val="bottom"/>
          </w:tcPr>
          <w:p w14:paraId="7FB3F81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121</w:t>
            </w:r>
          </w:p>
        </w:tc>
        <w:tc>
          <w:tcPr>
            <w:tcW w:w="798" w:type="pct"/>
            <w:tcBorders>
              <w:top w:val="nil"/>
              <w:left w:val="nil"/>
              <w:bottom w:val="single" w:sz="4" w:space="0" w:color="auto"/>
              <w:right w:val="single" w:sz="4" w:space="0" w:color="auto"/>
            </w:tcBorders>
            <w:shd w:val="clear" w:color="auto" w:fill="FFFF99"/>
            <w:noWrap/>
            <w:vAlign w:val="bottom"/>
          </w:tcPr>
          <w:p w14:paraId="36419AD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100</w:t>
            </w:r>
          </w:p>
        </w:tc>
        <w:tc>
          <w:tcPr>
            <w:tcW w:w="794" w:type="pct"/>
            <w:tcBorders>
              <w:top w:val="nil"/>
              <w:left w:val="nil"/>
              <w:bottom w:val="single" w:sz="4" w:space="0" w:color="auto"/>
              <w:right w:val="single" w:sz="4" w:space="0" w:color="auto"/>
            </w:tcBorders>
            <w:shd w:val="clear" w:color="auto" w:fill="FFFF99"/>
            <w:vAlign w:val="center"/>
          </w:tcPr>
          <w:p w14:paraId="0DDD259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104</w:t>
            </w:r>
          </w:p>
        </w:tc>
        <w:tc>
          <w:tcPr>
            <w:tcW w:w="767" w:type="pct"/>
            <w:tcBorders>
              <w:top w:val="nil"/>
              <w:left w:val="nil"/>
              <w:bottom w:val="single" w:sz="4" w:space="0" w:color="auto"/>
              <w:right w:val="single" w:sz="4" w:space="0" w:color="auto"/>
            </w:tcBorders>
            <w:shd w:val="clear" w:color="auto" w:fill="FFFF99"/>
            <w:vAlign w:val="center"/>
          </w:tcPr>
          <w:p w14:paraId="77F6AC6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52</w:t>
            </w:r>
          </w:p>
        </w:tc>
      </w:tr>
      <w:tr w:rsidR="00EC39BD" w:rsidRPr="00AA0B4A" w14:paraId="641AE2C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4C859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14ADD5F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2</w:t>
            </w:r>
          </w:p>
        </w:tc>
        <w:tc>
          <w:tcPr>
            <w:tcW w:w="739" w:type="pct"/>
            <w:tcBorders>
              <w:top w:val="nil"/>
              <w:left w:val="nil"/>
              <w:bottom w:val="single" w:sz="4" w:space="0" w:color="auto"/>
              <w:right w:val="single" w:sz="4" w:space="0" w:color="auto"/>
            </w:tcBorders>
            <w:shd w:val="clear" w:color="auto" w:fill="FFFF99"/>
            <w:noWrap/>
            <w:vAlign w:val="bottom"/>
          </w:tcPr>
          <w:p w14:paraId="6BF60B9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w:t>
            </w:r>
          </w:p>
        </w:tc>
        <w:tc>
          <w:tcPr>
            <w:tcW w:w="798" w:type="pct"/>
            <w:tcBorders>
              <w:top w:val="nil"/>
              <w:left w:val="nil"/>
              <w:bottom w:val="single" w:sz="4" w:space="0" w:color="auto"/>
              <w:right w:val="single" w:sz="4" w:space="0" w:color="auto"/>
            </w:tcBorders>
            <w:shd w:val="clear" w:color="auto" w:fill="FFFF99"/>
            <w:noWrap/>
            <w:vAlign w:val="bottom"/>
          </w:tcPr>
          <w:p w14:paraId="592890A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w:t>
            </w:r>
          </w:p>
        </w:tc>
        <w:tc>
          <w:tcPr>
            <w:tcW w:w="794" w:type="pct"/>
            <w:tcBorders>
              <w:top w:val="nil"/>
              <w:left w:val="nil"/>
              <w:bottom w:val="single" w:sz="4" w:space="0" w:color="auto"/>
              <w:right w:val="single" w:sz="4" w:space="0" w:color="auto"/>
            </w:tcBorders>
            <w:shd w:val="clear" w:color="auto" w:fill="FFFF99"/>
            <w:vAlign w:val="center"/>
          </w:tcPr>
          <w:p w14:paraId="0442320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w:t>
            </w:r>
          </w:p>
        </w:tc>
        <w:tc>
          <w:tcPr>
            <w:tcW w:w="767" w:type="pct"/>
            <w:tcBorders>
              <w:top w:val="nil"/>
              <w:left w:val="nil"/>
              <w:bottom w:val="single" w:sz="4" w:space="0" w:color="auto"/>
              <w:right w:val="single" w:sz="4" w:space="0" w:color="auto"/>
            </w:tcBorders>
            <w:shd w:val="clear" w:color="auto" w:fill="FFFF99"/>
            <w:vAlign w:val="center"/>
          </w:tcPr>
          <w:p w14:paraId="7A853A4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1D20C199"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67A024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1B5EA1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5</w:t>
            </w:r>
          </w:p>
        </w:tc>
        <w:tc>
          <w:tcPr>
            <w:tcW w:w="739" w:type="pct"/>
            <w:tcBorders>
              <w:top w:val="nil"/>
              <w:left w:val="nil"/>
              <w:bottom w:val="single" w:sz="4" w:space="0" w:color="auto"/>
              <w:right w:val="single" w:sz="4" w:space="0" w:color="auto"/>
            </w:tcBorders>
            <w:shd w:val="clear" w:color="auto" w:fill="FFFF99"/>
            <w:noWrap/>
            <w:vAlign w:val="bottom"/>
          </w:tcPr>
          <w:p w14:paraId="7AE1F95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5</w:t>
            </w:r>
          </w:p>
        </w:tc>
        <w:tc>
          <w:tcPr>
            <w:tcW w:w="798" w:type="pct"/>
            <w:tcBorders>
              <w:top w:val="nil"/>
              <w:left w:val="nil"/>
              <w:bottom w:val="single" w:sz="4" w:space="0" w:color="auto"/>
              <w:right w:val="single" w:sz="4" w:space="0" w:color="auto"/>
            </w:tcBorders>
            <w:shd w:val="clear" w:color="auto" w:fill="FFFF99"/>
            <w:noWrap/>
            <w:vAlign w:val="bottom"/>
          </w:tcPr>
          <w:p w14:paraId="4A28B83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5</w:t>
            </w:r>
          </w:p>
        </w:tc>
        <w:tc>
          <w:tcPr>
            <w:tcW w:w="794" w:type="pct"/>
            <w:tcBorders>
              <w:top w:val="nil"/>
              <w:left w:val="nil"/>
              <w:bottom w:val="single" w:sz="4" w:space="0" w:color="auto"/>
              <w:right w:val="single" w:sz="4" w:space="0" w:color="auto"/>
            </w:tcBorders>
            <w:shd w:val="clear" w:color="auto" w:fill="FFFF99"/>
            <w:vAlign w:val="center"/>
          </w:tcPr>
          <w:p w14:paraId="1730A00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w:t>
            </w:r>
          </w:p>
        </w:tc>
        <w:tc>
          <w:tcPr>
            <w:tcW w:w="767" w:type="pct"/>
            <w:tcBorders>
              <w:top w:val="nil"/>
              <w:left w:val="nil"/>
              <w:bottom w:val="single" w:sz="4" w:space="0" w:color="auto"/>
              <w:right w:val="single" w:sz="4" w:space="0" w:color="auto"/>
            </w:tcBorders>
            <w:shd w:val="clear" w:color="auto" w:fill="FFFF99"/>
            <w:vAlign w:val="center"/>
          </w:tcPr>
          <w:p w14:paraId="3F78ECC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w:t>
            </w:r>
          </w:p>
        </w:tc>
      </w:tr>
      <w:tr w:rsidR="00EC39BD" w:rsidRPr="00AA0B4A" w14:paraId="57D7BC6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CAFD79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50EF4B0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15</w:t>
            </w:r>
          </w:p>
        </w:tc>
        <w:tc>
          <w:tcPr>
            <w:tcW w:w="739" w:type="pct"/>
            <w:tcBorders>
              <w:top w:val="nil"/>
              <w:left w:val="nil"/>
              <w:bottom w:val="single" w:sz="4" w:space="0" w:color="auto"/>
              <w:right w:val="single" w:sz="4" w:space="0" w:color="auto"/>
            </w:tcBorders>
            <w:shd w:val="clear" w:color="auto" w:fill="FFFF99"/>
            <w:noWrap/>
            <w:vAlign w:val="bottom"/>
          </w:tcPr>
          <w:p w14:paraId="071DE65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13</w:t>
            </w:r>
          </w:p>
        </w:tc>
        <w:tc>
          <w:tcPr>
            <w:tcW w:w="798" w:type="pct"/>
            <w:tcBorders>
              <w:top w:val="nil"/>
              <w:left w:val="nil"/>
              <w:bottom w:val="single" w:sz="4" w:space="0" w:color="auto"/>
              <w:right w:val="single" w:sz="4" w:space="0" w:color="auto"/>
            </w:tcBorders>
            <w:shd w:val="clear" w:color="auto" w:fill="FFFF99"/>
            <w:noWrap/>
            <w:vAlign w:val="bottom"/>
          </w:tcPr>
          <w:p w14:paraId="211B7F0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15</w:t>
            </w:r>
          </w:p>
        </w:tc>
        <w:tc>
          <w:tcPr>
            <w:tcW w:w="794" w:type="pct"/>
            <w:tcBorders>
              <w:top w:val="nil"/>
              <w:left w:val="nil"/>
              <w:bottom w:val="single" w:sz="4" w:space="0" w:color="auto"/>
              <w:right w:val="single" w:sz="4" w:space="0" w:color="auto"/>
            </w:tcBorders>
            <w:shd w:val="clear" w:color="auto" w:fill="FFFF99"/>
            <w:vAlign w:val="center"/>
          </w:tcPr>
          <w:p w14:paraId="36E562C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21</w:t>
            </w:r>
          </w:p>
        </w:tc>
        <w:tc>
          <w:tcPr>
            <w:tcW w:w="767" w:type="pct"/>
            <w:tcBorders>
              <w:top w:val="nil"/>
              <w:left w:val="nil"/>
              <w:bottom w:val="single" w:sz="4" w:space="0" w:color="auto"/>
              <w:right w:val="single" w:sz="4" w:space="0" w:color="auto"/>
            </w:tcBorders>
            <w:shd w:val="clear" w:color="auto" w:fill="FFFF99"/>
            <w:vAlign w:val="center"/>
          </w:tcPr>
          <w:p w14:paraId="190B0BF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30</w:t>
            </w:r>
          </w:p>
        </w:tc>
      </w:tr>
      <w:tr w:rsidR="00EC39BD" w:rsidRPr="00AA0B4A" w14:paraId="5787FCB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A62BC6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DEFIS</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8E30CE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8</w:t>
            </w:r>
          </w:p>
        </w:tc>
        <w:tc>
          <w:tcPr>
            <w:tcW w:w="739" w:type="pct"/>
            <w:tcBorders>
              <w:top w:val="nil"/>
              <w:left w:val="nil"/>
              <w:bottom w:val="single" w:sz="4" w:space="0" w:color="auto"/>
              <w:right w:val="single" w:sz="4" w:space="0" w:color="auto"/>
            </w:tcBorders>
            <w:shd w:val="clear" w:color="auto" w:fill="FFFF99"/>
            <w:noWrap/>
            <w:vAlign w:val="bottom"/>
          </w:tcPr>
          <w:p w14:paraId="0973681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36</w:t>
            </w:r>
          </w:p>
        </w:tc>
        <w:tc>
          <w:tcPr>
            <w:tcW w:w="798" w:type="pct"/>
            <w:tcBorders>
              <w:top w:val="nil"/>
              <w:left w:val="nil"/>
              <w:bottom w:val="single" w:sz="4" w:space="0" w:color="auto"/>
              <w:right w:val="single" w:sz="4" w:space="0" w:color="auto"/>
            </w:tcBorders>
            <w:shd w:val="clear" w:color="auto" w:fill="FFFF99"/>
            <w:noWrap/>
            <w:vAlign w:val="bottom"/>
          </w:tcPr>
          <w:p w14:paraId="2B6E0B1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46</w:t>
            </w:r>
          </w:p>
        </w:tc>
        <w:tc>
          <w:tcPr>
            <w:tcW w:w="794" w:type="pct"/>
            <w:tcBorders>
              <w:top w:val="nil"/>
              <w:left w:val="nil"/>
              <w:bottom w:val="single" w:sz="4" w:space="0" w:color="auto"/>
              <w:right w:val="single" w:sz="4" w:space="0" w:color="auto"/>
            </w:tcBorders>
            <w:shd w:val="clear" w:color="auto" w:fill="FFFF99"/>
            <w:vAlign w:val="center"/>
          </w:tcPr>
          <w:p w14:paraId="37AC09B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w:t>
            </w:r>
          </w:p>
        </w:tc>
        <w:tc>
          <w:tcPr>
            <w:tcW w:w="767" w:type="pct"/>
            <w:tcBorders>
              <w:top w:val="nil"/>
              <w:left w:val="nil"/>
              <w:bottom w:val="single" w:sz="4" w:space="0" w:color="auto"/>
              <w:right w:val="single" w:sz="4" w:space="0" w:color="auto"/>
            </w:tcBorders>
            <w:shd w:val="clear" w:color="auto" w:fill="FFFF99"/>
            <w:vAlign w:val="center"/>
          </w:tcPr>
          <w:p w14:paraId="5DFD3FD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w:t>
            </w:r>
          </w:p>
        </w:tc>
      </w:tr>
      <w:tr w:rsidR="00EC39BD" w:rsidRPr="00AA0B4A" w14:paraId="0022A4A9"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6F5F25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45F880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0</w:t>
            </w:r>
          </w:p>
        </w:tc>
        <w:tc>
          <w:tcPr>
            <w:tcW w:w="739" w:type="pct"/>
            <w:tcBorders>
              <w:top w:val="nil"/>
              <w:left w:val="nil"/>
              <w:bottom w:val="single" w:sz="4" w:space="0" w:color="auto"/>
              <w:right w:val="single" w:sz="4" w:space="0" w:color="auto"/>
            </w:tcBorders>
            <w:shd w:val="clear" w:color="auto" w:fill="FFFF99"/>
            <w:noWrap/>
            <w:vAlign w:val="bottom"/>
          </w:tcPr>
          <w:p w14:paraId="0FF1DE1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98" w:type="pct"/>
            <w:tcBorders>
              <w:top w:val="nil"/>
              <w:left w:val="nil"/>
              <w:bottom w:val="single" w:sz="4" w:space="0" w:color="auto"/>
              <w:right w:val="single" w:sz="4" w:space="0" w:color="auto"/>
            </w:tcBorders>
            <w:shd w:val="clear" w:color="auto" w:fill="FFFF99"/>
            <w:noWrap/>
            <w:vAlign w:val="bottom"/>
          </w:tcPr>
          <w:p w14:paraId="4CE0F922" w14:textId="77777777" w:rsidR="00EC39BD" w:rsidRPr="00843E0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94" w:type="pct"/>
            <w:tcBorders>
              <w:top w:val="nil"/>
              <w:left w:val="nil"/>
              <w:bottom w:val="single" w:sz="4" w:space="0" w:color="auto"/>
              <w:right w:val="single" w:sz="4" w:space="0" w:color="auto"/>
            </w:tcBorders>
            <w:shd w:val="clear" w:color="auto" w:fill="FFFF99"/>
            <w:vAlign w:val="center"/>
          </w:tcPr>
          <w:p w14:paraId="6DC267B6" w14:textId="77777777" w:rsidR="00EC39BD" w:rsidRPr="00843E0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67" w:type="pct"/>
            <w:tcBorders>
              <w:top w:val="nil"/>
              <w:left w:val="nil"/>
              <w:bottom w:val="single" w:sz="4" w:space="0" w:color="auto"/>
              <w:right w:val="single" w:sz="4" w:space="0" w:color="auto"/>
            </w:tcBorders>
            <w:shd w:val="clear" w:color="auto" w:fill="FFFF99"/>
            <w:vAlign w:val="center"/>
          </w:tcPr>
          <w:p w14:paraId="5611B391" w14:textId="77777777" w:rsidR="00EC39BD" w:rsidRPr="00843E0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2EDE9AB3"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C1398D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6DB922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4</w:t>
            </w:r>
          </w:p>
        </w:tc>
        <w:tc>
          <w:tcPr>
            <w:tcW w:w="739" w:type="pct"/>
            <w:tcBorders>
              <w:top w:val="nil"/>
              <w:left w:val="nil"/>
              <w:bottom w:val="single" w:sz="4" w:space="0" w:color="auto"/>
              <w:right w:val="single" w:sz="4" w:space="0" w:color="auto"/>
            </w:tcBorders>
            <w:shd w:val="clear" w:color="auto" w:fill="FFFF99"/>
            <w:noWrap/>
            <w:vAlign w:val="bottom"/>
          </w:tcPr>
          <w:p w14:paraId="5083AC4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w:t>
            </w:r>
          </w:p>
        </w:tc>
        <w:tc>
          <w:tcPr>
            <w:tcW w:w="798" w:type="pct"/>
            <w:tcBorders>
              <w:top w:val="nil"/>
              <w:left w:val="nil"/>
              <w:bottom w:val="single" w:sz="4" w:space="0" w:color="auto"/>
              <w:right w:val="single" w:sz="4" w:space="0" w:color="auto"/>
            </w:tcBorders>
            <w:shd w:val="clear" w:color="auto" w:fill="FFFF99"/>
            <w:noWrap/>
            <w:vAlign w:val="bottom"/>
          </w:tcPr>
          <w:p w14:paraId="6675EBA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11</w:t>
            </w:r>
          </w:p>
        </w:tc>
        <w:tc>
          <w:tcPr>
            <w:tcW w:w="794" w:type="pct"/>
            <w:tcBorders>
              <w:top w:val="nil"/>
              <w:left w:val="nil"/>
              <w:bottom w:val="single" w:sz="4" w:space="0" w:color="auto"/>
              <w:right w:val="single" w:sz="4" w:space="0" w:color="auto"/>
            </w:tcBorders>
            <w:shd w:val="clear" w:color="auto" w:fill="FFFF99"/>
            <w:vAlign w:val="center"/>
          </w:tcPr>
          <w:p w14:paraId="54DE2BC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w:t>
            </w:r>
          </w:p>
        </w:tc>
        <w:tc>
          <w:tcPr>
            <w:tcW w:w="767" w:type="pct"/>
            <w:tcBorders>
              <w:top w:val="nil"/>
              <w:left w:val="nil"/>
              <w:bottom w:val="single" w:sz="4" w:space="0" w:color="auto"/>
              <w:right w:val="single" w:sz="4" w:space="0" w:color="auto"/>
            </w:tcBorders>
            <w:shd w:val="clear" w:color="auto" w:fill="FFFF99"/>
            <w:vAlign w:val="center"/>
          </w:tcPr>
          <w:p w14:paraId="6A4331E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17</w:t>
            </w:r>
          </w:p>
        </w:tc>
      </w:tr>
      <w:tr w:rsidR="00EC39BD" w:rsidRPr="00AA0B4A" w14:paraId="682C49E6"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CE1A3D0"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675633C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2</w:t>
            </w:r>
          </w:p>
        </w:tc>
        <w:tc>
          <w:tcPr>
            <w:tcW w:w="739" w:type="pct"/>
            <w:tcBorders>
              <w:top w:val="nil"/>
              <w:left w:val="nil"/>
              <w:bottom w:val="single" w:sz="4" w:space="0" w:color="auto"/>
              <w:right w:val="single" w:sz="4" w:space="0" w:color="auto"/>
            </w:tcBorders>
            <w:shd w:val="clear" w:color="auto" w:fill="FFFF99"/>
            <w:noWrap/>
            <w:vAlign w:val="bottom"/>
          </w:tcPr>
          <w:p w14:paraId="710D7BF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w:t>
            </w:r>
          </w:p>
        </w:tc>
        <w:tc>
          <w:tcPr>
            <w:tcW w:w="798" w:type="pct"/>
            <w:tcBorders>
              <w:top w:val="nil"/>
              <w:left w:val="nil"/>
              <w:bottom w:val="single" w:sz="4" w:space="0" w:color="auto"/>
              <w:right w:val="single" w:sz="4" w:space="0" w:color="auto"/>
            </w:tcBorders>
            <w:shd w:val="clear" w:color="auto" w:fill="FFFF99"/>
            <w:noWrap/>
            <w:vAlign w:val="bottom"/>
          </w:tcPr>
          <w:p w14:paraId="2D59735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14</w:t>
            </w:r>
          </w:p>
        </w:tc>
        <w:tc>
          <w:tcPr>
            <w:tcW w:w="794" w:type="pct"/>
            <w:tcBorders>
              <w:top w:val="nil"/>
              <w:left w:val="nil"/>
              <w:bottom w:val="single" w:sz="4" w:space="0" w:color="auto"/>
              <w:right w:val="single" w:sz="4" w:space="0" w:color="auto"/>
            </w:tcBorders>
            <w:shd w:val="clear" w:color="auto" w:fill="FFFF99"/>
            <w:vAlign w:val="center"/>
          </w:tcPr>
          <w:p w14:paraId="5BA9DA7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67" w:type="pct"/>
            <w:tcBorders>
              <w:top w:val="nil"/>
              <w:left w:val="nil"/>
              <w:bottom w:val="single" w:sz="4" w:space="0" w:color="auto"/>
              <w:right w:val="single" w:sz="4" w:space="0" w:color="auto"/>
            </w:tcBorders>
            <w:shd w:val="clear" w:color="auto" w:fill="FFFF99"/>
            <w:vAlign w:val="center"/>
          </w:tcPr>
          <w:p w14:paraId="1E2E101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7F34970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61BECF3"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85DEB6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2</w:t>
            </w:r>
          </w:p>
        </w:tc>
        <w:tc>
          <w:tcPr>
            <w:tcW w:w="739" w:type="pct"/>
            <w:tcBorders>
              <w:top w:val="nil"/>
              <w:left w:val="nil"/>
              <w:bottom w:val="single" w:sz="4" w:space="0" w:color="auto"/>
              <w:right w:val="single" w:sz="4" w:space="0" w:color="auto"/>
            </w:tcBorders>
            <w:shd w:val="clear" w:color="auto" w:fill="FFFF99"/>
            <w:noWrap/>
            <w:vAlign w:val="bottom"/>
          </w:tcPr>
          <w:p w14:paraId="461DF444" w14:textId="77777777" w:rsidR="00EC39BD" w:rsidRPr="00E6753F"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w:t>
            </w:r>
          </w:p>
        </w:tc>
        <w:tc>
          <w:tcPr>
            <w:tcW w:w="798" w:type="pct"/>
            <w:tcBorders>
              <w:top w:val="nil"/>
              <w:left w:val="nil"/>
              <w:bottom w:val="single" w:sz="4" w:space="0" w:color="auto"/>
              <w:right w:val="single" w:sz="4" w:space="0" w:color="auto"/>
            </w:tcBorders>
            <w:shd w:val="clear" w:color="auto" w:fill="FFFF99"/>
            <w:noWrap/>
            <w:vAlign w:val="bottom"/>
          </w:tcPr>
          <w:p w14:paraId="0630A0C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w:t>
            </w:r>
          </w:p>
        </w:tc>
        <w:tc>
          <w:tcPr>
            <w:tcW w:w="794" w:type="pct"/>
            <w:tcBorders>
              <w:top w:val="nil"/>
              <w:left w:val="nil"/>
              <w:bottom w:val="single" w:sz="4" w:space="0" w:color="auto"/>
              <w:right w:val="single" w:sz="4" w:space="0" w:color="auto"/>
            </w:tcBorders>
            <w:shd w:val="clear" w:color="auto" w:fill="FFFF99"/>
            <w:vAlign w:val="center"/>
          </w:tcPr>
          <w:p w14:paraId="1293F3F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w:t>
            </w:r>
          </w:p>
        </w:tc>
        <w:tc>
          <w:tcPr>
            <w:tcW w:w="767" w:type="pct"/>
            <w:tcBorders>
              <w:top w:val="nil"/>
              <w:left w:val="nil"/>
              <w:bottom w:val="single" w:sz="4" w:space="0" w:color="auto"/>
              <w:right w:val="single" w:sz="4" w:space="0" w:color="auto"/>
            </w:tcBorders>
            <w:shd w:val="clear" w:color="auto" w:fill="FFFF99"/>
            <w:vAlign w:val="center"/>
          </w:tcPr>
          <w:p w14:paraId="51031B2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w:t>
            </w:r>
          </w:p>
        </w:tc>
      </w:tr>
      <w:tr w:rsidR="00EC39BD" w:rsidRPr="00AA0B4A" w14:paraId="374F1CA0"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91EF4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3C9588F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5</w:t>
            </w:r>
          </w:p>
        </w:tc>
        <w:tc>
          <w:tcPr>
            <w:tcW w:w="739" w:type="pct"/>
            <w:tcBorders>
              <w:top w:val="nil"/>
              <w:left w:val="nil"/>
              <w:bottom w:val="single" w:sz="4" w:space="0" w:color="auto"/>
              <w:right w:val="single" w:sz="4" w:space="0" w:color="auto"/>
            </w:tcBorders>
            <w:shd w:val="clear" w:color="auto" w:fill="FFFF99"/>
            <w:noWrap/>
            <w:vAlign w:val="bottom"/>
          </w:tcPr>
          <w:p w14:paraId="4FB4C74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98" w:type="pct"/>
            <w:tcBorders>
              <w:top w:val="nil"/>
              <w:left w:val="nil"/>
              <w:bottom w:val="single" w:sz="4" w:space="0" w:color="auto"/>
              <w:right w:val="single" w:sz="4" w:space="0" w:color="auto"/>
            </w:tcBorders>
            <w:shd w:val="clear" w:color="auto" w:fill="FFFF99"/>
            <w:noWrap/>
            <w:vAlign w:val="bottom"/>
          </w:tcPr>
          <w:p w14:paraId="654D83D9" w14:textId="77777777" w:rsidR="00EC39BD" w:rsidRPr="00843E0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94" w:type="pct"/>
            <w:tcBorders>
              <w:top w:val="nil"/>
              <w:left w:val="nil"/>
              <w:bottom w:val="single" w:sz="4" w:space="0" w:color="auto"/>
              <w:right w:val="single" w:sz="4" w:space="0" w:color="auto"/>
            </w:tcBorders>
            <w:shd w:val="clear" w:color="auto" w:fill="FFFF99"/>
            <w:vAlign w:val="center"/>
          </w:tcPr>
          <w:p w14:paraId="69C7F73E" w14:textId="77777777" w:rsidR="00EC39BD" w:rsidRPr="00843E0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67" w:type="pct"/>
            <w:tcBorders>
              <w:top w:val="nil"/>
              <w:left w:val="nil"/>
              <w:bottom w:val="single" w:sz="4" w:space="0" w:color="auto"/>
              <w:right w:val="single" w:sz="4" w:space="0" w:color="auto"/>
            </w:tcBorders>
            <w:shd w:val="clear" w:color="auto" w:fill="FFFF99"/>
            <w:vAlign w:val="center"/>
          </w:tcPr>
          <w:p w14:paraId="3764F671" w14:textId="77777777" w:rsidR="00EC39BD" w:rsidRPr="00843E0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1B0B2FA5"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109FC3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71DBED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13</w:t>
            </w:r>
          </w:p>
        </w:tc>
        <w:tc>
          <w:tcPr>
            <w:tcW w:w="739" w:type="pct"/>
            <w:tcBorders>
              <w:top w:val="nil"/>
              <w:left w:val="nil"/>
              <w:bottom w:val="single" w:sz="4" w:space="0" w:color="auto"/>
              <w:right w:val="single" w:sz="4" w:space="0" w:color="auto"/>
            </w:tcBorders>
            <w:shd w:val="clear" w:color="auto" w:fill="FFFF99"/>
            <w:noWrap/>
            <w:vAlign w:val="bottom"/>
          </w:tcPr>
          <w:p w14:paraId="3B30324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w:t>
            </w:r>
          </w:p>
        </w:tc>
        <w:tc>
          <w:tcPr>
            <w:tcW w:w="798" w:type="pct"/>
            <w:tcBorders>
              <w:top w:val="nil"/>
              <w:left w:val="nil"/>
              <w:bottom w:val="single" w:sz="4" w:space="0" w:color="auto"/>
              <w:right w:val="single" w:sz="4" w:space="0" w:color="auto"/>
            </w:tcBorders>
            <w:shd w:val="clear" w:color="auto" w:fill="FFFF99"/>
            <w:noWrap/>
            <w:vAlign w:val="bottom"/>
          </w:tcPr>
          <w:p w14:paraId="4305894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18</w:t>
            </w:r>
          </w:p>
        </w:tc>
        <w:tc>
          <w:tcPr>
            <w:tcW w:w="794" w:type="pct"/>
            <w:tcBorders>
              <w:top w:val="nil"/>
              <w:left w:val="nil"/>
              <w:bottom w:val="single" w:sz="4" w:space="0" w:color="auto"/>
              <w:right w:val="single" w:sz="4" w:space="0" w:color="auto"/>
            </w:tcBorders>
            <w:shd w:val="clear" w:color="auto" w:fill="FFFF99"/>
            <w:vAlign w:val="center"/>
          </w:tcPr>
          <w:p w14:paraId="467097E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67" w:type="pct"/>
            <w:tcBorders>
              <w:top w:val="nil"/>
              <w:left w:val="nil"/>
              <w:bottom w:val="single" w:sz="4" w:space="0" w:color="auto"/>
              <w:right w:val="single" w:sz="4" w:space="0" w:color="auto"/>
            </w:tcBorders>
            <w:shd w:val="clear" w:color="auto" w:fill="FFFF99"/>
            <w:vAlign w:val="center"/>
          </w:tcPr>
          <w:p w14:paraId="68803F5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w:t>
            </w:r>
          </w:p>
        </w:tc>
      </w:tr>
      <w:tr w:rsidR="00EC39BD" w:rsidRPr="00AA0B4A" w14:paraId="0A0802CC"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72F9F8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190744E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26</w:t>
            </w:r>
          </w:p>
        </w:tc>
        <w:tc>
          <w:tcPr>
            <w:tcW w:w="739" w:type="pct"/>
            <w:tcBorders>
              <w:top w:val="nil"/>
              <w:left w:val="nil"/>
              <w:bottom w:val="single" w:sz="4" w:space="0" w:color="auto"/>
              <w:right w:val="single" w:sz="4" w:space="0" w:color="auto"/>
            </w:tcBorders>
            <w:shd w:val="clear" w:color="auto" w:fill="FFFF99"/>
            <w:noWrap/>
            <w:vAlign w:val="bottom"/>
          </w:tcPr>
          <w:p w14:paraId="46EA088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24</w:t>
            </w:r>
          </w:p>
        </w:tc>
        <w:tc>
          <w:tcPr>
            <w:tcW w:w="798" w:type="pct"/>
            <w:tcBorders>
              <w:top w:val="nil"/>
              <w:left w:val="nil"/>
              <w:bottom w:val="single" w:sz="4" w:space="0" w:color="auto"/>
              <w:right w:val="single" w:sz="4" w:space="0" w:color="auto"/>
            </w:tcBorders>
            <w:shd w:val="clear" w:color="auto" w:fill="FFFF99"/>
            <w:noWrap/>
            <w:vAlign w:val="bottom"/>
          </w:tcPr>
          <w:p w14:paraId="1B5559D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23</w:t>
            </w:r>
          </w:p>
        </w:tc>
        <w:tc>
          <w:tcPr>
            <w:tcW w:w="794" w:type="pct"/>
            <w:tcBorders>
              <w:top w:val="nil"/>
              <w:left w:val="nil"/>
              <w:bottom w:val="single" w:sz="4" w:space="0" w:color="auto"/>
              <w:right w:val="single" w:sz="4" w:space="0" w:color="auto"/>
            </w:tcBorders>
            <w:shd w:val="clear" w:color="auto" w:fill="FFFF99"/>
            <w:vAlign w:val="center"/>
          </w:tcPr>
          <w:p w14:paraId="3464553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20</w:t>
            </w:r>
          </w:p>
        </w:tc>
        <w:tc>
          <w:tcPr>
            <w:tcW w:w="767" w:type="pct"/>
            <w:tcBorders>
              <w:top w:val="nil"/>
              <w:left w:val="nil"/>
              <w:bottom w:val="single" w:sz="4" w:space="0" w:color="auto"/>
              <w:right w:val="single" w:sz="4" w:space="0" w:color="auto"/>
            </w:tcBorders>
            <w:shd w:val="clear" w:color="auto" w:fill="FFFF99"/>
            <w:vAlign w:val="center"/>
          </w:tcPr>
          <w:p w14:paraId="0824E23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w:t>
            </w:r>
          </w:p>
        </w:tc>
      </w:tr>
      <w:tr w:rsidR="00EC39BD" w:rsidRPr="00AA0B4A" w14:paraId="1B7C7EB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0600E4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301055D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w:t>
            </w:r>
          </w:p>
        </w:tc>
        <w:tc>
          <w:tcPr>
            <w:tcW w:w="739" w:type="pct"/>
            <w:tcBorders>
              <w:top w:val="nil"/>
              <w:left w:val="nil"/>
              <w:bottom w:val="single" w:sz="4" w:space="0" w:color="auto"/>
              <w:right w:val="single" w:sz="4" w:space="0" w:color="auto"/>
            </w:tcBorders>
            <w:shd w:val="clear" w:color="auto" w:fill="FFFF99"/>
            <w:noWrap/>
            <w:vAlign w:val="bottom"/>
          </w:tcPr>
          <w:p w14:paraId="7DB90A5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w:t>
            </w:r>
          </w:p>
        </w:tc>
        <w:tc>
          <w:tcPr>
            <w:tcW w:w="798" w:type="pct"/>
            <w:tcBorders>
              <w:top w:val="nil"/>
              <w:left w:val="nil"/>
              <w:bottom w:val="single" w:sz="4" w:space="0" w:color="auto"/>
              <w:right w:val="single" w:sz="4" w:space="0" w:color="auto"/>
            </w:tcBorders>
            <w:shd w:val="clear" w:color="auto" w:fill="FFFF99"/>
            <w:noWrap/>
            <w:vAlign w:val="bottom"/>
          </w:tcPr>
          <w:p w14:paraId="3ECF910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w:t>
            </w:r>
          </w:p>
        </w:tc>
        <w:tc>
          <w:tcPr>
            <w:tcW w:w="794" w:type="pct"/>
            <w:tcBorders>
              <w:top w:val="nil"/>
              <w:left w:val="nil"/>
              <w:bottom w:val="single" w:sz="4" w:space="0" w:color="auto"/>
              <w:right w:val="single" w:sz="4" w:space="0" w:color="auto"/>
            </w:tcBorders>
            <w:shd w:val="clear" w:color="auto" w:fill="FFFF99"/>
            <w:vAlign w:val="center"/>
          </w:tcPr>
          <w:p w14:paraId="3BFB0A6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16</w:t>
            </w:r>
          </w:p>
        </w:tc>
        <w:tc>
          <w:tcPr>
            <w:tcW w:w="767" w:type="pct"/>
            <w:tcBorders>
              <w:top w:val="nil"/>
              <w:left w:val="nil"/>
              <w:bottom w:val="single" w:sz="4" w:space="0" w:color="auto"/>
              <w:right w:val="single" w:sz="4" w:space="0" w:color="auto"/>
            </w:tcBorders>
            <w:shd w:val="clear" w:color="auto" w:fill="FFFF99"/>
            <w:vAlign w:val="center"/>
          </w:tcPr>
          <w:p w14:paraId="28CB54A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w:t>
            </w:r>
          </w:p>
        </w:tc>
      </w:tr>
      <w:tr w:rsidR="00EC39BD" w:rsidRPr="00AA0B4A" w14:paraId="7AAD6679"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214F9DC"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9C2312E"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color w:val="000000"/>
                <w:sz w:val="18"/>
              </w:rPr>
              <w:t>11</w:t>
            </w:r>
          </w:p>
        </w:tc>
        <w:tc>
          <w:tcPr>
            <w:tcW w:w="739" w:type="pct"/>
            <w:tcBorders>
              <w:top w:val="nil"/>
              <w:left w:val="nil"/>
              <w:bottom w:val="single" w:sz="4" w:space="0" w:color="auto"/>
              <w:right w:val="single" w:sz="4" w:space="0" w:color="auto"/>
            </w:tcBorders>
            <w:shd w:val="clear" w:color="auto" w:fill="FFFF99"/>
            <w:noWrap/>
            <w:vAlign w:val="bottom"/>
          </w:tcPr>
          <w:p w14:paraId="39E59DC2"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14</w:t>
            </w:r>
          </w:p>
        </w:tc>
        <w:tc>
          <w:tcPr>
            <w:tcW w:w="798" w:type="pct"/>
            <w:tcBorders>
              <w:top w:val="nil"/>
              <w:left w:val="nil"/>
              <w:bottom w:val="single" w:sz="4" w:space="0" w:color="auto"/>
              <w:right w:val="single" w:sz="4" w:space="0" w:color="auto"/>
            </w:tcBorders>
            <w:shd w:val="clear" w:color="auto" w:fill="FFFF99"/>
            <w:noWrap/>
            <w:vAlign w:val="bottom"/>
          </w:tcPr>
          <w:p w14:paraId="38E1F278"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10</w:t>
            </w:r>
          </w:p>
        </w:tc>
        <w:tc>
          <w:tcPr>
            <w:tcW w:w="794" w:type="pct"/>
            <w:tcBorders>
              <w:top w:val="nil"/>
              <w:left w:val="nil"/>
              <w:bottom w:val="single" w:sz="4" w:space="0" w:color="auto"/>
              <w:right w:val="single" w:sz="4" w:space="0" w:color="auto"/>
            </w:tcBorders>
            <w:shd w:val="clear" w:color="auto" w:fill="FFFF99"/>
            <w:vAlign w:val="center"/>
          </w:tcPr>
          <w:p w14:paraId="4F1FBB0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17</w:t>
            </w:r>
          </w:p>
        </w:tc>
        <w:tc>
          <w:tcPr>
            <w:tcW w:w="767" w:type="pct"/>
            <w:tcBorders>
              <w:top w:val="nil"/>
              <w:left w:val="nil"/>
              <w:bottom w:val="single" w:sz="4" w:space="0" w:color="auto"/>
              <w:right w:val="single" w:sz="4" w:space="0" w:color="auto"/>
            </w:tcBorders>
            <w:shd w:val="clear" w:color="auto" w:fill="FFFF99"/>
            <w:vAlign w:val="center"/>
          </w:tcPr>
          <w:p w14:paraId="0F563EA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23</w:t>
            </w:r>
          </w:p>
        </w:tc>
      </w:tr>
      <w:tr w:rsidR="00EC39BD" w:rsidRPr="00AA0B4A" w14:paraId="330BD8BC"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94134C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5939EA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2</w:t>
            </w:r>
          </w:p>
        </w:tc>
        <w:tc>
          <w:tcPr>
            <w:tcW w:w="739" w:type="pct"/>
            <w:tcBorders>
              <w:top w:val="nil"/>
              <w:left w:val="nil"/>
              <w:bottom w:val="single" w:sz="4" w:space="0" w:color="auto"/>
              <w:right w:val="single" w:sz="4" w:space="0" w:color="auto"/>
            </w:tcBorders>
            <w:shd w:val="clear" w:color="auto" w:fill="FFFF99"/>
            <w:noWrap/>
            <w:vAlign w:val="bottom"/>
          </w:tcPr>
          <w:p w14:paraId="0B39272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w:t>
            </w:r>
          </w:p>
        </w:tc>
        <w:tc>
          <w:tcPr>
            <w:tcW w:w="798" w:type="pct"/>
            <w:tcBorders>
              <w:top w:val="nil"/>
              <w:left w:val="nil"/>
              <w:bottom w:val="single" w:sz="4" w:space="0" w:color="auto"/>
              <w:right w:val="single" w:sz="4" w:space="0" w:color="auto"/>
            </w:tcBorders>
            <w:shd w:val="clear" w:color="auto" w:fill="FFFF99"/>
            <w:noWrap/>
            <w:vAlign w:val="bottom"/>
          </w:tcPr>
          <w:p w14:paraId="2AA00AD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9</w:t>
            </w:r>
          </w:p>
        </w:tc>
        <w:tc>
          <w:tcPr>
            <w:tcW w:w="794" w:type="pct"/>
            <w:tcBorders>
              <w:top w:val="nil"/>
              <w:left w:val="nil"/>
              <w:bottom w:val="single" w:sz="4" w:space="0" w:color="auto"/>
              <w:right w:val="single" w:sz="4" w:space="0" w:color="auto"/>
            </w:tcBorders>
            <w:shd w:val="clear" w:color="auto" w:fill="FFFF99"/>
            <w:vAlign w:val="center"/>
          </w:tcPr>
          <w:p w14:paraId="58CD984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67" w:type="pct"/>
            <w:tcBorders>
              <w:top w:val="nil"/>
              <w:left w:val="nil"/>
              <w:bottom w:val="single" w:sz="4" w:space="0" w:color="auto"/>
              <w:right w:val="single" w:sz="4" w:space="0" w:color="auto"/>
            </w:tcBorders>
            <w:shd w:val="clear" w:color="auto" w:fill="FFFF99"/>
            <w:vAlign w:val="center"/>
          </w:tcPr>
          <w:p w14:paraId="6256B28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6</w:t>
            </w:r>
          </w:p>
        </w:tc>
      </w:tr>
      <w:tr w:rsidR="00EC39BD" w:rsidRPr="00AA0B4A" w14:paraId="74F17E5C"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886692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77CFA9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38</w:t>
            </w:r>
          </w:p>
        </w:tc>
        <w:tc>
          <w:tcPr>
            <w:tcW w:w="739" w:type="pct"/>
            <w:tcBorders>
              <w:top w:val="nil"/>
              <w:left w:val="nil"/>
              <w:bottom w:val="single" w:sz="4" w:space="0" w:color="auto"/>
              <w:right w:val="single" w:sz="4" w:space="0" w:color="auto"/>
            </w:tcBorders>
            <w:shd w:val="clear" w:color="auto" w:fill="FFFF99"/>
            <w:noWrap/>
            <w:vAlign w:val="bottom"/>
          </w:tcPr>
          <w:p w14:paraId="60A69BF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33</w:t>
            </w:r>
          </w:p>
        </w:tc>
        <w:tc>
          <w:tcPr>
            <w:tcW w:w="798" w:type="pct"/>
            <w:tcBorders>
              <w:top w:val="nil"/>
              <w:left w:val="nil"/>
              <w:bottom w:val="single" w:sz="4" w:space="0" w:color="auto"/>
              <w:right w:val="single" w:sz="4" w:space="0" w:color="auto"/>
            </w:tcBorders>
            <w:shd w:val="clear" w:color="auto" w:fill="FFFF99"/>
            <w:noWrap/>
            <w:vAlign w:val="bottom"/>
          </w:tcPr>
          <w:p w14:paraId="72BA518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30</w:t>
            </w:r>
          </w:p>
        </w:tc>
        <w:tc>
          <w:tcPr>
            <w:tcW w:w="794" w:type="pct"/>
            <w:tcBorders>
              <w:top w:val="nil"/>
              <w:left w:val="nil"/>
              <w:bottom w:val="single" w:sz="4" w:space="0" w:color="auto"/>
              <w:right w:val="single" w:sz="4" w:space="0" w:color="auto"/>
            </w:tcBorders>
            <w:shd w:val="clear" w:color="auto" w:fill="FFFF99"/>
            <w:vAlign w:val="center"/>
          </w:tcPr>
          <w:p w14:paraId="70D5CEF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42</w:t>
            </w:r>
          </w:p>
        </w:tc>
        <w:tc>
          <w:tcPr>
            <w:tcW w:w="767" w:type="pct"/>
            <w:tcBorders>
              <w:top w:val="nil"/>
              <w:left w:val="nil"/>
              <w:bottom w:val="single" w:sz="4" w:space="0" w:color="auto"/>
              <w:right w:val="single" w:sz="4" w:space="0" w:color="auto"/>
            </w:tcBorders>
            <w:shd w:val="clear" w:color="auto" w:fill="FFFF99"/>
            <w:vAlign w:val="center"/>
          </w:tcPr>
          <w:p w14:paraId="557141A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78</w:t>
            </w:r>
          </w:p>
        </w:tc>
      </w:tr>
      <w:tr w:rsidR="00EC39BD" w:rsidRPr="00AA0B4A" w14:paraId="70BA80A6"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F897A9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830034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18</w:t>
            </w:r>
          </w:p>
        </w:tc>
        <w:tc>
          <w:tcPr>
            <w:tcW w:w="739" w:type="pct"/>
            <w:tcBorders>
              <w:top w:val="nil"/>
              <w:left w:val="nil"/>
              <w:bottom w:val="single" w:sz="4" w:space="0" w:color="auto"/>
              <w:right w:val="single" w:sz="4" w:space="0" w:color="auto"/>
            </w:tcBorders>
            <w:shd w:val="clear" w:color="auto" w:fill="FFFF99"/>
            <w:noWrap/>
            <w:vAlign w:val="bottom"/>
          </w:tcPr>
          <w:p w14:paraId="34FAF60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41</w:t>
            </w:r>
          </w:p>
        </w:tc>
        <w:tc>
          <w:tcPr>
            <w:tcW w:w="798" w:type="pct"/>
            <w:tcBorders>
              <w:top w:val="nil"/>
              <w:left w:val="nil"/>
              <w:bottom w:val="single" w:sz="4" w:space="0" w:color="auto"/>
              <w:right w:val="single" w:sz="4" w:space="0" w:color="auto"/>
            </w:tcBorders>
            <w:shd w:val="clear" w:color="auto" w:fill="FFFF99"/>
            <w:noWrap/>
            <w:vAlign w:val="bottom"/>
          </w:tcPr>
          <w:p w14:paraId="1ABDB46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49</w:t>
            </w:r>
          </w:p>
        </w:tc>
        <w:tc>
          <w:tcPr>
            <w:tcW w:w="794" w:type="pct"/>
            <w:tcBorders>
              <w:top w:val="nil"/>
              <w:left w:val="nil"/>
              <w:bottom w:val="single" w:sz="4" w:space="0" w:color="auto"/>
              <w:right w:val="single" w:sz="4" w:space="0" w:color="auto"/>
            </w:tcBorders>
            <w:shd w:val="clear" w:color="auto" w:fill="FFFF99"/>
            <w:vAlign w:val="center"/>
          </w:tcPr>
          <w:p w14:paraId="7ABE93E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38</w:t>
            </w:r>
          </w:p>
        </w:tc>
        <w:tc>
          <w:tcPr>
            <w:tcW w:w="767" w:type="pct"/>
            <w:tcBorders>
              <w:top w:val="nil"/>
              <w:left w:val="nil"/>
              <w:bottom w:val="single" w:sz="4" w:space="0" w:color="auto"/>
              <w:right w:val="single" w:sz="4" w:space="0" w:color="auto"/>
            </w:tcBorders>
            <w:shd w:val="clear" w:color="auto" w:fill="FFFF99"/>
            <w:vAlign w:val="center"/>
          </w:tcPr>
          <w:p w14:paraId="7C3DFA5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60</w:t>
            </w:r>
          </w:p>
        </w:tc>
      </w:tr>
      <w:tr w:rsidR="00EC39BD" w:rsidRPr="00AA0B4A" w14:paraId="54B52846"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DE6496E"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INTPA</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69BD4CE" w14:textId="77777777" w:rsidR="00EC39BD"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39" w:type="pct"/>
            <w:tcBorders>
              <w:top w:val="nil"/>
              <w:left w:val="nil"/>
              <w:bottom w:val="single" w:sz="4" w:space="0" w:color="auto"/>
              <w:right w:val="single" w:sz="4" w:space="0" w:color="auto"/>
            </w:tcBorders>
            <w:shd w:val="clear" w:color="auto" w:fill="FFFF99"/>
            <w:noWrap/>
            <w:vAlign w:val="bottom"/>
          </w:tcPr>
          <w:p w14:paraId="633FC67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19</w:t>
            </w:r>
          </w:p>
        </w:tc>
        <w:tc>
          <w:tcPr>
            <w:tcW w:w="798" w:type="pct"/>
            <w:tcBorders>
              <w:top w:val="nil"/>
              <w:left w:val="nil"/>
              <w:bottom w:val="single" w:sz="4" w:space="0" w:color="auto"/>
              <w:right w:val="single" w:sz="4" w:space="0" w:color="auto"/>
            </w:tcBorders>
            <w:shd w:val="clear" w:color="auto" w:fill="FFFF99"/>
            <w:noWrap/>
            <w:vAlign w:val="bottom"/>
          </w:tcPr>
          <w:p w14:paraId="20AE999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18</w:t>
            </w:r>
          </w:p>
        </w:tc>
        <w:tc>
          <w:tcPr>
            <w:tcW w:w="794" w:type="pct"/>
            <w:tcBorders>
              <w:top w:val="nil"/>
              <w:left w:val="nil"/>
              <w:bottom w:val="single" w:sz="4" w:space="0" w:color="auto"/>
              <w:right w:val="single" w:sz="4" w:space="0" w:color="auto"/>
            </w:tcBorders>
            <w:shd w:val="clear" w:color="auto" w:fill="FFFF99"/>
            <w:vAlign w:val="center"/>
          </w:tcPr>
          <w:p w14:paraId="6546996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168</w:t>
            </w:r>
          </w:p>
        </w:tc>
        <w:tc>
          <w:tcPr>
            <w:tcW w:w="767" w:type="pct"/>
            <w:tcBorders>
              <w:top w:val="nil"/>
              <w:left w:val="nil"/>
              <w:bottom w:val="single" w:sz="4" w:space="0" w:color="auto"/>
              <w:right w:val="single" w:sz="4" w:space="0" w:color="auto"/>
            </w:tcBorders>
            <w:shd w:val="clear" w:color="auto" w:fill="FFFF99"/>
            <w:vAlign w:val="center"/>
          </w:tcPr>
          <w:p w14:paraId="60771D8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14</w:t>
            </w:r>
          </w:p>
        </w:tc>
      </w:tr>
      <w:tr w:rsidR="00EC39BD" w:rsidRPr="00AA0B4A" w14:paraId="3A927BEB"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4D6E9E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3D8596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24</w:t>
            </w:r>
          </w:p>
        </w:tc>
        <w:tc>
          <w:tcPr>
            <w:tcW w:w="739" w:type="pct"/>
            <w:tcBorders>
              <w:top w:val="nil"/>
              <w:left w:val="nil"/>
              <w:bottom w:val="single" w:sz="4" w:space="0" w:color="auto"/>
              <w:right w:val="single" w:sz="4" w:space="0" w:color="auto"/>
            </w:tcBorders>
            <w:shd w:val="clear" w:color="auto" w:fill="FFFF99"/>
            <w:noWrap/>
            <w:vAlign w:val="bottom"/>
          </w:tcPr>
          <w:p w14:paraId="1DE9878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30</w:t>
            </w:r>
          </w:p>
        </w:tc>
        <w:tc>
          <w:tcPr>
            <w:tcW w:w="798" w:type="pct"/>
            <w:tcBorders>
              <w:top w:val="nil"/>
              <w:left w:val="nil"/>
              <w:bottom w:val="single" w:sz="4" w:space="0" w:color="auto"/>
              <w:right w:val="single" w:sz="4" w:space="0" w:color="auto"/>
            </w:tcBorders>
            <w:shd w:val="clear" w:color="auto" w:fill="FFFF99"/>
            <w:noWrap/>
            <w:vAlign w:val="bottom"/>
          </w:tcPr>
          <w:p w14:paraId="2300FCB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21</w:t>
            </w:r>
          </w:p>
        </w:tc>
        <w:tc>
          <w:tcPr>
            <w:tcW w:w="794" w:type="pct"/>
            <w:tcBorders>
              <w:top w:val="nil"/>
              <w:left w:val="nil"/>
              <w:bottom w:val="single" w:sz="4" w:space="0" w:color="auto"/>
              <w:right w:val="single" w:sz="4" w:space="0" w:color="auto"/>
            </w:tcBorders>
            <w:shd w:val="clear" w:color="auto" w:fill="FFFF99"/>
            <w:vAlign w:val="center"/>
          </w:tcPr>
          <w:p w14:paraId="77ECCF6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w:t>
            </w:r>
          </w:p>
        </w:tc>
        <w:tc>
          <w:tcPr>
            <w:tcW w:w="767" w:type="pct"/>
            <w:tcBorders>
              <w:top w:val="nil"/>
              <w:left w:val="nil"/>
              <w:bottom w:val="single" w:sz="4" w:space="0" w:color="auto"/>
              <w:right w:val="single" w:sz="4" w:space="0" w:color="auto"/>
            </w:tcBorders>
            <w:shd w:val="clear" w:color="auto" w:fill="FFFF99"/>
            <w:vAlign w:val="center"/>
          </w:tcPr>
          <w:p w14:paraId="52DE709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w:t>
            </w:r>
          </w:p>
        </w:tc>
      </w:tr>
      <w:tr w:rsidR="00EC39BD" w:rsidRPr="00AA0B4A" w14:paraId="32EBD116"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0A8B42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313DE1D"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color w:val="000000"/>
                <w:sz w:val="18"/>
              </w:rPr>
              <w:t>3</w:t>
            </w:r>
          </w:p>
        </w:tc>
        <w:tc>
          <w:tcPr>
            <w:tcW w:w="739" w:type="pct"/>
            <w:tcBorders>
              <w:top w:val="nil"/>
              <w:left w:val="nil"/>
              <w:bottom w:val="single" w:sz="4" w:space="0" w:color="auto"/>
              <w:right w:val="single" w:sz="4" w:space="0" w:color="auto"/>
            </w:tcBorders>
            <w:shd w:val="clear" w:color="auto" w:fill="FFFF99"/>
            <w:noWrap/>
            <w:vAlign w:val="bottom"/>
          </w:tcPr>
          <w:p w14:paraId="2C3CBCE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w:t>
            </w:r>
          </w:p>
        </w:tc>
        <w:tc>
          <w:tcPr>
            <w:tcW w:w="798" w:type="pct"/>
            <w:tcBorders>
              <w:top w:val="nil"/>
              <w:left w:val="nil"/>
              <w:bottom w:val="single" w:sz="4" w:space="0" w:color="auto"/>
              <w:right w:val="single" w:sz="4" w:space="0" w:color="auto"/>
            </w:tcBorders>
            <w:shd w:val="clear" w:color="auto" w:fill="FFFF99"/>
            <w:noWrap/>
            <w:vAlign w:val="bottom"/>
          </w:tcPr>
          <w:p w14:paraId="3126BC03"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3</w:t>
            </w:r>
          </w:p>
        </w:tc>
        <w:tc>
          <w:tcPr>
            <w:tcW w:w="794" w:type="pct"/>
            <w:tcBorders>
              <w:top w:val="nil"/>
              <w:left w:val="nil"/>
              <w:bottom w:val="single" w:sz="4" w:space="0" w:color="auto"/>
              <w:right w:val="single" w:sz="4" w:space="0" w:color="auto"/>
            </w:tcBorders>
            <w:shd w:val="clear" w:color="auto" w:fill="FFFF99"/>
            <w:vAlign w:val="center"/>
          </w:tcPr>
          <w:p w14:paraId="3607996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16</w:t>
            </w:r>
          </w:p>
        </w:tc>
        <w:tc>
          <w:tcPr>
            <w:tcW w:w="767" w:type="pct"/>
            <w:tcBorders>
              <w:top w:val="nil"/>
              <w:left w:val="nil"/>
              <w:bottom w:val="single" w:sz="4" w:space="0" w:color="auto"/>
              <w:right w:val="single" w:sz="4" w:space="0" w:color="auto"/>
            </w:tcBorders>
            <w:shd w:val="clear" w:color="auto" w:fill="FFFF99"/>
            <w:vAlign w:val="center"/>
          </w:tcPr>
          <w:p w14:paraId="5C93F35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w:t>
            </w:r>
          </w:p>
        </w:tc>
      </w:tr>
      <w:tr w:rsidR="00EC39BD" w:rsidRPr="00AA0B4A" w14:paraId="2C821BD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BC10978"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5794F73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31</w:t>
            </w:r>
          </w:p>
        </w:tc>
        <w:tc>
          <w:tcPr>
            <w:tcW w:w="739" w:type="pct"/>
            <w:tcBorders>
              <w:top w:val="nil"/>
              <w:left w:val="nil"/>
              <w:bottom w:val="single" w:sz="4" w:space="0" w:color="auto"/>
              <w:right w:val="single" w:sz="4" w:space="0" w:color="auto"/>
            </w:tcBorders>
            <w:shd w:val="clear" w:color="auto" w:fill="FFFF99"/>
            <w:noWrap/>
            <w:vAlign w:val="bottom"/>
          </w:tcPr>
          <w:p w14:paraId="08DCE2C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61</w:t>
            </w:r>
          </w:p>
        </w:tc>
        <w:tc>
          <w:tcPr>
            <w:tcW w:w="798" w:type="pct"/>
            <w:tcBorders>
              <w:top w:val="nil"/>
              <w:left w:val="nil"/>
              <w:bottom w:val="single" w:sz="4" w:space="0" w:color="auto"/>
              <w:right w:val="single" w:sz="4" w:space="0" w:color="auto"/>
            </w:tcBorders>
            <w:shd w:val="clear" w:color="auto" w:fill="FFFF99"/>
            <w:noWrap/>
            <w:vAlign w:val="bottom"/>
          </w:tcPr>
          <w:p w14:paraId="1CF4D86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40</w:t>
            </w:r>
          </w:p>
        </w:tc>
        <w:tc>
          <w:tcPr>
            <w:tcW w:w="794" w:type="pct"/>
            <w:tcBorders>
              <w:top w:val="nil"/>
              <w:left w:val="nil"/>
              <w:bottom w:val="single" w:sz="4" w:space="0" w:color="auto"/>
              <w:right w:val="single" w:sz="4" w:space="0" w:color="auto"/>
            </w:tcBorders>
            <w:shd w:val="clear" w:color="auto" w:fill="FFFF99"/>
            <w:vAlign w:val="center"/>
          </w:tcPr>
          <w:p w14:paraId="781F387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37</w:t>
            </w:r>
          </w:p>
        </w:tc>
        <w:tc>
          <w:tcPr>
            <w:tcW w:w="767" w:type="pct"/>
            <w:tcBorders>
              <w:top w:val="nil"/>
              <w:left w:val="nil"/>
              <w:bottom w:val="single" w:sz="4" w:space="0" w:color="auto"/>
              <w:right w:val="single" w:sz="4" w:space="0" w:color="auto"/>
            </w:tcBorders>
            <w:shd w:val="clear" w:color="auto" w:fill="FFFF99"/>
            <w:vAlign w:val="center"/>
          </w:tcPr>
          <w:p w14:paraId="60C624E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20</w:t>
            </w:r>
          </w:p>
        </w:tc>
      </w:tr>
      <w:tr w:rsidR="00EC39BD" w:rsidRPr="00AA0B4A" w14:paraId="2F4B5734"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671E45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A52898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2</w:t>
            </w:r>
          </w:p>
        </w:tc>
        <w:tc>
          <w:tcPr>
            <w:tcW w:w="739" w:type="pct"/>
            <w:tcBorders>
              <w:top w:val="nil"/>
              <w:left w:val="nil"/>
              <w:bottom w:val="single" w:sz="4" w:space="0" w:color="auto"/>
              <w:right w:val="single" w:sz="4" w:space="0" w:color="auto"/>
            </w:tcBorders>
            <w:shd w:val="clear" w:color="auto" w:fill="FFFF99"/>
            <w:noWrap/>
            <w:vAlign w:val="bottom"/>
          </w:tcPr>
          <w:p w14:paraId="3B73777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w:t>
            </w:r>
          </w:p>
        </w:tc>
        <w:tc>
          <w:tcPr>
            <w:tcW w:w="798" w:type="pct"/>
            <w:tcBorders>
              <w:top w:val="nil"/>
              <w:left w:val="nil"/>
              <w:bottom w:val="single" w:sz="4" w:space="0" w:color="auto"/>
              <w:right w:val="single" w:sz="4" w:space="0" w:color="auto"/>
            </w:tcBorders>
            <w:shd w:val="clear" w:color="auto" w:fill="FFFF99"/>
            <w:noWrap/>
            <w:vAlign w:val="bottom"/>
          </w:tcPr>
          <w:p w14:paraId="57BA94C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19</w:t>
            </w:r>
          </w:p>
        </w:tc>
        <w:tc>
          <w:tcPr>
            <w:tcW w:w="794" w:type="pct"/>
            <w:tcBorders>
              <w:top w:val="nil"/>
              <w:left w:val="nil"/>
              <w:bottom w:val="single" w:sz="4" w:space="0" w:color="auto"/>
              <w:right w:val="single" w:sz="4" w:space="0" w:color="auto"/>
            </w:tcBorders>
            <w:shd w:val="clear" w:color="auto" w:fill="FFFF99"/>
            <w:vAlign w:val="center"/>
          </w:tcPr>
          <w:p w14:paraId="2BEB596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41</w:t>
            </w:r>
          </w:p>
        </w:tc>
        <w:tc>
          <w:tcPr>
            <w:tcW w:w="767" w:type="pct"/>
            <w:tcBorders>
              <w:top w:val="nil"/>
              <w:left w:val="nil"/>
              <w:bottom w:val="single" w:sz="4" w:space="0" w:color="auto"/>
              <w:right w:val="single" w:sz="4" w:space="0" w:color="auto"/>
            </w:tcBorders>
            <w:shd w:val="clear" w:color="auto" w:fill="FFFF99"/>
            <w:vAlign w:val="center"/>
          </w:tcPr>
          <w:p w14:paraId="7ED0E76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48</w:t>
            </w:r>
          </w:p>
        </w:tc>
      </w:tr>
      <w:tr w:rsidR="00EC39BD" w:rsidRPr="00AA0B4A" w14:paraId="5E55F3D1"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85D439F" w14:textId="77777777" w:rsidR="00EC39BD" w:rsidRPr="00AA0B4A" w:rsidRDefault="00EC39BD" w:rsidP="00E55B57">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CF833E2"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color w:val="000000"/>
                <w:sz w:val="18"/>
              </w:rPr>
              <w:t>1</w:t>
            </w:r>
          </w:p>
        </w:tc>
        <w:tc>
          <w:tcPr>
            <w:tcW w:w="739" w:type="pct"/>
            <w:tcBorders>
              <w:top w:val="nil"/>
              <w:left w:val="nil"/>
              <w:bottom w:val="single" w:sz="4" w:space="0" w:color="auto"/>
              <w:right w:val="single" w:sz="4" w:space="0" w:color="auto"/>
            </w:tcBorders>
            <w:shd w:val="clear" w:color="auto" w:fill="FFFF99"/>
            <w:noWrap/>
            <w:vAlign w:val="bottom"/>
          </w:tcPr>
          <w:p w14:paraId="48EB282A" w14:textId="77777777" w:rsidR="00EC39BD" w:rsidRPr="00AA0B4A" w:rsidRDefault="00EC39BD" w:rsidP="00E55B57">
            <w:pPr>
              <w:spacing w:after="0"/>
              <w:jc w:val="center"/>
              <w:rPr>
                <w:rFonts w:ascii="Times New Roman" w:hAnsi="Times New Roman"/>
                <w:bCs/>
                <w:noProof/>
                <w:sz w:val="18"/>
                <w:szCs w:val="18"/>
              </w:rPr>
            </w:pPr>
            <w:r>
              <w:rPr>
                <w:rFonts w:ascii="Times New Roman" w:hAnsi="Times New Roman"/>
                <w:noProof/>
                <w:sz w:val="18"/>
              </w:rPr>
              <w:t>0</w:t>
            </w:r>
          </w:p>
        </w:tc>
        <w:tc>
          <w:tcPr>
            <w:tcW w:w="798" w:type="pct"/>
            <w:tcBorders>
              <w:top w:val="nil"/>
              <w:left w:val="nil"/>
              <w:bottom w:val="single" w:sz="4" w:space="0" w:color="auto"/>
              <w:right w:val="single" w:sz="4" w:space="0" w:color="auto"/>
            </w:tcBorders>
            <w:shd w:val="clear" w:color="auto" w:fill="FFFF99"/>
            <w:noWrap/>
            <w:vAlign w:val="bottom"/>
          </w:tcPr>
          <w:p w14:paraId="00709C8B" w14:textId="77777777" w:rsidR="00EC39BD" w:rsidRPr="00843E0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794" w:type="pct"/>
            <w:tcBorders>
              <w:top w:val="nil"/>
              <w:left w:val="nil"/>
              <w:bottom w:val="single" w:sz="4" w:space="0" w:color="auto"/>
              <w:right w:val="single" w:sz="4" w:space="0" w:color="auto"/>
            </w:tcBorders>
            <w:shd w:val="clear" w:color="auto" w:fill="FFFF99"/>
            <w:vAlign w:val="center"/>
          </w:tcPr>
          <w:p w14:paraId="7B322655" w14:textId="77777777" w:rsidR="00EC39BD" w:rsidRPr="00843E0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767" w:type="pct"/>
            <w:tcBorders>
              <w:top w:val="nil"/>
              <w:left w:val="nil"/>
              <w:bottom w:val="single" w:sz="4" w:space="0" w:color="auto"/>
              <w:right w:val="single" w:sz="4" w:space="0" w:color="auto"/>
            </w:tcBorders>
            <w:shd w:val="clear" w:color="auto" w:fill="FFFF99"/>
            <w:vAlign w:val="center"/>
          </w:tcPr>
          <w:p w14:paraId="4DF580AB" w14:textId="77777777" w:rsidR="00EC39BD" w:rsidRPr="00843E0A" w:rsidRDefault="00EC39BD" w:rsidP="00E55B57">
            <w:pPr>
              <w:spacing w:after="0"/>
              <w:jc w:val="center"/>
              <w:rPr>
                <w:rFonts w:ascii="Times New Roman" w:hAnsi="Times New Roman"/>
                <w:noProof/>
                <w:sz w:val="18"/>
                <w:szCs w:val="18"/>
              </w:rPr>
            </w:pPr>
            <w:r>
              <w:rPr>
                <w:rFonts w:ascii="Times New Roman" w:hAnsi="Times New Roman"/>
                <w:noProof/>
                <w:sz w:val="18"/>
              </w:rPr>
              <w:t>0</w:t>
            </w:r>
          </w:p>
        </w:tc>
      </w:tr>
      <w:tr w:rsidR="00EC39BD" w:rsidRPr="00AA0B4A" w14:paraId="751B34E4"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2776EA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REFORM</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5ADC81FD" w14:textId="77777777" w:rsidR="00EC39BD" w:rsidRDefault="00EC39BD" w:rsidP="00E55B57">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39" w:type="pct"/>
            <w:tcBorders>
              <w:top w:val="nil"/>
              <w:left w:val="nil"/>
              <w:bottom w:val="single" w:sz="4" w:space="0" w:color="auto"/>
              <w:right w:val="single" w:sz="4" w:space="0" w:color="auto"/>
            </w:tcBorders>
            <w:shd w:val="clear" w:color="auto" w:fill="FFFF99"/>
            <w:noWrap/>
            <w:vAlign w:val="bottom"/>
          </w:tcPr>
          <w:p w14:paraId="58739CC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98" w:type="pct"/>
            <w:tcBorders>
              <w:top w:val="nil"/>
              <w:left w:val="nil"/>
              <w:bottom w:val="single" w:sz="4" w:space="0" w:color="auto"/>
              <w:right w:val="single" w:sz="4" w:space="0" w:color="auto"/>
            </w:tcBorders>
            <w:shd w:val="clear" w:color="auto" w:fill="FFFF99"/>
            <w:noWrap/>
            <w:vAlign w:val="bottom"/>
          </w:tcPr>
          <w:p w14:paraId="66525E46" w14:textId="77777777" w:rsidR="00EC39BD"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w:t>
            </w:r>
          </w:p>
        </w:tc>
        <w:tc>
          <w:tcPr>
            <w:tcW w:w="794" w:type="pct"/>
            <w:tcBorders>
              <w:top w:val="nil"/>
              <w:left w:val="nil"/>
              <w:bottom w:val="single" w:sz="4" w:space="0" w:color="auto"/>
              <w:right w:val="single" w:sz="4" w:space="0" w:color="auto"/>
            </w:tcBorders>
            <w:shd w:val="clear" w:color="auto" w:fill="FFFF99"/>
            <w:vAlign w:val="center"/>
          </w:tcPr>
          <w:p w14:paraId="00F7976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767" w:type="pct"/>
            <w:tcBorders>
              <w:top w:val="nil"/>
              <w:left w:val="nil"/>
              <w:bottom w:val="single" w:sz="4" w:space="0" w:color="auto"/>
              <w:right w:val="single" w:sz="4" w:space="0" w:color="auto"/>
            </w:tcBorders>
            <w:shd w:val="clear" w:color="auto" w:fill="FFFF99"/>
            <w:vAlign w:val="center"/>
          </w:tcPr>
          <w:p w14:paraId="3578C49B" w14:textId="77777777" w:rsidR="00EC39BD"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w:t>
            </w:r>
          </w:p>
        </w:tc>
      </w:tr>
      <w:tr w:rsidR="00EC39BD" w:rsidRPr="00AA0B4A" w14:paraId="4EE796BB"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FC8F82E"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BE5BF2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w:t>
            </w:r>
          </w:p>
        </w:tc>
        <w:tc>
          <w:tcPr>
            <w:tcW w:w="739" w:type="pct"/>
            <w:tcBorders>
              <w:top w:val="nil"/>
              <w:left w:val="nil"/>
              <w:bottom w:val="single" w:sz="4" w:space="0" w:color="auto"/>
              <w:right w:val="single" w:sz="4" w:space="0" w:color="auto"/>
            </w:tcBorders>
            <w:shd w:val="clear" w:color="auto" w:fill="FFFF99"/>
            <w:noWrap/>
            <w:vAlign w:val="bottom"/>
          </w:tcPr>
          <w:p w14:paraId="47E3D93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w:t>
            </w:r>
          </w:p>
        </w:tc>
        <w:tc>
          <w:tcPr>
            <w:tcW w:w="798" w:type="pct"/>
            <w:tcBorders>
              <w:top w:val="nil"/>
              <w:left w:val="nil"/>
              <w:bottom w:val="single" w:sz="4" w:space="0" w:color="auto"/>
              <w:right w:val="single" w:sz="4" w:space="0" w:color="auto"/>
            </w:tcBorders>
            <w:shd w:val="clear" w:color="auto" w:fill="FFFF99"/>
            <w:noWrap/>
            <w:vAlign w:val="bottom"/>
          </w:tcPr>
          <w:p w14:paraId="0B120CB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w:t>
            </w:r>
          </w:p>
        </w:tc>
        <w:tc>
          <w:tcPr>
            <w:tcW w:w="794" w:type="pct"/>
            <w:tcBorders>
              <w:top w:val="nil"/>
              <w:left w:val="nil"/>
              <w:bottom w:val="single" w:sz="4" w:space="0" w:color="auto"/>
              <w:right w:val="single" w:sz="4" w:space="0" w:color="auto"/>
            </w:tcBorders>
            <w:shd w:val="clear" w:color="auto" w:fill="FFFF99"/>
            <w:vAlign w:val="center"/>
          </w:tcPr>
          <w:p w14:paraId="4E7DD51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w:t>
            </w:r>
          </w:p>
        </w:tc>
        <w:tc>
          <w:tcPr>
            <w:tcW w:w="767" w:type="pct"/>
            <w:tcBorders>
              <w:top w:val="nil"/>
              <w:left w:val="nil"/>
              <w:bottom w:val="single" w:sz="4" w:space="0" w:color="auto"/>
              <w:right w:val="single" w:sz="4" w:space="0" w:color="auto"/>
            </w:tcBorders>
            <w:shd w:val="clear" w:color="auto" w:fill="FFFF99"/>
            <w:vAlign w:val="center"/>
          </w:tcPr>
          <w:p w14:paraId="4C64B7A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w:t>
            </w:r>
          </w:p>
        </w:tc>
      </w:tr>
      <w:tr w:rsidR="00EC39BD" w:rsidRPr="00AA0B4A" w14:paraId="02AD8C92"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58E5BD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616589F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17</w:t>
            </w:r>
          </w:p>
        </w:tc>
        <w:tc>
          <w:tcPr>
            <w:tcW w:w="739" w:type="pct"/>
            <w:tcBorders>
              <w:top w:val="nil"/>
              <w:left w:val="nil"/>
              <w:bottom w:val="single" w:sz="4" w:space="0" w:color="auto"/>
              <w:right w:val="single" w:sz="4" w:space="0" w:color="auto"/>
            </w:tcBorders>
            <w:shd w:val="clear" w:color="auto" w:fill="FFFF99"/>
            <w:noWrap/>
            <w:vAlign w:val="bottom"/>
          </w:tcPr>
          <w:p w14:paraId="0F6A9A2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41</w:t>
            </w:r>
          </w:p>
        </w:tc>
        <w:tc>
          <w:tcPr>
            <w:tcW w:w="798" w:type="pct"/>
            <w:tcBorders>
              <w:top w:val="nil"/>
              <w:left w:val="nil"/>
              <w:bottom w:val="single" w:sz="4" w:space="0" w:color="auto"/>
              <w:right w:val="single" w:sz="4" w:space="0" w:color="auto"/>
            </w:tcBorders>
            <w:shd w:val="clear" w:color="auto" w:fill="FFFF99"/>
            <w:noWrap/>
            <w:vAlign w:val="bottom"/>
          </w:tcPr>
          <w:p w14:paraId="07A99B3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62</w:t>
            </w:r>
          </w:p>
        </w:tc>
        <w:tc>
          <w:tcPr>
            <w:tcW w:w="794" w:type="pct"/>
            <w:tcBorders>
              <w:top w:val="nil"/>
              <w:left w:val="nil"/>
              <w:bottom w:val="single" w:sz="4" w:space="0" w:color="auto"/>
              <w:right w:val="single" w:sz="4" w:space="0" w:color="auto"/>
            </w:tcBorders>
            <w:shd w:val="clear" w:color="auto" w:fill="FFFF99"/>
            <w:vAlign w:val="center"/>
          </w:tcPr>
          <w:p w14:paraId="10B3A7C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148</w:t>
            </w:r>
          </w:p>
        </w:tc>
        <w:tc>
          <w:tcPr>
            <w:tcW w:w="767" w:type="pct"/>
            <w:tcBorders>
              <w:top w:val="nil"/>
              <w:left w:val="nil"/>
              <w:bottom w:val="single" w:sz="4" w:space="0" w:color="auto"/>
              <w:right w:val="single" w:sz="4" w:space="0" w:color="auto"/>
            </w:tcBorders>
            <w:shd w:val="clear" w:color="auto" w:fill="FFFF99"/>
            <w:vAlign w:val="center"/>
          </w:tcPr>
          <w:p w14:paraId="573761B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355</w:t>
            </w:r>
          </w:p>
        </w:tc>
      </w:tr>
      <w:tr w:rsidR="00EC39BD" w:rsidRPr="00AA0B4A" w14:paraId="0142BB34"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6F668A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619773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33</w:t>
            </w:r>
          </w:p>
        </w:tc>
        <w:tc>
          <w:tcPr>
            <w:tcW w:w="739" w:type="pct"/>
            <w:tcBorders>
              <w:top w:val="nil"/>
              <w:left w:val="nil"/>
              <w:bottom w:val="single" w:sz="4" w:space="0" w:color="auto"/>
              <w:right w:val="single" w:sz="4" w:space="0" w:color="auto"/>
            </w:tcBorders>
            <w:shd w:val="clear" w:color="auto" w:fill="FFFF99"/>
            <w:noWrap/>
            <w:vAlign w:val="bottom"/>
          </w:tcPr>
          <w:p w14:paraId="59FF00F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93</w:t>
            </w:r>
          </w:p>
        </w:tc>
        <w:tc>
          <w:tcPr>
            <w:tcW w:w="798" w:type="pct"/>
            <w:tcBorders>
              <w:top w:val="nil"/>
              <w:left w:val="nil"/>
              <w:bottom w:val="single" w:sz="4" w:space="0" w:color="auto"/>
              <w:right w:val="single" w:sz="4" w:space="0" w:color="auto"/>
            </w:tcBorders>
            <w:shd w:val="clear" w:color="auto" w:fill="FFFF99"/>
            <w:noWrap/>
            <w:vAlign w:val="bottom"/>
          </w:tcPr>
          <w:p w14:paraId="26D6213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95</w:t>
            </w:r>
          </w:p>
        </w:tc>
        <w:tc>
          <w:tcPr>
            <w:tcW w:w="794" w:type="pct"/>
            <w:tcBorders>
              <w:top w:val="nil"/>
              <w:left w:val="nil"/>
              <w:bottom w:val="single" w:sz="4" w:space="0" w:color="auto"/>
              <w:right w:val="single" w:sz="4" w:space="0" w:color="auto"/>
            </w:tcBorders>
            <w:shd w:val="clear" w:color="auto" w:fill="FFFF99"/>
            <w:vAlign w:val="center"/>
          </w:tcPr>
          <w:p w14:paraId="7FC3ED2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634</w:t>
            </w:r>
          </w:p>
        </w:tc>
        <w:tc>
          <w:tcPr>
            <w:tcW w:w="767" w:type="pct"/>
            <w:tcBorders>
              <w:top w:val="nil"/>
              <w:left w:val="nil"/>
              <w:bottom w:val="single" w:sz="4" w:space="0" w:color="auto"/>
              <w:right w:val="single" w:sz="4" w:space="0" w:color="auto"/>
            </w:tcBorders>
            <w:shd w:val="clear" w:color="auto" w:fill="FFFF99"/>
            <w:vAlign w:val="center"/>
          </w:tcPr>
          <w:p w14:paraId="1A6DCC4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813</w:t>
            </w:r>
          </w:p>
        </w:tc>
      </w:tr>
      <w:tr w:rsidR="00EC39BD" w:rsidRPr="00AA0B4A" w14:paraId="23A0C971"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814739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3A3161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3</w:t>
            </w:r>
          </w:p>
        </w:tc>
        <w:tc>
          <w:tcPr>
            <w:tcW w:w="739" w:type="pct"/>
            <w:tcBorders>
              <w:top w:val="nil"/>
              <w:left w:val="nil"/>
              <w:bottom w:val="single" w:sz="4" w:space="0" w:color="auto"/>
              <w:right w:val="single" w:sz="4" w:space="0" w:color="auto"/>
            </w:tcBorders>
            <w:shd w:val="clear" w:color="auto" w:fill="FFFF99"/>
            <w:noWrap/>
            <w:vAlign w:val="bottom"/>
          </w:tcPr>
          <w:p w14:paraId="6293323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w:t>
            </w:r>
          </w:p>
        </w:tc>
        <w:tc>
          <w:tcPr>
            <w:tcW w:w="798" w:type="pct"/>
            <w:tcBorders>
              <w:top w:val="nil"/>
              <w:left w:val="nil"/>
              <w:bottom w:val="single" w:sz="4" w:space="0" w:color="auto"/>
              <w:right w:val="single" w:sz="4" w:space="0" w:color="auto"/>
            </w:tcBorders>
            <w:shd w:val="clear" w:color="auto" w:fill="FFFF99"/>
            <w:noWrap/>
            <w:vAlign w:val="bottom"/>
          </w:tcPr>
          <w:p w14:paraId="43FA5B3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w:t>
            </w:r>
          </w:p>
        </w:tc>
        <w:tc>
          <w:tcPr>
            <w:tcW w:w="794" w:type="pct"/>
            <w:tcBorders>
              <w:top w:val="nil"/>
              <w:left w:val="nil"/>
              <w:bottom w:val="single" w:sz="4" w:space="0" w:color="auto"/>
              <w:right w:val="single" w:sz="4" w:space="0" w:color="auto"/>
            </w:tcBorders>
            <w:shd w:val="clear" w:color="auto" w:fill="FFFF99"/>
            <w:vAlign w:val="center"/>
          </w:tcPr>
          <w:p w14:paraId="768A5B1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w:t>
            </w:r>
          </w:p>
        </w:tc>
        <w:tc>
          <w:tcPr>
            <w:tcW w:w="767" w:type="pct"/>
            <w:tcBorders>
              <w:top w:val="nil"/>
              <w:left w:val="nil"/>
              <w:bottom w:val="single" w:sz="4" w:space="0" w:color="auto"/>
              <w:right w:val="single" w:sz="4" w:space="0" w:color="auto"/>
            </w:tcBorders>
            <w:shd w:val="clear" w:color="auto" w:fill="FFFF99"/>
            <w:vAlign w:val="center"/>
          </w:tcPr>
          <w:p w14:paraId="34D67DB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 xml:space="preserve">6 </w:t>
            </w:r>
          </w:p>
        </w:tc>
      </w:tr>
      <w:tr w:rsidR="00EC39BD" w:rsidRPr="00AA0B4A" w14:paraId="24E2797D"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5CBB3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287B5B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26</w:t>
            </w:r>
          </w:p>
        </w:tc>
        <w:tc>
          <w:tcPr>
            <w:tcW w:w="739" w:type="pct"/>
            <w:tcBorders>
              <w:top w:val="nil"/>
              <w:left w:val="nil"/>
              <w:bottom w:val="single" w:sz="4" w:space="0" w:color="auto"/>
              <w:right w:val="single" w:sz="4" w:space="0" w:color="auto"/>
            </w:tcBorders>
            <w:shd w:val="clear" w:color="auto" w:fill="FFFF99"/>
            <w:noWrap/>
            <w:vAlign w:val="bottom"/>
          </w:tcPr>
          <w:p w14:paraId="2B528A1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39</w:t>
            </w:r>
          </w:p>
        </w:tc>
        <w:tc>
          <w:tcPr>
            <w:tcW w:w="798" w:type="pct"/>
            <w:tcBorders>
              <w:top w:val="nil"/>
              <w:left w:val="nil"/>
              <w:bottom w:val="single" w:sz="4" w:space="0" w:color="auto"/>
              <w:right w:val="single" w:sz="4" w:space="0" w:color="auto"/>
            </w:tcBorders>
            <w:shd w:val="clear" w:color="auto" w:fill="FFFF99"/>
            <w:noWrap/>
            <w:vAlign w:val="bottom"/>
          </w:tcPr>
          <w:p w14:paraId="18895E9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31</w:t>
            </w:r>
          </w:p>
        </w:tc>
        <w:tc>
          <w:tcPr>
            <w:tcW w:w="794" w:type="pct"/>
            <w:tcBorders>
              <w:top w:val="nil"/>
              <w:left w:val="nil"/>
              <w:bottom w:val="single" w:sz="4" w:space="0" w:color="auto"/>
              <w:right w:val="single" w:sz="4" w:space="0" w:color="auto"/>
            </w:tcBorders>
            <w:shd w:val="clear" w:color="auto" w:fill="FFFF99"/>
            <w:vAlign w:val="center"/>
          </w:tcPr>
          <w:p w14:paraId="68FDBDF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23</w:t>
            </w:r>
          </w:p>
        </w:tc>
        <w:tc>
          <w:tcPr>
            <w:tcW w:w="767" w:type="pct"/>
            <w:tcBorders>
              <w:top w:val="nil"/>
              <w:left w:val="nil"/>
              <w:bottom w:val="single" w:sz="4" w:space="0" w:color="auto"/>
              <w:right w:val="single" w:sz="4" w:space="0" w:color="auto"/>
            </w:tcBorders>
            <w:shd w:val="clear" w:color="auto" w:fill="FFFF99"/>
            <w:vAlign w:val="center"/>
          </w:tcPr>
          <w:p w14:paraId="696D65A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36</w:t>
            </w:r>
          </w:p>
        </w:tc>
      </w:tr>
      <w:tr w:rsidR="00EC39BD" w:rsidRPr="00AA0B4A" w14:paraId="54EB84FF"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5B698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10EB637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w:t>
            </w:r>
          </w:p>
        </w:tc>
        <w:tc>
          <w:tcPr>
            <w:tcW w:w="739" w:type="pct"/>
            <w:tcBorders>
              <w:top w:val="nil"/>
              <w:left w:val="nil"/>
              <w:bottom w:val="single" w:sz="4" w:space="0" w:color="auto"/>
              <w:right w:val="single" w:sz="4" w:space="0" w:color="auto"/>
            </w:tcBorders>
            <w:shd w:val="clear" w:color="auto" w:fill="FFFF99"/>
            <w:noWrap/>
            <w:vAlign w:val="bottom"/>
          </w:tcPr>
          <w:p w14:paraId="315296E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18</w:t>
            </w:r>
          </w:p>
        </w:tc>
        <w:tc>
          <w:tcPr>
            <w:tcW w:w="798" w:type="pct"/>
            <w:tcBorders>
              <w:top w:val="nil"/>
              <w:left w:val="nil"/>
              <w:bottom w:val="single" w:sz="4" w:space="0" w:color="auto"/>
              <w:right w:val="single" w:sz="4" w:space="0" w:color="auto"/>
            </w:tcBorders>
            <w:shd w:val="clear" w:color="auto" w:fill="FFFF99"/>
            <w:noWrap/>
            <w:vAlign w:val="bottom"/>
          </w:tcPr>
          <w:p w14:paraId="4874063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24</w:t>
            </w:r>
          </w:p>
        </w:tc>
        <w:tc>
          <w:tcPr>
            <w:tcW w:w="794" w:type="pct"/>
            <w:tcBorders>
              <w:top w:val="nil"/>
              <w:left w:val="nil"/>
              <w:bottom w:val="single" w:sz="4" w:space="0" w:color="auto"/>
              <w:right w:val="single" w:sz="4" w:space="0" w:color="auto"/>
            </w:tcBorders>
            <w:shd w:val="clear" w:color="auto" w:fill="FFFF99"/>
            <w:vAlign w:val="center"/>
          </w:tcPr>
          <w:p w14:paraId="262048B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70</w:t>
            </w:r>
          </w:p>
        </w:tc>
        <w:tc>
          <w:tcPr>
            <w:tcW w:w="767" w:type="pct"/>
            <w:tcBorders>
              <w:top w:val="nil"/>
              <w:left w:val="nil"/>
              <w:bottom w:val="single" w:sz="4" w:space="0" w:color="auto"/>
              <w:right w:val="single" w:sz="4" w:space="0" w:color="auto"/>
            </w:tcBorders>
            <w:shd w:val="clear" w:color="auto" w:fill="FFFF99"/>
            <w:vAlign w:val="center"/>
          </w:tcPr>
          <w:p w14:paraId="3F91BC2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49</w:t>
            </w:r>
          </w:p>
        </w:tc>
      </w:tr>
      <w:tr w:rsidR="00EC39BD" w:rsidRPr="00AA0B4A" w14:paraId="733CD714"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5A1542" w14:textId="77777777" w:rsidR="00EC39BD" w:rsidRPr="00AA0B4A" w:rsidRDefault="00EC39BD" w:rsidP="00E55B57">
            <w:pPr>
              <w:spacing w:after="0"/>
              <w:rPr>
                <w:rFonts w:ascii="Times New Roman" w:hAnsi="Times New Roman"/>
                <w:b/>
                <w:bCs/>
                <w:noProof/>
                <w:color w:val="000000"/>
                <w:sz w:val="18"/>
                <w:szCs w:val="18"/>
              </w:rPr>
            </w:pPr>
            <w:r>
              <w:rPr>
                <w:rFonts w:ascii="Times New Roman" w:hAnsi="Times New Roman"/>
                <w:b/>
                <w:noProof/>
                <w:color w:val="000000"/>
                <w:sz w:val="18"/>
              </w:rPr>
              <w:t>TOTAL:</w:t>
            </w:r>
          </w:p>
        </w:tc>
        <w:tc>
          <w:tcPr>
            <w:tcW w:w="739" w:type="pct"/>
            <w:tcBorders>
              <w:top w:val="nil"/>
              <w:left w:val="nil"/>
              <w:bottom w:val="single" w:sz="4" w:space="0" w:color="auto"/>
              <w:right w:val="single" w:sz="4" w:space="0" w:color="auto"/>
            </w:tcBorders>
            <w:shd w:val="clear" w:color="auto" w:fill="FFFF99"/>
            <w:noWrap/>
            <w:vAlign w:val="bottom"/>
          </w:tcPr>
          <w:p w14:paraId="1CEE7107" w14:textId="77777777" w:rsidR="00EC39BD" w:rsidRPr="00AA0B4A" w:rsidRDefault="00EC39BD" w:rsidP="00E55B57">
            <w:pPr>
              <w:spacing w:after="0"/>
              <w:jc w:val="center"/>
              <w:rPr>
                <w:rFonts w:ascii="Times New Roman" w:hAnsi="Times New Roman"/>
                <w:b/>
                <w:bCs/>
                <w:noProof/>
                <w:sz w:val="18"/>
                <w:szCs w:val="18"/>
              </w:rPr>
            </w:pPr>
            <w:r>
              <w:rPr>
                <w:rFonts w:ascii="Times New Roman" w:hAnsi="Times New Roman"/>
                <w:b/>
                <w:noProof/>
                <w:sz w:val="18"/>
              </w:rPr>
              <w:t>322</w:t>
            </w:r>
          </w:p>
        </w:tc>
        <w:tc>
          <w:tcPr>
            <w:tcW w:w="739" w:type="pct"/>
            <w:tcBorders>
              <w:top w:val="nil"/>
              <w:left w:val="nil"/>
              <w:bottom w:val="single" w:sz="4" w:space="0" w:color="auto"/>
              <w:right w:val="single" w:sz="4" w:space="0" w:color="auto"/>
            </w:tcBorders>
            <w:shd w:val="clear" w:color="auto" w:fill="FFFF99"/>
            <w:noWrap/>
            <w:vAlign w:val="bottom"/>
          </w:tcPr>
          <w:p w14:paraId="0272CA2D" w14:textId="77777777" w:rsidR="00EC39BD" w:rsidRPr="00AA0B4A" w:rsidRDefault="00EC39BD" w:rsidP="00E55B57">
            <w:pPr>
              <w:spacing w:after="0"/>
              <w:jc w:val="center"/>
              <w:rPr>
                <w:rFonts w:ascii="Times New Roman" w:hAnsi="Times New Roman"/>
                <w:b/>
                <w:bCs/>
                <w:noProof/>
                <w:sz w:val="18"/>
                <w:szCs w:val="18"/>
              </w:rPr>
            </w:pPr>
            <w:r>
              <w:rPr>
                <w:rFonts w:ascii="Times New Roman" w:hAnsi="Times New Roman"/>
                <w:b/>
                <w:noProof/>
                <w:sz w:val="18"/>
              </w:rPr>
              <w:t>646</w:t>
            </w:r>
          </w:p>
        </w:tc>
        <w:tc>
          <w:tcPr>
            <w:tcW w:w="798" w:type="pct"/>
            <w:tcBorders>
              <w:top w:val="nil"/>
              <w:left w:val="nil"/>
              <w:bottom w:val="single" w:sz="4" w:space="0" w:color="auto"/>
              <w:right w:val="single" w:sz="4" w:space="0" w:color="auto"/>
            </w:tcBorders>
            <w:shd w:val="clear" w:color="auto" w:fill="FFFF99"/>
            <w:noWrap/>
            <w:vAlign w:val="bottom"/>
          </w:tcPr>
          <w:p w14:paraId="08C2CF68" w14:textId="77777777" w:rsidR="00EC39BD" w:rsidRPr="00AA0B4A" w:rsidRDefault="00EC39BD" w:rsidP="00E55B57">
            <w:pPr>
              <w:spacing w:after="0"/>
              <w:jc w:val="center"/>
              <w:rPr>
                <w:rFonts w:ascii="Times New Roman" w:hAnsi="Times New Roman"/>
                <w:b/>
                <w:bCs/>
                <w:noProof/>
                <w:sz w:val="18"/>
                <w:szCs w:val="18"/>
              </w:rPr>
            </w:pPr>
            <w:r>
              <w:rPr>
                <w:rFonts w:ascii="Times New Roman" w:hAnsi="Times New Roman"/>
                <w:b/>
                <w:noProof/>
                <w:sz w:val="18"/>
              </w:rPr>
              <w:t>673</w:t>
            </w:r>
          </w:p>
        </w:tc>
        <w:tc>
          <w:tcPr>
            <w:tcW w:w="794" w:type="pct"/>
            <w:tcBorders>
              <w:top w:val="nil"/>
              <w:left w:val="nil"/>
              <w:bottom w:val="single" w:sz="4" w:space="0" w:color="auto"/>
              <w:right w:val="single" w:sz="4" w:space="0" w:color="auto"/>
            </w:tcBorders>
            <w:shd w:val="clear" w:color="auto" w:fill="FFFF99"/>
            <w:vAlign w:val="center"/>
          </w:tcPr>
          <w:p w14:paraId="349B7EF5" w14:textId="77777777" w:rsidR="00EC39BD" w:rsidRPr="00AA0B4A" w:rsidRDefault="00EC39BD" w:rsidP="00E55B57">
            <w:pPr>
              <w:spacing w:after="0"/>
              <w:jc w:val="center"/>
              <w:rPr>
                <w:rFonts w:ascii="Times New Roman" w:hAnsi="Times New Roman"/>
                <w:b/>
                <w:bCs/>
                <w:noProof/>
                <w:sz w:val="18"/>
                <w:szCs w:val="18"/>
              </w:rPr>
            </w:pPr>
            <w:r>
              <w:rPr>
                <w:rFonts w:ascii="Times New Roman" w:hAnsi="Times New Roman"/>
                <w:b/>
                <w:noProof/>
                <w:sz w:val="18"/>
              </w:rPr>
              <w:t>1476</w:t>
            </w:r>
          </w:p>
        </w:tc>
        <w:tc>
          <w:tcPr>
            <w:tcW w:w="767" w:type="pct"/>
            <w:tcBorders>
              <w:top w:val="nil"/>
              <w:left w:val="nil"/>
              <w:bottom w:val="single" w:sz="4" w:space="0" w:color="auto"/>
              <w:right w:val="single" w:sz="4" w:space="0" w:color="auto"/>
            </w:tcBorders>
            <w:shd w:val="clear" w:color="auto" w:fill="FFFF99"/>
            <w:vAlign w:val="center"/>
          </w:tcPr>
          <w:p w14:paraId="4C6253FC" w14:textId="77777777" w:rsidR="00EC39BD" w:rsidRPr="00AA0B4A" w:rsidRDefault="00EC39BD" w:rsidP="00E55B57">
            <w:pPr>
              <w:spacing w:after="0"/>
              <w:jc w:val="center"/>
              <w:rPr>
                <w:rFonts w:ascii="Times New Roman" w:hAnsi="Times New Roman"/>
                <w:b/>
                <w:bCs/>
                <w:noProof/>
                <w:sz w:val="18"/>
                <w:szCs w:val="18"/>
              </w:rPr>
            </w:pPr>
            <w:r>
              <w:rPr>
                <w:rFonts w:ascii="Times New Roman" w:hAnsi="Times New Roman"/>
                <w:b/>
                <w:noProof/>
                <w:sz w:val="18"/>
              </w:rPr>
              <w:t>1675</w:t>
            </w:r>
          </w:p>
        </w:tc>
      </w:tr>
    </w:tbl>
    <w:p w14:paraId="00140B69" w14:textId="77777777" w:rsidR="00EC39BD" w:rsidRPr="00AA0B4A" w:rsidRDefault="00EC39BD" w:rsidP="00EC39BD">
      <w:pPr>
        <w:spacing w:before="40" w:line="240" w:lineRule="auto"/>
        <w:jc w:val="both"/>
        <w:rPr>
          <w:rFonts w:ascii="Times New Roman" w:hAnsi="Times New Roman"/>
          <w:i/>
          <w:noProof/>
          <w:sz w:val="18"/>
          <w:szCs w:val="18"/>
        </w:rPr>
      </w:pPr>
      <w:r>
        <w:rPr>
          <w:rFonts w:ascii="Times New Roman" w:hAnsi="Times New Roman"/>
          <w:i/>
          <w:noProof/>
          <w:sz w:val="18"/>
        </w:rPr>
        <w:t>* Incluindo reuniões/procedimentos escritos do comité de recurso</w:t>
      </w:r>
    </w:p>
    <w:p w14:paraId="1C06796A" w14:textId="77777777" w:rsidR="00EC39BD" w:rsidRPr="0043776A" w:rsidRDefault="00EC39BD" w:rsidP="00EC39BD">
      <w:pPr>
        <w:spacing w:after="240"/>
        <w:jc w:val="both"/>
        <w:rPr>
          <w:rFonts w:ascii="Times New Roman" w:hAnsi="Times New Roman"/>
          <w:noProof/>
          <w:sz w:val="24"/>
          <w:szCs w:val="24"/>
        </w:rPr>
      </w:pPr>
      <w:r>
        <w:rPr>
          <w:rFonts w:ascii="Times New Roman" w:hAnsi="Times New Roman"/>
          <w:noProof/>
          <w:sz w:val="24"/>
        </w:rPr>
        <w:t xml:space="preserve">Em 2022, realizaram-se </w:t>
      </w:r>
      <w:r>
        <w:rPr>
          <w:rFonts w:ascii="Times New Roman" w:hAnsi="Times New Roman"/>
          <w:b/>
          <w:noProof/>
          <w:sz w:val="24"/>
        </w:rPr>
        <w:t>673 reuniões</w:t>
      </w:r>
      <w:r>
        <w:rPr>
          <w:rFonts w:ascii="Times New Roman" w:hAnsi="Times New Roman"/>
          <w:noProof/>
          <w:sz w:val="24"/>
        </w:rPr>
        <w:t xml:space="preserve">, o que é ligeiramente mais do que em 2021 (646), com </w:t>
      </w:r>
      <w:r>
        <w:rPr>
          <w:rFonts w:ascii="Times New Roman" w:hAnsi="Times New Roman"/>
          <w:b/>
          <w:noProof/>
          <w:sz w:val="24"/>
        </w:rPr>
        <w:t>1675 procedimentos escritos</w:t>
      </w:r>
      <w:r>
        <w:rPr>
          <w:rFonts w:ascii="Times New Roman" w:hAnsi="Times New Roman"/>
          <w:noProof/>
          <w:sz w:val="24"/>
        </w:rPr>
        <w:t>, o que também é um número superior ao do ano anterior (1476).</w:t>
      </w:r>
    </w:p>
    <w:p w14:paraId="3F6C88D0" w14:textId="77777777" w:rsidR="00EC39BD" w:rsidRPr="00AA0B4A" w:rsidRDefault="00EC39BD" w:rsidP="00EC39BD">
      <w:pPr>
        <w:pStyle w:val="ManualHeading2"/>
        <w:spacing w:before="240"/>
        <w:ind w:left="851" w:hanging="851"/>
        <w:rPr>
          <w:noProof/>
        </w:rPr>
      </w:pPr>
      <w:r>
        <w:rPr>
          <w:noProof/>
        </w:rPr>
        <w:t>3.3.</w:t>
      </w:r>
      <w:r>
        <w:rPr>
          <w:noProof/>
        </w:rPr>
        <w:tab/>
        <w:t>Número de pareceres e de atos de execução</w:t>
      </w:r>
    </w:p>
    <w:p w14:paraId="41C9689B" w14:textId="77777777" w:rsidR="00EC39BD" w:rsidRPr="00AA0B4A" w:rsidRDefault="00EC39BD" w:rsidP="00EC39BD">
      <w:pPr>
        <w:spacing w:after="120"/>
        <w:jc w:val="both"/>
        <w:rPr>
          <w:rFonts w:ascii="Times New Roman" w:hAnsi="Times New Roman"/>
          <w:noProof/>
          <w:sz w:val="24"/>
          <w:szCs w:val="24"/>
        </w:rPr>
      </w:pPr>
      <w:r>
        <w:rPr>
          <w:rFonts w:ascii="Times New Roman" w:hAnsi="Times New Roman"/>
          <w:noProof/>
          <w:sz w:val="24"/>
        </w:rPr>
        <w:t>O presente relatório apresenta igualmente os resultados concretos dos comités, o que é outro indicador importante do nível de atividade. O quadro IV apresenta dados globais sobre os pareceres formais emitidos pelos comités e os subsequentes atos de execução adotados pela Comissão</w:t>
      </w:r>
      <w:r>
        <w:rPr>
          <w:rFonts w:ascii="Times New Roman" w:hAnsi="Times New Roman"/>
          <w:noProof/>
          <w:sz w:val="24"/>
          <w:szCs w:val="24"/>
          <w:vertAlign w:val="superscript"/>
        </w:rPr>
        <w:footnoteReference w:id="22"/>
      </w:r>
      <w:r>
        <w:rPr>
          <w:rFonts w:ascii="Times New Roman" w:hAnsi="Times New Roman"/>
          <w:noProof/>
          <w:sz w:val="24"/>
        </w:rPr>
        <w:t>, assinalando igualmente os casos em que o Parlamento Europeu ou o Conselho exerceram os seus direitos de controlo nos termos do artigo 11.º do Regulamento Comitologia.</w:t>
      </w:r>
    </w:p>
    <w:p w14:paraId="66BEE25D" w14:textId="77777777" w:rsidR="00EC39BD" w:rsidRPr="00AA0B4A" w:rsidRDefault="00EC39BD" w:rsidP="00D04E7D">
      <w:pPr>
        <w:keepNext/>
        <w:spacing w:before="240" w:line="240" w:lineRule="auto"/>
        <w:rPr>
          <w:rFonts w:ascii="Times New Roman" w:hAnsi="Times New Roman"/>
          <w:b/>
          <w:smallCaps/>
          <w:noProof/>
          <w:sz w:val="24"/>
          <w:szCs w:val="24"/>
          <w:u w:val="single"/>
        </w:rPr>
      </w:pPr>
      <w:r>
        <w:rPr>
          <w:rFonts w:ascii="Times New Roman" w:hAnsi="Times New Roman"/>
          <w:b/>
          <w:noProof/>
          <w:sz w:val="24"/>
          <w:u w:val="single"/>
        </w:rPr>
        <w:t>QUADRO IV — Número de pareceres e de atos de execução adotados</w:t>
      </w:r>
      <w:r>
        <w:rPr>
          <w:rStyle w:val="FootnoteReference"/>
          <w:rFonts w:ascii="Times New Roman" w:hAnsi="Times New Roman"/>
          <w:b/>
          <w:smallCaps/>
          <w:noProof/>
          <w:sz w:val="24"/>
          <w:szCs w:val="24"/>
          <w:u w:val="single"/>
        </w:rPr>
        <w:footnoteReference w:id="23"/>
      </w:r>
    </w:p>
    <w:tbl>
      <w:tblPr>
        <w:tblW w:w="4885" w:type="pct"/>
        <w:tblInd w:w="108" w:type="dxa"/>
        <w:tblLook w:val="0000" w:firstRow="0" w:lastRow="0" w:firstColumn="0" w:lastColumn="0" w:noHBand="0" w:noVBand="0"/>
      </w:tblPr>
      <w:tblGrid>
        <w:gridCol w:w="2113"/>
        <w:gridCol w:w="1272"/>
        <w:gridCol w:w="1208"/>
        <w:gridCol w:w="1219"/>
        <w:gridCol w:w="1277"/>
        <w:gridCol w:w="1983"/>
      </w:tblGrid>
      <w:tr w:rsidR="00EC39BD" w:rsidRPr="00AA0B4A" w14:paraId="66B55D6B" w14:textId="77777777" w:rsidTr="00E55B57">
        <w:trPr>
          <w:trHeight w:val="525"/>
        </w:trPr>
        <w:tc>
          <w:tcPr>
            <w:tcW w:w="1164"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3FF04BE" w14:textId="77777777" w:rsidR="00EC39BD" w:rsidRPr="00EA7E10"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Serviço da Comissão</w:t>
            </w:r>
          </w:p>
        </w:tc>
        <w:tc>
          <w:tcPr>
            <w:tcW w:w="1367" w:type="pct"/>
            <w:gridSpan w:val="2"/>
            <w:tcBorders>
              <w:top w:val="single" w:sz="4" w:space="0" w:color="auto"/>
              <w:left w:val="nil"/>
              <w:bottom w:val="single" w:sz="4" w:space="0" w:color="auto"/>
              <w:right w:val="single" w:sz="4" w:space="0" w:color="auto"/>
            </w:tcBorders>
            <w:shd w:val="clear" w:color="auto" w:fill="FFFF99"/>
            <w:vAlign w:val="center"/>
          </w:tcPr>
          <w:p w14:paraId="2965C9A3"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Pareceres</w:t>
            </w:r>
            <w:r>
              <w:rPr>
                <w:rStyle w:val="FootnoteReference"/>
                <w:rFonts w:ascii="Times New Roman" w:hAnsi="Times New Roman"/>
                <w:b/>
                <w:noProof/>
                <w:color w:val="000000"/>
                <w:sz w:val="18"/>
                <w:szCs w:val="18"/>
                <w:lang w:eastAsia="en-GB"/>
              </w:rPr>
              <w:footnoteReference w:id="24"/>
            </w:r>
          </w:p>
        </w:tc>
        <w:tc>
          <w:tcPr>
            <w:tcW w:w="1376" w:type="pct"/>
            <w:gridSpan w:val="2"/>
            <w:tcBorders>
              <w:top w:val="single" w:sz="4" w:space="0" w:color="auto"/>
              <w:left w:val="nil"/>
              <w:bottom w:val="single" w:sz="4" w:space="0" w:color="auto"/>
              <w:right w:val="single" w:sz="4" w:space="0" w:color="auto"/>
            </w:tcBorders>
            <w:shd w:val="clear" w:color="auto" w:fill="FFFF99"/>
            <w:vAlign w:val="center"/>
          </w:tcPr>
          <w:p w14:paraId="40F5392C"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Atos de execução</w:t>
            </w:r>
            <w:r>
              <w:rPr>
                <w:noProof/>
              </w:rPr>
              <w:t xml:space="preserve"> </w:t>
            </w:r>
            <w:r>
              <w:rPr>
                <w:noProof/>
              </w:rPr>
              <w:br/>
            </w:r>
            <w:r>
              <w:rPr>
                <w:rFonts w:ascii="Times New Roman" w:hAnsi="Times New Roman"/>
                <w:b/>
                <w:noProof/>
                <w:color w:val="000000"/>
                <w:sz w:val="18"/>
              </w:rPr>
              <w:t>adotados</w:t>
            </w:r>
          </w:p>
        </w:tc>
        <w:tc>
          <w:tcPr>
            <w:tcW w:w="1093" w:type="pct"/>
            <w:tcBorders>
              <w:top w:val="single" w:sz="4" w:space="0" w:color="auto"/>
              <w:left w:val="nil"/>
              <w:bottom w:val="single" w:sz="4" w:space="0" w:color="auto"/>
              <w:right w:val="single" w:sz="4" w:space="0" w:color="auto"/>
            </w:tcBorders>
            <w:shd w:val="clear" w:color="auto" w:fill="FFFF99"/>
            <w:vAlign w:val="center"/>
          </w:tcPr>
          <w:p w14:paraId="1A9F275A"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Resoluções do Parlamento Europeu/Decisões do Conselho (artigo 11.º)</w:t>
            </w:r>
          </w:p>
        </w:tc>
      </w:tr>
      <w:tr w:rsidR="00EC39BD" w:rsidRPr="00AA0B4A" w14:paraId="2BC97FB6"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56CDB4C6" w14:textId="77777777" w:rsidR="00EC39BD" w:rsidRPr="00AA0B4A" w:rsidRDefault="00EC39BD" w:rsidP="00E55B57">
            <w:pPr>
              <w:spacing w:after="0" w:line="240" w:lineRule="auto"/>
              <w:rPr>
                <w:rFonts w:ascii="Times New Roman" w:hAnsi="Times New Roman"/>
                <w:b/>
                <w:noProof/>
                <w:color w:val="000000"/>
                <w:sz w:val="18"/>
                <w:szCs w:val="18"/>
                <w:lang w:eastAsia="en-GB"/>
              </w:rPr>
            </w:pPr>
          </w:p>
        </w:tc>
        <w:tc>
          <w:tcPr>
            <w:tcW w:w="701" w:type="pct"/>
            <w:tcBorders>
              <w:top w:val="nil"/>
              <w:left w:val="single" w:sz="4" w:space="0" w:color="auto"/>
              <w:bottom w:val="single" w:sz="4" w:space="0" w:color="auto"/>
              <w:right w:val="single" w:sz="4" w:space="0" w:color="auto"/>
            </w:tcBorders>
            <w:shd w:val="clear" w:color="auto" w:fill="FFFF99"/>
            <w:vAlign w:val="center"/>
          </w:tcPr>
          <w:p w14:paraId="2C9D0724"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2021</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F27C98B"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c>
          <w:tcPr>
            <w:tcW w:w="672" w:type="pct"/>
            <w:tcBorders>
              <w:top w:val="nil"/>
              <w:left w:val="single" w:sz="4" w:space="0" w:color="auto"/>
              <w:bottom w:val="single" w:sz="4" w:space="0" w:color="auto"/>
              <w:right w:val="single" w:sz="4" w:space="0" w:color="auto"/>
            </w:tcBorders>
            <w:shd w:val="clear" w:color="auto" w:fill="FFFF99"/>
            <w:vAlign w:val="center"/>
          </w:tcPr>
          <w:p w14:paraId="546BAEB0"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2021</w:t>
            </w:r>
          </w:p>
        </w:tc>
        <w:tc>
          <w:tcPr>
            <w:tcW w:w="704" w:type="pct"/>
            <w:tcBorders>
              <w:top w:val="nil"/>
              <w:left w:val="single" w:sz="4" w:space="0" w:color="auto"/>
              <w:bottom w:val="single" w:sz="4" w:space="0" w:color="auto"/>
              <w:right w:val="single" w:sz="4" w:space="0" w:color="auto"/>
            </w:tcBorders>
            <w:shd w:val="clear" w:color="auto" w:fill="FFFF99"/>
            <w:noWrap/>
            <w:vAlign w:val="center"/>
          </w:tcPr>
          <w:p w14:paraId="421983EF"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c>
          <w:tcPr>
            <w:tcW w:w="1093" w:type="pct"/>
            <w:tcBorders>
              <w:top w:val="nil"/>
              <w:left w:val="single" w:sz="4" w:space="0" w:color="auto"/>
              <w:bottom w:val="single" w:sz="4" w:space="0" w:color="auto"/>
              <w:right w:val="single" w:sz="4" w:space="0" w:color="auto"/>
            </w:tcBorders>
            <w:shd w:val="clear" w:color="auto" w:fill="FFFF99"/>
            <w:noWrap/>
            <w:vAlign w:val="center"/>
          </w:tcPr>
          <w:p w14:paraId="67E7342D"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r>
      <w:tr w:rsidR="00EC39BD" w:rsidRPr="00AA0B4A" w14:paraId="2EAAECBB"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C35290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01" w:type="pct"/>
            <w:tcBorders>
              <w:top w:val="nil"/>
              <w:left w:val="single" w:sz="4" w:space="0" w:color="auto"/>
              <w:bottom w:val="single" w:sz="4" w:space="0" w:color="auto"/>
              <w:right w:val="single" w:sz="4" w:space="0" w:color="auto"/>
            </w:tcBorders>
            <w:shd w:val="clear" w:color="auto" w:fill="FFFF99"/>
            <w:vAlign w:val="center"/>
          </w:tcPr>
          <w:p w14:paraId="4E73EF6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101</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50B4E21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6518C3A"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100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17D760C"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100</w:t>
            </w:r>
          </w:p>
        </w:tc>
        <w:tc>
          <w:tcPr>
            <w:tcW w:w="1093" w:type="pct"/>
            <w:tcBorders>
              <w:top w:val="nil"/>
              <w:left w:val="single" w:sz="4" w:space="0" w:color="auto"/>
              <w:bottom w:val="single" w:sz="4" w:space="0" w:color="auto"/>
              <w:right w:val="single" w:sz="4" w:space="0" w:color="auto"/>
            </w:tcBorders>
            <w:shd w:val="clear" w:color="auto" w:fill="FFFF99"/>
            <w:noWrap/>
            <w:vAlign w:val="center"/>
          </w:tcPr>
          <w:p w14:paraId="0526703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6E936C0C"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E488F1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0A7027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521621E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361EE425"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5A2341BF"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1093" w:type="pct"/>
            <w:tcBorders>
              <w:top w:val="nil"/>
              <w:left w:val="single" w:sz="4" w:space="0" w:color="auto"/>
              <w:bottom w:val="single" w:sz="4" w:space="0" w:color="auto"/>
              <w:right w:val="single" w:sz="4" w:space="0" w:color="auto"/>
            </w:tcBorders>
            <w:shd w:val="clear" w:color="auto" w:fill="FFFF99"/>
            <w:noWrap/>
          </w:tcPr>
          <w:p w14:paraId="159E223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2BDD5147"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8A500EC"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01" w:type="pct"/>
            <w:tcBorders>
              <w:top w:val="nil"/>
              <w:left w:val="single" w:sz="4" w:space="0" w:color="auto"/>
              <w:bottom w:val="single" w:sz="4" w:space="0" w:color="auto"/>
              <w:right w:val="single" w:sz="4" w:space="0" w:color="auto"/>
            </w:tcBorders>
            <w:shd w:val="clear" w:color="auto" w:fill="FFFF99"/>
            <w:vAlign w:val="center"/>
          </w:tcPr>
          <w:p w14:paraId="5D211B4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9</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5A1F44F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CA55B9E"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9</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6EB8BCD3"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5</w:t>
            </w:r>
          </w:p>
        </w:tc>
        <w:tc>
          <w:tcPr>
            <w:tcW w:w="1093" w:type="pct"/>
            <w:tcBorders>
              <w:top w:val="nil"/>
              <w:left w:val="single" w:sz="4" w:space="0" w:color="auto"/>
              <w:bottom w:val="single" w:sz="4" w:space="0" w:color="auto"/>
              <w:right w:val="single" w:sz="4" w:space="0" w:color="auto"/>
            </w:tcBorders>
            <w:shd w:val="clear" w:color="auto" w:fill="FFFF99"/>
            <w:noWrap/>
          </w:tcPr>
          <w:p w14:paraId="4030D16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2DC8B9D1"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483DEDE"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209CED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43</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D506F3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31</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1C830EE"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41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809F607"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30</w:t>
            </w:r>
          </w:p>
        </w:tc>
        <w:tc>
          <w:tcPr>
            <w:tcW w:w="1093" w:type="pct"/>
            <w:tcBorders>
              <w:top w:val="nil"/>
              <w:left w:val="single" w:sz="4" w:space="0" w:color="auto"/>
              <w:bottom w:val="single" w:sz="4" w:space="0" w:color="auto"/>
              <w:right w:val="single" w:sz="4" w:space="0" w:color="auto"/>
            </w:tcBorders>
            <w:shd w:val="clear" w:color="auto" w:fill="FFFF99"/>
            <w:noWrap/>
          </w:tcPr>
          <w:p w14:paraId="01301CA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4D04A9E7"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088D5DC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DEFIS</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253218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19</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A3AEB4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161358A"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14</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94F9B0B"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16</w:t>
            </w:r>
          </w:p>
        </w:tc>
        <w:tc>
          <w:tcPr>
            <w:tcW w:w="1093" w:type="pct"/>
            <w:tcBorders>
              <w:top w:val="nil"/>
              <w:left w:val="single" w:sz="4" w:space="0" w:color="auto"/>
              <w:bottom w:val="single" w:sz="4" w:space="0" w:color="auto"/>
              <w:right w:val="single" w:sz="4" w:space="0" w:color="auto"/>
            </w:tcBorders>
            <w:shd w:val="clear" w:color="auto" w:fill="FFFF99"/>
            <w:noWrap/>
          </w:tcPr>
          <w:p w14:paraId="4DFBB96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0EE57E74"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46F6E04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0806EA1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0C4E8C0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3C5FD4EB"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378216C"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1093" w:type="pct"/>
            <w:tcBorders>
              <w:top w:val="nil"/>
              <w:left w:val="single" w:sz="4" w:space="0" w:color="auto"/>
              <w:bottom w:val="single" w:sz="4" w:space="0" w:color="auto"/>
              <w:right w:val="single" w:sz="4" w:space="0" w:color="auto"/>
            </w:tcBorders>
            <w:shd w:val="clear" w:color="auto" w:fill="FFFF99"/>
            <w:noWrap/>
          </w:tcPr>
          <w:p w14:paraId="72A7153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191DF1B0"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530E6B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00F7AE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CEBD9B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21</w:t>
            </w:r>
          </w:p>
        </w:tc>
        <w:tc>
          <w:tcPr>
            <w:tcW w:w="672" w:type="pct"/>
            <w:tcBorders>
              <w:top w:val="nil"/>
              <w:left w:val="single" w:sz="4" w:space="0" w:color="auto"/>
              <w:bottom w:val="single" w:sz="4" w:space="0" w:color="auto"/>
              <w:right w:val="single" w:sz="4" w:space="0" w:color="auto"/>
            </w:tcBorders>
            <w:shd w:val="clear" w:color="auto" w:fill="FFFF99"/>
            <w:vAlign w:val="bottom"/>
          </w:tcPr>
          <w:p w14:paraId="3F0D53B2"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8</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7D50AF4C"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24</w:t>
            </w:r>
          </w:p>
        </w:tc>
        <w:tc>
          <w:tcPr>
            <w:tcW w:w="1093" w:type="pct"/>
            <w:tcBorders>
              <w:top w:val="nil"/>
              <w:left w:val="single" w:sz="4" w:space="0" w:color="auto"/>
              <w:bottom w:val="single" w:sz="4" w:space="0" w:color="auto"/>
              <w:right w:val="single" w:sz="4" w:space="0" w:color="auto"/>
            </w:tcBorders>
            <w:shd w:val="clear" w:color="auto" w:fill="FFFF99"/>
            <w:noWrap/>
          </w:tcPr>
          <w:p w14:paraId="1B61FC6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0692E9AA"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CCDABB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01" w:type="pct"/>
            <w:tcBorders>
              <w:top w:val="nil"/>
              <w:left w:val="single" w:sz="4" w:space="0" w:color="auto"/>
              <w:bottom w:val="single" w:sz="4" w:space="0" w:color="auto"/>
              <w:right w:val="single" w:sz="4" w:space="0" w:color="auto"/>
            </w:tcBorders>
            <w:shd w:val="clear" w:color="auto" w:fill="FFFF99"/>
            <w:vAlign w:val="center"/>
          </w:tcPr>
          <w:p w14:paraId="6941E0A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1F54379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17</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CE57C49"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ADDF3F5"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17</w:t>
            </w:r>
          </w:p>
        </w:tc>
        <w:tc>
          <w:tcPr>
            <w:tcW w:w="1093" w:type="pct"/>
            <w:tcBorders>
              <w:top w:val="nil"/>
              <w:left w:val="single" w:sz="4" w:space="0" w:color="auto"/>
              <w:bottom w:val="single" w:sz="4" w:space="0" w:color="auto"/>
              <w:right w:val="single" w:sz="4" w:space="0" w:color="auto"/>
            </w:tcBorders>
            <w:shd w:val="clear" w:color="auto" w:fill="FFFF99"/>
            <w:noWrap/>
          </w:tcPr>
          <w:p w14:paraId="7FE4C62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25B26B71"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4D1ADF6C"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AFA02B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0446B6B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13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7DD5A76"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9</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71E4269F"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13</w:t>
            </w:r>
          </w:p>
        </w:tc>
        <w:tc>
          <w:tcPr>
            <w:tcW w:w="1093" w:type="pct"/>
            <w:tcBorders>
              <w:top w:val="nil"/>
              <w:left w:val="single" w:sz="4" w:space="0" w:color="auto"/>
              <w:bottom w:val="single" w:sz="4" w:space="0" w:color="auto"/>
              <w:right w:val="single" w:sz="4" w:space="0" w:color="auto"/>
            </w:tcBorders>
            <w:shd w:val="clear" w:color="auto" w:fill="FFFF99"/>
            <w:noWrap/>
          </w:tcPr>
          <w:p w14:paraId="58AAA61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361EA8BC"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48D0928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01" w:type="pct"/>
            <w:tcBorders>
              <w:top w:val="nil"/>
              <w:left w:val="single" w:sz="4" w:space="0" w:color="auto"/>
              <w:bottom w:val="single" w:sz="4" w:space="0" w:color="auto"/>
              <w:right w:val="single" w:sz="4" w:space="0" w:color="auto"/>
            </w:tcBorders>
            <w:shd w:val="clear" w:color="auto" w:fill="FFFF99"/>
            <w:vAlign w:val="center"/>
          </w:tcPr>
          <w:p w14:paraId="04926C5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0053D00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color w:val="000000"/>
                <w:sz w:val="18"/>
              </w:rPr>
              <w:t>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A615944"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73AA57AC"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1093" w:type="pct"/>
            <w:tcBorders>
              <w:top w:val="nil"/>
              <w:left w:val="single" w:sz="4" w:space="0" w:color="auto"/>
              <w:bottom w:val="single" w:sz="4" w:space="0" w:color="auto"/>
              <w:right w:val="single" w:sz="4" w:space="0" w:color="auto"/>
            </w:tcBorders>
            <w:shd w:val="clear" w:color="auto" w:fill="FFFF99"/>
            <w:noWrap/>
          </w:tcPr>
          <w:p w14:paraId="68F2652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62D7ABBC"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513C16E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01" w:type="pct"/>
            <w:tcBorders>
              <w:top w:val="nil"/>
              <w:left w:val="single" w:sz="4" w:space="0" w:color="auto"/>
              <w:bottom w:val="single" w:sz="4" w:space="0" w:color="auto"/>
              <w:right w:val="single" w:sz="4" w:space="0" w:color="auto"/>
            </w:tcBorders>
            <w:shd w:val="clear" w:color="auto" w:fill="FFFF99"/>
            <w:vAlign w:val="center"/>
          </w:tcPr>
          <w:p w14:paraId="0947774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5B6E29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41E8202"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16E5C72"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21</w:t>
            </w:r>
          </w:p>
        </w:tc>
        <w:tc>
          <w:tcPr>
            <w:tcW w:w="1093" w:type="pct"/>
            <w:tcBorders>
              <w:top w:val="nil"/>
              <w:left w:val="single" w:sz="4" w:space="0" w:color="auto"/>
              <w:bottom w:val="single" w:sz="4" w:space="0" w:color="auto"/>
              <w:right w:val="single" w:sz="4" w:space="0" w:color="auto"/>
            </w:tcBorders>
            <w:shd w:val="clear" w:color="auto" w:fill="FFFF99"/>
            <w:noWrap/>
          </w:tcPr>
          <w:p w14:paraId="41DD537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5567F588"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06E42B4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A5D36C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24</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650B776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3EFFDFD"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 xml:space="preserve">15 </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28EF9167"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22</w:t>
            </w:r>
          </w:p>
        </w:tc>
        <w:tc>
          <w:tcPr>
            <w:tcW w:w="1093" w:type="pct"/>
            <w:tcBorders>
              <w:top w:val="nil"/>
              <w:left w:val="single" w:sz="4" w:space="0" w:color="auto"/>
              <w:bottom w:val="single" w:sz="4" w:space="0" w:color="auto"/>
              <w:right w:val="single" w:sz="4" w:space="0" w:color="auto"/>
            </w:tcBorders>
            <w:shd w:val="clear" w:color="auto" w:fill="FFFF99"/>
            <w:noWrap/>
          </w:tcPr>
          <w:p w14:paraId="09A9E2A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18E1751B"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0434158"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F2E85C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16</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6CE7DE8"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AC0EEB2"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15</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691EC18"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9</w:t>
            </w:r>
          </w:p>
        </w:tc>
        <w:tc>
          <w:tcPr>
            <w:tcW w:w="1093" w:type="pct"/>
            <w:tcBorders>
              <w:top w:val="nil"/>
              <w:left w:val="single" w:sz="4" w:space="0" w:color="auto"/>
              <w:bottom w:val="single" w:sz="4" w:space="0" w:color="auto"/>
              <w:right w:val="single" w:sz="4" w:space="0" w:color="auto"/>
            </w:tcBorders>
            <w:shd w:val="clear" w:color="auto" w:fill="FFFF99"/>
            <w:noWrap/>
          </w:tcPr>
          <w:p w14:paraId="671B2ED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17964B8D"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C5655B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7231D3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22</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592437E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D821F04" w14:textId="72C5F0AC" w:rsidR="00EC39BD" w:rsidRPr="00AA0B4A" w:rsidRDefault="00EC39BD" w:rsidP="00D9583E">
            <w:pPr>
              <w:spacing w:after="0"/>
              <w:jc w:val="center"/>
              <w:rPr>
                <w:rFonts w:ascii="Times New Roman" w:hAnsi="Times New Roman"/>
                <w:noProof/>
                <w:sz w:val="18"/>
                <w:szCs w:val="18"/>
              </w:rPr>
            </w:pPr>
            <w:r>
              <w:rPr>
                <w:rFonts w:ascii="Times New Roman" w:hAnsi="Times New Roman"/>
                <w:noProof/>
                <w:sz w:val="18"/>
              </w:rPr>
              <w:t>18</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63ECC4D4"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22</w:t>
            </w:r>
          </w:p>
        </w:tc>
        <w:tc>
          <w:tcPr>
            <w:tcW w:w="1093" w:type="pct"/>
            <w:tcBorders>
              <w:top w:val="nil"/>
              <w:left w:val="single" w:sz="4" w:space="0" w:color="auto"/>
              <w:bottom w:val="single" w:sz="4" w:space="0" w:color="auto"/>
              <w:right w:val="single" w:sz="4" w:space="0" w:color="auto"/>
            </w:tcBorders>
            <w:shd w:val="clear" w:color="auto" w:fill="FFFF99"/>
            <w:noWrap/>
          </w:tcPr>
          <w:p w14:paraId="0D47D3D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7BE70699"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BDD2A6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01" w:type="pct"/>
            <w:tcBorders>
              <w:top w:val="nil"/>
              <w:left w:val="single" w:sz="4" w:space="0" w:color="auto"/>
              <w:bottom w:val="single" w:sz="4" w:space="0" w:color="auto"/>
              <w:right w:val="single" w:sz="4" w:space="0" w:color="auto"/>
            </w:tcBorders>
            <w:shd w:val="clear" w:color="auto" w:fill="FFFF99"/>
            <w:vAlign w:val="center"/>
          </w:tcPr>
          <w:p w14:paraId="6EB0848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04D8805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0C1437C"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11469B68"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 xml:space="preserve"> 4</w:t>
            </w:r>
          </w:p>
        </w:tc>
        <w:tc>
          <w:tcPr>
            <w:tcW w:w="1093" w:type="pct"/>
            <w:tcBorders>
              <w:top w:val="nil"/>
              <w:left w:val="single" w:sz="4" w:space="0" w:color="auto"/>
              <w:bottom w:val="single" w:sz="4" w:space="0" w:color="auto"/>
              <w:right w:val="single" w:sz="4" w:space="0" w:color="auto"/>
            </w:tcBorders>
            <w:shd w:val="clear" w:color="auto" w:fill="FFFF99"/>
            <w:noWrap/>
          </w:tcPr>
          <w:p w14:paraId="5CC49077"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31B6AA94"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8F50A2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B943E1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62</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211E8E6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C492EE1"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31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E982916"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73</w:t>
            </w:r>
          </w:p>
        </w:tc>
        <w:tc>
          <w:tcPr>
            <w:tcW w:w="1093" w:type="pct"/>
            <w:tcBorders>
              <w:top w:val="nil"/>
              <w:left w:val="single" w:sz="4" w:space="0" w:color="auto"/>
              <w:bottom w:val="single" w:sz="4" w:space="0" w:color="auto"/>
              <w:right w:val="single" w:sz="4" w:space="0" w:color="auto"/>
            </w:tcBorders>
            <w:shd w:val="clear" w:color="auto" w:fill="FFFF99"/>
            <w:noWrap/>
          </w:tcPr>
          <w:p w14:paraId="7E6CDF1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630C92C2"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47BABF1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6242A31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67</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1775DE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58</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B59673D"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36</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3FDA7B95"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49</w:t>
            </w:r>
          </w:p>
        </w:tc>
        <w:tc>
          <w:tcPr>
            <w:tcW w:w="1093" w:type="pct"/>
            <w:tcBorders>
              <w:top w:val="nil"/>
              <w:left w:val="single" w:sz="4" w:space="0" w:color="auto"/>
              <w:bottom w:val="single" w:sz="4" w:space="0" w:color="auto"/>
              <w:right w:val="single" w:sz="4" w:space="0" w:color="auto"/>
            </w:tcBorders>
            <w:shd w:val="clear" w:color="auto" w:fill="FFFF99"/>
            <w:noWrap/>
          </w:tcPr>
          <w:p w14:paraId="3BC3D69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10AA86F3"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466FAE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INTPA</w:t>
            </w:r>
          </w:p>
        </w:tc>
        <w:tc>
          <w:tcPr>
            <w:tcW w:w="701" w:type="pct"/>
            <w:tcBorders>
              <w:top w:val="nil"/>
              <w:left w:val="single" w:sz="4" w:space="0" w:color="auto"/>
              <w:bottom w:val="single" w:sz="4" w:space="0" w:color="auto"/>
              <w:right w:val="single" w:sz="4" w:space="0" w:color="auto"/>
            </w:tcBorders>
            <w:shd w:val="clear" w:color="auto" w:fill="FFFF99"/>
            <w:vAlign w:val="center"/>
          </w:tcPr>
          <w:p w14:paraId="2DB3AB3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168</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60BBFAE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106</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6944F6C"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 xml:space="preserve">167 </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22B7B93A"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104</w:t>
            </w:r>
          </w:p>
        </w:tc>
        <w:tc>
          <w:tcPr>
            <w:tcW w:w="1093" w:type="pct"/>
            <w:tcBorders>
              <w:top w:val="nil"/>
              <w:left w:val="single" w:sz="4" w:space="0" w:color="auto"/>
              <w:bottom w:val="single" w:sz="4" w:space="0" w:color="auto"/>
              <w:right w:val="single" w:sz="4" w:space="0" w:color="auto"/>
            </w:tcBorders>
            <w:shd w:val="clear" w:color="auto" w:fill="FFFF99"/>
            <w:noWrap/>
          </w:tcPr>
          <w:p w14:paraId="7D49BB7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4D4A66A6"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907D85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D03670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9</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4695823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0B0602C"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8</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3966780A"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9</w:t>
            </w:r>
          </w:p>
        </w:tc>
        <w:tc>
          <w:tcPr>
            <w:tcW w:w="1093" w:type="pct"/>
            <w:tcBorders>
              <w:top w:val="nil"/>
              <w:left w:val="single" w:sz="4" w:space="0" w:color="auto"/>
              <w:bottom w:val="single" w:sz="4" w:space="0" w:color="auto"/>
              <w:right w:val="single" w:sz="4" w:space="0" w:color="auto"/>
            </w:tcBorders>
            <w:shd w:val="clear" w:color="auto" w:fill="FFFF99"/>
            <w:noWrap/>
          </w:tcPr>
          <w:p w14:paraId="2B17DB7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5B38D0F5"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3A50DE06"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4B625F5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16</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7F0CB0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BA88789"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9</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5B643FA6"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19</w:t>
            </w:r>
          </w:p>
        </w:tc>
        <w:tc>
          <w:tcPr>
            <w:tcW w:w="1093" w:type="pct"/>
            <w:tcBorders>
              <w:top w:val="nil"/>
              <w:left w:val="single" w:sz="4" w:space="0" w:color="auto"/>
              <w:bottom w:val="single" w:sz="4" w:space="0" w:color="auto"/>
              <w:right w:val="single" w:sz="4" w:space="0" w:color="auto"/>
            </w:tcBorders>
            <w:shd w:val="clear" w:color="auto" w:fill="FFFF99"/>
            <w:noWrap/>
          </w:tcPr>
          <w:p w14:paraId="2FEABBF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2D7A095D"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DB540F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D8AF8A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64</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7772418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48</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54A06CE"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61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33F3F06B"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55</w:t>
            </w:r>
          </w:p>
        </w:tc>
        <w:tc>
          <w:tcPr>
            <w:tcW w:w="1093" w:type="pct"/>
            <w:tcBorders>
              <w:top w:val="nil"/>
              <w:left w:val="single" w:sz="4" w:space="0" w:color="auto"/>
              <w:bottom w:val="single" w:sz="4" w:space="0" w:color="auto"/>
              <w:right w:val="single" w:sz="4" w:space="0" w:color="auto"/>
            </w:tcBorders>
            <w:shd w:val="clear" w:color="auto" w:fill="FFFF99"/>
            <w:noWrap/>
          </w:tcPr>
          <w:p w14:paraId="305AFBC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1EA2BAF4"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3DC6093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15CEB1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40</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4B46060"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 xml:space="preserve">110 </w:t>
            </w:r>
          </w:p>
        </w:tc>
        <w:tc>
          <w:tcPr>
            <w:tcW w:w="672" w:type="pct"/>
            <w:tcBorders>
              <w:top w:val="nil"/>
              <w:left w:val="single" w:sz="4" w:space="0" w:color="auto"/>
              <w:bottom w:val="single" w:sz="4" w:space="0" w:color="auto"/>
              <w:right w:val="single" w:sz="4" w:space="0" w:color="auto"/>
            </w:tcBorders>
            <w:shd w:val="clear" w:color="auto" w:fill="FFFF99"/>
            <w:vAlign w:val="bottom"/>
          </w:tcPr>
          <w:p w14:paraId="66E1F633"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40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5AEECA1"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108</w:t>
            </w:r>
          </w:p>
        </w:tc>
        <w:tc>
          <w:tcPr>
            <w:tcW w:w="1093" w:type="pct"/>
            <w:tcBorders>
              <w:top w:val="nil"/>
              <w:left w:val="single" w:sz="4" w:space="0" w:color="auto"/>
              <w:bottom w:val="single" w:sz="4" w:space="0" w:color="auto"/>
              <w:right w:val="single" w:sz="4" w:space="0" w:color="auto"/>
            </w:tcBorders>
            <w:shd w:val="clear" w:color="auto" w:fill="FFFF99"/>
            <w:noWrap/>
          </w:tcPr>
          <w:p w14:paraId="22B897C2"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593211BD"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3EAF56F" w14:textId="77777777" w:rsidR="00EC39BD" w:rsidRPr="00AA0B4A" w:rsidRDefault="00EC39BD" w:rsidP="00E55B57">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01" w:type="pct"/>
            <w:tcBorders>
              <w:top w:val="nil"/>
              <w:left w:val="single" w:sz="4" w:space="0" w:color="auto"/>
              <w:bottom w:val="single" w:sz="4" w:space="0" w:color="auto"/>
              <w:right w:val="single" w:sz="4" w:space="0" w:color="auto"/>
            </w:tcBorders>
            <w:shd w:val="clear" w:color="auto" w:fill="FFFF99"/>
            <w:vAlign w:val="center"/>
          </w:tcPr>
          <w:p w14:paraId="47D69883"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0</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0EA5B6B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65FCEF2"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2492D76F"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0</w:t>
            </w:r>
          </w:p>
        </w:tc>
        <w:tc>
          <w:tcPr>
            <w:tcW w:w="1093" w:type="pct"/>
            <w:tcBorders>
              <w:top w:val="nil"/>
              <w:left w:val="single" w:sz="4" w:space="0" w:color="auto"/>
              <w:bottom w:val="single" w:sz="4" w:space="0" w:color="auto"/>
              <w:right w:val="single" w:sz="4" w:space="0" w:color="auto"/>
            </w:tcBorders>
            <w:shd w:val="clear" w:color="auto" w:fill="FFFF99"/>
            <w:noWrap/>
          </w:tcPr>
          <w:p w14:paraId="305F75AC"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0</w:t>
            </w:r>
          </w:p>
        </w:tc>
      </w:tr>
      <w:tr w:rsidR="00EC39BD" w:rsidRPr="00AA0B4A" w14:paraId="21B9DD95"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0DF59B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REFORM</w:t>
            </w:r>
          </w:p>
        </w:tc>
        <w:tc>
          <w:tcPr>
            <w:tcW w:w="701" w:type="pct"/>
            <w:tcBorders>
              <w:top w:val="nil"/>
              <w:left w:val="single" w:sz="4" w:space="0" w:color="auto"/>
              <w:bottom w:val="single" w:sz="4" w:space="0" w:color="auto"/>
              <w:right w:val="single" w:sz="4" w:space="0" w:color="auto"/>
            </w:tcBorders>
            <w:shd w:val="clear" w:color="auto" w:fill="FFFF99"/>
            <w:vAlign w:val="center"/>
          </w:tcPr>
          <w:p w14:paraId="4381F4C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6B98901E" w14:textId="77777777" w:rsidR="00EC39BD"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2</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6DDCB94"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15D7D033"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1</w:t>
            </w:r>
          </w:p>
        </w:tc>
        <w:tc>
          <w:tcPr>
            <w:tcW w:w="1093" w:type="pct"/>
            <w:tcBorders>
              <w:top w:val="nil"/>
              <w:left w:val="single" w:sz="4" w:space="0" w:color="auto"/>
              <w:bottom w:val="single" w:sz="4" w:space="0" w:color="auto"/>
              <w:right w:val="single" w:sz="4" w:space="0" w:color="auto"/>
            </w:tcBorders>
            <w:shd w:val="clear" w:color="auto" w:fill="FFFF99"/>
            <w:noWrap/>
          </w:tcPr>
          <w:p w14:paraId="135AE96E" w14:textId="77777777" w:rsidR="00EC39BD" w:rsidRPr="006E7441"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6AD66A94"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2764E9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FB17F79"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7741A9A"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C2D510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5</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518A2D2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5</w:t>
            </w:r>
          </w:p>
        </w:tc>
        <w:tc>
          <w:tcPr>
            <w:tcW w:w="1093" w:type="pct"/>
            <w:tcBorders>
              <w:top w:val="nil"/>
              <w:left w:val="single" w:sz="4" w:space="0" w:color="auto"/>
              <w:bottom w:val="single" w:sz="4" w:space="0" w:color="auto"/>
              <w:right w:val="single" w:sz="4" w:space="0" w:color="auto"/>
            </w:tcBorders>
            <w:shd w:val="clear" w:color="auto" w:fill="FFFF99"/>
            <w:noWrap/>
          </w:tcPr>
          <w:p w14:paraId="3CF3AA3B"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3865074A"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3EC3A51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2A1C1A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149</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428F943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354</w:t>
            </w:r>
          </w:p>
        </w:tc>
        <w:tc>
          <w:tcPr>
            <w:tcW w:w="672" w:type="pct"/>
            <w:tcBorders>
              <w:top w:val="nil"/>
              <w:left w:val="single" w:sz="4" w:space="0" w:color="auto"/>
              <w:bottom w:val="single" w:sz="4" w:space="0" w:color="auto"/>
              <w:right w:val="single" w:sz="4" w:space="0" w:color="auto"/>
            </w:tcBorders>
            <w:shd w:val="clear" w:color="auto" w:fill="FFFF99"/>
            <w:vAlign w:val="bottom"/>
          </w:tcPr>
          <w:p w14:paraId="1934D1FA"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110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1A6823D0"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333</w:t>
            </w:r>
          </w:p>
        </w:tc>
        <w:tc>
          <w:tcPr>
            <w:tcW w:w="1093" w:type="pct"/>
            <w:tcBorders>
              <w:top w:val="nil"/>
              <w:left w:val="single" w:sz="4" w:space="0" w:color="auto"/>
              <w:bottom w:val="single" w:sz="4" w:space="0" w:color="auto"/>
              <w:right w:val="single" w:sz="4" w:space="0" w:color="auto"/>
            </w:tcBorders>
            <w:shd w:val="clear" w:color="auto" w:fill="FFFF99"/>
            <w:noWrap/>
          </w:tcPr>
          <w:p w14:paraId="28329AB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2A6D3855"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6D561F3" w14:textId="77777777" w:rsidR="00EC39BD" w:rsidRPr="00AA0B4A" w:rsidRDefault="00EC39BD" w:rsidP="00E55B57">
            <w:pPr>
              <w:spacing w:after="0" w:line="36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31B665F"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818</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D32FBB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819</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7F06876" w14:textId="77777777" w:rsidR="00EC39BD" w:rsidRPr="00B83A9D" w:rsidRDefault="00EC39BD" w:rsidP="00E55B57">
            <w:pPr>
              <w:spacing w:after="0" w:line="360" w:lineRule="auto"/>
              <w:jc w:val="center"/>
              <w:rPr>
                <w:rFonts w:ascii="Times New Roman" w:hAnsi="Times New Roman"/>
                <w:noProof/>
                <w:sz w:val="18"/>
                <w:szCs w:val="18"/>
              </w:rPr>
            </w:pPr>
            <w:r>
              <w:rPr>
                <w:rFonts w:ascii="Times New Roman" w:hAnsi="Times New Roman"/>
                <w:noProof/>
                <w:sz w:val="18"/>
              </w:rPr>
              <w:t>775</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6CE458CC" w14:textId="77777777" w:rsidR="00EC39BD" w:rsidRPr="00AA0B4A" w:rsidRDefault="00EC39BD" w:rsidP="00E55B57">
            <w:pPr>
              <w:spacing w:after="0" w:line="360" w:lineRule="auto"/>
              <w:jc w:val="center"/>
              <w:rPr>
                <w:rFonts w:ascii="Times New Roman" w:hAnsi="Times New Roman"/>
                <w:noProof/>
                <w:sz w:val="18"/>
                <w:szCs w:val="18"/>
              </w:rPr>
            </w:pPr>
            <w:r>
              <w:rPr>
                <w:rFonts w:ascii="Times New Roman" w:hAnsi="Times New Roman"/>
                <w:noProof/>
                <w:sz w:val="18"/>
              </w:rPr>
              <w:t>907</w:t>
            </w:r>
          </w:p>
        </w:tc>
        <w:tc>
          <w:tcPr>
            <w:tcW w:w="1093" w:type="pct"/>
            <w:tcBorders>
              <w:top w:val="nil"/>
              <w:left w:val="single" w:sz="4" w:space="0" w:color="auto"/>
              <w:bottom w:val="single" w:sz="4" w:space="0" w:color="auto"/>
              <w:right w:val="single" w:sz="4" w:space="0" w:color="auto"/>
            </w:tcBorders>
            <w:shd w:val="clear" w:color="auto" w:fill="FFFF99"/>
            <w:noWrap/>
          </w:tcPr>
          <w:p w14:paraId="0F2F7376" w14:textId="05F45E6B"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w:t>
            </w:r>
            <w:r>
              <w:rPr>
                <w:noProof/>
              </w:rPr>
              <w:br/>
            </w:r>
            <w:r>
              <w:rPr>
                <w:rFonts w:ascii="Times New Roman" w:hAnsi="Times New Roman"/>
                <w:noProof/>
                <w:sz w:val="18"/>
              </w:rPr>
              <w:t>(Parlamento Europeu)</w:t>
            </w:r>
          </w:p>
        </w:tc>
      </w:tr>
      <w:tr w:rsidR="00EC39BD" w:rsidRPr="00AA0B4A" w14:paraId="6CEB91FC"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3B16CCC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r>
              <w:rPr>
                <w:rFonts w:ascii="Times New Roman" w:hAnsi="Times New Roman"/>
                <w:noProof/>
                <w:color w:val="000000"/>
                <w:sz w:val="18"/>
              </w:rPr>
              <w: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4BAB519"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13</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9C272DF" w14:textId="77777777" w:rsidR="00EC39BD" w:rsidRPr="008177E2"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3BDB956" w14:textId="77777777" w:rsidR="00EC39BD" w:rsidRPr="008177E2" w:rsidRDefault="00EC39BD" w:rsidP="00E55B57">
            <w:pPr>
              <w:spacing w:after="0"/>
              <w:jc w:val="center"/>
              <w:rPr>
                <w:rFonts w:ascii="Times New Roman" w:hAnsi="Times New Roman"/>
                <w:noProof/>
                <w:sz w:val="18"/>
                <w:szCs w:val="18"/>
              </w:rPr>
            </w:pPr>
            <w:r>
              <w:rPr>
                <w:rFonts w:ascii="Times New Roman" w:hAnsi="Times New Roman"/>
                <w:noProof/>
                <w:sz w:val="18"/>
              </w:rPr>
              <w:t>2</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507C20C3" w14:textId="77777777" w:rsidR="00EC39BD" w:rsidRPr="008177E2" w:rsidRDefault="00EC39BD" w:rsidP="00E55B57">
            <w:pPr>
              <w:spacing w:after="0"/>
              <w:jc w:val="center"/>
              <w:rPr>
                <w:rFonts w:ascii="Times New Roman" w:hAnsi="Times New Roman"/>
                <w:noProof/>
                <w:sz w:val="18"/>
                <w:szCs w:val="18"/>
              </w:rPr>
            </w:pPr>
            <w:r>
              <w:rPr>
                <w:rFonts w:ascii="Times New Roman" w:hAnsi="Times New Roman"/>
                <w:noProof/>
                <w:sz w:val="18"/>
              </w:rPr>
              <w:t>0</w:t>
            </w:r>
          </w:p>
        </w:tc>
        <w:tc>
          <w:tcPr>
            <w:tcW w:w="1093" w:type="pct"/>
            <w:tcBorders>
              <w:top w:val="nil"/>
              <w:left w:val="single" w:sz="4" w:space="0" w:color="auto"/>
              <w:bottom w:val="single" w:sz="4" w:space="0" w:color="auto"/>
              <w:right w:val="single" w:sz="4" w:space="0" w:color="auto"/>
            </w:tcBorders>
            <w:shd w:val="clear" w:color="auto" w:fill="FFFF99"/>
            <w:noWrap/>
          </w:tcPr>
          <w:p w14:paraId="4501B0E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768023E8"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44C601E"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01" w:type="pct"/>
            <w:tcBorders>
              <w:top w:val="nil"/>
              <w:left w:val="single" w:sz="4" w:space="0" w:color="auto"/>
              <w:bottom w:val="single" w:sz="4" w:space="0" w:color="auto"/>
              <w:right w:val="single" w:sz="4" w:space="0" w:color="auto"/>
            </w:tcBorders>
            <w:shd w:val="clear" w:color="auto" w:fill="FFFF99"/>
            <w:vAlign w:val="center"/>
          </w:tcPr>
          <w:p w14:paraId="2110243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50</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0349DFC5"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41A4C3A" w14:textId="77777777" w:rsidR="00EC39BD" w:rsidRPr="00B83A9D" w:rsidRDefault="00EC39BD" w:rsidP="00E55B57">
            <w:pPr>
              <w:spacing w:after="0"/>
              <w:jc w:val="center"/>
              <w:rPr>
                <w:rFonts w:ascii="Times New Roman" w:hAnsi="Times New Roman"/>
                <w:noProof/>
                <w:sz w:val="18"/>
                <w:szCs w:val="18"/>
              </w:rPr>
            </w:pPr>
            <w:r>
              <w:rPr>
                <w:rFonts w:ascii="Times New Roman" w:hAnsi="Times New Roman"/>
                <w:noProof/>
                <w:sz w:val="18"/>
              </w:rPr>
              <w:t>47</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3FEB27BC"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40</w:t>
            </w:r>
          </w:p>
        </w:tc>
        <w:tc>
          <w:tcPr>
            <w:tcW w:w="1093" w:type="pct"/>
            <w:tcBorders>
              <w:top w:val="nil"/>
              <w:left w:val="single" w:sz="4" w:space="0" w:color="auto"/>
              <w:bottom w:val="single" w:sz="4" w:space="0" w:color="auto"/>
              <w:right w:val="single" w:sz="4" w:space="0" w:color="auto"/>
            </w:tcBorders>
            <w:shd w:val="clear" w:color="auto" w:fill="FFFF99"/>
            <w:noWrap/>
          </w:tcPr>
          <w:p w14:paraId="3B603FE6"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11738F6D"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CEE74D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53044161"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76</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654CFCB4"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85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58776C2" w14:textId="77777777" w:rsidR="00EC39BD" w:rsidRPr="00B83A9D" w:rsidRDefault="00EC39BD" w:rsidP="00E55B57">
            <w:pPr>
              <w:spacing w:after="0"/>
              <w:jc w:val="center"/>
              <w:rPr>
                <w:rFonts w:ascii="Times New Roman" w:hAnsi="Times New Roman"/>
                <w:noProof/>
                <w:sz w:val="18"/>
                <w:szCs w:val="18"/>
              </w:rPr>
            </w:pPr>
            <w:r>
              <w:rPr>
                <w:rFonts w:ascii="Times New Roman" w:hAnsi="Times New Roman"/>
                <w:noProof/>
                <w:sz w:val="18"/>
              </w:rPr>
              <w:t>71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8E3C37F" w14:textId="77777777" w:rsidR="00EC39BD" w:rsidRPr="00AA0B4A" w:rsidRDefault="00EC39BD" w:rsidP="00E55B57">
            <w:pPr>
              <w:spacing w:after="0"/>
              <w:jc w:val="center"/>
              <w:rPr>
                <w:rFonts w:ascii="Times New Roman" w:hAnsi="Times New Roman"/>
                <w:noProof/>
                <w:sz w:val="18"/>
                <w:szCs w:val="18"/>
              </w:rPr>
            </w:pPr>
            <w:r>
              <w:rPr>
                <w:rFonts w:ascii="Times New Roman" w:hAnsi="Times New Roman"/>
                <w:noProof/>
                <w:sz w:val="18"/>
              </w:rPr>
              <w:t>86</w:t>
            </w:r>
          </w:p>
        </w:tc>
        <w:tc>
          <w:tcPr>
            <w:tcW w:w="1093" w:type="pct"/>
            <w:tcBorders>
              <w:top w:val="nil"/>
              <w:left w:val="single" w:sz="4" w:space="0" w:color="auto"/>
              <w:bottom w:val="single" w:sz="4" w:space="0" w:color="auto"/>
              <w:right w:val="single" w:sz="4" w:space="0" w:color="auto"/>
            </w:tcBorders>
            <w:shd w:val="clear" w:color="auto" w:fill="FFFF99"/>
            <w:noWrap/>
          </w:tcPr>
          <w:p w14:paraId="64CFC2D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0</w:t>
            </w:r>
          </w:p>
        </w:tc>
      </w:tr>
      <w:tr w:rsidR="00EC39BD" w:rsidRPr="00AA0B4A" w14:paraId="2F24410F" w14:textId="77777777" w:rsidTr="00E55B57">
        <w:trPr>
          <w:trHeight w:val="251"/>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951F4BC" w14:textId="77777777" w:rsidR="00EC39BD" w:rsidRPr="00AA0B4A" w:rsidRDefault="00EC39BD" w:rsidP="00E55B57">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TOTAL:</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826833F"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1782</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7885F581"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2048</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6284C2D" w14:textId="77777777" w:rsidR="00EC39BD" w:rsidRPr="00B83A9D" w:rsidRDefault="00EC39BD" w:rsidP="00E55B57">
            <w:pPr>
              <w:spacing w:after="0"/>
              <w:jc w:val="center"/>
              <w:rPr>
                <w:rFonts w:ascii="Times New Roman" w:hAnsi="Times New Roman"/>
                <w:b/>
                <w:bCs/>
                <w:noProof/>
                <w:sz w:val="18"/>
                <w:szCs w:val="18"/>
              </w:rPr>
            </w:pPr>
            <w:r>
              <w:rPr>
                <w:rFonts w:ascii="Times New Roman" w:hAnsi="Times New Roman"/>
                <w:b/>
                <w:noProof/>
                <w:sz w:val="18"/>
              </w:rPr>
              <w:t>1592</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12FF2CFF" w14:textId="77777777" w:rsidR="00EC39BD" w:rsidRPr="00AA0B4A" w:rsidRDefault="00EC39BD" w:rsidP="00E55B57">
            <w:pPr>
              <w:spacing w:after="0"/>
              <w:jc w:val="center"/>
              <w:rPr>
                <w:rFonts w:ascii="Times New Roman" w:hAnsi="Times New Roman"/>
                <w:b/>
                <w:bCs/>
                <w:noProof/>
                <w:sz w:val="18"/>
                <w:szCs w:val="18"/>
              </w:rPr>
            </w:pPr>
            <w:r>
              <w:rPr>
                <w:rFonts w:ascii="Times New Roman" w:hAnsi="Times New Roman"/>
                <w:b/>
                <w:noProof/>
                <w:sz w:val="18"/>
              </w:rPr>
              <w:t>2072</w:t>
            </w:r>
          </w:p>
        </w:tc>
        <w:tc>
          <w:tcPr>
            <w:tcW w:w="1093" w:type="pct"/>
            <w:tcBorders>
              <w:top w:val="nil"/>
              <w:left w:val="single" w:sz="4" w:space="0" w:color="auto"/>
              <w:bottom w:val="single" w:sz="4" w:space="0" w:color="auto"/>
              <w:right w:val="single" w:sz="4" w:space="0" w:color="auto"/>
            </w:tcBorders>
            <w:shd w:val="clear" w:color="auto" w:fill="FFFF99"/>
            <w:noWrap/>
            <w:vAlign w:val="center"/>
          </w:tcPr>
          <w:p w14:paraId="626DF386"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10</w:t>
            </w:r>
          </w:p>
        </w:tc>
      </w:tr>
    </w:tbl>
    <w:p w14:paraId="1CE0AD13" w14:textId="735403DE" w:rsidR="00EC39BD" w:rsidRPr="00AA0B4A" w:rsidRDefault="00EC39BD" w:rsidP="00EC39BD">
      <w:pPr>
        <w:spacing w:before="40" w:line="240" w:lineRule="auto"/>
        <w:jc w:val="both"/>
        <w:rPr>
          <w:rFonts w:ascii="Times New Roman" w:hAnsi="Times New Roman"/>
          <w:i/>
          <w:noProof/>
          <w:sz w:val="18"/>
          <w:szCs w:val="18"/>
        </w:rPr>
      </w:pPr>
      <w:r>
        <w:rPr>
          <w:rFonts w:ascii="Times New Roman" w:hAnsi="Times New Roman"/>
          <w:i/>
          <w:noProof/>
          <w:sz w:val="18"/>
        </w:rPr>
        <w:t>* Incluindo pareceres emitidos pelo comité de recurso. A fim de evitar a dupla contabilização, os atos de execução adotados que passam pelo comité de recurso contam para os comités de primeiro nível nos respetivos domínios de intervenção. O quadro V apresenta informações pormenorizadas sobre os trabalhos do comité de recurso.</w:t>
      </w:r>
    </w:p>
    <w:p w14:paraId="725C7676" w14:textId="77777777" w:rsidR="00EC39BD" w:rsidRDefault="00EC39BD" w:rsidP="00EC39BD">
      <w:pPr>
        <w:jc w:val="both"/>
        <w:rPr>
          <w:rFonts w:ascii="Times New Roman" w:hAnsi="Times New Roman"/>
          <w:noProof/>
          <w:sz w:val="24"/>
          <w:szCs w:val="24"/>
        </w:rPr>
      </w:pPr>
      <w:r>
        <w:rPr>
          <w:rFonts w:ascii="Times New Roman" w:hAnsi="Times New Roman"/>
          <w:noProof/>
          <w:sz w:val="24"/>
        </w:rPr>
        <w:t xml:space="preserve">Os comités emitiram </w:t>
      </w:r>
      <w:r>
        <w:rPr>
          <w:rFonts w:ascii="Times New Roman" w:hAnsi="Times New Roman"/>
          <w:b/>
          <w:noProof/>
          <w:sz w:val="24"/>
        </w:rPr>
        <w:t>2048 pareceres</w:t>
      </w:r>
      <w:r>
        <w:rPr>
          <w:rStyle w:val="FootnoteReference"/>
          <w:rFonts w:ascii="Times New Roman" w:hAnsi="Times New Roman"/>
          <w:noProof/>
          <w:sz w:val="24"/>
          <w:szCs w:val="24"/>
        </w:rPr>
        <w:footnoteReference w:id="25"/>
      </w:r>
      <w:r>
        <w:rPr>
          <w:rFonts w:ascii="Times New Roman" w:hAnsi="Times New Roman"/>
          <w:noProof/>
          <w:sz w:val="24"/>
        </w:rPr>
        <w:t xml:space="preserve"> em 2022, o que constitui um aumento em relação a 2021 (1782), indicando um volume de trabalho mais elevado. Da mesma forma, o número de </w:t>
      </w:r>
      <w:r>
        <w:rPr>
          <w:rFonts w:ascii="Times New Roman" w:hAnsi="Times New Roman"/>
          <w:b/>
          <w:noProof/>
          <w:sz w:val="24"/>
        </w:rPr>
        <w:t>atos de execução — 2072</w:t>
      </w:r>
      <w:r>
        <w:rPr>
          <w:rFonts w:ascii="Times New Roman" w:hAnsi="Times New Roman"/>
          <w:noProof/>
          <w:sz w:val="24"/>
        </w:rPr>
        <w:t xml:space="preserve"> </w:t>
      </w:r>
      <w:r>
        <w:rPr>
          <w:rFonts w:ascii="Times New Roman" w:hAnsi="Times New Roman"/>
          <w:b/>
          <w:noProof/>
          <w:sz w:val="24"/>
        </w:rPr>
        <w:t>—</w:t>
      </w:r>
      <w:r>
        <w:rPr>
          <w:rFonts w:ascii="Times New Roman" w:hAnsi="Times New Roman"/>
          <w:noProof/>
          <w:sz w:val="24"/>
        </w:rPr>
        <w:t xml:space="preserve"> adotados na sequência de um procedimento de comitologia também foi consideravelmente superior ao registado no ano anterior (1592). </w:t>
      </w:r>
    </w:p>
    <w:p w14:paraId="60396E6C" w14:textId="77777777" w:rsidR="00EC39BD" w:rsidRDefault="00EC39BD" w:rsidP="00D04E7D">
      <w:pPr>
        <w:spacing w:line="240" w:lineRule="auto"/>
        <w:jc w:val="both"/>
        <w:rPr>
          <w:rFonts w:ascii="Times New Roman" w:hAnsi="Times New Roman"/>
          <w:noProof/>
          <w:sz w:val="24"/>
          <w:szCs w:val="24"/>
        </w:rPr>
      </w:pPr>
    </w:p>
    <w:p w14:paraId="164E1242" w14:textId="0DBACCFF" w:rsidR="00EC39BD" w:rsidRPr="002F1882" w:rsidRDefault="00EC39BD" w:rsidP="00EC39BD">
      <w:pPr>
        <w:jc w:val="both"/>
        <w:rPr>
          <w:rFonts w:ascii="Times New Roman" w:hAnsi="Times New Roman"/>
          <w:noProof/>
          <w:sz w:val="24"/>
          <w:szCs w:val="24"/>
        </w:rPr>
      </w:pPr>
      <w:r>
        <w:rPr>
          <w:rFonts w:ascii="Times New Roman" w:hAnsi="Times New Roman"/>
          <w:noProof/>
          <w:sz w:val="24"/>
        </w:rPr>
        <w:t>O Parlamento Europeu e o Conselho dispõem de direitos de controlo nos termos do artigo 11.º do Regulamento Comitologia. Em 2022, o Parlamento Europeu adotou 10 resoluções com base no artigo 11.º do Regulamento Comitologia, que incidiram na sua totalidade em atos da DG SANTE. Em 2022, o Conselho não exerceu o seu direito de se opor a um projeto de medidas ao abrigo desta disposição.</w:t>
      </w:r>
    </w:p>
    <w:p w14:paraId="4C1F2C77" w14:textId="77777777" w:rsidR="00EC39BD" w:rsidRPr="005610E6" w:rsidRDefault="00EC39BD" w:rsidP="00EC39BD">
      <w:pPr>
        <w:pStyle w:val="ManualHeading2"/>
        <w:spacing w:before="360" w:after="240"/>
        <w:ind w:left="851" w:hanging="851"/>
        <w:rPr>
          <w:noProof/>
        </w:rPr>
      </w:pPr>
      <w:r>
        <w:rPr>
          <w:noProof/>
        </w:rPr>
        <w:t>3.4.</w:t>
      </w:r>
      <w:r>
        <w:rPr>
          <w:noProof/>
        </w:rPr>
        <w:tab/>
        <w:t>Reuniões do comité de recurso</w:t>
      </w:r>
    </w:p>
    <w:p w14:paraId="62F9BDCD" w14:textId="77777777" w:rsidR="00EC39BD" w:rsidRDefault="00EC39BD" w:rsidP="00EC39BD">
      <w:pPr>
        <w:jc w:val="both"/>
        <w:rPr>
          <w:rFonts w:ascii="Times New Roman" w:hAnsi="Times New Roman"/>
          <w:noProof/>
          <w:sz w:val="24"/>
          <w:szCs w:val="24"/>
        </w:rPr>
      </w:pPr>
      <w:r>
        <w:rPr>
          <w:rFonts w:ascii="Times New Roman" w:hAnsi="Times New Roman"/>
          <w:noProof/>
          <w:sz w:val="24"/>
        </w:rPr>
        <w:t>Como indicado no quadro V em baixo, o comité de recurso reuniu-se 11 vezes em 2022 e debateu 13 projetos de atos de execução que a Comissão lhe remeteu. Recorreu a consultas por escrito para seis projetos de atos e a uma votação aquando de uma reunião sobre sete; não emitindo parecer nos 13 casos</w:t>
      </w:r>
      <w:r>
        <w:rPr>
          <w:rStyle w:val="FootnoteReference"/>
          <w:rFonts w:ascii="Times New Roman" w:hAnsi="Times New Roman"/>
          <w:noProof/>
          <w:sz w:val="24"/>
          <w:szCs w:val="24"/>
        </w:rPr>
        <w:footnoteReference w:id="26"/>
      </w:r>
      <w:r>
        <w:rPr>
          <w:rFonts w:ascii="Times New Roman" w:hAnsi="Times New Roman"/>
          <w:noProof/>
          <w:sz w:val="24"/>
        </w:rPr>
        <w:t xml:space="preserve">. A Comissão adotou os 13 atos de execução após votação do comité de recurso, mas duas dessas adoções estenderam-se a 2023. </w:t>
      </w:r>
    </w:p>
    <w:p w14:paraId="21F342E2" w14:textId="77777777" w:rsidR="00EC39BD" w:rsidRDefault="00EC39BD" w:rsidP="00EC39BD">
      <w:pPr>
        <w:keepNext/>
        <w:spacing w:line="240" w:lineRule="auto"/>
        <w:rPr>
          <w:rFonts w:ascii="Times New Roman" w:hAnsi="Times New Roman"/>
          <w:b/>
          <w:smallCaps/>
          <w:noProof/>
          <w:sz w:val="24"/>
          <w:szCs w:val="24"/>
          <w:u w:val="single"/>
        </w:rPr>
      </w:pPr>
      <w:r>
        <w:rPr>
          <w:rFonts w:ascii="Times New Roman" w:hAnsi="Times New Roman"/>
          <w:b/>
          <w:noProof/>
          <w:sz w:val="24"/>
          <w:u w:val="single"/>
        </w:rPr>
        <w:t>QUADRO V — atividade do comité de recurso</w:t>
      </w:r>
    </w:p>
    <w:tbl>
      <w:tblPr>
        <w:tblW w:w="4942" w:type="pct"/>
        <w:tblInd w:w="108" w:type="dxa"/>
        <w:tblLook w:val="0000" w:firstRow="0" w:lastRow="0" w:firstColumn="0" w:lastColumn="0" w:noHBand="0" w:noVBand="0"/>
      </w:tblPr>
      <w:tblGrid>
        <w:gridCol w:w="1985"/>
        <w:gridCol w:w="1417"/>
        <w:gridCol w:w="993"/>
        <w:gridCol w:w="1417"/>
        <w:gridCol w:w="1134"/>
        <w:gridCol w:w="1276"/>
        <w:gridCol w:w="956"/>
      </w:tblGrid>
      <w:tr w:rsidR="00EA116A" w:rsidRPr="00AA0B4A" w14:paraId="3C84A2A9" w14:textId="77777777" w:rsidTr="00EA116A">
        <w:trPr>
          <w:trHeight w:val="510"/>
        </w:trPr>
        <w:tc>
          <w:tcPr>
            <w:tcW w:w="1081"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C5990AD" w14:textId="77777777" w:rsidR="00EC39BD" w:rsidRPr="00EA7E10"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Serviço da Comissão</w:t>
            </w:r>
          </w:p>
        </w:tc>
        <w:tc>
          <w:tcPr>
            <w:tcW w:w="1313" w:type="pct"/>
            <w:gridSpan w:val="2"/>
            <w:tcBorders>
              <w:top w:val="single" w:sz="4" w:space="0" w:color="auto"/>
              <w:left w:val="nil"/>
              <w:bottom w:val="single" w:sz="4" w:space="0" w:color="auto"/>
              <w:right w:val="single" w:sz="4" w:space="0" w:color="auto"/>
            </w:tcBorders>
            <w:shd w:val="clear" w:color="auto" w:fill="FFFF99"/>
          </w:tcPr>
          <w:p w14:paraId="630FF5A4"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Número de reuniões/procedimentos escritos do comité de recurso</w:t>
            </w:r>
          </w:p>
        </w:tc>
        <w:tc>
          <w:tcPr>
            <w:tcW w:w="1390" w:type="pct"/>
            <w:gridSpan w:val="2"/>
            <w:tcBorders>
              <w:top w:val="single" w:sz="4" w:space="0" w:color="auto"/>
              <w:left w:val="nil"/>
              <w:bottom w:val="single" w:sz="4" w:space="0" w:color="auto"/>
              <w:right w:val="single" w:sz="4" w:space="0" w:color="auto"/>
            </w:tcBorders>
            <w:shd w:val="clear" w:color="auto" w:fill="FFFF99"/>
          </w:tcPr>
          <w:p w14:paraId="764F88A4" w14:textId="77777777" w:rsidR="00EC39BD" w:rsidRDefault="00EC39BD" w:rsidP="00E55B57">
            <w:pPr>
              <w:spacing w:after="0" w:line="240" w:lineRule="auto"/>
              <w:jc w:val="center"/>
              <w:rPr>
                <w:rFonts w:ascii="Times New Roman" w:hAnsi="Times New Roman"/>
                <w:b/>
                <w:noProof/>
                <w:color w:val="000000"/>
                <w:sz w:val="18"/>
                <w:szCs w:val="18"/>
                <w:lang w:eastAsia="en-GB"/>
              </w:rPr>
            </w:pPr>
          </w:p>
          <w:p w14:paraId="6439E347"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Número de pareceres</w:t>
            </w:r>
            <w:r>
              <w:rPr>
                <w:rStyle w:val="FootnoteReference"/>
                <w:rFonts w:ascii="Times New Roman" w:hAnsi="Times New Roman"/>
                <w:b/>
                <w:noProof/>
                <w:color w:val="000000"/>
                <w:sz w:val="18"/>
                <w:szCs w:val="18"/>
                <w:lang w:eastAsia="en-GB"/>
              </w:rPr>
              <w:footnoteReference w:id="27"/>
            </w:r>
            <w:r>
              <w:rPr>
                <w:rFonts w:ascii="Times New Roman" w:hAnsi="Times New Roman"/>
                <w:b/>
                <w:noProof/>
                <w:color w:val="000000"/>
                <w:sz w:val="18"/>
              </w:rPr>
              <w:t xml:space="preserve"> do comité de recurso</w:t>
            </w:r>
          </w:p>
        </w:tc>
        <w:tc>
          <w:tcPr>
            <w:tcW w:w="1216" w:type="pct"/>
            <w:gridSpan w:val="2"/>
            <w:tcBorders>
              <w:top w:val="single" w:sz="4" w:space="0" w:color="auto"/>
              <w:left w:val="nil"/>
              <w:bottom w:val="single" w:sz="4" w:space="0" w:color="auto"/>
              <w:right w:val="single" w:sz="4" w:space="0" w:color="auto"/>
            </w:tcBorders>
            <w:shd w:val="clear" w:color="auto" w:fill="FFFF99"/>
            <w:vAlign w:val="center"/>
          </w:tcPr>
          <w:p w14:paraId="1BD1039F"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Número de atos adotados na sequência de um parecer do comité de recurso</w:t>
            </w:r>
          </w:p>
        </w:tc>
      </w:tr>
      <w:tr w:rsidR="00EA116A" w:rsidRPr="00AA0B4A" w14:paraId="6D34A54E" w14:textId="77777777" w:rsidTr="00EA116A">
        <w:trPr>
          <w:trHeight w:val="240"/>
        </w:trPr>
        <w:tc>
          <w:tcPr>
            <w:tcW w:w="1081" w:type="pct"/>
            <w:tcBorders>
              <w:top w:val="nil"/>
              <w:left w:val="single" w:sz="4" w:space="0" w:color="auto"/>
              <w:bottom w:val="single" w:sz="4" w:space="0" w:color="auto"/>
              <w:right w:val="single" w:sz="4" w:space="0" w:color="auto"/>
            </w:tcBorders>
            <w:shd w:val="clear" w:color="auto" w:fill="FFFF99"/>
            <w:noWrap/>
            <w:vAlign w:val="bottom"/>
          </w:tcPr>
          <w:p w14:paraId="4760F434" w14:textId="77777777" w:rsidR="00EC39BD" w:rsidRPr="00AA0B4A" w:rsidRDefault="00EC39BD" w:rsidP="00E55B57">
            <w:pPr>
              <w:spacing w:after="0" w:line="240" w:lineRule="auto"/>
              <w:rPr>
                <w:rFonts w:ascii="Times New Roman" w:hAnsi="Times New Roman"/>
                <w:b/>
                <w:noProof/>
                <w:color w:val="000000"/>
                <w:sz w:val="18"/>
                <w:szCs w:val="18"/>
                <w:lang w:eastAsia="en-GB"/>
              </w:rPr>
            </w:pPr>
          </w:p>
        </w:tc>
        <w:tc>
          <w:tcPr>
            <w:tcW w:w="772" w:type="pct"/>
            <w:tcBorders>
              <w:top w:val="nil"/>
              <w:left w:val="single" w:sz="4" w:space="0" w:color="auto"/>
              <w:bottom w:val="single" w:sz="4" w:space="0" w:color="auto"/>
              <w:right w:val="single" w:sz="4" w:space="0" w:color="auto"/>
            </w:tcBorders>
            <w:shd w:val="clear" w:color="auto" w:fill="FFFF99"/>
          </w:tcPr>
          <w:p w14:paraId="6D853B51"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2021</w:t>
            </w:r>
          </w:p>
        </w:tc>
        <w:tc>
          <w:tcPr>
            <w:tcW w:w="541" w:type="pct"/>
            <w:tcBorders>
              <w:top w:val="nil"/>
              <w:left w:val="single" w:sz="4" w:space="0" w:color="auto"/>
              <w:bottom w:val="single" w:sz="4" w:space="0" w:color="auto"/>
              <w:right w:val="single" w:sz="4" w:space="0" w:color="auto"/>
            </w:tcBorders>
            <w:shd w:val="clear" w:color="auto" w:fill="FFFF99"/>
            <w:vAlign w:val="center"/>
          </w:tcPr>
          <w:p w14:paraId="2B4176C2"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c>
          <w:tcPr>
            <w:tcW w:w="772" w:type="pct"/>
            <w:tcBorders>
              <w:top w:val="nil"/>
              <w:left w:val="single" w:sz="4" w:space="0" w:color="auto"/>
              <w:bottom w:val="single" w:sz="4" w:space="0" w:color="auto"/>
              <w:right w:val="single" w:sz="4" w:space="0" w:color="auto"/>
            </w:tcBorders>
            <w:shd w:val="clear" w:color="auto" w:fill="FFFF99"/>
          </w:tcPr>
          <w:p w14:paraId="0975AC59"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2021</w:t>
            </w:r>
          </w:p>
        </w:tc>
        <w:tc>
          <w:tcPr>
            <w:tcW w:w="618" w:type="pct"/>
            <w:tcBorders>
              <w:top w:val="nil"/>
              <w:left w:val="single" w:sz="4" w:space="0" w:color="auto"/>
              <w:bottom w:val="single" w:sz="4" w:space="0" w:color="auto"/>
              <w:right w:val="single" w:sz="4" w:space="0" w:color="auto"/>
            </w:tcBorders>
            <w:shd w:val="clear" w:color="auto" w:fill="FFFF99"/>
            <w:vAlign w:val="center"/>
          </w:tcPr>
          <w:p w14:paraId="02618AD5"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c>
          <w:tcPr>
            <w:tcW w:w="695" w:type="pct"/>
            <w:tcBorders>
              <w:top w:val="nil"/>
              <w:left w:val="single" w:sz="4" w:space="0" w:color="auto"/>
              <w:bottom w:val="single" w:sz="4" w:space="0" w:color="auto"/>
              <w:right w:val="single" w:sz="4" w:space="0" w:color="auto"/>
            </w:tcBorders>
            <w:shd w:val="clear" w:color="auto" w:fill="FFFF99"/>
            <w:noWrap/>
            <w:vAlign w:val="center"/>
          </w:tcPr>
          <w:p w14:paraId="7317BF34"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2021</w:t>
            </w:r>
          </w:p>
        </w:tc>
        <w:tc>
          <w:tcPr>
            <w:tcW w:w="521" w:type="pct"/>
            <w:tcBorders>
              <w:top w:val="nil"/>
              <w:left w:val="single" w:sz="4" w:space="0" w:color="auto"/>
              <w:bottom w:val="single" w:sz="4" w:space="0" w:color="auto"/>
              <w:right w:val="single" w:sz="4" w:space="0" w:color="auto"/>
            </w:tcBorders>
            <w:shd w:val="clear" w:color="auto" w:fill="FFFF99"/>
          </w:tcPr>
          <w:p w14:paraId="710F2613"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2022</w:t>
            </w:r>
          </w:p>
        </w:tc>
      </w:tr>
      <w:tr w:rsidR="00EA116A" w:rsidRPr="00AA0B4A" w14:paraId="63F88655" w14:textId="77777777" w:rsidTr="00EA116A">
        <w:trPr>
          <w:trHeight w:val="240"/>
        </w:trPr>
        <w:tc>
          <w:tcPr>
            <w:tcW w:w="1081" w:type="pct"/>
            <w:tcBorders>
              <w:top w:val="nil"/>
              <w:left w:val="single" w:sz="4" w:space="0" w:color="auto"/>
              <w:bottom w:val="single" w:sz="4" w:space="0" w:color="auto"/>
              <w:right w:val="single" w:sz="4" w:space="0" w:color="auto"/>
            </w:tcBorders>
            <w:shd w:val="clear" w:color="auto" w:fill="FFFF99"/>
            <w:noWrap/>
            <w:vAlign w:val="bottom"/>
          </w:tcPr>
          <w:p w14:paraId="17B68BA9" w14:textId="77777777" w:rsidR="00EC39BD" w:rsidRPr="00111891"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72" w:type="pct"/>
            <w:tcBorders>
              <w:top w:val="nil"/>
              <w:left w:val="single" w:sz="4" w:space="0" w:color="auto"/>
              <w:bottom w:val="single" w:sz="4" w:space="0" w:color="auto"/>
              <w:right w:val="single" w:sz="4" w:space="0" w:color="auto"/>
            </w:tcBorders>
            <w:shd w:val="clear" w:color="auto" w:fill="FFFF99"/>
          </w:tcPr>
          <w:p w14:paraId="5118A2A4" w14:textId="77777777" w:rsidR="00EC39BD" w:rsidRPr="003A0E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1/0</w:t>
            </w:r>
          </w:p>
        </w:tc>
        <w:tc>
          <w:tcPr>
            <w:tcW w:w="541" w:type="pct"/>
            <w:tcBorders>
              <w:top w:val="nil"/>
              <w:left w:val="single" w:sz="4" w:space="0" w:color="auto"/>
              <w:bottom w:val="single" w:sz="4" w:space="0" w:color="auto"/>
              <w:right w:val="single" w:sz="4" w:space="0" w:color="auto"/>
            </w:tcBorders>
            <w:shd w:val="clear" w:color="auto" w:fill="FFFF99"/>
            <w:vAlign w:val="center"/>
          </w:tcPr>
          <w:p w14:paraId="39245C06" w14:textId="77777777" w:rsidR="00EC39BD" w:rsidRPr="003A0E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0/0</w:t>
            </w:r>
          </w:p>
        </w:tc>
        <w:tc>
          <w:tcPr>
            <w:tcW w:w="772" w:type="pct"/>
            <w:tcBorders>
              <w:top w:val="nil"/>
              <w:left w:val="single" w:sz="4" w:space="0" w:color="auto"/>
              <w:bottom w:val="single" w:sz="4" w:space="0" w:color="auto"/>
              <w:right w:val="single" w:sz="4" w:space="0" w:color="auto"/>
            </w:tcBorders>
            <w:shd w:val="clear" w:color="auto" w:fill="FFFF99"/>
          </w:tcPr>
          <w:p w14:paraId="42EB21FA" w14:textId="77777777" w:rsidR="00EC39BD" w:rsidRPr="003A0E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 (0)</w:t>
            </w:r>
          </w:p>
        </w:tc>
        <w:tc>
          <w:tcPr>
            <w:tcW w:w="618" w:type="pct"/>
            <w:tcBorders>
              <w:top w:val="nil"/>
              <w:left w:val="single" w:sz="4" w:space="0" w:color="auto"/>
              <w:bottom w:val="single" w:sz="4" w:space="0" w:color="auto"/>
              <w:right w:val="single" w:sz="4" w:space="0" w:color="auto"/>
            </w:tcBorders>
            <w:shd w:val="clear" w:color="auto" w:fill="FFFF99"/>
            <w:vAlign w:val="center"/>
          </w:tcPr>
          <w:p w14:paraId="51835ED1" w14:textId="77777777" w:rsidR="00EC39BD" w:rsidRPr="003A0E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 (0)</w:t>
            </w:r>
          </w:p>
        </w:tc>
        <w:tc>
          <w:tcPr>
            <w:tcW w:w="695" w:type="pct"/>
            <w:tcBorders>
              <w:top w:val="nil"/>
              <w:left w:val="single" w:sz="4" w:space="0" w:color="auto"/>
              <w:bottom w:val="single" w:sz="4" w:space="0" w:color="auto"/>
              <w:right w:val="single" w:sz="4" w:space="0" w:color="auto"/>
            </w:tcBorders>
            <w:shd w:val="clear" w:color="auto" w:fill="FFFF99"/>
            <w:noWrap/>
            <w:vAlign w:val="center"/>
          </w:tcPr>
          <w:p w14:paraId="37D96074" w14:textId="77777777" w:rsidR="00EC39BD" w:rsidRPr="003A0E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521" w:type="pct"/>
            <w:tcBorders>
              <w:top w:val="nil"/>
              <w:left w:val="single" w:sz="4" w:space="0" w:color="auto"/>
              <w:bottom w:val="single" w:sz="4" w:space="0" w:color="auto"/>
              <w:right w:val="single" w:sz="4" w:space="0" w:color="auto"/>
            </w:tcBorders>
            <w:shd w:val="clear" w:color="auto" w:fill="FFFF99"/>
          </w:tcPr>
          <w:p w14:paraId="29560487" w14:textId="77777777" w:rsidR="00EC39BD" w:rsidRPr="003A0E03"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A116A" w:rsidRPr="00AA0B4A" w14:paraId="3C5F55A2" w14:textId="77777777" w:rsidTr="00EA116A">
        <w:trPr>
          <w:trHeight w:val="255"/>
        </w:trPr>
        <w:tc>
          <w:tcPr>
            <w:tcW w:w="1081" w:type="pct"/>
            <w:tcBorders>
              <w:top w:val="nil"/>
              <w:left w:val="single" w:sz="4" w:space="0" w:color="auto"/>
              <w:bottom w:val="single" w:sz="4" w:space="0" w:color="auto"/>
              <w:right w:val="single" w:sz="4" w:space="0" w:color="auto"/>
            </w:tcBorders>
            <w:shd w:val="clear" w:color="auto" w:fill="FFFF99"/>
            <w:noWrap/>
            <w:vAlign w:val="bottom"/>
          </w:tcPr>
          <w:p w14:paraId="50465C2B" w14:textId="77777777" w:rsidR="00EC39BD" w:rsidRPr="00D9066D"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72" w:type="pct"/>
            <w:tcBorders>
              <w:top w:val="nil"/>
              <w:left w:val="single" w:sz="4" w:space="0" w:color="auto"/>
              <w:bottom w:val="single" w:sz="4" w:space="0" w:color="auto"/>
              <w:right w:val="single" w:sz="4" w:space="0" w:color="auto"/>
            </w:tcBorders>
            <w:shd w:val="clear" w:color="auto" w:fill="FFFF99"/>
            <w:vAlign w:val="center"/>
          </w:tcPr>
          <w:p w14:paraId="364AD00A" w14:textId="4EC7965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4 /10</w:t>
            </w:r>
          </w:p>
        </w:tc>
        <w:tc>
          <w:tcPr>
            <w:tcW w:w="541" w:type="pct"/>
            <w:tcBorders>
              <w:top w:val="nil"/>
              <w:left w:val="single" w:sz="4" w:space="0" w:color="auto"/>
              <w:bottom w:val="single" w:sz="4" w:space="0" w:color="auto"/>
              <w:right w:val="single" w:sz="4" w:space="0" w:color="auto"/>
            </w:tcBorders>
            <w:shd w:val="clear" w:color="auto" w:fill="FFFF99"/>
            <w:vAlign w:val="center"/>
          </w:tcPr>
          <w:p w14:paraId="6F1BD11E"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 xml:space="preserve">10/6 </w:t>
            </w:r>
          </w:p>
        </w:tc>
        <w:tc>
          <w:tcPr>
            <w:tcW w:w="772" w:type="pct"/>
            <w:tcBorders>
              <w:top w:val="nil"/>
              <w:left w:val="single" w:sz="4" w:space="0" w:color="auto"/>
              <w:bottom w:val="single" w:sz="4" w:space="0" w:color="auto"/>
              <w:right w:val="single" w:sz="4" w:space="0" w:color="auto"/>
            </w:tcBorders>
            <w:shd w:val="clear" w:color="auto" w:fill="FFFF99"/>
            <w:vAlign w:val="bottom"/>
          </w:tcPr>
          <w:p w14:paraId="193262AA"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 (10)</w:t>
            </w:r>
          </w:p>
        </w:tc>
        <w:tc>
          <w:tcPr>
            <w:tcW w:w="618" w:type="pct"/>
            <w:tcBorders>
              <w:top w:val="nil"/>
              <w:left w:val="single" w:sz="4" w:space="0" w:color="auto"/>
              <w:bottom w:val="single" w:sz="4" w:space="0" w:color="auto"/>
              <w:right w:val="single" w:sz="4" w:space="0" w:color="auto"/>
            </w:tcBorders>
            <w:shd w:val="clear" w:color="auto" w:fill="FFFF99"/>
            <w:vAlign w:val="bottom"/>
          </w:tcPr>
          <w:p w14:paraId="3CFFC37D"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12 (12)</w:t>
            </w:r>
          </w:p>
        </w:tc>
        <w:tc>
          <w:tcPr>
            <w:tcW w:w="695" w:type="pct"/>
            <w:tcBorders>
              <w:top w:val="nil"/>
              <w:left w:val="single" w:sz="4" w:space="0" w:color="auto"/>
              <w:bottom w:val="single" w:sz="4" w:space="0" w:color="auto"/>
              <w:right w:val="single" w:sz="4" w:space="0" w:color="auto"/>
            </w:tcBorders>
            <w:shd w:val="clear" w:color="auto" w:fill="FFFF99"/>
            <w:noWrap/>
          </w:tcPr>
          <w:p w14:paraId="3AFB60F0"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w:t>
            </w:r>
          </w:p>
        </w:tc>
        <w:tc>
          <w:tcPr>
            <w:tcW w:w="521" w:type="pct"/>
            <w:tcBorders>
              <w:top w:val="nil"/>
              <w:left w:val="single" w:sz="4" w:space="0" w:color="auto"/>
              <w:bottom w:val="single" w:sz="4" w:space="0" w:color="auto"/>
              <w:right w:val="single" w:sz="4" w:space="0" w:color="auto"/>
            </w:tcBorders>
            <w:shd w:val="clear" w:color="auto" w:fill="FFFF99"/>
            <w:vAlign w:val="center"/>
          </w:tcPr>
          <w:p w14:paraId="58C29873"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10</w:t>
            </w:r>
          </w:p>
        </w:tc>
      </w:tr>
      <w:tr w:rsidR="00EA116A" w:rsidRPr="00AA0B4A" w14:paraId="1C39F129" w14:textId="77777777" w:rsidTr="00EA116A">
        <w:trPr>
          <w:trHeight w:val="255"/>
        </w:trPr>
        <w:tc>
          <w:tcPr>
            <w:tcW w:w="1081" w:type="pct"/>
            <w:tcBorders>
              <w:top w:val="nil"/>
              <w:left w:val="single" w:sz="4" w:space="0" w:color="auto"/>
              <w:bottom w:val="single" w:sz="4" w:space="0" w:color="auto"/>
              <w:right w:val="single" w:sz="4" w:space="0" w:color="auto"/>
            </w:tcBorders>
            <w:shd w:val="clear" w:color="auto" w:fill="FFFF99"/>
            <w:noWrap/>
            <w:vAlign w:val="bottom"/>
          </w:tcPr>
          <w:p w14:paraId="30650A3C" w14:textId="77777777" w:rsidR="00EC39BD" w:rsidRPr="00D9066D"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72" w:type="pct"/>
            <w:tcBorders>
              <w:top w:val="nil"/>
              <w:left w:val="single" w:sz="4" w:space="0" w:color="auto"/>
              <w:bottom w:val="single" w:sz="4" w:space="0" w:color="auto"/>
              <w:right w:val="single" w:sz="4" w:space="0" w:color="auto"/>
            </w:tcBorders>
            <w:shd w:val="clear" w:color="auto" w:fill="FFFF99"/>
            <w:vAlign w:val="center"/>
          </w:tcPr>
          <w:p w14:paraId="2F46663B"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1/ 0</w:t>
            </w:r>
          </w:p>
        </w:tc>
        <w:tc>
          <w:tcPr>
            <w:tcW w:w="541" w:type="pct"/>
            <w:tcBorders>
              <w:top w:val="nil"/>
              <w:left w:val="single" w:sz="4" w:space="0" w:color="auto"/>
              <w:bottom w:val="single" w:sz="4" w:space="0" w:color="auto"/>
              <w:right w:val="single" w:sz="4" w:space="0" w:color="auto"/>
            </w:tcBorders>
            <w:shd w:val="clear" w:color="auto" w:fill="FFFF99"/>
            <w:vAlign w:val="center"/>
          </w:tcPr>
          <w:p w14:paraId="3ACCB562" w14:textId="77777777" w:rsidR="00EC39BD" w:rsidRPr="00AA0B4A" w:rsidRDefault="00EC39BD" w:rsidP="00E55B57">
            <w:pPr>
              <w:spacing w:after="0" w:line="240" w:lineRule="auto"/>
              <w:jc w:val="center"/>
              <w:rPr>
                <w:rFonts w:ascii="Times New Roman" w:hAnsi="Times New Roman"/>
                <w:bCs/>
                <w:noProof/>
                <w:sz w:val="18"/>
                <w:szCs w:val="18"/>
              </w:rPr>
            </w:pPr>
            <w:r>
              <w:rPr>
                <w:rFonts w:ascii="Times New Roman" w:hAnsi="Times New Roman"/>
                <w:noProof/>
                <w:sz w:val="18"/>
              </w:rPr>
              <w:t>1/0</w:t>
            </w:r>
          </w:p>
        </w:tc>
        <w:tc>
          <w:tcPr>
            <w:tcW w:w="772" w:type="pct"/>
            <w:tcBorders>
              <w:top w:val="nil"/>
              <w:left w:val="single" w:sz="4" w:space="0" w:color="auto"/>
              <w:bottom w:val="single" w:sz="4" w:space="0" w:color="auto"/>
              <w:right w:val="single" w:sz="4" w:space="0" w:color="auto"/>
            </w:tcBorders>
            <w:shd w:val="clear" w:color="auto" w:fill="FFFF99"/>
            <w:vAlign w:val="bottom"/>
          </w:tcPr>
          <w:p w14:paraId="5A57432C"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 (1)</w:t>
            </w:r>
          </w:p>
        </w:tc>
        <w:tc>
          <w:tcPr>
            <w:tcW w:w="618" w:type="pct"/>
            <w:tcBorders>
              <w:top w:val="nil"/>
              <w:left w:val="single" w:sz="4" w:space="0" w:color="auto"/>
              <w:bottom w:val="single" w:sz="4" w:space="0" w:color="auto"/>
              <w:right w:val="single" w:sz="4" w:space="0" w:color="auto"/>
            </w:tcBorders>
            <w:shd w:val="clear" w:color="auto" w:fill="FFFF99"/>
            <w:vAlign w:val="bottom"/>
          </w:tcPr>
          <w:p w14:paraId="60B8CF4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 (1)</w:t>
            </w:r>
          </w:p>
        </w:tc>
        <w:tc>
          <w:tcPr>
            <w:tcW w:w="695" w:type="pct"/>
            <w:tcBorders>
              <w:top w:val="nil"/>
              <w:left w:val="single" w:sz="4" w:space="0" w:color="auto"/>
              <w:bottom w:val="single" w:sz="4" w:space="0" w:color="auto"/>
              <w:right w:val="single" w:sz="4" w:space="0" w:color="auto"/>
            </w:tcBorders>
            <w:shd w:val="clear" w:color="auto" w:fill="FFFF99"/>
            <w:noWrap/>
          </w:tcPr>
          <w:p w14:paraId="2CF44D3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w:t>
            </w:r>
          </w:p>
        </w:tc>
        <w:tc>
          <w:tcPr>
            <w:tcW w:w="521" w:type="pct"/>
            <w:tcBorders>
              <w:top w:val="nil"/>
              <w:left w:val="single" w:sz="4" w:space="0" w:color="auto"/>
              <w:bottom w:val="single" w:sz="4" w:space="0" w:color="auto"/>
              <w:right w:val="single" w:sz="4" w:space="0" w:color="auto"/>
            </w:tcBorders>
            <w:shd w:val="clear" w:color="auto" w:fill="FFFF99"/>
            <w:vAlign w:val="center"/>
          </w:tcPr>
          <w:p w14:paraId="33429424" w14:textId="77777777" w:rsidR="00EC39BD" w:rsidRPr="00AA0B4A" w:rsidRDefault="00EC39BD" w:rsidP="00E55B57">
            <w:pPr>
              <w:spacing w:after="0" w:line="240" w:lineRule="auto"/>
              <w:jc w:val="center"/>
              <w:rPr>
                <w:rFonts w:ascii="Times New Roman" w:hAnsi="Times New Roman"/>
                <w:noProof/>
                <w:sz w:val="18"/>
                <w:szCs w:val="18"/>
              </w:rPr>
            </w:pPr>
            <w:r>
              <w:rPr>
                <w:rFonts w:ascii="Times New Roman" w:hAnsi="Times New Roman"/>
                <w:noProof/>
                <w:sz w:val="18"/>
              </w:rPr>
              <w:t>1</w:t>
            </w:r>
          </w:p>
        </w:tc>
      </w:tr>
      <w:tr w:rsidR="00EA116A" w:rsidRPr="00AA0B4A" w14:paraId="7D147033" w14:textId="77777777" w:rsidTr="00EA116A">
        <w:trPr>
          <w:trHeight w:val="74"/>
        </w:trPr>
        <w:tc>
          <w:tcPr>
            <w:tcW w:w="1081" w:type="pct"/>
            <w:tcBorders>
              <w:top w:val="nil"/>
              <w:left w:val="single" w:sz="4" w:space="0" w:color="auto"/>
              <w:bottom w:val="single" w:sz="4" w:space="0" w:color="auto"/>
              <w:right w:val="single" w:sz="4" w:space="0" w:color="auto"/>
            </w:tcBorders>
            <w:shd w:val="clear" w:color="auto" w:fill="FFFF99"/>
            <w:noWrap/>
            <w:vAlign w:val="bottom"/>
          </w:tcPr>
          <w:p w14:paraId="75E581B1" w14:textId="77777777" w:rsidR="00EC39BD" w:rsidRPr="00AA0B4A" w:rsidRDefault="00EC39BD" w:rsidP="00E55B57">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TOTAL:</w:t>
            </w:r>
          </w:p>
        </w:tc>
        <w:tc>
          <w:tcPr>
            <w:tcW w:w="772" w:type="pct"/>
            <w:tcBorders>
              <w:top w:val="nil"/>
              <w:left w:val="single" w:sz="4" w:space="0" w:color="auto"/>
              <w:bottom w:val="single" w:sz="4" w:space="0" w:color="auto"/>
              <w:right w:val="single" w:sz="4" w:space="0" w:color="auto"/>
            </w:tcBorders>
            <w:shd w:val="clear" w:color="auto" w:fill="FFFF99"/>
            <w:vAlign w:val="center"/>
          </w:tcPr>
          <w:p w14:paraId="00AD4E4D"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6/10</w:t>
            </w:r>
          </w:p>
        </w:tc>
        <w:tc>
          <w:tcPr>
            <w:tcW w:w="541" w:type="pct"/>
            <w:tcBorders>
              <w:top w:val="nil"/>
              <w:left w:val="single" w:sz="4" w:space="0" w:color="auto"/>
              <w:bottom w:val="single" w:sz="4" w:space="0" w:color="auto"/>
              <w:right w:val="single" w:sz="4" w:space="0" w:color="auto"/>
            </w:tcBorders>
            <w:shd w:val="clear" w:color="auto" w:fill="FFFF99"/>
            <w:vAlign w:val="center"/>
          </w:tcPr>
          <w:p w14:paraId="13A1A223"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11/6</w:t>
            </w:r>
          </w:p>
        </w:tc>
        <w:tc>
          <w:tcPr>
            <w:tcW w:w="772" w:type="pct"/>
            <w:tcBorders>
              <w:top w:val="nil"/>
              <w:left w:val="single" w:sz="4" w:space="0" w:color="auto"/>
              <w:bottom w:val="single" w:sz="4" w:space="0" w:color="auto"/>
              <w:right w:val="single" w:sz="4" w:space="0" w:color="auto"/>
            </w:tcBorders>
            <w:shd w:val="clear" w:color="auto" w:fill="FFFF99"/>
            <w:vAlign w:val="bottom"/>
          </w:tcPr>
          <w:p w14:paraId="3AD5DB1A"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12</w:t>
            </w:r>
          </w:p>
        </w:tc>
        <w:tc>
          <w:tcPr>
            <w:tcW w:w="618" w:type="pct"/>
            <w:tcBorders>
              <w:top w:val="nil"/>
              <w:left w:val="single" w:sz="4" w:space="0" w:color="auto"/>
              <w:bottom w:val="single" w:sz="4" w:space="0" w:color="auto"/>
              <w:right w:val="single" w:sz="4" w:space="0" w:color="auto"/>
            </w:tcBorders>
            <w:shd w:val="clear" w:color="auto" w:fill="FFFF99"/>
            <w:vAlign w:val="bottom"/>
          </w:tcPr>
          <w:p w14:paraId="3943573D"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13 (13)</w:t>
            </w:r>
          </w:p>
        </w:tc>
        <w:tc>
          <w:tcPr>
            <w:tcW w:w="695" w:type="pct"/>
            <w:tcBorders>
              <w:top w:val="nil"/>
              <w:left w:val="single" w:sz="4" w:space="0" w:color="auto"/>
              <w:bottom w:val="single" w:sz="4" w:space="0" w:color="auto"/>
              <w:right w:val="single" w:sz="4" w:space="0" w:color="auto"/>
            </w:tcBorders>
            <w:shd w:val="clear" w:color="auto" w:fill="FFFF99"/>
            <w:noWrap/>
          </w:tcPr>
          <w:p w14:paraId="677698C6"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12</w:t>
            </w:r>
          </w:p>
        </w:tc>
        <w:tc>
          <w:tcPr>
            <w:tcW w:w="521" w:type="pct"/>
            <w:tcBorders>
              <w:top w:val="nil"/>
              <w:left w:val="single" w:sz="4" w:space="0" w:color="auto"/>
              <w:bottom w:val="single" w:sz="4" w:space="0" w:color="auto"/>
              <w:right w:val="single" w:sz="4" w:space="0" w:color="auto"/>
            </w:tcBorders>
            <w:shd w:val="clear" w:color="auto" w:fill="FFFF99"/>
            <w:vAlign w:val="center"/>
          </w:tcPr>
          <w:p w14:paraId="4BCFC70F" w14:textId="77777777" w:rsidR="00EC39BD" w:rsidRPr="00AA0B4A" w:rsidRDefault="00EC39BD" w:rsidP="00E55B57">
            <w:pPr>
              <w:spacing w:after="0" w:line="240" w:lineRule="auto"/>
              <w:jc w:val="center"/>
              <w:rPr>
                <w:rFonts w:ascii="Times New Roman" w:hAnsi="Times New Roman"/>
                <w:b/>
                <w:bCs/>
                <w:noProof/>
                <w:sz w:val="18"/>
                <w:szCs w:val="18"/>
              </w:rPr>
            </w:pPr>
            <w:r>
              <w:rPr>
                <w:rFonts w:ascii="Times New Roman" w:hAnsi="Times New Roman"/>
                <w:b/>
                <w:noProof/>
                <w:sz w:val="18"/>
              </w:rPr>
              <w:t>11</w:t>
            </w:r>
          </w:p>
        </w:tc>
      </w:tr>
    </w:tbl>
    <w:p w14:paraId="142147FF" w14:textId="77777777" w:rsidR="00EC39BD" w:rsidRPr="00AA0B4A" w:rsidRDefault="00EC39BD" w:rsidP="00EC39BD">
      <w:pPr>
        <w:pStyle w:val="ManualHeading2"/>
        <w:spacing w:before="360" w:after="240"/>
        <w:ind w:left="851" w:hanging="851"/>
        <w:rPr>
          <w:noProof/>
        </w:rPr>
      </w:pPr>
      <w:r>
        <w:rPr>
          <w:noProof/>
        </w:rPr>
        <w:t>3.5.</w:t>
      </w:r>
      <w:r>
        <w:rPr>
          <w:noProof/>
        </w:rPr>
        <w:tab/>
        <w:t xml:space="preserve">Recurso ao procedimento de regulamentação com controlo </w:t>
      </w:r>
    </w:p>
    <w:p w14:paraId="5BD3B1AA" w14:textId="77777777" w:rsidR="00EC39BD" w:rsidRDefault="00EC39BD" w:rsidP="00EC39BD">
      <w:pPr>
        <w:jc w:val="both"/>
        <w:rPr>
          <w:rFonts w:ascii="Times New Roman" w:hAnsi="Times New Roman"/>
          <w:noProof/>
          <w:sz w:val="24"/>
          <w:szCs w:val="24"/>
        </w:rPr>
      </w:pPr>
      <w:r>
        <w:rPr>
          <w:rFonts w:ascii="Times New Roman" w:hAnsi="Times New Roman"/>
          <w:noProof/>
          <w:sz w:val="24"/>
        </w:rPr>
        <w:t>O Regulamento Comitologia manteve os efeitos do procedimento de regulamentação com controlo, para efeitos dos atos de base em vigor que remetem para o mesmo</w:t>
      </w:r>
      <w:r>
        <w:rPr>
          <w:rStyle w:val="FootnoteReference"/>
          <w:rFonts w:ascii="Times New Roman" w:hAnsi="Times New Roman"/>
          <w:noProof/>
          <w:sz w:val="24"/>
          <w:szCs w:val="24"/>
        </w:rPr>
        <w:footnoteReference w:id="28"/>
      </w:r>
      <w:r>
        <w:rPr>
          <w:rFonts w:ascii="Times New Roman" w:hAnsi="Times New Roman"/>
          <w:noProof/>
          <w:sz w:val="24"/>
        </w:rPr>
        <w:t xml:space="preserve">. Este procedimento já não pode ser introduzido em nova legislação, mas continua a figurar em muitos atos de base em vigor e continuará a ser aplicado ao abrigo desses atos até que as delegações de competências correspondentes tenham sido adaptadas de acordo com as delegações de competências relativas a atos delegados ou atos de execução (conforme indicado na secção 2.1). </w:t>
      </w:r>
    </w:p>
    <w:p w14:paraId="6353B127" w14:textId="77777777" w:rsidR="00EC39BD" w:rsidRDefault="00EC39BD" w:rsidP="00EC39BD">
      <w:pPr>
        <w:jc w:val="both"/>
        <w:rPr>
          <w:rFonts w:ascii="Times New Roman" w:hAnsi="Times New Roman"/>
          <w:noProof/>
          <w:sz w:val="24"/>
          <w:szCs w:val="24"/>
        </w:rPr>
      </w:pPr>
      <w:r>
        <w:rPr>
          <w:rFonts w:ascii="Times New Roman" w:hAnsi="Times New Roman"/>
          <w:noProof/>
          <w:sz w:val="24"/>
        </w:rPr>
        <w:t xml:space="preserve">Em 2022, adotaram-se 68 medidas em conformidade com o procedimento de regulamentação com controlo (ver quadro VI), o que é idêntico aos números de 2021 (68). </w:t>
      </w:r>
    </w:p>
    <w:p w14:paraId="1CC022AD" w14:textId="77777777" w:rsidR="00EC39BD" w:rsidRDefault="00EC39BD" w:rsidP="00EC39BD">
      <w:pPr>
        <w:jc w:val="both"/>
        <w:rPr>
          <w:rFonts w:ascii="Times New Roman" w:hAnsi="Times New Roman"/>
          <w:b/>
          <w:noProof/>
          <w:sz w:val="24"/>
          <w:szCs w:val="24"/>
          <w:u w:val="single"/>
        </w:rPr>
      </w:pPr>
      <w:r>
        <w:rPr>
          <w:rFonts w:ascii="Times New Roman" w:hAnsi="Times New Roman"/>
          <w:noProof/>
          <w:sz w:val="24"/>
        </w:rPr>
        <w:t>Em 2022, nenhum dos colegisladores utilizou o direito de veto no âmbito do procedimento de regulamentação com controlo. A título de comparação, em 2021 o Parlamento Europeu utilizou o direito de veto duas vezes</w:t>
      </w:r>
      <w:r>
        <w:rPr>
          <w:rStyle w:val="FootnoteReference"/>
          <w:rFonts w:ascii="Times New Roman" w:hAnsi="Times New Roman"/>
          <w:noProof/>
          <w:sz w:val="24"/>
          <w:szCs w:val="24"/>
        </w:rPr>
        <w:footnoteReference w:id="29"/>
      </w:r>
      <w:r>
        <w:rPr>
          <w:rFonts w:ascii="Times New Roman" w:hAnsi="Times New Roman"/>
          <w:noProof/>
          <w:sz w:val="24"/>
        </w:rPr>
        <w:t>, enquanto o Conselho nunca o fez.</w:t>
      </w:r>
      <w:r>
        <w:rPr>
          <w:rFonts w:ascii="Times New Roman" w:hAnsi="Times New Roman"/>
          <w:noProof/>
          <w:sz w:val="24"/>
        </w:rPr>
        <w:br w:type="page"/>
      </w:r>
    </w:p>
    <w:p w14:paraId="11FF03D8" w14:textId="77777777" w:rsidR="00EC39BD" w:rsidRPr="00AA0B4A" w:rsidRDefault="00EC39BD" w:rsidP="00EC39BD">
      <w:pPr>
        <w:keepNext/>
        <w:spacing w:line="240" w:lineRule="auto"/>
        <w:jc w:val="both"/>
        <w:rPr>
          <w:rFonts w:ascii="Times New Roman" w:hAnsi="Times New Roman"/>
          <w:b/>
          <w:smallCaps/>
          <w:noProof/>
          <w:sz w:val="24"/>
          <w:szCs w:val="24"/>
          <w:u w:val="single"/>
        </w:rPr>
      </w:pPr>
      <w:r>
        <w:rPr>
          <w:rFonts w:ascii="Times New Roman" w:hAnsi="Times New Roman"/>
          <w:b/>
          <w:noProof/>
          <w:sz w:val="24"/>
          <w:u w:val="single"/>
        </w:rPr>
        <w:t>QUADRO VI – Número de medidas adotadas segundo o procedimento de regulamentação com controlo</w:t>
      </w:r>
      <w:r>
        <w:rPr>
          <w:rFonts w:ascii="Times New Roman" w:hAnsi="Times New Roman"/>
          <w:b/>
          <w:smallCaps/>
          <w:noProof/>
          <w:sz w:val="24"/>
          <w:u w:val="single"/>
        </w:rPr>
        <w:t xml:space="preserve"> </w:t>
      </w:r>
    </w:p>
    <w:tbl>
      <w:tblPr>
        <w:tblW w:w="4106" w:type="pct"/>
        <w:tblInd w:w="708" w:type="dxa"/>
        <w:tblLook w:val="0000" w:firstRow="0" w:lastRow="0" w:firstColumn="0" w:lastColumn="0" w:noHBand="0" w:noVBand="0"/>
      </w:tblPr>
      <w:tblGrid>
        <w:gridCol w:w="1877"/>
        <w:gridCol w:w="2137"/>
        <w:gridCol w:w="1760"/>
        <w:gridCol w:w="1852"/>
      </w:tblGrid>
      <w:tr w:rsidR="00EC39BD" w:rsidRPr="00AA0B4A" w14:paraId="6863D8F6" w14:textId="77777777" w:rsidTr="00E55B57">
        <w:trPr>
          <w:trHeight w:val="664"/>
        </w:trPr>
        <w:tc>
          <w:tcPr>
            <w:tcW w:w="1231"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F432365" w14:textId="77777777" w:rsidR="00EC39BD" w:rsidRPr="00B51F30" w:rsidRDefault="00EC39BD" w:rsidP="00E55B57">
            <w:pPr>
              <w:spacing w:after="0" w:line="360" w:lineRule="auto"/>
              <w:rPr>
                <w:rFonts w:ascii="Times New Roman" w:hAnsi="Times New Roman"/>
                <w:b/>
                <w:noProof/>
                <w:color w:val="000000"/>
                <w:sz w:val="18"/>
                <w:szCs w:val="18"/>
              </w:rPr>
            </w:pPr>
            <w:r>
              <w:rPr>
                <w:rFonts w:ascii="Times New Roman" w:hAnsi="Times New Roman"/>
                <w:b/>
                <w:noProof/>
                <w:color w:val="000000"/>
                <w:sz w:val="18"/>
              </w:rPr>
              <w:t>Serviço da Comissão</w:t>
            </w:r>
          </w:p>
        </w:tc>
        <w:tc>
          <w:tcPr>
            <w:tcW w:w="1401" w:type="pct"/>
            <w:tcBorders>
              <w:top w:val="single" w:sz="4" w:space="0" w:color="auto"/>
              <w:left w:val="nil"/>
              <w:bottom w:val="single" w:sz="4" w:space="0" w:color="auto"/>
              <w:right w:val="single" w:sz="4" w:space="0" w:color="auto"/>
            </w:tcBorders>
            <w:shd w:val="clear" w:color="auto" w:fill="FFFF99"/>
            <w:vAlign w:val="bottom"/>
          </w:tcPr>
          <w:p w14:paraId="4DB1E728"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Procedimento de regulamentação com controlo -</w:t>
            </w:r>
            <w:r>
              <w:rPr>
                <w:noProof/>
              </w:rPr>
              <w:t xml:space="preserve"> </w:t>
            </w:r>
            <w:r>
              <w:rPr>
                <w:noProof/>
              </w:rPr>
              <w:br/>
            </w:r>
            <w:r>
              <w:rPr>
                <w:rFonts w:ascii="Times New Roman" w:hAnsi="Times New Roman"/>
                <w:b/>
                <w:noProof/>
                <w:color w:val="000000"/>
                <w:sz w:val="18"/>
              </w:rPr>
              <w:t>medidas adotadas</w:t>
            </w:r>
          </w:p>
        </w:tc>
        <w:tc>
          <w:tcPr>
            <w:tcW w:w="1154" w:type="pct"/>
            <w:tcBorders>
              <w:top w:val="single" w:sz="4" w:space="0" w:color="auto"/>
              <w:left w:val="nil"/>
              <w:bottom w:val="single" w:sz="4" w:space="0" w:color="auto"/>
              <w:right w:val="single" w:sz="4" w:space="0" w:color="auto"/>
            </w:tcBorders>
            <w:shd w:val="clear" w:color="auto" w:fill="FFFF99"/>
            <w:vAlign w:val="bottom"/>
          </w:tcPr>
          <w:p w14:paraId="3CFDC0F9"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Oposição do Parlamento Europeu à adoção de projetos de medidas </w:t>
            </w:r>
          </w:p>
        </w:tc>
        <w:tc>
          <w:tcPr>
            <w:tcW w:w="1214" w:type="pct"/>
            <w:tcBorders>
              <w:top w:val="single" w:sz="4" w:space="0" w:color="auto"/>
              <w:left w:val="nil"/>
              <w:bottom w:val="single" w:sz="4" w:space="0" w:color="auto"/>
              <w:right w:val="single" w:sz="4" w:space="0" w:color="auto"/>
            </w:tcBorders>
            <w:shd w:val="clear" w:color="auto" w:fill="FFFF99"/>
            <w:vAlign w:val="center"/>
          </w:tcPr>
          <w:p w14:paraId="6DE0E952" w14:textId="77777777" w:rsidR="00EC39BD" w:rsidRPr="00AA0B4A"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Oposição do Conselho à adoção de projetos de medidas </w:t>
            </w:r>
          </w:p>
        </w:tc>
      </w:tr>
      <w:tr w:rsidR="00EC39BD" w:rsidRPr="00AA0B4A" w14:paraId="3536BF2E"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59873E0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401" w:type="pct"/>
            <w:tcBorders>
              <w:top w:val="nil"/>
              <w:left w:val="nil"/>
              <w:bottom w:val="single" w:sz="4" w:space="0" w:color="auto"/>
              <w:right w:val="single" w:sz="4" w:space="0" w:color="auto"/>
            </w:tcBorders>
            <w:shd w:val="clear" w:color="auto" w:fill="FFFF99"/>
            <w:noWrap/>
            <w:vAlign w:val="center"/>
          </w:tcPr>
          <w:p w14:paraId="3463FC52"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vAlign w:val="bottom"/>
          </w:tcPr>
          <w:p w14:paraId="7AD3A4D6"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246797C9"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31FB8580"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1051144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401" w:type="pct"/>
            <w:tcBorders>
              <w:top w:val="nil"/>
              <w:left w:val="nil"/>
              <w:bottom w:val="single" w:sz="4" w:space="0" w:color="auto"/>
              <w:right w:val="single" w:sz="4" w:space="0" w:color="auto"/>
            </w:tcBorders>
            <w:shd w:val="clear" w:color="auto" w:fill="FFFF99"/>
            <w:noWrap/>
            <w:vAlign w:val="center"/>
          </w:tcPr>
          <w:p w14:paraId="118426CA"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15D0C6F0"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056C9778"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067E0E61"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193D4E1A"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401" w:type="pct"/>
            <w:tcBorders>
              <w:top w:val="nil"/>
              <w:left w:val="nil"/>
              <w:bottom w:val="single" w:sz="4" w:space="0" w:color="auto"/>
              <w:right w:val="single" w:sz="4" w:space="0" w:color="auto"/>
            </w:tcBorders>
            <w:shd w:val="clear" w:color="auto" w:fill="FFFF99"/>
            <w:noWrap/>
            <w:vAlign w:val="center"/>
          </w:tcPr>
          <w:p w14:paraId="5FEA03AD"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2F9BE196"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0A29F3E3"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2251CCEC"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CFA5A9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401" w:type="pct"/>
            <w:tcBorders>
              <w:top w:val="nil"/>
              <w:left w:val="nil"/>
              <w:bottom w:val="single" w:sz="4" w:space="0" w:color="auto"/>
              <w:right w:val="single" w:sz="4" w:space="0" w:color="auto"/>
            </w:tcBorders>
            <w:shd w:val="clear" w:color="auto" w:fill="FFFF99"/>
            <w:noWrap/>
            <w:vAlign w:val="center"/>
          </w:tcPr>
          <w:p w14:paraId="1B71DA93"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79DB0813"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62D1B677"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191F80DC"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72F3D78"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DEFIS</w:t>
            </w:r>
          </w:p>
        </w:tc>
        <w:tc>
          <w:tcPr>
            <w:tcW w:w="1401" w:type="pct"/>
            <w:tcBorders>
              <w:top w:val="nil"/>
              <w:left w:val="nil"/>
              <w:bottom w:val="single" w:sz="4" w:space="0" w:color="auto"/>
              <w:right w:val="single" w:sz="4" w:space="0" w:color="auto"/>
            </w:tcBorders>
            <w:shd w:val="clear" w:color="auto" w:fill="FFFF99"/>
            <w:noWrap/>
            <w:vAlign w:val="center"/>
          </w:tcPr>
          <w:p w14:paraId="2A56063A"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4139AC8C"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5C9D49A7"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6821CB3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689F2EB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401" w:type="pct"/>
            <w:tcBorders>
              <w:top w:val="nil"/>
              <w:left w:val="nil"/>
              <w:bottom w:val="single" w:sz="4" w:space="0" w:color="auto"/>
              <w:right w:val="single" w:sz="4" w:space="0" w:color="auto"/>
            </w:tcBorders>
            <w:shd w:val="clear" w:color="auto" w:fill="FFFF99"/>
            <w:noWrap/>
            <w:vAlign w:val="center"/>
          </w:tcPr>
          <w:p w14:paraId="3DCF3409"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510C2126"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59608D83"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7D8AA449"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737D8A5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401" w:type="pct"/>
            <w:tcBorders>
              <w:top w:val="nil"/>
              <w:left w:val="nil"/>
              <w:bottom w:val="single" w:sz="4" w:space="0" w:color="auto"/>
              <w:right w:val="single" w:sz="4" w:space="0" w:color="auto"/>
            </w:tcBorders>
            <w:shd w:val="clear" w:color="auto" w:fill="FFFF99"/>
            <w:noWrap/>
            <w:vAlign w:val="center"/>
          </w:tcPr>
          <w:p w14:paraId="32302C01"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7D14EF76"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27337E8D"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32ACB527"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4ACD862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401" w:type="pct"/>
            <w:tcBorders>
              <w:top w:val="nil"/>
              <w:left w:val="nil"/>
              <w:bottom w:val="single" w:sz="4" w:space="0" w:color="auto"/>
              <w:right w:val="single" w:sz="4" w:space="0" w:color="auto"/>
            </w:tcBorders>
            <w:shd w:val="clear" w:color="auto" w:fill="FFFF99"/>
            <w:noWrap/>
            <w:vAlign w:val="center"/>
          </w:tcPr>
          <w:p w14:paraId="49A01C92"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1E74F2CB"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079322DA"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0502F3A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6AE563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401" w:type="pct"/>
            <w:tcBorders>
              <w:top w:val="nil"/>
              <w:left w:val="nil"/>
              <w:bottom w:val="single" w:sz="4" w:space="0" w:color="auto"/>
              <w:right w:val="single" w:sz="4" w:space="0" w:color="auto"/>
            </w:tcBorders>
            <w:shd w:val="clear" w:color="auto" w:fill="FFFF99"/>
            <w:noWrap/>
            <w:vAlign w:val="center"/>
          </w:tcPr>
          <w:p w14:paraId="092F1710"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6E947D6D"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519CBCC7"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0078F619"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5D4989C8"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401" w:type="pct"/>
            <w:tcBorders>
              <w:top w:val="nil"/>
              <w:left w:val="nil"/>
              <w:bottom w:val="single" w:sz="4" w:space="0" w:color="auto"/>
              <w:right w:val="single" w:sz="4" w:space="0" w:color="auto"/>
            </w:tcBorders>
            <w:shd w:val="clear" w:color="auto" w:fill="FFFF99"/>
            <w:noWrap/>
            <w:vAlign w:val="center"/>
          </w:tcPr>
          <w:p w14:paraId="6937A821"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1739D81A"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21241651"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169FC3B0"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B85DA4D"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401" w:type="pct"/>
            <w:tcBorders>
              <w:top w:val="nil"/>
              <w:left w:val="nil"/>
              <w:bottom w:val="single" w:sz="4" w:space="0" w:color="auto"/>
              <w:right w:val="single" w:sz="4" w:space="0" w:color="auto"/>
            </w:tcBorders>
            <w:shd w:val="clear" w:color="auto" w:fill="FFFF99"/>
            <w:noWrap/>
            <w:vAlign w:val="center"/>
          </w:tcPr>
          <w:p w14:paraId="19147ED0"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4251B167"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530F8CF7"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7CAE2168"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0A22F64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401" w:type="pct"/>
            <w:tcBorders>
              <w:top w:val="nil"/>
              <w:left w:val="nil"/>
              <w:bottom w:val="single" w:sz="4" w:space="0" w:color="auto"/>
              <w:right w:val="single" w:sz="4" w:space="0" w:color="auto"/>
            </w:tcBorders>
            <w:shd w:val="clear" w:color="auto" w:fill="FFFF99"/>
            <w:noWrap/>
            <w:vAlign w:val="center"/>
          </w:tcPr>
          <w:p w14:paraId="7A4DE1BE"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1154" w:type="pct"/>
            <w:tcBorders>
              <w:top w:val="nil"/>
              <w:left w:val="nil"/>
              <w:bottom w:val="single" w:sz="4" w:space="0" w:color="auto"/>
              <w:right w:val="single" w:sz="4" w:space="0" w:color="auto"/>
            </w:tcBorders>
            <w:shd w:val="clear" w:color="auto" w:fill="FFFF99"/>
            <w:noWrap/>
          </w:tcPr>
          <w:p w14:paraId="18DA36D4"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06761FC9"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7870FDFA"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F44863F"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401" w:type="pct"/>
            <w:tcBorders>
              <w:top w:val="nil"/>
              <w:left w:val="nil"/>
              <w:bottom w:val="single" w:sz="4" w:space="0" w:color="auto"/>
              <w:right w:val="single" w:sz="4" w:space="0" w:color="auto"/>
            </w:tcBorders>
            <w:shd w:val="clear" w:color="auto" w:fill="FFFF99"/>
            <w:noWrap/>
            <w:vAlign w:val="center"/>
          </w:tcPr>
          <w:p w14:paraId="42DEF547"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1154" w:type="pct"/>
            <w:tcBorders>
              <w:top w:val="nil"/>
              <w:left w:val="nil"/>
              <w:right w:val="single" w:sz="4" w:space="0" w:color="auto"/>
            </w:tcBorders>
            <w:shd w:val="clear" w:color="auto" w:fill="FFFF99"/>
            <w:noWrap/>
          </w:tcPr>
          <w:p w14:paraId="7E748F30"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right w:val="single" w:sz="4" w:space="0" w:color="auto"/>
            </w:tcBorders>
            <w:shd w:val="clear" w:color="auto" w:fill="FFFF99"/>
            <w:noWrap/>
          </w:tcPr>
          <w:p w14:paraId="58A621F1" w14:textId="77777777" w:rsidR="00EC39BD" w:rsidRPr="00EB35BE"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0B19BA0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1CC6173"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401" w:type="pct"/>
            <w:tcBorders>
              <w:top w:val="nil"/>
              <w:left w:val="nil"/>
              <w:bottom w:val="single" w:sz="4" w:space="0" w:color="auto"/>
              <w:right w:val="single" w:sz="4" w:space="0" w:color="auto"/>
            </w:tcBorders>
            <w:shd w:val="clear" w:color="auto" w:fill="FFFF99"/>
            <w:noWrap/>
            <w:vAlign w:val="center"/>
          </w:tcPr>
          <w:p w14:paraId="38C3358C"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1154" w:type="pct"/>
            <w:tcBorders>
              <w:top w:val="single" w:sz="4" w:space="0" w:color="auto"/>
              <w:left w:val="nil"/>
              <w:bottom w:val="single" w:sz="4" w:space="0" w:color="auto"/>
              <w:right w:val="single" w:sz="4" w:space="0" w:color="auto"/>
            </w:tcBorders>
            <w:shd w:val="clear" w:color="auto" w:fill="FFFF99"/>
            <w:noWrap/>
          </w:tcPr>
          <w:p w14:paraId="33E9FB40"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single" w:sz="4" w:space="0" w:color="auto"/>
              <w:left w:val="nil"/>
              <w:bottom w:val="single" w:sz="4" w:space="0" w:color="auto"/>
              <w:right w:val="single" w:sz="4" w:space="0" w:color="auto"/>
            </w:tcBorders>
            <w:shd w:val="clear" w:color="auto" w:fill="FFFF99"/>
            <w:noWrap/>
          </w:tcPr>
          <w:p w14:paraId="3258935A"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3945940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7501E88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401" w:type="pct"/>
            <w:tcBorders>
              <w:top w:val="nil"/>
              <w:left w:val="nil"/>
              <w:bottom w:val="single" w:sz="4" w:space="0" w:color="auto"/>
              <w:right w:val="single" w:sz="4" w:space="0" w:color="auto"/>
            </w:tcBorders>
            <w:shd w:val="clear" w:color="auto" w:fill="FFFF99"/>
            <w:noWrap/>
            <w:vAlign w:val="center"/>
          </w:tcPr>
          <w:p w14:paraId="65421194"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32A93DE6"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21B85FF2"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35251596"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D4C33C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401" w:type="pct"/>
            <w:tcBorders>
              <w:top w:val="nil"/>
              <w:left w:val="nil"/>
              <w:bottom w:val="single" w:sz="4" w:space="0" w:color="auto"/>
              <w:right w:val="single" w:sz="4" w:space="0" w:color="auto"/>
            </w:tcBorders>
            <w:shd w:val="clear" w:color="auto" w:fill="FFFF99"/>
            <w:noWrap/>
            <w:vAlign w:val="center"/>
          </w:tcPr>
          <w:p w14:paraId="2F6AEFFF"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7</w:t>
            </w:r>
          </w:p>
        </w:tc>
        <w:tc>
          <w:tcPr>
            <w:tcW w:w="1154" w:type="pct"/>
            <w:tcBorders>
              <w:top w:val="nil"/>
              <w:left w:val="nil"/>
              <w:bottom w:val="single" w:sz="4" w:space="0" w:color="auto"/>
              <w:right w:val="single" w:sz="4" w:space="0" w:color="auto"/>
            </w:tcBorders>
            <w:shd w:val="clear" w:color="auto" w:fill="FFFF99"/>
            <w:noWrap/>
          </w:tcPr>
          <w:p w14:paraId="3485E4E7"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0FAB2E8A"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534B31D3"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6AB9F0D5"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401" w:type="pct"/>
            <w:tcBorders>
              <w:top w:val="nil"/>
              <w:left w:val="nil"/>
              <w:bottom w:val="single" w:sz="4" w:space="0" w:color="auto"/>
              <w:right w:val="single" w:sz="4" w:space="0" w:color="auto"/>
            </w:tcBorders>
            <w:shd w:val="clear" w:color="auto" w:fill="FFFF99"/>
            <w:noWrap/>
            <w:vAlign w:val="center"/>
          </w:tcPr>
          <w:p w14:paraId="7A59174F"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46E01C2C"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1EA5A22C"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3F8D6ACF"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06C33C34"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INTPA</w:t>
            </w:r>
          </w:p>
        </w:tc>
        <w:tc>
          <w:tcPr>
            <w:tcW w:w="1401" w:type="pct"/>
            <w:tcBorders>
              <w:top w:val="nil"/>
              <w:left w:val="nil"/>
              <w:bottom w:val="single" w:sz="4" w:space="0" w:color="auto"/>
              <w:right w:val="single" w:sz="4" w:space="0" w:color="auto"/>
            </w:tcBorders>
            <w:shd w:val="clear" w:color="auto" w:fill="FFFF99"/>
            <w:noWrap/>
            <w:vAlign w:val="center"/>
          </w:tcPr>
          <w:p w14:paraId="0AE9547C"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345AD85D"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1C2B2DEC"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372D0840"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F476A4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401" w:type="pct"/>
            <w:tcBorders>
              <w:top w:val="nil"/>
              <w:left w:val="nil"/>
              <w:bottom w:val="single" w:sz="4" w:space="0" w:color="auto"/>
              <w:right w:val="single" w:sz="4" w:space="0" w:color="auto"/>
            </w:tcBorders>
            <w:shd w:val="clear" w:color="auto" w:fill="FFFF99"/>
            <w:noWrap/>
            <w:vAlign w:val="center"/>
          </w:tcPr>
          <w:p w14:paraId="61C41E65"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3BCF0047"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0F4A79BD"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0D1FE530"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55A248C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401" w:type="pct"/>
            <w:tcBorders>
              <w:top w:val="nil"/>
              <w:left w:val="nil"/>
              <w:bottom w:val="single" w:sz="4" w:space="0" w:color="auto"/>
              <w:right w:val="single" w:sz="4" w:space="0" w:color="auto"/>
            </w:tcBorders>
            <w:shd w:val="clear" w:color="auto" w:fill="FFFF99"/>
            <w:noWrap/>
            <w:vAlign w:val="center"/>
          </w:tcPr>
          <w:p w14:paraId="4DCDF538"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71454EC4"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0AEBA4DA"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2F26E315"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1BA81970"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401" w:type="pct"/>
            <w:tcBorders>
              <w:top w:val="nil"/>
              <w:left w:val="nil"/>
              <w:bottom w:val="single" w:sz="4" w:space="0" w:color="auto"/>
              <w:right w:val="single" w:sz="4" w:space="0" w:color="auto"/>
            </w:tcBorders>
            <w:shd w:val="clear" w:color="auto" w:fill="FFFF99"/>
            <w:noWrap/>
            <w:vAlign w:val="center"/>
          </w:tcPr>
          <w:p w14:paraId="1AE49D9B"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4F7EF476"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547532B3"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0F8EFA9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01E25F3F"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401" w:type="pct"/>
            <w:tcBorders>
              <w:top w:val="nil"/>
              <w:left w:val="nil"/>
              <w:bottom w:val="single" w:sz="4" w:space="0" w:color="auto"/>
              <w:right w:val="single" w:sz="4" w:space="0" w:color="auto"/>
            </w:tcBorders>
            <w:shd w:val="clear" w:color="auto" w:fill="FFFF99"/>
            <w:noWrap/>
            <w:vAlign w:val="center"/>
          </w:tcPr>
          <w:p w14:paraId="646C935B"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345DEEFE"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12A64418"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4379F4F6"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7B2FB988" w14:textId="77777777" w:rsidR="00EC39BD" w:rsidRPr="009A41C3"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1401" w:type="pct"/>
            <w:tcBorders>
              <w:top w:val="nil"/>
              <w:left w:val="nil"/>
              <w:bottom w:val="single" w:sz="4" w:space="0" w:color="auto"/>
              <w:right w:val="single" w:sz="4" w:space="0" w:color="auto"/>
            </w:tcBorders>
            <w:shd w:val="clear" w:color="auto" w:fill="FFFF99"/>
            <w:noWrap/>
            <w:vAlign w:val="center"/>
          </w:tcPr>
          <w:p w14:paraId="70ED9854"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65F9CD84"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3B4E3CA9"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6C55BBD4"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8B76BD7"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401" w:type="pct"/>
            <w:tcBorders>
              <w:top w:val="nil"/>
              <w:left w:val="nil"/>
              <w:bottom w:val="single" w:sz="4" w:space="0" w:color="auto"/>
              <w:right w:val="single" w:sz="4" w:space="0" w:color="auto"/>
            </w:tcBorders>
            <w:shd w:val="clear" w:color="auto" w:fill="FFFF99"/>
            <w:noWrap/>
            <w:vAlign w:val="center"/>
          </w:tcPr>
          <w:p w14:paraId="6FB0F536"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72BC1E36"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35DFF8BA"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40890A4E"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013A010"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REFORM</w:t>
            </w:r>
          </w:p>
        </w:tc>
        <w:tc>
          <w:tcPr>
            <w:tcW w:w="1401" w:type="pct"/>
            <w:tcBorders>
              <w:top w:val="nil"/>
              <w:left w:val="nil"/>
              <w:bottom w:val="single" w:sz="4" w:space="0" w:color="auto"/>
              <w:right w:val="single" w:sz="4" w:space="0" w:color="auto"/>
            </w:tcBorders>
            <w:shd w:val="clear" w:color="auto" w:fill="FFFF99"/>
            <w:noWrap/>
            <w:vAlign w:val="center"/>
          </w:tcPr>
          <w:p w14:paraId="7BF05CF3"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4F2ADFFF"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3AE00E15"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3414040A"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645D2189"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401" w:type="pct"/>
            <w:tcBorders>
              <w:top w:val="nil"/>
              <w:left w:val="nil"/>
              <w:bottom w:val="single" w:sz="4" w:space="0" w:color="auto"/>
              <w:right w:val="single" w:sz="4" w:space="0" w:color="auto"/>
            </w:tcBorders>
            <w:shd w:val="clear" w:color="auto" w:fill="FFFF99"/>
            <w:noWrap/>
            <w:vAlign w:val="center"/>
          </w:tcPr>
          <w:p w14:paraId="63DC5E62"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181DB8BC"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4744C3B0"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18E19D2F"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7EEBC9F2"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401" w:type="pct"/>
            <w:tcBorders>
              <w:top w:val="nil"/>
              <w:left w:val="nil"/>
              <w:bottom w:val="single" w:sz="4" w:space="0" w:color="auto"/>
              <w:right w:val="single" w:sz="4" w:space="0" w:color="auto"/>
            </w:tcBorders>
            <w:shd w:val="clear" w:color="auto" w:fill="FFFF99"/>
            <w:noWrap/>
            <w:vAlign w:val="center"/>
          </w:tcPr>
          <w:p w14:paraId="36AF52B5"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55</w:t>
            </w:r>
          </w:p>
        </w:tc>
        <w:tc>
          <w:tcPr>
            <w:tcW w:w="1154" w:type="pct"/>
            <w:tcBorders>
              <w:top w:val="nil"/>
              <w:left w:val="nil"/>
              <w:bottom w:val="single" w:sz="4" w:space="0" w:color="auto"/>
              <w:right w:val="single" w:sz="4" w:space="0" w:color="auto"/>
            </w:tcBorders>
            <w:shd w:val="clear" w:color="auto" w:fill="FFFF99"/>
            <w:noWrap/>
          </w:tcPr>
          <w:p w14:paraId="7F04C517"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7509ED4D" w14:textId="77777777" w:rsidR="00EC39BD" w:rsidRPr="003F750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56570084"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257D171"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401" w:type="pct"/>
            <w:tcBorders>
              <w:top w:val="nil"/>
              <w:left w:val="nil"/>
              <w:bottom w:val="single" w:sz="4" w:space="0" w:color="auto"/>
              <w:right w:val="single" w:sz="4" w:space="0" w:color="auto"/>
            </w:tcBorders>
            <w:shd w:val="clear" w:color="auto" w:fill="FFFF99"/>
            <w:noWrap/>
            <w:vAlign w:val="center"/>
          </w:tcPr>
          <w:p w14:paraId="1E0AACD3"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1A94ED27"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5E5AA41E"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309AEB47"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62BBBE30"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401" w:type="pct"/>
            <w:tcBorders>
              <w:top w:val="nil"/>
              <w:left w:val="nil"/>
              <w:bottom w:val="single" w:sz="4" w:space="0" w:color="auto"/>
              <w:right w:val="single" w:sz="4" w:space="0" w:color="auto"/>
            </w:tcBorders>
            <w:shd w:val="clear" w:color="auto" w:fill="FFFF99"/>
            <w:noWrap/>
            <w:vAlign w:val="center"/>
          </w:tcPr>
          <w:p w14:paraId="577C2967"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514D38D2"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1A89B96B"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612D94FA"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4240DF7B" w14:textId="77777777" w:rsidR="00EC39BD" w:rsidRPr="00AA0B4A"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401" w:type="pct"/>
            <w:tcBorders>
              <w:top w:val="nil"/>
              <w:left w:val="nil"/>
              <w:bottom w:val="single" w:sz="4" w:space="0" w:color="auto"/>
              <w:right w:val="single" w:sz="4" w:space="0" w:color="auto"/>
            </w:tcBorders>
            <w:shd w:val="clear" w:color="auto" w:fill="FFFF99"/>
            <w:noWrap/>
            <w:vAlign w:val="center"/>
          </w:tcPr>
          <w:p w14:paraId="4DCA3F9C"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154" w:type="pct"/>
            <w:tcBorders>
              <w:top w:val="nil"/>
              <w:left w:val="nil"/>
              <w:bottom w:val="single" w:sz="4" w:space="0" w:color="auto"/>
              <w:right w:val="single" w:sz="4" w:space="0" w:color="auto"/>
            </w:tcBorders>
            <w:shd w:val="clear" w:color="auto" w:fill="FFFF99"/>
            <w:noWrap/>
          </w:tcPr>
          <w:p w14:paraId="62F719EA"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214" w:type="pct"/>
            <w:tcBorders>
              <w:top w:val="nil"/>
              <w:left w:val="nil"/>
              <w:bottom w:val="single" w:sz="4" w:space="0" w:color="auto"/>
              <w:right w:val="single" w:sz="4" w:space="0" w:color="auto"/>
            </w:tcBorders>
            <w:shd w:val="clear" w:color="auto" w:fill="FFFF99"/>
            <w:noWrap/>
          </w:tcPr>
          <w:p w14:paraId="3CAA0278" w14:textId="77777777" w:rsidR="00EC39BD" w:rsidRPr="008B29CF" w:rsidRDefault="00EC39BD" w:rsidP="00E55B57">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rsidR="00EC39BD" w:rsidRPr="00AA0B4A" w14:paraId="63E099D7"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CB91D6D" w14:textId="77777777" w:rsidR="00EC39BD" w:rsidRPr="009A41C3" w:rsidRDefault="00EC39BD" w:rsidP="00E55B57">
            <w:pPr>
              <w:spacing w:after="0" w:line="240" w:lineRule="auto"/>
              <w:rPr>
                <w:rFonts w:ascii="Times New Roman" w:hAnsi="Times New Roman"/>
                <w:b/>
                <w:noProof/>
                <w:color w:val="000000"/>
                <w:sz w:val="18"/>
                <w:szCs w:val="18"/>
              </w:rPr>
            </w:pPr>
            <w:r>
              <w:rPr>
                <w:rFonts w:ascii="Times New Roman" w:hAnsi="Times New Roman"/>
                <w:b/>
                <w:noProof/>
                <w:color w:val="000000"/>
                <w:sz w:val="18"/>
              </w:rPr>
              <w:t>TOTAL:</w:t>
            </w:r>
          </w:p>
        </w:tc>
        <w:tc>
          <w:tcPr>
            <w:tcW w:w="1401" w:type="pct"/>
            <w:tcBorders>
              <w:top w:val="nil"/>
              <w:left w:val="nil"/>
              <w:bottom w:val="single" w:sz="4" w:space="0" w:color="auto"/>
              <w:right w:val="single" w:sz="4" w:space="0" w:color="auto"/>
            </w:tcBorders>
            <w:shd w:val="clear" w:color="auto" w:fill="FFFF99"/>
            <w:noWrap/>
            <w:vAlign w:val="center"/>
          </w:tcPr>
          <w:p w14:paraId="54AAB9EF" w14:textId="77777777" w:rsidR="00EC39BD" w:rsidRPr="009A41C3"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68</w:t>
            </w:r>
          </w:p>
        </w:tc>
        <w:tc>
          <w:tcPr>
            <w:tcW w:w="1154" w:type="pct"/>
            <w:tcBorders>
              <w:top w:val="nil"/>
              <w:left w:val="nil"/>
              <w:bottom w:val="single" w:sz="4" w:space="0" w:color="auto"/>
              <w:right w:val="single" w:sz="4" w:space="0" w:color="auto"/>
            </w:tcBorders>
            <w:shd w:val="clear" w:color="auto" w:fill="FFFF99"/>
            <w:noWrap/>
            <w:vAlign w:val="bottom"/>
          </w:tcPr>
          <w:p w14:paraId="34ABEFC6" w14:textId="77777777" w:rsidR="00EC39BD" w:rsidRPr="009A41C3"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0</w:t>
            </w:r>
          </w:p>
        </w:tc>
        <w:tc>
          <w:tcPr>
            <w:tcW w:w="1214" w:type="pct"/>
            <w:tcBorders>
              <w:top w:val="nil"/>
              <w:left w:val="nil"/>
              <w:bottom w:val="single" w:sz="4" w:space="0" w:color="auto"/>
              <w:right w:val="single" w:sz="4" w:space="0" w:color="auto"/>
            </w:tcBorders>
            <w:shd w:val="clear" w:color="auto" w:fill="FFFF99"/>
            <w:noWrap/>
            <w:vAlign w:val="bottom"/>
          </w:tcPr>
          <w:p w14:paraId="431A52A0" w14:textId="77777777" w:rsidR="00EC39BD" w:rsidRPr="009A41C3" w:rsidRDefault="00EC39BD" w:rsidP="00E55B57">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0</w:t>
            </w:r>
          </w:p>
        </w:tc>
      </w:tr>
    </w:tbl>
    <w:p w14:paraId="3A7AC584" w14:textId="77777777" w:rsidR="00EC39BD" w:rsidRPr="00E12DAC" w:rsidRDefault="00EC39BD" w:rsidP="00EC39BD">
      <w:pPr>
        <w:pStyle w:val="Text1"/>
        <w:ind w:left="0"/>
        <w:rPr>
          <w:noProof/>
        </w:rPr>
      </w:pPr>
    </w:p>
    <w:p w14:paraId="12F82ED3" w14:textId="77777777" w:rsidR="00EC39BD" w:rsidRDefault="00EC39BD" w:rsidP="00EC39BD">
      <w:pPr>
        <w:pStyle w:val="ManualHeading1"/>
        <w:spacing w:after="240"/>
        <w:ind w:left="851" w:hanging="851"/>
        <w:rPr>
          <w:noProof/>
        </w:rPr>
      </w:pPr>
      <w:r>
        <w:rPr>
          <w:noProof/>
        </w:rPr>
        <w:t>4.</w:t>
      </w:r>
      <w:r>
        <w:rPr>
          <w:noProof/>
        </w:rPr>
        <w:tab/>
        <w:t>Conclusão</w:t>
      </w:r>
    </w:p>
    <w:p w14:paraId="56290E45" w14:textId="77777777" w:rsidR="00EC39BD" w:rsidRDefault="00EC39BD" w:rsidP="00EC39BD">
      <w:pPr>
        <w:jc w:val="both"/>
        <w:rPr>
          <w:rFonts w:ascii="Times New Roman" w:hAnsi="Times New Roman"/>
          <w:noProof/>
          <w:sz w:val="24"/>
          <w:szCs w:val="24"/>
        </w:rPr>
      </w:pPr>
      <w:r>
        <w:rPr>
          <w:rFonts w:ascii="Times New Roman" w:hAnsi="Times New Roman"/>
          <w:noProof/>
          <w:sz w:val="24"/>
        </w:rPr>
        <w:t>A atividade dos comités prosseguiu em 2022 com intensidade acrescida. No cômputo global, houve 322 comités ativos, que organizaram 673 reuniões, realizaram 1675 procedimentos escritos e emitiram 2048 pareceres. Ao permitir que os Estados-Membros exerçam os seus poderes de controlo em conformidade como Regulamento Comitologia, os comités prestam uma assistência importante à Comissão no exercício das competências de execução que lhe são conferidas pelos colegisladores.</w:t>
      </w:r>
    </w:p>
    <w:p w14:paraId="1B81A3F6" w14:textId="1680E7D2" w:rsidR="00E12DAC" w:rsidRPr="00EC39BD" w:rsidRDefault="00EC39BD" w:rsidP="00367F2E">
      <w:pPr>
        <w:jc w:val="both"/>
        <w:rPr>
          <w:noProof/>
        </w:rPr>
      </w:pPr>
      <w:r>
        <w:rPr>
          <w:rFonts w:ascii="Times New Roman" w:hAnsi="Times New Roman"/>
          <w:noProof/>
          <w:sz w:val="24"/>
        </w:rPr>
        <w:t>O Parlamento Europeu e o Conselho são convidados a tomar nota do presente relatório.</w:t>
      </w:r>
    </w:p>
    <w:sectPr w:rsidR="00E12DAC" w:rsidRPr="00EC39BD" w:rsidSect="00BD53E7">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1134" w:left="1418" w:header="567" w:footer="567"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7872" w14:textId="77777777" w:rsidR="00966FFE" w:rsidRDefault="00966FFE" w:rsidP="008B67AE">
      <w:pPr>
        <w:spacing w:after="0" w:line="240" w:lineRule="auto"/>
      </w:pPr>
      <w:r>
        <w:separator/>
      </w:r>
    </w:p>
  </w:endnote>
  <w:endnote w:type="continuationSeparator" w:id="0">
    <w:p w14:paraId="51BD1EF1" w14:textId="77777777" w:rsidR="00966FFE" w:rsidRDefault="00966FFE" w:rsidP="008B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2ACA" w14:textId="7EAB2417" w:rsidR="001464A4" w:rsidRPr="002018B5" w:rsidRDefault="001464A4" w:rsidP="0020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0B99" w14:textId="76DA822E" w:rsidR="001464A4" w:rsidRPr="002018B5" w:rsidRDefault="002018B5" w:rsidP="002018B5">
    <w:pPr>
      <w:pStyle w:val="FooterCoverPage"/>
      <w:rPr>
        <w:rFonts w:ascii="Arial" w:hAnsi="Arial" w:cs="Arial"/>
        <w:b/>
        <w:sz w:val="48"/>
      </w:rPr>
    </w:pPr>
    <w:r w:rsidRPr="002018B5">
      <w:rPr>
        <w:rFonts w:ascii="Arial" w:hAnsi="Arial" w:cs="Arial"/>
        <w:b/>
        <w:sz w:val="48"/>
      </w:rPr>
      <w:t>PT</w:t>
    </w:r>
    <w:r w:rsidRPr="002018B5">
      <w:rPr>
        <w:rFonts w:ascii="Arial" w:hAnsi="Arial" w:cs="Arial"/>
        <w:b/>
        <w:sz w:val="48"/>
      </w:rPr>
      <w:tab/>
    </w:r>
    <w:r w:rsidRPr="002018B5">
      <w:rPr>
        <w:rFonts w:ascii="Arial" w:hAnsi="Arial" w:cs="Arial"/>
        <w:b/>
        <w:sz w:val="48"/>
      </w:rPr>
      <w:tab/>
    </w:r>
    <w:r w:rsidRPr="002018B5">
      <w:tab/>
    </w:r>
    <w:r w:rsidRPr="002018B5">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3140" w14:textId="77777777" w:rsidR="002018B5" w:rsidRPr="002018B5" w:rsidRDefault="002018B5" w:rsidP="002018B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7079" w14:textId="77777777" w:rsidR="00AB44E1" w:rsidRDefault="00AB44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65C2" w14:textId="410313D2" w:rsidR="00AB44E1" w:rsidRDefault="00AB44E1">
    <w:pPr>
      <w:pStyle w:val="Footer"/>
      <w:jc w:val="center"/>
    </w:pPr>
    <w:r>
      <w:fldChar w:fldCharType="begin"/>
    </w:r>
    <w:r>
      <w:instrText xml:space="preserve"> PAGE   \* MERGEFORMAT </w:instrText>
    </w:r>
    <w:r>
      <w:fldChar w:fldCharType="separate"/>
    </w:r>
    <w:r w:rsidR="002018B5">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CE04" w14:textId="77777777" w:rsidR="00AB44E1" w:rsidRDefault="00AB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23BC0" w14:textId="77777777" w:rsidR="00966FFE" w:rsidRDefault="00966FFE" w:rsidP="008B67AE">
      <w:pPr>
        <w:spacing w:after="0" w:line="240" w:lineRule="auto"/>
      </w:pPr>
      <w:r>
        <w:separator/>
      </w:r>
    </w:p>
  </w:footnote>
  <w:footnote w:type="continuationSeparator" w:id="0">
    <w:p w14:paraId="4C9FE3AF" w14:textId="77777777" w:rsidR="00966FFE" w:rsidRDefault="00966FFE" w:rsidP="008B67AE">
      <w:pPr>
        <w:spacing w:after="0" w:line="240" w:lineRule="auto"/>
      </w:pPr>
      <w:r>
        <w:continuationSeparator/>
      </w:r>
    </w:p>
  </w:footnote>
  <w:footnote w:type="continuationNotice" w:id="1">
    <w:p w14:paraId="5965B1F8" w14:textId="77777777" w:rsidR="00966FFE" w:rsidRDefault="00966FFE">
      <w:pPr>
        <w:spacing w:after="0" w:line="240" w:lineRule="auto"/>
      </w:pPr>
    </w:p>
  </w:footnote>
  <w:footnote w:id="2">
    <w:p w14:paraId="60F8DCDF" w14:textId="77777777" w:rsidR="00EC39BD" w:rsidRPr="00DE380D" w:rsidRDefault="00EC39BD" w:rsidP="00EC39BD">
      <w:pPr>
        <w:pStyle w:val="FootnoteText"/>
        <w:ind w:left="426" w:hanging="426"/>
        <w:rPr>
          <w:sz w:val="18"/>
          <w:szCs w:val="18"/>
        </w:rPr>
      </w:pPr>
      <w:r>
        <w:rPr>
          <w:rStyle w:val="FootnoteReference"/>
        </w:rPr>
        <w:footnoteRef/>
      </w:r>
      <w:r>
        <w:tab/>
        <w:t>JO L 55 de 28.2.2011, p. 13.</w:t>
      </w:r>
    </w:p>
  </w:footnote>
  <w:footnote w:id="3">
    <w:p w14:paraId="463E4289" w14:textId="77777777" w:rsidR="00EC39BD" w:rsidRPr="00656031" w:rsidRDefault="00EC39BD" w:rsidP="00EC39BD">
      <w:pPr>
        <w:pStyle w:val="FootnoteText"/>
        <w:tabs>
          <w:tab w:val="left" w:pos="426"/>
        </w:tabs>
      </w:pPr>
      <w:r>
        <w:rPr>
          <w:rStyle w:val="FootnoteReference"/>
        </w:rPr>
        <w:footnoteRef/>
      </w:r>
      <w:r>
        <w:tab/>
        <w:t>Sendo da competência dos serviços da Comissão responsáveis pelos domínios de intervenção correspondentes.</w:t>
      </w:r>
    </w:p>
  </w:footnote>
  <w:footnote w:id="4">
    <w:p w14:paraId="5D8B4E58" w14:textId="77777777" w:rsidR="00EC39BD" w:rsidRPr="006C3A11" w:rsidRDefault="00EC39BD" w:rsidP="00EC39BD">
      <w:pPr>
        <w:pStyle w:val="FootnoteText"/>
        <w:ind w:left="426" w:hanging="426"/>
      </w:pPr>
      <w:r>
        <w:rPr>
          <w:rStyle w:val="FootnoteReference"/>
        </w:rPr>
        <w:footnoteRef/>
      </w:r>
      <w:r>
        <w:tab/>
        <w:t>Decisão 1999/468/CE do Conselho, de 28 de junho de 1999, que fixa as regras de exercício das competências de execução atribuídas à Comissão (JO L 184 de 17.7.1999, p. 23).</w:t>
      </w:r>
    </w:p>
  </w:footnote>
  <w:footnote w:id="5">
    <w:p w14:paraId="51966FB6" w14:textId="79FA5F29" w:rsidR="00EC39BD" w:rsidRPr="009821BE" w:rsidRDefault="00EC39BD" w:rsidP="00D04E7D">
      <w:pPr>
        <w:pStyle w:val="FootnoteText"/>
        <w:tabs>
          <w:tab w:val="left" w:pos="426"/>
        </w:tabs>
      </w:pPr>
      <w:r>
        <w:rPr>
          <w:rStyle w:val="FootnoteReference"/>
        </w:rPr>
        <w:footnoteRef/>
      </w:r>
      <w:r>
        <w:rPr>
          <w:rStyle w:val="FootnoteReference"/>
        </w:rPr>
        <w:t xml:space="preserve"> </w:t>
      </w:r>
      <w:r>
        <w:tab/>
      </w:r>
      <w:hyperlink r:id="rId1" w:history="1">
        <w:r>
          <w:rPr>
            <w:rStyle w:val="Hyperlink"/>
          </w:rPr>
          <w:t>https://ec.europa.eu/transparency/comitology-register/screen/home</w:t>
        </w:r>
      </w:hyperlink>
    </w:p>
  </w:footnote>
  <w:footnote w:id="6">
    <w:p w14:paraId="134871C3" w14:textId="77777777" w:rsidR="00EC39BD" w:rsidRPr="00A56F02" w:rsidRDefault="00EC39BD" w:rsidP="00EC39BD">
      <w:pPr>
        <w:pStyle w:val="FootnoteText"/>
        <w:ind w:left="426" w:hanging="426"/>
      </w:pPr>
      <w:r>
        <w:rPr>
          <w:rStyle w:val="FootnoteReference"/>
        </w:rPr>
        <w:footnoteRef/>
      </w:r>
      <w:r>
        <w:tab/>
        <w:t>Acordo Interinstitucional entre o Parlamento Europeu, o Conselho da União Europeia e a Comissão Europeia sobre Legislar Melhor, de 13 de abril de 2016 (JO L 123 de 12.5.2016, p. 1), ver ponto 27.</w:t>
      </w:r>
    </w:p>
  </w:footnote>
  <w:footnote w:id="7">
    <w:p w14:paraId="5D40F4BE" w14:textId="77777777" w:rsidR="00EC39BD" w:rsidRPr="00A57D9E" w:rsidRDefault="00EC39BD" w:rsidP="00EC39BD">
      <w:pPr>
        <w:pStyle w:val="FootnoteText"/>
        <w:ind w:left="426" w:hanging="426"/>
      </w:pPr>
      <w:r>
        <w:rPr>
          <w:rStyle w:val="FootnoteReference"/>
        </w:rPr>
        <w:footnoteRef/>
      </w:r>
      <w:r>
        <w:tab/>
        <w:t>Proposta de regulamento do Parlamento Europeu e do Conselho que adapta uma série de atos jurídicos que preveem o recurso ao procedimento de regulamentação com controlo aos artigos 290.º e 291.º do Tratado sobre o Funcionamento da União Europeia [COM(2016) 799 final].</w:t>
      </w:r>
    </w:p>
  </w:footnote>
  <w:footnote w:id="8">
    <w:p w14:paraId="1FFA11FD" w14:textId="77777777" w:rsidR="00EC39BD" w:rsidRPr="00F302F0" w:rsidRDefault="00EC39BD" w:rsidP="00EC39BD">
      <w:pPr>
        <w:pStyle w:val="FootnoteText"/>
        <w:ind w:left="426" w:hanging="426"/>
      </w:pPr>
      <w:r>
        <w:rPr>
          <w:rStyle w:val="FootnoteReference"/>
        </w:rPr>
        <w:footnoteRef/>
      </w:r>
      <w:r>
        <w:tab/>
        <w:t>Proposta de Regulamento do Parlamento Europeu e do Conselho que adapta ao artigo 290.º do Tratado sobre o Funcionamento da União Europeia uma série de atos jurídicos no domínio da justiça que preveem o recurso ao procedimento de regulamentação com controlo [COM(2016) 798].</w:t>
      </w:r>
    </w:p>
  </w:footnote>
  <w:footnote w:id="9">
    <w:p w14:paraId="5790DF24" w14:textId="77777777" w:rsidR="00EC39BD" w:rsidRPr="00D04E7D" w:rsidRDefault="00EC39BD" w:rsidP="00D04E7D">
      <w:pPr>
        <w:pStyle w:val="FootnoteText"/>
        <w:ind w:left="426" w:hanging="426"/>
        <w:rPr>
          <w:sz w:val="18"/>
          <w:szCs w:val="18"/>
        </w:rPr>
      </w:pPr>
      <w:r>
        <w:rPr>
          <w:rStyle w:val="FootnoteReference"/>
        </w:rPr>
        <w:footnoteRef/>
      </w:r>
      <w:r>
        <w:tab/>
        <w:t>JO L 275 de 25.10.2022, p. 30</w:t>
      </w:r>
      <w:r w:rsidRPr="00D04E7D">
        <w:rPr>
          <w:sz w:val="19"/>
          <w:szCs w:val="19"/>
        </w:rPr>
        <w:t xml:space="preserve">. </w:t>
      </w:r>
      <w:hyperlink r:id="rId2" w:history="1">
        <w:r w:rsidRPr="00D04E7D">
          <w:rPr>
            <w:rStyle w:val="Hyperlink"/>
            <w:sz w:val="19"/>
            <w:szCs w:val="19"/>
          </w:rPr>
          <w:t>https://eur-lex.europa.eu/legal-content/PT/TXT/?uri=OJ:L:2022:275:TOC</w:t>
        </w:r>
      </w:hyperlink>
    </w:p>
  </w:footnote>
  <w:footnote w:id="10">
    <w:p w14:paraId="6BCD45D0" w14:textId="77777777" w:rsidR="00EC39BD" w:rsidRPr="00AF625E" w:rsidRDefault="00EC39BD" w:rsidP="00EC39BD">
      <w:pPr>
        <w:pStyle w:val="FootnoteText"/>
        <w:ind w:left="426" w:hanging="426"/>
      </w:pPr>
      <w:r>
        <w:rPr>
          <w:rStyle w:val="FootnoteReference"/>
        </w:rPr>
        <w:footnoteRef/>
      </w:r>
      <w:r>
        <w:tab/>
        <w:t>A única disposição do regulamento que prevê o recurso ao procedimento de regulamentação com controlo foi alterada de modo a prever o recurso a atos delegados, a fim de alterar os anexos para atualizar os formulários normalizados.</w:t>
      </w:r>
    </w:p>
  </w:footnote>
  <w:footnote w:id="11">
    <w:p w14:paraId="3CFC1F52" w14:textId="4073741F" w:rsidR="00EC39BD" w:rsidRPr="00B04D62" w:rsidRDefault="00EC39BD" w:rsidP="00EC39BD">
      <w:pPr>
        <w:pStyle w:val="FootnoteText"/>
        <w:ind w:left="426" w:hanging="426"/>
      </w:pPr>
      <w:r>
        <w:rPr>
          <w:rStyle w:val="FootnoteReference"/>
        </w:rPr>
        <w:footnoteRef/>
      </w:r>
      <w:r>
        <w:tab/>
        <w:t>Proposta de Regulamento do Parlamento Europeu e do Conselho que altera o Regulamento (UE) n.º</w:t>
      </w:r>
      <w:r w:rsidR="00D9583E">
        <w:t> </w:t>
      </w:r>
      <w:r>
        <w:t>182/2011 que estabelece as regras e os princípios gerais relativos aos mecanismos de controlo pelos Estados-Membros do exercício das competências de execução pela Comissão [COM(2017) 085 final].</w:t>
      </w:r>
    </w:p>
  </w:footnote>
  <w:footnote w:id="12">
    <w:p w14:paraId="2F4A4FDA" w14:textId="77777777" w:rsidR="00EC39BD" w:rsidRPr="008A5366" w:rsidRDefault="00EC39BD" w:rsidP="00EC39BD">
      <w:pPr>
        <w:pStyle w:val="FootnoteText"/>
        <w:tabs>
          <w:tab w:val="left" w:pos="426"/>
        </w:tabs>
        <w:ind w:left="426" w:hanging="426"/>
      </w:pPr>
      <w:r>
        <w:rPr>
          <w:rStyle w:val="FootnoteReference"/>
        </w:rPr>
        <w:footnoteRef/>
      </w:r>
      <w:r>
        <w:tab/>
        <w:t>A Comissão propôs alterações específicas ao Regulamento Comitologia, a fim de evitar a ocorrência de uma situação em que é juridicamente obrigada a adotar uma decisão de autorização pelo facto de os Estados-Membros não tomarem uma posição por maioria qualificada (a favor ou contra), no quadro do comité/comité de recurso. Semelhante situação de «ausência de parecer» é, do ponto de vista da Comissão, particularmente complexa quando se trata de matérias politicamente sensíveis, com impacto direto na vida dos cidadãos e das empresas, como, por exemplo, no domínio da saúde e da segurança das pessoas, dos animais ou das plantas.</w:t>
      </w:r>
    </w:p>
  </w:footnote>
  <w:footnote w:id="13">
    <w:p w14:paraId="50E62779" w14:textId="77777777" w:rsidR="00EC39BD" w:rsidRPr="008B673C" w:rsidRDefault="00EC39BD" w:rsidP="00EC39BD">
      <w:pPr>
        <w:pStyle w:val="FootnoteText"/>
        <w:ind w:left="426" w:hanging="426"/>
      </w:pPr>
      <w:r>
        <w:rPr>
          <w:rStyle w:val="FootnoteReference"/>
        </w:rPr>
        <w:footnoteRef/>
      </w:r>
      <w:r>
        <w:t xml:space="preserve"> </w:t>
      </w:r>
      <w:r>
        <w:tab/>
      </w:r>
      <w:hyperlink r:id="rId3" w:history="1">
        <w:r>
          <w:rPr>
            <w:rStyle w:val="Hyperlink"/>
          </w:rPr>
          <w:t>https://ec.europa.eu/info/law/better-regulation/have-your-say_pt</w:t>
        </w:r>
      </w:hyperlink>
      <w:r>
        <w:t xml:space="preserve"> </w:t>
      </w:r>
    </w:p>
  </w:footnote>
  <w:footnote w:id="14">
    <w:p w14:paraId="28853F86" w14:textId="77777777" w:rsidR="00EC39BD" w:rsidRPr="009038FC" w:rsidRDefault="00EC39BD" w:rsidP="00EC39BD">
      <w:pPr>
        <w:pStyle w:val="FootnoteText"/>
        <w:ind w:left="426" w:hanging="426"/>
      </w:pPr>
      <w:r>
        <w:rPr>
          <w:rStyle w:val="FootnoteReference"/>
        </w:rPr>
        <w:footnoteRef/>
      </w:r>
      <w:r>
        <w:tab/>
        <w:t>C-207/21 P, Comissão Europeia/República da Polónia, ECLI:EU:C:2022:560.</w:t>
      </w:r>
    </w:p>
  </w:footnote>
  <w:footnote w:id="15">
    <w:p w14:paraId="1AE2C71B" w14:textId="77777777" w:rsidR="00EC39BD" w:rsidRPr="00D04E7D" w:rsidRDefault="00EC39BD" w:rsidP="00EC39BD">
      <w:pPr>
        <w:pStyle w:val="FootnoteText"/>
        <w:tabs>
          <w:tab w:val="left" w:pos="426"/>
        </w:tabs>
        <w:ind w:left="851" w:hanging="851"/>
        <w:rPr>
          <w:lang w:val="fr-BE"/>
        </w:rPr>
      </w:pPr>
      <w:r>
        <w:rPr>
          <w:rStyle w:val="FootnoteReference"/>
        </w:rPr>
        <w:footnoteRef/>
      </w:r>
      <w:r w:rsidRPr="00D04E7D">
        <w:rPr>
          <w:lang w:val="fr-BE"/>
        </w:rPr>
        <w:tab/>
        <w:t>T-371/20 e T-554/20, Pollinis France/Comissão, ECLI:EU:T:2022:556.</w:t>
      </w:r>
    </w:p>
  </w:footnote>
  <w:footnote w:id="16">
    <w:p w14:paraId="08FD1EF8" w14:textId="77777777" w:rsidR="00EC39BD" w:rsidRPr="0015439D" w:rsidRDefault="00EC39BD" w:rsidP="00EC39BD">
      <w:pPr>
        <w:pStyle w:val="FootnoteText"/>
        <w:ind w:left="426" w:hanging="426"/>
      </w:pPr>
      <w:r>
        <w:rPr>
          <w:rStyle w:val="FootnoteReference"/>
        </w:rPr>
        <w:footnoteRef/>
      </w:r>
      <w:r>
        <w:tab/>
        <w:t>Regulamento (CE) n.º 1049/2001 do Parlamento Europeu e do Conselho, de 30 de maio de 2001, relativo ao acesso do público aos documentos do Parlamento Europeu, do Conselho e da Comissão (JO L 145 de 31.5.2001, p. 43).</w:t>
      </w:r>
    </w:p>
  </w:footnote>
  <w:footnote w:id="17">
    <w:p w14:paraId="7199C07F" w14:textId="77777777" w:rsidR="00EC39BD" w:rsidRPr="00E239CF" w:rsidRDefault="00EC39BD" w:rsidP="00EC39BD">
      <w:pPr>
        <w:pStyle w:val="FootnoteText"/>
        <w:ind w:left="426" w:hanging="426"/>
      </w:pPr>
      <w:r>
        <w:rPr>
          <w:rStyle w:val="FootnoteReference"/>
        </w:rPr>
        <w:footnoteRef/>
      </w:r>
      <w:r>
        <w:tab/>
        <w:t>O comité de recurso está inscrito no Registo da Comitologia a título de comité sob a responsabilidade do Secretariado-Geral. Na prática, contudo, é gerido pelos serviços em causa.</w:t>
      </w:r>
    </w:p>
  </w:footnote>
  <w:footnote w:id="18">
    <w:p w14:paraId="327AAF04" w14:textId="77777777" w:rsidR="00EC39BD" w:rsidRPr="00342D47" w:rsidRDefault="00EC39BD" w:rsidP="00EC39BD">
      <w:pPr>
        <w:pStyle w:val="FootnoteText"/>
        <w:ind w:left="426" w:hanging="426"/>
      </w:pPr>
      <w:r>
        <w:rPr>
          <w:rStyle w:val="FootnoteReference"/>
        </w:rPr>
        <w:footnoteRef/>
      </w:r>
      <w:r>
        <w:tab/>
        <w:t>Em alguns atos de base, o legislador indicou as configurações específicas do comité.</w:t>
      </w:r>
    </w:p>
  </w:footnote>
  <w:footnote w:id="19">
    <w:p w14:paraId="2798EF11" w14:textId="77777777" w:rsidR="00EC39BD" w:rsidRPr="00C650CB" w:rsidRDefault="00EC39BD" w:rsidP="00EC39BD">
      <w:pPr>
        <w:pStyle w:val="FootnoteText"/>
        <w:tabs>
          <w:tab w:val="left" w:pos="426"/>
        </w:tabs>
        <w:ind w:left="426" w:hanging="426"/>
      </w:pPr>
      <w:r>
        <w:rPr>
          <w:rStyle w:val="FootnoteReference"/>
        </w:rPr>
        <w:footnoteRef/>
      </w:r>
      <w:r>
        <w:tab/>
        <w:t>Foram progressivamente eliminados em 2021, paralelamente à emergência de «novos» comités criados no âmbito da nova geração de programas e fundos do QFP (2021-2027).</w:t>
      </w:r>
    </w:p>
  </w:footnote>
  <w:footnote w:id="20">
    <w:p w14:paraId="31182503" w14:textId="77777777" w:rsidR="00EC39BD" w:rsidRPr="00E82192" w:rsidRDefault="00EC39BD" w:rsidP="00EC39BD">
      <w:pPr>
        <w:pStyle w:val="FootnoteText"/>
        <w:ind w:left="426" w:hanging="426"/>
      </w:pPr>
      <w:r>
        <w:rPr>
          <w:rStyle w:val="FootnoteReference"/>
        </w:rPr>
        <w:footnoteRef/>
      </w:r>
      <w:r>
        <w:t xml:space="preserve"> </w:t>
      </w:r>
      <w:r>
        <w:tab/>
        <w:t>2019: 318, 2020: 320</w:t>
      </w:r>
    </w:p>
  </w:footnote>
  <w:footnote w:id="21">
    <w:p w14:paraId="0650A2A9" w14:textId="77777777" w:rsidR="00EC39BD" w:rsidRPr="00DC7EB8" w:rsidRDefault="00EC39BD" w:rsidP="00EC39BD">
      <w:pPr>
        <w:pStyle w:val="FootnoteText"/>
        <w:ind w:left="426" w:hanging="426"/>
      </w:pPr>
      <w:r>
        <w:rPr>
          <w:rStyle w:val="FootnoteReference"/>
        </w:rPr>
        <w:footnoteRef/>
      </w:r>
      <w:r>
        <w:tab/>
        <w:t>A votação no âmbito de um comité pode ocorrer numa reunião normal do comité ou, em casos devidamente justificados, por procedimento escrito, em consonância com o artigo 3.º, n.º 5, do Regulamento Comitologia.</w:t>
      </w:r>
    </w:p>
  </w:footnote>
  <w:footnote w:id="22">
    <w:p w14:paraId="5E7CD435" w14:textId="77777777" w:rsidR="00EC39BD" w:rsidRDefault="00EC39BD" w:rsidP="00EC39BD">
      <w:pPr>
        <w:pStyle w:val="FootnoteText"/>
        <w:ind w:left="426" w:hanging="426"/>
      </w:pPr>
      <w:r>
        <w:rPr>
          <w:rStyle w:val="FootnoteReference"/>
        </w:rPr>
        <w:footnoteRef/>
      </w:r>
      <w:r>
        <w:tab/>
        <w:t>O número de pareceres e de atos/medidas de execução num determinado ano podem variar; os motivos para tal são explicados na introdução do documento de trabalho dos serviços da Comissão que acompanha o relatório.</w:t>
      </w:r>
    </w:p>
  </w:footnote>
  <w:footnote w:id="23">
    <w:p w14:paraId="75E5D289" w14:textId="7AB0D4E7" w:rsidR="00EC39BD" w:rsidRPr="00FD0BC2" w:rsidRDefault="00D04E7D" w:rsidP="00EC39BD">
      <w:pPr>
        <w:pStyle w:val="FootnoteText"/>
        <w:ind w:left="426" w:hanging="426"/>
      </w:pPr>
      <w:r>
        <w:rPr>
          <w:rStyle w:val="FootnoteReference"/>
        </w:rPr>
        <w:footnoteRef/>
      </w:r>
      <w:r>
        <w:t xml:space="preserve"> </w:t>
      </w:r>
      <w:r>
        <w:tab/>
      </w:r>
      <w:r w:rsidR="00EC39BD">
        <w:t>No que diz respeito aos atos de execução adotados, a indicação dos serviços da Comissão (domínios de intervenção) significa que os atos em questão foram preparados (debatidos e/ou votados) num comité gerido por este serviço da Comissão; em alguns casos, a adoção efetiva do ato foi assegurada formalmente por outro serviço da Comissão.</w:t>
      </w:r>
    </w:p>
  </w:footnote>
  <w:footnote w:id="24">
    <w:p w14:paraId="0CCAD772" w14:textId="77777777" w:rsidR="00EC39BD" w:rsidRPr="0094569D" w:rsidRDefault="00EC39BD" w:rsidP="00EC39BD">
      <w:pPr>
        <w:pStyle w:val="FootnoteText"/>
        <w:ind w:left="426" w:hanging="426"/>
      </w:pPr>
      <w:r>
        <w:rPr>
          <w:rStyle w:val="FootnoteReference"/>
        </w:rPr>
        <w:footnoteRef/>
      </w:r>
      <w:r>
        <w:tab/>
        <w:t>Uma votação que tenha por resultado «sem parecer» é contabilizada no número total de pareceres, visto que este é um dos possíveis resultados da votação em comité.</w:t>
      </w:r>
    </w:p>
  </w:footnote>
  <w:footnote w:id="25">
    <w:p w14:paraId="5CB7E5B0" w14:textId="77777777" w:rsidR="00EC39BD" w:rsidRPr="001A259C" w:rsidRDefault="00EC39BD" w:rsidP="00EC39BD">
      <w:pPr>
        <w:pStyle w:val="FootnoteText"/>
        <w:ind w:left="426" w:hanging="426"/>
      </w:pPr>
      <w:r>
        <w:rPr>
          <w:rStyle w:val="FootnoteReference"/>
        </w:rPr>
        <w:footnoteRef/>
      </w:r>
      <w:r>
        <w:tab/>
        <w:t>A esmagadora maioria dos votos foi favorável, tendo ocorrido situações de ausência de parecer em 33 casos (excluindo ao nível do comité de recurso). Não houve casos de voto negativo.</w:t>
      </w:r>
    </w:p>
  </w:footnote>
  <w:footnote w:id="26">
    <w:p w14:paraId="15F37066" w14:textId="77777777" w:rsidR="00EC39BD" w:rsidRPr="0037644F" w:rsidRDefault="00EC39BD" w:rsidP="00EC39BD">
      <w:pPr>
        <w:pStyle w:val="FootnoteText"/>
        <w:tabs>
          <w:tab w:val="left" w:pos="426"/>
        </w:tabs>
        <w:ind w:left="426" w:hanging="426"/>
      </w:pPr>
      <w:r>
        <w:rPr>
          <w:rStyle w:val="FootnoteReference"/>
        </w:rPr>
        <w:footnoteRef/>
      </w:r>
      <w:r>
        <w:tab/>
        <w:t>O documento de trabalho dos serviços da Comissão que acompanha o relatório contém informações mais pormenorizadas.</w:t>
      </w:r>
    </w:p>
  </w:footnote>
  <w:footnote w:id="27">
    <w:p w14:paraId="372BBC44" w14:textId="77777777" w:rsidR="00EC39BD" w:rsidRPr="00382EDF" w:rsidRDefault="00EC39BD" w:rsidP="00EC39BD">
      <w:pPr>
        <w:pStyle w:val="FootnoteText"/>
        <w:ind w:left="426" w:hanging="426"/>
      </w:pPr>
      <w:r>
        <w:rPr>
          <w:rStyle w:val="FootnoteReference"/>
        </w:rPr>
        <w:footnoteRef/>
      </w:r>
      <w:r>
        <w:tab/>
        <w:t>O termo «parecer» também inclui situações em que nenhum parecer é formalmente emitido dada a falta de maioria necessária quer num sentido, quer noutro. O número de casos «sem parecer» é indicado entre parênteses.</w:t>
      </w:r>
    </w:p>
  </w:footnote>
  <w:footnote w:id="28">
    <w:p w14:paraId="23E253EC" w14:textId="77777777" w:rsidR="00EC39BD" w:rsidRDefault="00EC39BD" w:rsidP="00EC39BD">
      <w:pPr>
        <w:pStyle w:val="FootnoteText"/>
        <w:ind w:left="426" w:hanging="426"/>
      </w:pPr>
      <w:r>
        <w:rPr>
          <w:rStyle w:val="FootnoteReference"/>
        </w:rPr>
        <w:footnoteRef/>
      </w:r>
      <w:r>
        <w:tab/>
        <w:t>Artigo 12.º, segundo parágrafo, do Regulamento Comitologia.</w:t>
      </w:r>
    </w:p>
  </w:footnote>
  <w:footnote w:id="29">
    <w:p w14:paraId="3CBA48B2" w14:textId="77777777" w:rsidR="00EC39BD" w:rsidRPr="001A259C" w:rsidRDefault="00EC39BD" w:rsidP="00EC39BD">
      <w:pPr>
        <w:pStyle w:val="FootnoteText"/>
        <w:tabs>
          <w:tab w:val="left" w:pos="426"/>
        </w:tabs>
        <w:ind w:left="993" w:hanging="993"/>
      </w:pPr>
      <w:r>
        <w:rPr>
          <w:rStyle w:val="FootnoteReference"/>
        </w:rPr>
        <w:footnoteRef/>
      </w:r>
      <w:r>
        <w:tab/>
        <w:t>Ver pormenores em SWD(2022) 279, p. 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E1AE" w14:textId="77777777" w:rsidR="002018B5" w:rsidRPr="002018B5" w:rsidRDefault="002018B5" w:rsidP="00201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4420" w14:textId="77777777" w:rsidR="002018B5" w:rsidRPr="002018B5" w:rsidRDefault="002018B5" w:rsidP="002018B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BB96" w14:textId="77777777" w:rsidR="002018B5" w:rsidRPr="002018B5" w:rsidRDefault="002018B5" w:rsidP="002018B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2996" w14:textId="77777777" w:rsidR="00AB44E1" w:rsidRDefault="00AB44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9048" w14:textId="77777777" w:rsidR="00AB44E1" w:rsidRDefault="00AB44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C1EC" w14:textId="77777777" w:rsidR="00AB44E1" w:rsidRDefault="00AB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15:restartNumberingAfterBreak="0">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15:restartNumberingAfterBreak="0">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15:restartNumberingAfterBreak="0">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15:restartNumberingAfterBreak="0">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15:restartNumberingAfterBreak="0">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15:restartNumberingAfterBreak="0">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15:restartNumberingAfterBreak="0">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15:restartNumberingAfterBreak="0">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15:restartNumberingAfterBreak="0">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15:restartNumberingAfterBreak="0">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647C28DF"/>
    <w:multiLevelType w:val="hybridMultilevel"/>
    <w:tmpl w:val="1632E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1"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2" w15:restartNumberingAfterBreak="0">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C26F71"/>
    <w:multiLevelType w:val="multilevel"/>
    <w:tmpl w:val="8FF2E258"/>
    <w:name w:val="Bullet 0"/>
    <w:lvl w:ilvl="0">
      <w:start w:val="1"/>
      <w:numFmt w:val="decimal"/>
      <w:pStyle w:val="Heading1"/>
      <w:lvlText w:val="%1."/>
      <w:lvlJc w:val="left"/>
      <w:pPr>
        <w:tabs>
          <w:tab w:val="num" w:pos="850"/>
        </w:tabs>
        <w:ind w:left="850" w:hanging="850"/>
      </w:pPr>
      <w:rPr>
        <w:color w:val="auto"/>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6" w15:restartNumberingAfterBreak="0">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9" w15:restartNumberingAfterBreak="0">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9"/>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20"/>
    <w:lvlOverride w:ilvl="0">
      <w:startOverride w:val="1"/>
    </w:lvlOverride>
  </w:num>
  <w:num w:numId="23">
    <w:abstractNumId w:val="21"/>
  </w:num>
  <w:num w:numId="24">
    <w:abstractNumId w:val="9"/>
  </w:num>
  <w:num w:numId="25">
    <w:abstractNumId w:val="18"/>
  </w:num>
  <w:num w:numId="26">
    <w:abstractNumId w:val="13"/>
  </w:num>
  <w:num w:numId="27">
    <w:abstractNumId w:val="25"/>
  </w:num>
  <w:num w:numId="28">
    <w:abstractNumId w:val="28"/>
  </w:num>
  <w:num w:numId="2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9EFA61-9812-43B4-B441-3A9EA5292BD5"/>
    <w:docVar w:name="LW_COVERPAGE_TYPE" w:val="1"/>
    <w:docVar w:name="LW_CROSSREFERENCE" w:val="{SWD(2023) 340 final}"/>
    <w:docVar w:name="LW_DocType" w:val="NORMAL"/>
    <w:docVar w:name="LW_EMISSION" w:val="26.10.2023"/>
    <w:docVar w:name="LW_EMISSION_ISODATE" w:val="2023-10-26"/>
    <w:docVar w:name="LW_EMISSION_LOCATION" w:val="BRX"/>
    <w:docVar w:name="LW_EMISSION_PREFIX" w:val="Bruxelas, "/>
    <w:docVar w:name="LW_EMISSION_SUFFIX" w:val=" "/>
    <w:docVar w:name="LW_ID_DOCTYPE_NONLW" w:val="CP-006"/>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3) 66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obre o trabalho dos comités em 2022"/>
    <w:docVar w:name="LW_TYPE.DOC.CP" w:val="RELATÓRIO DA COMISSÃO AO PARLAMENTO EUROPEU E AO CONSELHO"/>
    <w:docVar w:name="LwApiVersions" w:val="LW4CoDe 1.23.2.0; LW 8.0, Build 20211117"/>
  </w:docVars>
  <w:rsids>
    <w:rsidRoot w:val="008B67AE"/>
    <w:rsid w:val="00001916"/>
    <w:rsid w:val="00001C24"/>
    <w:rsid w:val="00001DF5"/>
    <w:rsid w:val="00002634"/>
    <w:rsid w:val="000031F1"/>
    <w:rsid w:val="000033BD"/>
    <w:rsid w:val="00003423"/>
    <w:rsid w:val="00003717"/>
    <w:rsid w:val="00003A98"/>
    <w:rsid w:val="00003D25"/>
    <w:rsid w:val="000041D8"/>
    <w:rsid w:val="0000423A"/>
    <w:rsid w:val="000044BB"/>
    <w:rsid w:val="0000493E"/>
    <w:rsid w:val="00005B2B"/>
    <w:rsid w:val="00006323"/>
    <w:rsid w:val="00006345"/>
    <w:rsid w:val="000063C8"/>
    <w:rsid w:val="000068CC"/>
    <w:rsid w:val="000077C8"/>
    <w:rsid w:val="00007B58"/>
    <w:rsid w:val="00007F66"/>
    <w:rsid w:val="00011124"/>
    <w:rsid w:val="0001117D"/>
    <w:rsid w:val="000115B2"/>
    <w:rsid w:val="000116F8"/>
    <w:rsid w:val="00011889"/>
    <w:rsid w:val="000122F6"/>
    <w:rsid w:val="00012459"/>
    <w:rsid w:val="00012C7F"/>
    <w:rsid w:val="00012D3B"/>
    <w:rsid w:val="00012DB1"/>
    <w:rsid w:val="0001394B"/>
    <w:rsid w:val="00014605"/>
    <w:rsid w:val="00014A45"/>
    <w:rsid w:val="00014DCD"/>
    <w:rsid w:val="0001504C"/>
    <w:rsid w:val="00015FE7"/>
    <w:rsid w:val="000160D1"/>
    <w:rsid w:val="00016B6E"/>
    <w:rsid w:val="00017C4A"/>
    <w:rsid w:val="00017E31"/>
    <w:rsid w:val="00020271"/>
    <w:rsid w:val="000205AF"/>
    <w:rsid w:val="00020803"/>
    <w:rsid w:val="000208F8"/>
    <w:rsid w:val="00020EF7"/>
    <w:rsid w:val="0002128B"/>
    <w:rsid w:val="000214EF"/>
    <w:rsid w:val="000217FC"/>
    <w:rsid w:val="00021B36"/>
    <w:rsid w:val="0002218C"/>
    <w:rsid w:val="0002257D"/>
    <w:rsid w:val="00022783"/>
    <w:rsid w:val="00022A4F"/>
    <w:rsid w:val="00022E31"/>
    <w:rsid w:val="00023098"/>
    <w:rsid w:val="00023313"/>
    <w:rsid w:val="00023F09"/>
    <w:rsid w:val="0002489D"/>
    <w:rsid w:val="000249AC"/>
    <w:rsid w:val="00024C7D"/>
    <w:rsid w:val="00025252"/>
    <w:rsid w:val="000254B3"/>
    <w:rsid w:val="000260C4"/>
    <w:rsid w:val="000262F6"/>
    <w:rsid w:val="000266DA"/>
    <w:rsid w:val="00026F43"/>
    <w:rsid w:val="0002769F"/>
    <w:rsid w:val="00027773"/>
    <w:rsid w:val="0002778C"/>
    <w:rsid w:val="000307A5"/>
    <w:rsid w:val="00032B36"/>
    <w:rsid w:val="00033441"/>
    <w:rsid w:val="000335EB"/>
    <w:rsid w:val="0003376B"/>
    <w:rsid w:val="000349C5"/>
    <w:rsid w:val="00034C58"/>
    <w:rsid w:val="0003501A"/>
    <w:rsid w:val="00035644"/>
    <w:rsid w:val="00035805"/>
    <w:rsid w:val="0003655B"/>
    <w:rsid w:val="00036FF9"/>
    <w:rsid w:val="00037DEA"/>
    <w:rsid w:val="0004081B"/>
    <w:rsid w:val="00040A91"/>
    <w:rsid w:val="00042253"/>
    <w:rsid w:val="000425D8"/>
    <w:rsid w:val="00042871"/>
    <w:rsid w:val="00042DFD"/>
    <w:rsid w:val="00043CDD"/>
    <w:rsid w:val="0004403C"/>
    <w:rsid w:val="00044101"/>
    <w:rsid w:val="00044428"/>
    <w:rsid w:val="00044FAB"/>
    <w:rsid w:val="00044FB5"/>
    <w:rsid w:val="00045635"/>
    <w:rsid w:val="00046266"/>
    <w:rsid w:val="000462E0"/>
    <w:rsid w:val="000472DD"/>
    <w:rsid w:val="000478F6"/>
    <w:rsid w:val="00047B0F"/>
    <w:rsid w:val="00047BE0"/>
    <w:rsid w:val="00047CE0"/>
    <w:rsid w:val="00047D44"/>
    <w:rsid w:val="00047DB7"/>
    <w:rsid w:val="000503B9"/>
    <w:rsid w:val="00050689"/>
    <w:rsid w:val="000512E7"/>
    <w:rsid w:val="00051569"/>
    <w:rsid w:val="00051CA4"/>
    <w:rsid w:val="00052130"/>
    <w:rsid w:val="00052185"/>
    <w:rsid w:val="000523A5"/>
    <w:rsid w:val="0005282D"/>
    <w:rsid w:val="00052B78"/>
    <w:rsid w:val="00052BDD"/>
    <w:rsid w:val="00052E4B"/>
    <w:rsid w:val="00052FBB"/>
    <w:rsid w:val="00053701"/>
    <w:rsid w:val="0005374A"/>
    <w:rsid w:val="00053D0C"/>
    <w:rsid w:val="00054471"/>
    <w:rsid w:val="000549DB"/>
    <w:rsid w:val="00054E45"/>
    <w:rsid w:val="00055DD4"/>
    <w:rsid w:val="000563A0"/>
    <w:rsid w:val="00060BD1"/>
    <w:rsid w:val="00061A23"/>
    <w:rsid w:val="00061B7B"/>
    <w:rsid w:val="000625C2"/>
    <w:rsid w:val="00062C90"/>
    <w:rsid w:val="000631B9"/>
    <w:rsid w:val="00063CE4"/>
    <w:rsid w:val="00064530"/>
    <w:rsid w:val="000648B4"/>
    <w:rsid w:val="00064FF2"/>
    <w:rsid w:val="0006532A"/>
    <w:rsid w:val="0006540E"/>
    <w:rsid w:val="00065BB3"/>
    <w:rsid w:val="00065BF8"/>
    <w:rsid w:val="000666E8"/>
    <w:rsid w:val="00066EB5"/>
    <w:rsid w:val="000670DA"/>
    <w:rsid w:val="0006735F"/>
    <w:rsid w:val="00067BB0"/>
    <w:rsid w:val="00067F03"/>
    <w:rsid w:val="000703F1"/>
    <w:rsid w:val="000708EB"/>
    <w:rsid w:val="000711E2"/>
    <w:rsid w:val="000719CB"/>
    <w:rsid w:val="00071C0A"/>
    <w:rsid w:val="00071E67"/>
    <w:rsid w:val="00072AB8"/>
    <w:rsid w:val="000733E1"/>
    <w:rsid w:val="000735DF"/>
    <w:rsid w:val="0007404F"/>
    <w:rsid w:val="00074EAC"/>
    <w:rsid w:val="000757B6"/>
    <w:rsid w:val="00075DBB"/>
    <w:rsid w:val="00076B0B"/>
    <w:rsid w:val="00076F85"/>
    <w:rsid w:val="00077938"/>
    <w:rsid w:val="00077A5D"/>
    <w:rsid w:val="00080AB7"/>
    <w:rsid w:val="000810C6"/>
    <w:rsid w:val="00081149"/>
    <w:rsid w:val="0008240D"/>
    <w:rsid w:val="0008248C"/>
    <w:rsid w:val="00082562"/>
    <w:rsid w:val="0008257B"/>
    <w:rsid w:val="00082B27"/>
    <w:rsid w:val="00082C3E"/>
    <w:rsid w:val="00082F9B"/>
    <w:rsid w:val="000832B4"/>
    <w:rsid w:val="000837A7"/>
    <w:rsid w:val="00084EDA"/>
    <w:rsid w:val="00085BC0"/>
    <w:rsid w:val="0008756D"/>
    <w:rsid w:val="000879A8"/>
    <w:rsid w:val="000879B0"/>
    <w:rsid w:val="00087CBE"/>
    <w:rsid w:val="00091487"/>
    <w:rsid w:val="00092705"/>
    <w:rsid w:val="0009299B"/>
    <w:rsid w:val="00092AC3"/>
    <w:rsid w:val="000930B8"/>
    <w:rsid w:val="00093C54"/>
    <w:rsid w:val="00094237"/>
    <w:rsid w:val="0009467E"/>
    <w:rsid w:val="000946A9"/>
    <w:rsid w:val="000954D0"/>
    <w:rsid w:val="00095A6E"/>
    <w:rsid w:val="0009600C"/>
    <w:rsid w:val="00096B87"/>
    <w:rsid w:val="00096C45"/>
    <w:rsid w:val="0009704D"/>
    <w:rsid w:val="00097B7D"/>
    <w:rsid w:val="00097C84"/>
    <w:rsid w:val="000A02F1"/>
    <w:rsid w:val="000A0775"/>
    <w:rsid w:val="000A0817"/>
    <w:rsid w:val="000A1479"/>
    <w:rsid w:val="000A15F0"/>
    <w:rsid w:val="000A1FB9"/>
    <w:rsid w:val="000A280A"/>
    <w:rsid w:val="000A2A3B"/>
    <w:rsid w:val="000A3708"/>
    <w:rsid w:val="000A39FC"/>
    <w:rsid w:val="000A3EE3"/>
    <w:rsid w:val="000A41A5"/>
    <w:rsid w:val="000A455C"/>
    <w:rsid w:val="000A4789"/>
    <w:rsid w:val="000A58F9"/>
    <w:rsid w:val="000A5A93"/>
    <w:rsid w:val="000A697B"/>
    <w:rsid w:val="000A6C73"/>
    <w:rsid w:val="000A6F2B"/>
    <w:rsid w:val="000A7122"/>
    <w:rsid w:val="000B076F"/>
    <w:rsid w:val="000B096C"/>
    <w:rsid w:val="000B09E5"/>
    <w:rsid w:val="000B0A09"/>
    <w:rsid w:val="000B0BD3"/>
    <w:rsid w:val="000B0F7A"/>
    <w:rsid w:val="000B1936"/>
    <w:rsid w:val="000B1DFF"/>
    <w:rsid w:val="000B1F0D"/>
    <w:rsid w:val="000B20B7"/>
    <w:rsid w:val="000B3462"/>
    <w:rsid w:val="000B3B84"/>
    <w:rsid w:val="000B4A7D"/>
    <w:rsid w:val="000B5341"/>
    <w:rsid w:val="000B5C83"/>
    <w:rsid w:val="000B5F94"/>
    <w:rsid w:val="000B5FF8"/>
    <w:rsid w:val="000B65F9"/>
    <w:rsid w:val="000B6605"/>
    <w:rsid w:val="000B6E9E"/>
    <w:rsid w:val="000B7EFA"/>
    <w:rsid w:val="000C01A5"/>
    <w:rsid w:val="000C033C"/>
    <w:rsid w:val="000C0A60"/>
    <w:rsid w:val="000C0F2B"/>
    <w:rsid w:val="000C125B"/>
    <w:rsid w:val="000C1AE1"/>
    <w:rsid w:val="000C29FD"/>
    <w:rsid w:val="000C3BAE"/>
    <w:rsid w:val="000C3F66"/>
    <w:rsid w:val="000C468C"/>
    <w:rsid w:val="000C4C95"/>
    <w:rsid w:val="000C4E2F"/>
    <w:rsid w:val="000C4F4A"/>
    <w:rsid w:val="000C50F8"/>
    <w:rsid w:val="000C531B"/>
    <w:rsid w:val="000C5371"/>
    <w:rsid w:val="000C541D"/>
    <w:rsid w:val="000C71CD"/>
    <w:rsid w:val="000C7AD7"/>
    <w:rsid w:val="000D071D"/>
    <w:rsid w:val="000D124D"/>
    <w:rsid w:val="000D2557"/>
    <w:rsid w:val="000D3330"/>
    <w:rsid w:val="000D3341"/>
    <w:rsid w:val="000D34A3"/>
    <w:rsid w:val="000D39DA"/>
    <w:rsid w:val="000D3A32"/>
    <w:rsid w:val="000D3FC9"/>
    <w:rsid w:val="000D552A"/>
    <w:rsid w:val="000D588B"/>
    <w:rsid w:val="000D59D5"/>
    <w:rsid w:val="000D6099"/>
    <w:rsid w:val="000D70E5"/>
    <w:rsid w:val="000E0277"/>
    <w:rsid w:val="000E02F3"/>
    <w:rsid w:val="000E08F6"/>
    <w:rsid w:val="000E09B4"/>
    <w:rsid w:val="000E0B7B"/>
    <w:rsid w:val="000E1A37"/>
    <w:rsid w:val="000E1A70"/>
    <w:rsid w:val="000E2198"/>
    <w:rsid w:val="000E22D9"/>
    <w:rsid w:val="000E38CB"/>
    <w:rsid w:val="000E3D87"/>
    <w:rsid w:val="000E3E7B"/>
    <w:rsid w:val="000E4389"/>
    <w:rsid w:val="000E4443"/>
    <w:rsid w:val="000E4B59"/>
    <w:rsid w:val="000E4EE8"/>
    <w:rsid w:val="000E5242"/>
    <w:rsid w:val="000E52D3"/>
    <w:rsid w:val="000E56EF"/>
    <w:rsid w:val="000E5BF7"/>
    <w:rsid w:val="000E6EC5"/>
    <w:rsid w:val="000F0119"/>
    <w:rsid w:val="000F0589"/>
    <w:rsid w:val="000F0F0A"/>
    <w:rsid w:val="000F0F5D"/>
    <w:rsid w:val="000F2130"/>
    <w:rsid w:val="000F2FE7"/>
    <w:rsid w:val="000F3462"/>
    <w:rsid w:val="000F3936"/>
    <w:rsid w:val="000F3C5A"/>
    <w:rsid w:val="000F3E3D"/>
    <w:rsid w:val="000F418D"/>
    <w:rsid w:val="000F4B23"/>
    <w:rsid w:val="000F4BE2"/>
    <w:rsid w:val="000F5785"/>
    <w:rsid w:val="000F6722"/>
    <w:rsid w:val="000F7142"/>
    <w:rsid w:val="000F7731"/>
    <w:rsid w:val="000F777B"/>
    <w:rsid w:val="000F7F7B"/>
    <w:rsid w:val="000F7FE9"/>
    <w:rsid w:val="00101248"/>
    <w:rsid w:val="00101D2D"/>
    <w:rsid w:val="00101D31"/>
    <w:rsid w:val="00102068"/>
    <w:rsid w:val="001022AC"/>
    <w:rsid w:val="00102B22"/>
    <w:rsid w:val="00104181"/>
    <w:rsid w:val="00104254"/>
    <w:rsid w:val="001042B3"/>
    <w:rsid w:val="0010446F"/>
    <w:rsid w:val="00104BD3"/>
    <w:rsid w:val="00105547"/>
    <w:rsid w:val="00105576"/>
    <w:rsid w:val="001062D6"/>
    <w:rsid w:val="001069F7"/>
    <w:rsid w:val="00106E8E"/>
    <w:rsid w:val="00107B1D"/>
    <w:rsid w:val="00107C42"/>
    <w:rsid w:val="001106DE"/>
    <w:rsid w:val="00110B0A"/>
    <w:rsid w:val="00110E42"/>
    <w:rsid w:val="0011134D"/>
    <w:rsid w:val="0011140C"/>
    <w:rsid w:val="00111891"/>
    <w:rsid w:val="0011254B"/>
    <w:rsid w:val="00112A88"/>
    <w:rsid w:val="00112EFD"/>
    <w:rsid w:val="00113266"/>
    <w:rsid w:val="00113424"/>
    <w:rsid w:val="00113A4E"/>
    <w:rsid w:val="00114600"/>
    <w:rsid w:val="00116060"/>
    <w:rsid w:val="001169E8"/>
    <w:rsid w:val="00116AC6"/>
    <w:rsid w:val="00116DEA"/>
    <w:rsid w:val="00116F43"/>
    <w:rsid w:val="001174C5"/>
    <w:rsid w:val="00117B78"/>
    <w:rsid w:val="00117F4B"/>
    <w:rsid w:val="00120153"/>
    <w:rsid w:val="00120417"/>
    <w:rsid w:val="00120656"/>
    <w:rsid w:val="001209FC"/>
    <w:rsid w:val="00120AD7"/>
    <w:rsid w:val="00120CA1"/>
    <w:rsid w:val="00121187"/>
    <w:rsid w:val="00122102"/>
    <w:rsid w:val="00122215"/>
    <w:rsid w:val="00122718"/>
    <w:rsid w:val="001232D1"/>
    <w:rsid w:val="001233F6"/>
    <w:rsid w:val="0012384A"/>
    <w:rsid w:val="00123860"/>
    <w:rsid w:val="001246F5"/>
    <w:rsid w:val="001248EF"/>
    <w:rsid w:val="00124E2F"/>
    <w:rsid w:val="001253A9"/>
    <w:rsid w:val="001253B3"/>
    <w:rsid w:val="001254C9"/>
    <w:rsid w:val="00125843"/>
    <w:rsid w:val="00126570"/>
    <w:rsid w:val="00126C7E"/>
    <w:rsid w:val="00126FD2"/>
    <w:rsid w:val="001272D8"/>
    <w:rsid w:val="00127558"/>
    <w:rsid w:val="00127EE5"/>
    <w:rsid w:val="0013064F"/>
    <w:rsid w:val="00130C05"/>
    <w:rsid w:val="00131031"/>
    <w:rsid w:val="0013155B"/>
    <w:rsid w:val="00132495"/>
    <w:rsid w:val="001328A6"/>
    <w:rsid w:val="00132F48"/>
    <w:rsid w:val="0013304A"/>
    <w:rsid w:val="001341BF"/>
    <w:rsid w:val="001344F7"/>
    <w:rsid w:val="001349BE"/>
    <w:rsid w:val="00134A39"/>
    <w:rsid w:val="001350F8"/>
    <w:rsid w:val="0013537D"/>
    <w:rsid w:val="00135EAE"/>
    <w:rsid w:val="001360A7"/>
    <w:rsid w:val="001365A7"/>
    <w:rsid w:val="00136D79"/>
    <w:rsid w:val="00136D92"/>
    <w:rsid w:val="0013712E"/>
    <w:rsid w:val="0013714D"/>
    <w:rsid w:val="001372F9"/>
    <w:rsid w:val="00137648"/>
    <w:rsid w:val="001408EC"/>
    <w:rsid w:val="001409D0"/>
    <w:rsid w:val="00140D4A"/>
    <w:rsid w:val="00140E45"/>
    <w:rsid w:val="001421A9"/>
    <w:rsid w:val="001427C5"/>
    <w:rsid w:val="00142D76"/>
    <w:rsid w:val="00143204"/>
    <w:rsid w:val="001432DF"/>
    <w:rsid w:val="00143477"/>
    <w:rsid w:val="001436B2"/>
    <w:rsid w:val="00143E22"/>
    <w:rsid w:val="00143EB2"/>
    <w:rsid w:val="00144126"/>
    <w:rsid w:val="00144240"/>
    <w:rsid w:val="00144DE0"/>
    <w:rsid w:val="0014546C"/>
    <w:rsid w:val="00145792"/>
    <w:rsid w:val="00145AC4"/>
    <w:rsid w:val="00145C68"/>
    <w:rsid w:val="00145D24"/>
    <w:rsid w:val="001464A4"/>
    <w:rsid w:val="0014745B"/>
    <w:rsid w:val="001475E3"/>
    <w:rsid w:val="001478EF"/>
    <w:rsid w:val="00147EFD"/>
    <w:rsid w:val="001503CB"/>
    <w:rsid w:val="0015176D"/>
    <w:rsid w:val="001517E7"/>
    <w:rsid w:val="001518FD"/>
    <w:rsid w:val="00151A0A"/>
    <w:rsid w:val="00152377"/>
    <w:rsid w:val="00152B4F"/>
    <w:rsid w:val="00153014"/>
    <w:rsid w:val="001534D1"/>
    <w:rsid w:val="00153E49"/>
    <w:rsid w:val="0015439D"/>
    <w:rsid w:val="0015490C"/>
    <w:rsid w:val="00154BF1"/>
    <w:rsid w:val="00155046"/>
    <w:rsid w:val="001555C7"/>
    <w:rsid w:val="00155794"/>
    <w:rsid w:val="00155BA6"/>
    <w:rsid w:val="00155CC2"/>
    <w:rsid w:val="00156172"/>
    <w:rsid w:val="00156488"/>
    <w:rsid w:val="001565BC"/>
    <w:rsid w:val="00156654"/>
    <w:rsid w:val="001568AB"/>
    <w:rsid w:val="00156C30"/>
    <w:rsid w:val="0015747E"/>
    <w:rsid w:val="00160466"/>
    <w:rsid w:val="00160960"/>
    <w:rsid w:val="00161674"/>
    <w:rsid w:val="001616D8"/>
    <w:rsid w:val="001617C1"/>
    <w:rsid w:val="00163F27"/>
    <w:rsid w:val="00163F4A"/>
    <w:rsid w:val="00164BD7"/>
    <w:rsid w:val="00164CAC"/>
    <w:rsid w:val="00164EE7"/>
    <w:rsid w:val="0016523A"/>
    <w:rsid w:val="0016556C"/>
    <w:rsid w:val="00166112"/>
    <w:rsid w:val="00166276"/>
    <w:rsid w:val="001677AD"/>
    <w:rsid w:val="00167DE2"/>
    <w:rsid w:val="00167E15"/>
    <w:rsid w:val="00170312"/>
    <w:rsid w:val="001705E3"/>
    <w:rsid w:val="0017061F"/>
    <w:rsid w:val="001706EC"/>
    <w:rsid w:val="00171499"/>
    <w:rsid w:val="00171A1C"/>
    <w:rsid w:val="00172E7F"/>
    <w:rsid w:val="00173E70"/>
    <w:rsid w:val="00174658"/>
    <w:rsid w:val="00174A15"/>
    <w:rsid w:val="00174F89"/>
    <w:rsid w:val="00175115"/>
    <w:rsid w:val="001753B4"/>
    <w:rsid w:val="001753BC"/>
    <w:rsid w:val="0017566E"/>
    <w:rsid w:val="001757CE"/>
    <w:rsid w:val="001766BF"/>
    <w:rsid w:val="00176966"/>
    <w:rsid w:val="00176E4F"/>
    <w:rsid w:val="00177337"/>
    <w:rsid w:val="00177719"/>
    <w:rsid w:val="001808BD"/>
    <w:rsid w:val="00181204"/>
    <w:rsid w:val="00181992"/>
    <w:rsid w:val="00182070"/>
    <w:rsid w:val="001823CB"/>
    <w:rsid w:val="00182EB0"/>
    <w:rsid w:val="0018399F"/>
    <w:rsid w:val="00183DBF"/>
    <w:rsid w:val="00184734"/>
    <w:rsid w:val="00185155"/>
    <w:rsid w:val="001859C2"/>
    <w:rsid w:val="00185CDB"/>
    <w:rsid w:val="00186669"/>
    <w:rsid w:val="00186919"/>
    <w:rsid w:val="001875E1"/>
    <w:rsid w:val="001875F8"/>
    <w:rsid w:val="00187D8F"/>
    <w:rsid w:val="00187E0C"/>
    <w:rsid w:val="00187F93"/>
    <w:rsid w:val="00191059"/>
    <w:rsid w:val="00191626"/>
    <w:rsid w:val="001917E6"/>
    <w:rsid w:val="00191846"/>
    <w:rsid w:val="00191D0A"/>
    <w:rsid w:val="0019230D"/>
    <w:rsid w:val="001923E4"/>
    <w:rsid w:val="0019258D"/>
    <w:rsid w:val="0019372A"/>
    <w:rsid w:val="0019380C"/>
    <w:rsid w:val="00193FFD"/>
    <w:rsid w:val="0019401B"/>
    <w:rsid w:val="00194077"/>
    <w:rsid w:val="00194938"/>
    <w:rsid w:val="00194EC9"/>
    <w:rsid w:val="00195386"/>
    <w:rsid w:val="00195610"/>
    <w:rsid w:val="00195CAC"/>
    <w:rsid w:val="00195F47"/>
    <w:rsid w:val="00196098"/>
    <w:rsid w:val="001966BF"/>
    <w:rsid w:val="00196BF2"/>
    <w:rsid w:val="00196BF4"/>
    <w:rsid w:val="00196C64"/>
    <w:rsid w:val="0019729B"/>
    <w:rsid w:val="001977BB"/>
    <w:rsid w:val="00197946"/>
    <w:rsid w:val="001A09DB"/>
    <w:rsid w:val="001A0F2F"/>
    <w:rsid w:val="001A0F6A"/>
    <w:rsid w:val="001A1662"/>
    <w:rsid w:val="001A1731"/>
    <w:rsid w:val="001A1B8F"/>
    <w:rsid w:val="001A1ED1"/>
    <w:rsid w:val="001A259C"/>
    <w:rsid w:val="001A538E"/>
    <w:rsid w:val="001A6120"/>
    <w:rsid w:val="001A62E7"/>
    <w:rsid w:val="001A6678"/>
    <w:rsid w:val="001A6E24"/>
    <w:rsid w:val="001A74C7"/>
    <w:rsid w:val="001A76E1"/>
    <w:rsid w:val="001A7DFC"/>
    <w:rsid w:val="001B0787"/>
    <w:rsid w:val="001B116F"/>
    <w:rsid w:val="001B1C5B"/>
    <w:rsid w:val="001B2264"/>
    <w:rsid w:val="001B2850"/>
    <w:rsid w:val="001B2924"/>
    <w:rsid w:val="001B2C00"/>
    <w:rsid w:val="001B2CFB"/>
    <w:rsid w:val="001B30F9"/>
    <w:rsid w:val="001B3A19"/>
    <w:rsid w:val="001B3DA8"/>
    <w:rsid w:val="001B40B8"/>
    <w:rsid w:val="001B454A"/>
    <w:rsid w:val="001B4E85"/>
    <w:rsid w:val="001B534D"/>
    <w:rsid w:val="001B5528"/>
    <w:rsid w:val="001B5C53"/>
    <w:rsid w:val="001B5F85"/>
    <w:rsid w:val="001B61A9"/>
    <w:rsid w:val="001B66DD"/>
    <w:rsid w:val="001B7574"/>
    <w:rsid w:val="001B7639"/>
    <w:rsid w:val="001C028D"/>
    <w:rsid w:val="001C0DB1"/>
    <w:rsid w:val="001C1220"/>
    <w:rsid w:val="001C1353"/>
    <w:rsid w:val="001C1A8C"/>
    <w:rsid w:val="001C3680"/>
    <w:rsid w:val="001C3B29"/>
    <w:rsid w:val="001C470D"/>
    <w:rsid w:val="001C4D9D"/>
    <w:rsid w:val="001C4FB8"/>
    <w:rsid w:val="001C5203"/>
    <w:rsid w:val="001C5529"/>
    <w:rsid w:val="001C5DAB"/>
    <w:rsid w:val="001C690B"/>
    <w:rsid w:val="001C6D86"/>
    <w:rsid w:val="001C6D88"/>
    <w:rsid w:val="001C6FB1"/>
    <w:rsid w:val="001C71B5"/>
    <w:rsid w:val="001C7DE5"/>
    <w:rsid w:val="001D0E14"/>
    <w:rsid w:val="001D0E7F"/>
    <w:rsid w:val="001D1078"/>
    <w:rsid w:val="001D109A"/>
    <w:rsid w:val="001D1633"/>
    <w:rsid w:val="001D1F7F"/>
    <w:rsid w:val="001D4938"/>
    <w:rsid w:val="001D4A09"/>
    <w:rsid w:val="001D4CC7"/>
    <w:rsid w:val="001D56BF"/>
    <w:rsid w:val="001D5B46"/>
    <w:rsid w:val="001D5ECF"/>
    <w:rsid w:val="001D6020"/>
    <w:rsid w:val="001D6046"/>
    <w:rsid w:val="001D6868"/>
    <w:rsid w:val="001D6903"/>
    <w:rsid w:val="001D6BE1"/>
    <w:rsid w:val="001D70BB"/>
    <w:rsid w:val="001D74A8"/>
    <w:rsid w:val="001D75E2"/>
    <w:rsid w:val="001D7C0F"/>
    <w:rsid w:val="001D7C85"/>
    <w:rsid w:val="001D7DDC"/>
    <w:rsid w:val="001E077F"/>
    <w:rsid w:val="001E0FDC"/>
    <w:rsid w:val="001E1B7C"/>
    <w:rsid w:val="001E1CC9"/>
    <w:rsid w:val="001E24AB"/>
    <w:rsid w:val="001E259C"/>
    <w:rsid w:val="001E28DF"/>
    <w:rsid w:val="001E329F"/>
    <w:rsid w:val="001E330F"/>
    <w:rsid w:val="001E3938"/>
    <w:rsid w:val="001E3EBD"/>
    <w:rsid w:val="001E3F60"/>
    <w:rsid w:val="001E3F87"/>
    <w:rsid w:val="001E4136"/>
    <w:rsid w:val="001E41E6"/>
    <w:rsid w:val="001E43EE"/>
    <w:rsid w:val="001E4B12"/>
    <w:rsid w:val="001E5608"/>
    <w:rsid w:val="001E5654"/>
    <w:rsid w:val="001E6003"/>
    <w:rsid w:val="001E6311"/>
    <w:rsid w:val="001E63CB"/>
    <w:rsid w:val="001E6A10"/>
    <w:rsid w:val="001E71AA"/>
    <w:rsid w:val="001E722E"/>
    <w:rsid w:val="001E7BCA"/>
    <w:rsid w:val="001F0061"/>
    <w:rsid w:val="001F01A8"/>
    <w:rsid w:val="001F0564"/>
    <w:rsid w:val="001F0B1C"/>
    <w:rsid w:val="001F0D3A"/>
    <w:rsid w:val="001F1617"/>
    <w:rsid w:val="001F1C8F"/>
    <w:rsid w:val="001F2205"/>
    <w:rsid w:val="001F26EA"/>
    <w:rsid w:val="001F2B3D"/>
    <w:rsid w:val="001F398C"/>
    <w:rsid w:val="001F3AC5"/>
    <w:rsid w:val="001F3C35"/>
    <w:rsid w:val="001F445A"/>
    <w:rsid w:val="001F4B08"/>
    <w:rsid w:val="001F4FAC"/>
    <w:rsid w:val="001F506A"/>
    <w:rsid w:val="001F581B"/>
    <w:rsid w:val="001F6194"/>
    <w:rsid w:val="001F6373"/>
    <w:rsid w:val="001F6C98"/>
    <w:rsid w:val="001F6F7A"/>
    <w:rsid w:val="001F73A3"/>
    <w:rsid w:val="0020015D"/>
    <w:rsid w:val="002006B0"/>
    <w:rsid w:val="002010D5"/>
    <w:rsid w:val="0020173D"/>
    <w:rsid w:val="002018B5"/>
    <w:rsid w:val="00201D7A"/>
    <w:rsid w:val="00202490"/>
    <w:rsid w:val="00202500"/>
    <w:rsid w:val="00202FCA"/>
    <w:rsid w:val="00203088"/>
    <w:rsid w:val="00203AE6"/>
    <w:rsid w:val="00203B5F"/>
    <w:rsid w:val="00204064"/>
    <w:rsid w:val="0020457D"/>
    <w:rsid w:val="002045FB"/>
    <w:rsid w:val="00204BDB"/>
    <w:rsid w:val="00204BDE"/>
    <w:rsid w:val="002053FA"/>
    <w:rsid w:val="00205479"/>
    <w:rsid w:val="00205595"/>
    <w:rsid w:val="002055D3"/>
    <w:rsid w:val="00205C4C"/>
    <w:rsid w:val="00205DE2"/>
    <w:rsid w:val="00206BAC"/>
    <w:rsid w:val="00207A44"/>
    <w:rsid w:val="00210325"/>
    <w:rsid w:val="00210649"/>
    <w:rsid w:val="00211319"/>
    <w:rsid w:val="002115FB"/>
    <w:rsid w:val="002116C0"/>
    <w:rsid w:val="00211907"/>
    <w:rsid w:val="002119E8"/>
    <w:rsid w:val="00212008"/>
    <w:rsid w:val="002121A0"/>
    <w:rsid w:val="002122F7"/>
    <w:rsid w:val="00212403"/>
    <w:rsid w:val="00212863"/>
    <w:rsid w:val="002129BA"/>
    <w:rsid w:val="00212D3F"/>
    <w:rsid w:val="002130EA"/>
    <w:rsid w:val="00213405"/>
    <w:rsid w:val="00213461"/>
    <w:rsid w:val="00214855"/>
    <w:rsid w:val="002153CD"/>
    <w:rsid w:val="002157BB"/>
    <w:rsid w:val="00215AD4"/>
    <w:rsid w:val="002161BC"/>
    <w:rsid w:val="00216A71"/>
    <w:rsid w:val="00216B39"/>
    <w:rsid w:val="00216C6E"/>
    <w:rsid w:val="002172DB"/>
    <w:rsid w:val="00217408"/>
    <w:rsid w:val="002175B2"/>
    <w:rsid w:val="00217F67"/>
    <w:rsid w:val="0022024C"/>
    <w:rsid w:val="00220BFF"/>
    <w:rsid w:val="00221221"/>
    <w:rsid w:val="00221E55"/>
    <w:rsid w:val="00222372"/>
    <w:rsid w:val="0022350F"/>
    <w:rsid w:val="002236C7"/>
    <w:rsid w:val="00223C22"/>
    <w:rsid w:val="00224C8E"/>
    <w:rsid w:val="00224CCA"/>
    <w:rsid w:val="002252C3"/>
    <w:rsid w:val="0022580A"/>
    <w:rsid w:val="00225DB3"/>
    <w:rsid w:val="00226B42"/>
    <w:rsid w:val="00226B9A"/>
    <w:rsid w:val="00227263"/>
    <w:rsid w:val="002278BE"/>
    <w:rsid w:val="00227A6A"/>
    <w:rsid w:val="002304EC"/>
    <w:rsid w:val="002305DC"/>
    <w:rsid w:val="002309AA"/>
    <w:rsid w:val="002309FB"/>
    <w:rsid w:val="00231A9E"/>
    <w:rsid w:val="00231AAE"/>
    <w:rsid w:val="00232C66"/>
    <w:rsid w:val="00232C80"/>
    <w:rsid w:val="002330CE"/>
    <w:rsid w:val="002333CF"/>
    <w:rsid w:val="00233F70"/>
    <w:rsid w:val="0023437D"/>
    <w:rsid w:val="0023516E"/>
    <w:rsid w:val="00235EBD"/>
    <w:rsid w:val="00236045"/>
    <w:rsid w:val="002362F7"/>
    <w:rsid w:val="0023677C"/>
    <w:rsid w:val="002369E9"/>
    <w:rsid w:val="00237240"/>
    <w:rsid w:val="0024021B"/>
    <w:rsid w:val="00241077"/>
    <w:rsid w:val="00241186"/>
    <w:rsid w:val="00241936"/>
    <w:rsid w:val="00241988"/>
    <w:rsid w:val="0024294B"/>
    <w:rsid w:val="00243492"/>
    <w:rsid w:val="002434D7"/>
    <w:rsid w:val="002442B4"/>
    <w:rsid w:val="00245227"/>
    <w:rsid w:val="002463C0"/>
    <w:rsid w:val="0024643C"/>
    <w:rsid w:val="00246717"/>
    <w:rsid w:val="00247418"/>
    <w:rsid w:val="002478EF"/>
    <w:rsid w:val="002501EC"/>
    <w:rsid w:val="00250659"/>
    <w:rsid w:val="00251087"/>
    <w:rsid w:val="00251810"/>
    <w:rsid w:val="002519E2"/>
    <w:rsid w:val="00252443"/>
    <w:rsid w:val="00252775"/>
    <w:rsid w:val="00252806"/>
    <w:rsid w:val="00252C7C"/>
    <w:rsid w:val="00254C50"/>
    <w:rsid w:val="00254E47"/>
    <w:rsid w:val="002559C6"/>
    <w:rsid w:val="00255B78"/>
    <w:rsid w:val="00255D23"/>
    <w:rsid w:val="002560C5"/>
    <w:rsid w:val="002573AD"/>
    <w:rsid w:val="0025778B"/>
    <w:rsid w:val="00257BE0"/>
    <w:rsid w:val="00257CF5"/>
    <w:rsid w:val="00257FDB"/>
    <w:rsid w:val="002605E6"/>
    <w:rsid w:val="00260C9F"/>
    <w:rsid w:val="00262698"/>
    <w:rsid w:val="002627DB"/>
    <w:rsid w:val="0026308A"/>
    <w:rsid w:val="00263466"/>
    <w:rsid w:val="00263C00"/>
    <w:rsid w:val="00263C9F"/>
    <w:rsid w:val="002643F3"/>
    <w:rsid w:val="00264504"/>
    <w:rsid w:val="00266198"/>
    <w:rsid w:val="00266449"/>
    <w:rsid w:val="00266566"/>
    <w:rsid w:val="0026678A"/>
    <w:rsid w:val="00266956"/>
    <w:rsid w:val="00267537"/>
    <w:rsid w:val="00267F59"/>
    <w:rsid w:val="002702CC"/>
    <w:rsid w:val="0027062D"/>
    <w:rsid w:val="00271130"/>
    <w:rsid w:val="002712C1"/>
    <w:rsid w:val="0027132B"/>
    <w:rsid w:val="00271FFA"/>
    <w:rsid w:val="00272301"/>
    <w:rsid w:val="00272343"/>
    <w:rsid w:val="00272B0A"/>
    <w:rsid w:val="0027306C"/>
    <w:rsid w:val="00273524"/>
    <w:rsid w:val="00273B0B"/>
    <w:rsid w:val="00274899"/>
    <w:rsid w:val="00274F15"/>
    <w:rsid w:val="002750BF"/>
    <w:rsid w:val="00275485"/>
    <w:rsid w:val="00275CA8"/>
    <w:rsid w:val="00275F33"/>
    <w:rsid w:val="0027611E"/>
    <w:rsid w:val="002761CB"/>
    <w:rsid w:val="0027635D"/>
    <w:rsid w:val="0027688D"/>
    <w:rsid w:val="0027714F"/>
    <w:rsid w:val="00277C73"/>
    <w:rsid w:val="00280A5F"/>
    <w:rsid w:val="00281549"/>
    <w:rsid w:val="00281778"/>
    <w:rsid w:val="00282101"/>
    <w:rsid w:val="00282500"/>
    <w:rsid w:val="00282CCD"/>
    <w:rsid w:val="00282F61"/>
    <w:rsid w:val="00283338"/>
    <w:rsid w:val="0028362F"/>
    <w:rsid w:val="002837FD"/>
    <w:rsid w:val="00283E32"/>
    <w:rsid w:val="00283EF7"/>
    <w:rsid w:val="0028438D"/>
    <w:rsid w:val="002845DE"/>
    <w:rsid w:val="00284AD6"/>
    <w:rsid w:val="00286661"/>
    <w:rsid w:val="00286C25"/>
    <w:rsid w:val="00287614"/>
    <w:rsid w:val="00290527"/>
    <w:rsid w:val="002913C1"/>
    <w:rsid w:val="00291829"/>
    <w:rsid w:val="0029204E"/>
    <w:rsid w:val="00292063"/>
    <w:rsid w:val="0029254B"/>
    <w:rsid w:val="00292896"/>
    <w:rsid w:val="002929DA"/>
    <w:rsid w:val="00292D09"/>
    <w:rsid w:val="00292ECF"/>
    <w:rsid w:val="00293B72"/>
    <w:rsid w:val="00293E8F"/>
    <w:rsid w:val="00294229"/>
    <w:rsid w:val="0029467C"/>
    <w:rsid w:val="00294E46"/>
    <w:rsid w:val="00295091"/>
    <w:rsid w:val="002950D9"/>
    <w:rsid w:val="00295161"/>
    <w:rsid w:val="0029521D"/>
    <w:rsid w:val="00295A2D"/>
    <w:rsid w:val="002963A4"/>
    <w:rsid w:val="00296C90"/>
    <w:rsid w:val="00297020"/>
    <w:rsid w:val="00297278"/>
    <w:rsid w:val="00297474"/>
    <w:rsid w:val="00297565"/>
    <w:rsid w:val="00297F70"/>
    <w:rsid w:val="002A1058"/>
    <w:rsid w:val="002A17F4"/>
    <w:rsid w:val="002A1A50"/>
    <w:rsid w:val="002A1AE9"/>
    <w:rsid w:val="002A241A"/>
    <w:rsid w:val="002A2A22"/>
    <w:rsid w:val="002A3354"/>
    <w:rsid w:val="002A39D2"/>
    <w:rsid w:val="002A3C51"/>
    <w:rsid w:val="002A3DBF"/>
    <w:rsid w:val="002A4948"/>
    <w:rsid w:val="002A4DF7"/>
    <w:rsid w:val="002A4E7B"/>
    <w:rsid w:val="002A4FF0"/>
    <w:rsid w:val="002A526A"/>
    <w:rsid w:val="002A5D67"/>
    <w:rsid w:val="002A5FF2"/>
    <w:rsid w:val="002A625A"/>
    <w:rsid w:val="002A639E"/>
    <w:rsid w:val="002A6A30"/>
    <w:rsid w:val="002A6B38"/>
    <w:rsid w:val="002A7167"/>
    <w:rsid w:val="002A7225"/>
    <w:rsid w:val="002A73A1"/>
    <w:rsid w:val="002B05B9"/>
    <w:rsid w:val="002B0965"/>
    <w:rsid w:val="002B0FA5"/>
    <w:rsid w:val="002B1051"/>
    <w:rsid w:val="002B1E99"/>
    <w:rsid w:val="002B213D"/>
    <w:rsid w:val="002B21ED"/>
    <w:rsid w:val="002B2492"/>
    <w:rsid w:val="002B2B06"/>
    <w:rsid w:val="002B2E48"/>
    <w:rsid w:val="002B3274"/>
    <w:rsid w:val="002B3AD0"/>
    <w:rsid w:val="002B3C01"/>
    <w:rsid w:val="002B4342"/>
    <w:rsid w:val="002B513E"/>
    <w:rsid w:val="002B52B3"/>
    <w:rsid w:val="002B66CF"/>
    <w:rsid w:val="002B678E"/>
    <w:rsid w:val="002B696C"/>
    <w:rsid w:val="002B75F9"/>
    <w:rsid w:val="002B7FF0"/>
    <w:rsid w:val="002C0243"/>
    <w:rsid w:val="002C0699"/>
    <w:rsid w:val="002C0710"/>
    <w:rsid w:val="002C0C9B"/>
    <w:rsid w:val="002C1183"/>
    <w:rsid w:val="002C1949"/>
    <w:rsid w:val="002C1A9D"/>
    <w:rsid w:val="002C1B52"/>
    <w:rsid w:val="002C1FD3"/>
    <w:rsid w:val="002C24E9"/>
    <w:rsid w:val="002C2531"/>
    <w:rsid w:val="002C272C"/>
    <w:rsid w:val="002C281D"/>
    <w:rsid w:val="002C2A34"/>
    <w:rsid w:val="002C30E3"/>
    <w:rsid w:val="002C356A"/>
    <w:rsid w:val="002C410A"/>
    <w:rsid w:val="002C59C4"/>
    <w:rsid w:val="002C711B"/>
    <w:rsid w:val="002C7E09"/>
    <w:rsid w:val="002D02DE"/>
    <w:rsid w:val="002D0AB7"/>
    <w:rsid w:val="002D0F4D"/>
    <w:rsid w:val="002D0F72"/>
    <w:rsid w:val="002D2107"/>
    <w:rsid w:val="002D21D3"/>
    <w:rsid w:val="002D2964"/>
    <w:rsid w:val="002D3141"/>
    <w:rsid w:val="002D3415"/>
    <w:rsid w:val="002D3457"/>
    <w:rsid w:val="002D40A7"/>
    <w:rsid w:val="002D4E09"/>
    <w:rsid w:val="002D5E1E"/>
    <w:rsid w:val="002D6201"/>
    <w:rsid w:val="002D66BF"/>
    <w:rsid w:val="002D71A6"/>
    <w:rsid w:val="002D72C2"/>
    <w:rsid w:val="002D756F"/>
    <w:rsid w:val="002D7D6E"/>
    <w:rsid w:val="002D7F1A"/>
    <w:rsid w:val="002E0515"/>
    <w:rsid w:val="002E09BD"/>
    <w:rsid w:val="002E0E37"/>
    <w:rsid w:val="002E2014"/>
    <w:rsid w:val="002E213F"/>
    <w:rsid w:val="002E21D5"/>
    <w:rsid w:val="002E2497"/>
    <w:rsid w:val="002E311D"/>
    <w:rsid w:val="002E3312"/>
    <w:rsid w:val="002E39BC"/>
    <w:rsid w:val="002E3E43"/>
    <w:rsid w:val="002E40C1"/>
    <w:rsid w:val="002E43D6"/>
    <w:rsid w:val="002E4B5A"/>
    <w:rsid w:val="002E5F1F"/>
    <w:rsid w:val="002E6978"/>
    <w:rsid w:val="002E6ECD"/>
    <w:rsid w:val="002E6EEC"/>
    <w:rsid w:val="002E71A0"/>
    <w:rsid w:val="002E75D7"/>
    <w:rsid w:val="002E76B6"/>
    <w:rsid w:val="002E7B10"/>
    <w:rsid w:val="002F01C8"/>
    <w:rsid w:val="002F0A9E"/>
    <w:rsid w:val="002F0CE1"/>
    <w:rsid w:val="002F1103"/>
    <w:rsid w:val="002F15F3"/>
    <w:rsid w:val="002F1882"/>
    <w:rsid w:val="002F26FD"/>
    <w:rsid w:val="002F2968"/>
    <w:rsid w:val="002F2CA6"/>
    <w:rsid w:val="002F37D7"/>
    <w:rsid w:val="002F4277"/>
    <w:rsid w:val="002F4A32"/>
    <w:rsid w:val="002F4E72"/>
    <w:rsid w:val="002F4EA6"/>
    <w:rsid w:val="002F50BF"/>
    <w:rsid w:val="002F5192"/>
    <w:rsid w:val="002F5666"/>
    <w:rsid w:val="002F57A4"/>
    <w:rsid w:val="002F5CE3"/>
    <w:rsid w:val="002F5EED"/>
    <w:rsid w:val="002F643E"/>
    <w:rsid w:val="00300DC9"/>
    <w:rsid w:val="0030191C"/>
    <w:rsid w:val="00301DA2"/>
    <w:rsid w:val="0030217A"/>
    <w:rsid w:val="003023C1"/>
    <w:rsid w:val="003023CD"/>
    <w:rsid w:val="0030254E"/>
    <w:rsid w:val="003036AE"/>
    <w:rsid w:val="00304BCE"/>
    <w:rsid w:val="00304D38"/>
    <w:rsid w:val="00304F64"/>
    <w:rsid w:val="00305B50"/>
    <w:rsid w:val="00305C8B"/>
    <w:rsid w:val="00305D0C"/>
    <w:rsid w:val="003065C1"/>
    <w:rsid w:val="0030668E"/>
    <w:rsid w:val="00306898"/>
    <w:rsid w:val="00306B9A"/>
    <w:rsid w:val="0030707C"/>
    <w:rsid w:val="00307C10"/>
    <w:rsid w:val="00310089"/>
    <w:rsid w:val="0031049B"/>
    <w:rsid w:val="003113D9"/>
    <w:rsid w:val="003115BE"/>
    <w:rsid w:val="003115CA"/>
    <w:rsid w:val="00311A40"/>
    <w:rsid w:val="00312961"/>
    <w:rsid w:val="00312DD3"/>
    <w:rsid w:val="00313091"/>
    <w:rsid w:val="003133DC"/>
    <w:rsid w:val="00313D4E"/>
    <w:rsid w:val="00313D74"/>
    <w:rsid w:val="00315519"/>
    <w:rsid w:val="003156C8"/>
    <w:rsid w:val="003158D6"/>
    <w:rsid w:val="00315BBF"/>
    <w:rsid w:val="00315E54"/>
    <w:rsid w:val="0031644A"/>
    <w:rsid w:val="00316877"/>
    <w:rsid w:val="00316C1A"/>
    <w:rsid w:val="00316CDD"/>
    <w:rsid w:val="003178DC"/>
    <w:rsid w:val="00320AF4"/>
    <w:rsid w:val="00320F00"/>
    <w:rsid w:val="003215F1"/>
    <w:rsid w:val="00321647"/>
    <w:rsid w:val="0032164A"/>
    <w:rsid w:val="003217EE"/>
    <w:rsid w:val="00321F3C"/>
    <w:rsid w:val="00322226"/>
    <w:rsid w:val="00322B4F"/>
    <w:rsid w:val="00323C6B"/>
    <w:rsid w:val="00323CF1"/>
    <w:rsid w:val="00323D10"/>
    <w:rsid w:val="003244AC"/>
    <w:rsid w:val="00324651"/>
    <w:rsid w:val="00324B8E"/>
    <w:rsid w:val="00324BC0"/>
    <w:rsid w:val="00324D81"/>
    <w:rsid w:val="003252C0"/>
    <w:rsid w:val="003260EA"/>
    <w:rsid w:val="00326A59"/>
    <w:rsid w:val="0032729F"/>
    <w:rsid w:val="003278CC"/>
    <w:rsid w:val="00330066"/>
    <w:rsid w:val="003305DF"/>
    <w:rsid w:val="00330A5F"/>
    <w:rsid w:val="00330C21"/>
    <w:rsid w:val="00330DD9"/>
    <w:rsid w:val="00330DF8"/>
    <w:rsid w:val="00330E71"/>
    <w:rsid w:val="00330F13"/>
    <w:rsid w:val="003318C2"/>
    <w:rsid w:val="00331D7E"/>
    <w:rsid w:val="00331D98"/>
    <w:rsid w:val="00332861"/>
    <w:rsid w:val="00332984"/>
    <w:rsid w:val="00332F7E"/>
    <w:rsid w:val="003338A4"/>
    <w:rsid w:val="003338DE"/>
    <w:rsid w:val="00333DFF"/>
    <w:rsid w:val="0033423C"/>
    <w:rsid w:val="0033428C"/>
    <w:rsid w:val="00334C95"/>
    <w:rsid w:val="00334CAA"/>
    <w:rsid w:val="00334F6C"/>
    <w:rsid w:val="0033519B"/>
    <w:rsid w:val="003361EB"/>
    <w:rsid w:val="003367EC"/>
    <w:rsid w:val="00336DE1"/>
    <w:rsid w:val="00337635"/>
    <w:rsid w:val="00337C2C"/>
    <w:rsid w:val="00340155"/>
    <w:rsid w:val="003405F0"/>
    <w:rsid w:val="0034068F"/>
    <w:rsid w:val="00341685"/>
    <w:rsid w:val="00341F58"/>
    <w:rsid w:val="003427E1"/>
    <w:rsid w:val="00342D47"/>
    <w:rsid w:val="00342E4A"/>
    <w:rsid w:val="00343104"/>
    <w:rsid w:val="003431BD"/>
    <w:rsid w:val="0034320A"/>
    <w:rsid w:val="00343354"/>
    <w:rsid w:val="003437EF"/>
    <w:rsid w:val="003438EC"/>
    <w:rsid w:val="00343A5C"/>
    <w:rsid w:val="00346AB2"/>
    <w:rsid w:val="00346BA5"/>
    <w:rsid w:val="00346F5F"/>
    <w:rsid w:val="00347A83"/>
    <w:rsid w:val="00347AF5"/>
    <w:rsid w:val="00347B22"/>
    <w:rsid w:val="0035075F"/>
    <w:rsid w:val="00350F72"/>
    <w:rsid w:val="003514D0"/>
    <w:rsid w:val="0035178A"/>
    <w:rsid w:val="003522FB"/>
    <w:rsid w:val="00352E1B"/>
    <w:rsid w:val="00353105"/>
    <w:rsid w:val="00353449"/>
    <w:rsid w:val="00353AE4"/>
    <w:rsid w:val="00353B3F"/>
    <w:rsid w:val="00354B24"/>
    <w:rsid w:val="00355551"/>
    <w:rsid w:val="00355566"/>
    <w:rsid w:val="0035651C"/>
    <w:rsid w:val="00356643"/>
    <w:rsid w:val="00356983"/>
    <w:rsid w:val="00356CE4"/>
    <w:rsid w:val="00357573"/>
    <w:rsid w:val="00360015"/>
    <w:rsid w:val="003603D8"/>
    <w:rsid w:val="00360DEB"/>
    <w:rsid w:val="0036176E"/>
    <w:rsid w:val="00361CD7"/>
    <w:rsid w:val="00361E61"/>
    <w:rsid w:val="00362160"/>
    <w:rsid w:val="003623B7"/>
    <w:rsid w:val="003625DA"/>
    <w:rsid w:val="0036286B"/>
    <w:rsid w:val="003629D6"/>
    <w:rsid w:val="00362C72"/>
    <w:rsid w:val="00362F8E"/>
    <w:rsid w:val="00363207"/>
    <w:rsid w:val="00363814"/>
    <w:rsid w:val="00363B58"/>
    <w:rsid w:val="00363C0E"/>
    <w:rsid w:val="00364492"/>
    <w:rsid w:val="003644B2"/>
    <w:rsid w:val="00364B6B"/>
    <w:rsid w:val="00365292"/>
    <w:rsid w:val="00365334"/>
    <w:rsid w:val="00365502"/>
    <w:rsid w:val="00365C87"/>
    <w:rsid w:val="00366D8A"/>
    <w:rsid w:val="00367444"/>
    <w:rsid w:val="00367DF4"/>
    <w:rsid w:val="00367F2E"/>
    <w:rsid w:val="003700A3"/>
    <w:rsid w:val="00370D68"/>
    <w:rsid w:val="00371914"/>
    <w:rsid w:val="003731E5"/>
    <w:rsid w:val="00373723"/>
    <w:rsid w:val="00373C26"/>
    <w:rsid w:val="00374256"/>
    <w:rsid w:val="00374C31"/>
    <w:rsid w:val="00375600"/>
    <w:rsid w:val="00375D99"/>
    <w:rsid w:val="003760C8"/>
    <w:rsid w:val="0037635E"/>
    <w:rsid w:val="0037644F"/>
    <w:rsid w:val="003764F1"/>
    <w:rsid w:val="00376DC1"/>
    <w:rsid w:val="00377E28"/>
    <w:rsid w:val="003800AD"/>
    <w:rsid w:val="00381738"/>
    <w:rsid w:val="00381E14"/>
    <w:rsid w:val="00382A6D"/>
    <w:rsid w:val="00382EDF"/>
    <w:rsid w:val="003835B2"/>
    <w:rsid w:val="00383883"/>
    <w:rsid w:val="00384522"/>
    <w:rsid w:val="0038490A"/>
    <w:rsid w:val="003852A8"/>
    <w:rsid w:val="00385602"/>
    <w:rsid w:val="00385C95"/>
    <w:rsid w:val="00386663"/>
    <w:rsid w:val="003866BE"/>
    <w:rsid w:val="00386942"/>
    <w:rsid w:val="0038738D"/>
    <w:rsid w:val="0039024F"/>
    <w:rsid w:val="00390A91"/>
    <w:rsid w:val="00391260"/>
    <w:rsid w:val="003916EB"/>
    <w:rsid w:val="0039204E"/>
    <w:rsid w:val="0039221D"/>
    <w:rsid w:val="00392E05"/>
    <w:rsid w:val="00393310"/>
    <w:rsid w:val="00393501"/>
    <w:rsid w:val="00393FE2"/>
    <w:rsid w:val="003941E9"/>
    <w:rsid w:val="003942F7"/>
    <w:rsid w:val="00394579"/>
    <w:rsid w:val="0039460F"/>
    <w:rsid w:val="00394615"/>
    <w:rsid w:val="00394AE2"/>
    <w:rsid w:val="00394EEF"/>
    <w:rsid w:val="00395184"/>
    <w:rsid w:val="003955AB"/>
    <w:rsid w:val="00397757"/>
    <w:rsid w:val="003979C5"/>
    <w:rsid w:val="003A0727"/>
    <w:rsid w:val="003A0888"/>
    <w:rsid w:val="003A0E03"/>
    <w:rsid w:val="003A1DCC"/>
    <w:rsid w:val="003A2551"/>
    <w:rsid w:val="003A267D"/>
    <w:rsid w:val="003A26B6"/>
    <w:rsid w:val="003A31CE"/>
    <w:rsid w:val="003A32D3"/>
    <w:rsid w:val="003A3329"/>
    <w:rsid w:val="003A39FB"/>
    <w:rsid w:val="003A3B02"/>
    <w:rsid w:val="003A4075"/>
    <w:rsid w:val="003A4477"/>
    <w:rsid w:val="003A44E7"/>
    <w:rsid w:val="003A4B4D"/>
    <w:rsid w:val="003A5D4C"/>
    <w:rsid w:val="003A60C1"/>
    <w:rsid w:val="003A62BE"/>
    <w:rsid w:val="003A63BF"/>
    <w:rsid w:val="003A6834"/>
    <w:rsid w:val="003A6F39"/>
    <w:rsid w:val="003A70E3"/>
    <w:rsid w:val="003A7259"/>
    <w:rsid w:val="003A72CE"/>
    <w:rsid w:val="003A7D91"/>
    <w:rsid w:val="003B01AF"/>
    <w:rsid w:val="003B1263"/>
    <w:rsid w:val="003B13F1"/>
    <w:rsid w:val="003B1699"/>
    <w:rsid w:val="003B2569"/>
    <w:rsid w:val="003B2D52"/>
    <w:rsid w:val="003B3303"/>
    <w:rsid w:val="003B474F"/>
    <w:rsid w:val="003B48EF"/>
    <w:rsid w:val="003B4CC3"/>
    <w:rsid w:val="003B4E42"/>
    <w:rsid w:val="003B522F"/>
    <w:rsid w:val="003B54EB"/>
    <w:rsid w:val="003B5A47"/>
    <w:rsid w:val="003B5EDD"/>
    <w:rsid w:val="003B6C57"/>
    <w:rsid w:val="003B7155"/>
    <w:rsid w:val="003B7D04"/>
    <w:rsid w:val="003B7D48"/>
    <w:rsid w:val="003C02EE"/>
    <w:rsid w:val="003C0325"/>
    <w:rsid w:val="003C0B3A"/>
    <w:rsid w:val="003C0BB2"/>
    <w:rsid w:val="003C11A4"/>
    <w:rsid w:val="003C127F"/>
    <w:rsid w:val="003C1723"/>
    <w:rsid w:val="003C20C9"/>
    <w:rsid w:val="003C276F"/>
    <w:rsid w:val="003C2BBD"/>
    <w:rsid w:val="003C2EDE"/>
    <w:rsid w:val="003C3D6B"/>
    <w:rsid w:val="003C42C9"/>
    <w:rsid w:val="003C4582"/>
    <w:rsid w:val="003C5006"/>
    <w:rsid w:val="003C5B64"/>
    <w:rsid w:val="003C5CD3"/>
    <w:rsid w:val="003C60F5"/>
    <w:rsid w:val="003C792E"/>
    <w:rsid w:val="003D05C3"/>
    <w:rsid w:val="003D0928"/>
    <w:rsid w:val="003D0D51"/>
    <w:rsid w:val="003D1290"/>
    <w:rsid w:val="003D19A7"/>
    <w:rsid w:val="003D1B59"/>
    <w:rsid w:val="003D1E18"/>
    <w:rsid w:val="003D21D2"/>
    <w:rsid w:val="003D269E"/>
    <w:rsid w:val="003D387F"/>
    <w:rsid w:val="003D4E1E"/>
    <w:rsid w:val="003D5630"/>
    <w:rsid w:val="003D5A6C"/>
    <w:rsid w:val="003D5A85"/>
    <w:rsid w:val="003D6390"/>
    <w:rsid w:val="003D71D4"/>
    <w:rsid w:val="003D75E4"/>
    <w:rsid w:val="003D7640"/>
    <w:rsid w:val="003D7C53"/>
    <w:rsid w:val="003E0331"/>
    <w:rsid w:val="003E12A4"/>
    <w:rsid w:val="003E1B07"/>
    <w:rsid w:val="003E1EC7"/>
    <w:rsid w:val="003E2701"/>
    <w:rsid w:val="003E2CE6"/>
    <w:rsid w:val="003E3349"/>
    <w:rsid w:val="003E38B9"/>
    <w:rsid w:val="003E44D8"/>
    <w:rsid w:val="003E4C19"/>
    <w:rsid w:val="003E4E42"/>
    <w:rsid w:val="003E52D4"/>
    <w:rsid w:val="003E58BF"/>
    <w:rsid w:val="003E5A66"/>
    <w:rsid w:val="003E5BD0"/>
    <w:rsid w:val="003E5EEC"/>
    <w:rsid w:val="003E69A6"/>
    <w:rsid w:val="003E70E5"/>
    <w:rsid w:val="003E73B2"/>
    <w:rsid w:val="003E7E85"/>
    <w:rsid w:val="003F0037"/>
    <w:rsid w:val="003F0530"/>
    <w:rsid w:val="003F0AD1"/>
    <w:rsid w:val="003F144F"/>
    <w:rsid w:val="003F169C"/>
    <w:rsid w:val="003F2034"/>
    <w:rsid w:val="003F2105"/>
    <w:rsid w:val="003F26E2"/>
    <w:rsid w:val="003F2EA1"/>
    <w:rsid w:val="003F312C"/>
    <w:rsid w:val="003F4164"/>
    <w:rsid w:val="003F597A"/>
    <w:rsid w:val="003F6B40"/>
    <w:rsid w:val="003F6DA4"/>
    <w:rsid w:val="003F7085"/>
    <w:rsid w:val="003F750F"/>
    <w:rsid w:val="003F76AB"/>
    <w:rsid w:val="003F7C80"/>
    <w:rsid w:val="003F7FC2"/>
    <w:rsid w:val="004000CB"/>
    <w:rsid w:val="004004D2"/>
    <w:rsid w:val="004008FB"/>
    <w:rsid w:val="00401279"/>
    <w:rsid w:val="0040226B"/>
    <w:rsid w:val="00402410"/>
    <w:rsid w:val="00402910"/>
    <w:rsid w:val="00403A7D"/>
    <w:rsid w:val="00403AFA"/>
    <w:rsid w:val="00404C7E"/>
    <w:rsid w:val="00405047"/>
    <w:rsid w:val="00405B16"/>
    <w:rsid w:val="00406152"/>
    <w:rsid w:val="00410DE4"/>
    <w:rsid w:val="00410FCE"/>
    <w:rsid w:val="004120F8"/>
    <w:rsid w:val="004121FB"/>
    <w:rsid w:val="004128E1"/>
    <w:rsid w:val="00412B17"/>
    <w:rsid w:val="00412CE7"/>
    <w:rsid w:val="00412EE1"/>
    <w:rsid w:val="004130B1"/>
    <w:rsid w:val="00413478"/>
    <w:rsid w:val="0041394F"/>
    <w:rsid w:val="00413B19"/>
    <w:rsid w:val="00413DC4"/>
    <w:rsid w:val="0041449C"/>
    <w:rsid w:val="00414887"/>
    <w:rsid w:val="0041494E"/>
    <w:rsid w:val="00414A86"/>
    <w:rsid w:val="00414BA1"/>
    <w:rsid w:val="00415410"/>
    <w:rsid w:val="00415631"/>
    <w:rsid w:val="004156FF"/>
    <w:rsid w:val="0041572E"/>
    <w:rsid w:val="0041596C"/>
    <w:rsid w:val="004162B1"/>
    <w:rsid w:val="0041678A"/>
    <w:rsid w:val="004169C6"/>
    <w:rsid w:val="00416C17"/>
    <w:rsid w:val="00417436"/>
    <w:rsid w:val="004175D7"/>
    <w:rsid w:val="00417674"/>
    <w:rsid w:val="00417DEB"/>
    <w:rsid w:val="00420606"/>
    <w:rsid w:val="00421873"/>
    <w:rsid w:val="00421A6B"/>
    <w:rsid w:val="00422D37"/>
    <w:rsid w:val="00422FF6"/>
    <w:rsid w:val="004236DC"/>
    <w:rsid w:val="00423743"/>
    <w:rsid w:val="004238A3"/>
    <w:rsid w:val="00423EBE"/>
    <w:rsid w:val="004243FA"/>
    <w:rsid w:val="0042451C"/>
    <w:rsid w:val="00424AB9"/>
    <w:rsid w:val="00424B26"/>
    <w:rsid w:val="00424BB0"/>
    <w:rsid w:val="00424FCA"/>
    <w:rsid w:val="0042502A"/>
    <w:rsid w:val="00425235"/>
    <w:rsid w:val="00425297"/>
    <w:rsid w:val="0042614E"/>
    <w:rsid w:val="00426343"/>
    <w:rsid w:val="00426675"/>
    <w:rsid w:val="004268BF"/>
    <w:rsid w:val="00426C0F"/>
    <w:rsid w:val="00427304"/>
    <w:rsid w:val="00427382"/>
    <w:rsid w:val="00427420"/>
    <w:rsid w:val="004279B2"/>
    <w:rsid w:val="0043005C"/>
    <w:rsid w:val="004304C7"/>
    <w:rsid w:val="004305BF"/>
    <w:rsid w:val="00430CA2"/>
    <w:rsid w:val="00431E73"/>
    <w:rsid w:val="00432225"/>
    <w:rsid w:val="004329BD"/>
    <w:rsid w:val="00433608"/>
    <w:rsid w:val="004336DA"/>
    <w:rsid w:val="0043384D"/>
    <w:rsid w:val="00433AEE"/>
    <w:rsid w:val="00433CDC"/>
    <w:rsid w:val="00433DDB"/>
    <w:rsid w:val="00433ED4"/>
    <w:rsid w:val="00434728"/>
    <w:rsid w:val="00434DB2"/>
    <w:rsid w:val="00434EA8"/>
    <w:rsid w:val="00435B18"/>
    <w:rsid w:val="00435D5A"/>
    <w:rsid w:val="00435D8B"/>
    <w:rsid w:val="0043776A"/>
    <w:rsid w:val="0043776C"/>
    <w:rsid w:val="004377A4"/>
    <w:rsid w:val="004400DB"/>
    <w:rsid w:val="0044028C"/>
    <w:rsid w:val="00440352"/>
    <w:rsid w:val="00440360"/>
    <w:rsid w:val="0044176C"/>
    <w:rsid w:val="00441DF4"/>
    <w:rsid w:val="004421B2"/>
    <w:rsid w:val="00443C94"/>
    <w:rsid w:val="00445475"/>
    <w:rsid w:val="00445B51"/>
    <w:rsid w:val="00445D94"/>
    <w:rsid w:val="00445F7A"/>
    <w:rsid w:val="0044606E"/>
    <w:rsid w:val="00446A9B"/>
    <w:rsid w:val="004478F0"/>
    <w:rsid w:val="00447AB2"/>
    <w:rsid w:val="004504F5"/>
    <w:rsid w:val="00450625"/>
    <w:rsid w:val="00450BE7"/>
    <w:rsid w:val="00450D8E"/>
    <w:rsid w:val="00451070"/>
    <w:rsid w:val="00451733"/>
    <w:rsid w:val="0045270D"/>
    <w:rsid w:val="004528D6"/>
    <w:rsid w:val="00452A64"/>
    <w:rsid w:val="00453DDB"/>
    <w:rsid w:val="004544D1"/>
    <w:rsid w:val="004545DD"/>
    <w:rsid w:val="004546AB"/>
    <w:rsid w:val="004555E2"/>
    <w:rsid w:val="00455787"/>
    <w:rsid w:val="00455E92"/>
    <w:rsid w:val="004561A7"/>
    <w:rsid w:val="00456269"/>
    <w:rsid w:val="00457F81"/>
    <w:rsid w:val="00460604"/>
    <w:rsid w:val="004609A0"/>
    <w:rsid w:val="0046187D"/>
    <w:rsid w:val="0046190E"/>
    <w:rsid w:val="00461DB9"/>
    <w:rsid w:val="00461F9A"/>
    <w:rsid w:val="00462BFF"/>
    <w:rsid w:val="0046362A"/>
    <w:rsid w:val="00463869"/>
    <w:rsid w:val="00463E84"/>
    <w:rsid w:val="004647EF"/>
    <w:rsid w:val="004654B6"/>
    <w:rsid w:val="00466F6F"/>
    <w:rsid w:val="00467001"/>
    <w:rsid w:val="00467F66"/>
    <w:rsid w:val="00470F23"/>
    <w:rsid w:val="0047132B"/>
    <w:rsid w:val="00472254"/>
    <w:rsid w:val="004727EA"/>
    <w:rsid w:val="00473C1C"/>
    <w:rsid w:val="004740A0"/>
    <w:rsid w:val="00474128"/>
    <w:rsid w:val="00474292"/>
    <w:rsid w:val="00474481"/>
    <w:rsid w:val="004752C2"/>
    <w:rsid w:val="0047565E"/>
    <w:rsid w:val="00475EB3"/>
    <w:rsid w:val="0047683F"/>
    <w:rsid w:val="00476B25"/>
    <w:rsid w:val="00476D05"/>
    <w:rsid w:val="00477F4F"/>
    <w:rsid w:val="00480043"/>
    <w:rsid w:val="00480855"/>
    <w:rsid w:val="00480E3A"/>
    <w:rsid w:val="00481A29"/>
    <w:rsid w:val="00481ADE"/>
    <w:rsid w:val="00481EBE"/>
    <w:rsid w:val="00482271"/>
    <w:rsid w:val="004826C7"/>
    <w:rsid w:val="00482835"/>
    <w:rsid w:val="004832F7"/>
    <w:rsid w:val="004833C1"/>
    <w:rsid w:val="0048347E"/>
    <w:rsid w:val="00483590"/>
    <w:rsid w:val="00483620"/>
    <w:rsid w:val="00483B3A"/>
    <w:rsid w:val="00483D80"/>
    <w:rsid w:val="00484355"/>
    <w:rsid w:val="00484ABF"/>
    <w:rsid w:val="004856E9"/>
    <w:rsid w:val="00485B94"/>
    <w:rsid w:val="0048624D"/>
    <w:rsid w:val="00487584"/>
    <w:rsid w:val="00487F6B"/>
    <w:rsid w:val="004902B1"/>
    <w:rsid w:val="00490707"/>
    <w:rsid w:val="004909FC"/>
    <w:rsid w:val="00491298"/>
    <w:rsid w:val="00491469"/>
    <w:rsid w:val="00491D47"/>
    <w:rsid w:val="00491D59"/>
    <w:rsid w:val="00492BD1"/>
    <w:rsid w:val="00492CC5"/>
    <w:rsid w:val="004931BD"/>
    <w:rsid w:val="00493553"/>
    <w:rsid w:val="00493A13"/>
    <w:rsid w:val="00493FDB"/>
    <w:rsid w:val="004940DA"/>
    <w:rsid w:val="00494435"/>
    <w:rsid w:val="00494E6A"/>
    <w:rsid w:val="0049500C"/>
    <w:rsid w:val="004950DF"/>
    <w:rsid w:val="004951C5"/>
    <w:rsid w:val="004952EE"/>
    <w:rsid w:val="0049572E"/>
    <w:rsid w:val="00495DD8"/>
    <w:rsid w:val="00496CD2"/>
    <w:rsid w:val="004973C9"/>
    <w:rsid w:val="00497409"/>
    <w:rsid w:val="004974D7"/>
    <w:rsid w:val="0049791B"/>
    <w:rsid w:val="00497FA3"/>
    <w:rsid w:val="004A03CD"/>
    <w:rsid w:val="004A07E6"/>
    <w:rsid w:val="004A0FB9"/>
    <w:rsid w:val="004A16EC"/>
    <w:rsid w:val="004A172E"/>
    <w:rsid w:val="004A185C"/>
    <w:rsid w:val="004A21C7"/>
    <w:rsid w:val="004A2516"/>
    <w:rsid w:val="004A2B1B"/>
    <w:rsid w:val="004A3324"/>
    <w:rsid w:val="004A34F8"/>
    <w:rsid w:val="004A372D"/>
    <w:rsid w:val="004A43FD"/>
    <w:rsid w:val="004A4437"/>
    <w:rsid w:val="004A47CA"/>
    <w:rsid w:val="004A4914"/>
    <w:rsid w:val="004A4CDC"/>
    <w:rsid w:val="004A71A6"/>
    <w:rsid w:val="004A720D"/>
    <w:rsid w:val="004A76F2"/>
    <w:rsid w:val="004A7EB5"/>
    <w:rsid w:val="004B138E"/>
    <w:rsid w:val="004B13DA"/>
    <w:rsid w:val="004B1B02"/>
    <w:rsid w:val="004B1DDB"/>
    <w:rsid w:val="004B268D"/>
    <w:rsid w:val="004B29EB"/>
    <w:rsid w:val="004B3234"/>
    <w:rsid w:val="004B356D"/>
    <w:rsid w:val="004B43C3"/>
    <w:rsid w:val="004B475B"/>
    <w:rsid w:val="004B4A44"/>
    <w:rsid w:val="004B4D75"/>
    <w:rsid w:val="004B559F"/>
    <w:rsid w:val="004B5983"/>
    <w:rsid w:val="004B5BBA"/>
    <w:rsid w:val="004B5ED4"/>
    <w:rsid w:val="004B5FC8"/>
    <w:rsid w:val="004B6308"/>
    <w:rsid w:val="004B6A22"/>
    <w:rsid w:val="004B6CC3"/>
    <w:rsid w:val="004B6DD5"/>
    <w:rsid w:val="004B745A"/>
    <w:rsid w:val="004B7497"/>
    <w:rsid w:val="004B7DA2"/>
    <w:rsid w:val="004C0363"/>
    <w:rsid w:val="004C0818"/>
    <w:rsid w:val="004C15E9"/>
    <w:rsid w:val="004C18D0"/>
    <w:rsid w:val="004C1C59"/>
    <w:rsid w:val="004C26A0"/>
    <w:rsid w:val="004C2A71"/>
    <w:rsid w:val="004C2FEC"/>
    <w:rsid w:val="004C30D9"/>
    <w:rsid w:val="004C38F8"/>
    <w:rsid w:val="004C4750"/>
    <w:rsid w:val="004C47C9"/>
    <w:rsid w:val="004C4EE0"/>
    <w:rsid w:val="004C4FDC"/>
    <w:rsid w:val="004C61A9"/>
    <w:rsid w:val="004C64B8"/>
    <w:rsid w:val="004C6589"/>
    <w:rsid w:val="004C66C7"/>
    <w:rsid w:val="004C672D"/>
    <w:rsid w:val="004C7093"/>
    <w:rsid w:val="004C7437"/>
    <w:rsid w:val="004C7438"/>
    <w:rsid w:val="004C7B7B"/>
    <w:rsid w:val="004D00A6"/>
    <w:rsid w:val="004D0E84"/>
    <w:rsid w:val="004D1A17"/>
    <w:rsid w:val="004D26EE"/>
    <w:rsid w:val="004D2FBF"/>
    <w:rsid w:val="004D48AF"/>
    <w:rsid w:val="004D4E90"/>
    <w:rsid w:val="004D4FFF"/>
    <w:rsid w:val="004D50E6"/>
    <w:rsid w:val="004D56FB"/>
    <w:rsid w:val="004D5AC8"/>
    <w:rsid w:val="004D5F60"/>
    <w:rsid w:val="004D6D8A"/>
    <w:rsid w:val="004D6FF9"/>
    <w:rsid w:val="004D7566"/>
    <w:rsid w:val="004D75D8"/>
    <w:rsid w:val="004D7640"/>
    <w:rsid w:val="004D7A92"/>
    <w:rsid w:val="004D7F55"/>
    <w:rsid w:val="004E2349"/>
    <w:rsid w:val="004E25B5"/>
    <w:rsid w:val="004E318C"/>
    <w:rsid w:val="004E3F31"/>
    <w:rsid w:val="004E493C"/>
    <w:rsid w:val="004E4D47"/>
    <w:rsid w:val="004E50E2"/>
    <w:rsid w:val="004E50F7"/>
    <w:rsid w:val="004E5836"/>
    <w:rsid w:val="004E61EA"/>
    <w:rsid w:val="004E6B6D"/>
    <w:rsid w:val="004E7071"/>
    <w:rsid w:val="004E7BE4"/>
    <w:rsid w:val="004E7D09"/>
    <w:rsid w:val="004F00CB"/>
    <w:rsid w:val="004F02B1"/>
    <w:rsid w:val="004F05BA"/>
    <w:rsid w:val="004F095B"/>
    <w:rsid w:val="004F0BA4"/>
    <w:rsid w:val="004F1692"/>
    <w:rsid w:val="004F17D9"/>
    <w:rsid w:val="004F1843"/>
    <w:rsid w:val="004F1BCB"/>
    <w:rsid w:val="004F276C"/>
    <w:rsid w:val="004F2E7E"/>
    <w:rsid w:val="004F2F5E"/>
    <w:rsid w:val="004F38CD"/>
    <w:rsid w:val="004F3DA6"/>
    <w:rsid w:val="004F3E51"/>
    <w:rsid w:val="004F417A"/>
    <w:rsid w:val="004F46D3"/>
    <w:rsid w:val="004F47FF"/>
    <w:rsid w:val="004F4A78"/>
    <w:rsid w:val="004F5953"/>
    <w:rsid w:val="004F59B3"/>
    <w:rsid w:val="004F6A81"/>
    <w:rsid w:val="004F743E"/>
    <w:rsid w:val="004F7B5E"/>
    <w:rsid w:val="004F7F17"/>
    <w:rsid w:val="005000C1"/>
    <w:rsid w:val="00500114"/>
    <w:rsid w:val="0050072F"/>
    <w:rsid w:val="00500A71"/>
    <w:rsid w:val="00500AE7"/>
    <w:rsid w:val="00500B4A"/>
    <w:rsid w:val="005014BE"/>
    <w:rsid w:val="00501AE3"/>
    <w:rsid w:val="00501D32"/>
    <w:rsid w:val="00501DAF"/>
    <w:rsid w:val="00502CAA"/>
    <w:rsid w:val="005047CD"/>
    <w:rsid w:val="0050519B"/>
    <w:rsid w:val="0050570C"/>
    <w:rsid w:val="00505DE2"/>
    <w:rsid w:val="00505E2E"/>
    <w:rsid w:val="005061AC"/>
    <w:rsid w:val="00506B55"/>
    <w:rsid w:val="00506D93"/>
    <w:rsid w:val="00507C6C"/>
    <w:rsid w:val="00507DF2"/>
    <w:rsid w:val="0051102B"/>
    <w:rsid w:val="005112B1"/>
    <w:rsid w:val="005121C6"/>
    <w:rsid w:val="0051226C"/>
    <w:rsid w:val="0051240E"/>
    <w:rsid w:val="00512624"/>
    <w:rsid w:val="00512F58"/>
    <w:rsid w:val="00513982"/>
    <w:rsid w:val="00513C9F"/>
    <w:rsid w:val="005140FE"/>
    <w:rsid w:val="005145EC"/>
    <w:rsid w:val="005151C2"/>
    <w:rsid w:val="0051576F"/>
    <w:rsid w:val="00515811"/>
    <w:rsid w:val="00515B29"/>
    <w:rsid w:val="005163C1"/>
    <w:rsid w:val="00516684"/>
    <w:rsid w:val="00517529"/>
    <w:rsid w:val="00520BFE"/>
    <w:rsid w:val="00521159"/>
    <w:rsid w:val="0052200B"/>
    <w:rsid w:val="005227F1"/>
    <w:rsid w:val="00522A9F"/>
    <w:rsid w:val="00523A1E"/>
    <w:rsid w:val="0052484D"/>
    <w:rsid w:val="00524880"/>
    <w:rsid w:val="00524C83"/>
    <w:rsid w:val="005251EA"/>
    <w:rsid w:val="00525CFD"/>
    <w:rsid w:val="00525E2A"/>
    <w:rsid w:val="005268C4"/>
    <w:rsid w:val="00526DB5"/>
    <w:rsid w:val="005270D7"/>
    <w:rsid w:val="00527CEE"/>
    <w:rsid w:val="00531759"/>
    <w:rsid w:val="005319C4"/>
    <w:rsid w:val="00531EF0"/>
    <w:rsid w:val="005331FE"/>
    <w:rsid w:val="00533361"/>
    <w:rsid w:val="00533370"/>
    <w:rsid w:val="00533739"/>
    <w:rsid w:val="00533C9C"/>
    <w:rsid w:val="005343F0"/>
    <w:rsid w:val="00535996"/>
    <w:rsid w:val="00535A0B"/>
    <w:rsid w:val="00535DF0"/>
    <w:rsid w:val="0053616F"/>
    <w:rsid w:val="00537427"/>
    <w:rsid w:val="005374BA"/>
    <w:rsid w:val="005376DB"/>
    <w:rsid w:val="00540690"/>
    <w:rsid w:val="00540903"/>
    <w:rsid w:val="00540A97"/>
    <w:rsid w:val="00540DF8"/>
    <w:rsid w:val="00540E4A"/>
    <w:rsid w:val="00540F51"/>
    <w:rsid w:val="005415B5"/>
    <w:rsid w:val="00541A26"/>
    <w:rsid w:val="00541AEC"/>
    <w:rsid w:val="00541FAA"/>
    <w:rsid w:val="00542F7B"/>
    <w:rsid w:val="00543D44"/>
    <w:rsid w:val="00543E7E"/>
    <w:rsid w:val="00544679"/>
    <w:rsid w:val="005447CF"/>
    <w:rsid w:val="00544837"/>
    <w:rsid w:val="00544873"/>
    <w:rsid w:val="00544917"/>
    <w:rsid w:val="0054546B"/>
    <w:rsid w:val="00546032"/>
    <w:rsid w:val="005464F6"/>
    <w:rsid w:val="0054675C"/>
    <w:rsid w:val="00546D4B"/>
    <w:rsid w:val="00547472"/>
    <w:rsid w:val="00550238"/>
    <w:rsid w:val="00550EFE"/>
    <w:rsid w:val="005528D4"/>
    <w:rsid w:val="00552B9E"/>
    <w:rsid w:val="0055357B"/>
    <w:rsid w:val="00553AEF"/>
    <w:rsid w:val="00553E21"/>
    <w:rsid w:val="00553E29"/>
    <w:rsid w:val="005542AD"/>
    <w:rsid w:val="00554A16"/>
    <w:rsid w:val="00554C7B"/>
    <w:rsid w:val="00554FAF"/>
    <w:rsid w:val="0055524C"/>
    <w:rsid w:val="00555493"/>
    <w:rsid w:val="00555C1E"/>
    <w:rsid w:val="00555DA0"/>
    <w:rsid w:val="00555F6A"/>
    <w:rsid w:val="00555FFA"/>
    <w:rsid w:val="005561D7"/>
    <w:rsid w:val="0055667D"/>
    <w:rsid w:val="00557050"/>
    <w:rsid w:val="005600D6"/>
    <w:rsid w:val="005600FB"/>
    <w:rsid w:val="0056043F"/>
    <w:rsid w:val="005610E6"/>
    <w:rsid w:val="0056139E"/>
    <w:rsid w:val="00561452"/>
    <w:rsid w:val="0056213E"/>
    <w:rsid w:val="0056251D"/>
    <w:rsid w:val="0056259F"/>
    <w:rsid w:val="005637AD"/>
    <w:rsid w:val="00564060"/>
    <w:rsid w:val="0056433B"/>
    <w:rsid w:val="00564929"/>
    <w:rsid w:val="00564F2F"/>
    <w:rsid w:val="00566533"/>
    <w:rsid w:val="00566639"/>
    <w:rsid w:val="00566A2E"/>
    <w:rsid w:val="00566C6B"/>
    <w:rsid w:val="005671A5"/>
    <w:rsid w:val="00567330"/>
    <w:rsid w:val="005700F8"/>
    <w:rsid w:val="00570335"/>
    <w:rsid w:val="0057088C"/>
    <w:rsid w:val="0057153C"/>
    <w:rsid w:val="005715B3"/>
    <w:rsid w:val="00571DAC"/>
    <w:rsid w:val="00572170"/>
    <w:rsid w:val="0057284E"/>
    <w:rsid w:val="00572B50"/>
    <w:rsid w:val="00572F3E"/>
    <w:rsid w:val="00572F44"/>
    <w:rsid w:val="00572FC6"/>
    <w:rsid w:val="0057354F"/>
    <w:rsid w:val="00574135"/>
    <w:rsid w:val="005752D2"/>
    <w:rsid w:val="00575B66"/>
    <w:rsid w:val="005772B7"/>
    <w:rsid w:val="00577512"/>
    <w:rsid w:val="00580054"/>
    <w:rsid w:val="00580673"/>
    <w:rsid w:val="00580D45"/>
    <w:rsid w:val="00580EF1"/>
    <w:rsid w:val="00581EC1"/>
    <w:rsid w:val="00583807"/>
    <w:rsid w:val="0058417E"/>
    <w:rsid w:val="0058442F"/>
    <w:rsid w:val="0058444B"/>
    <w:rsid w:val="00584542"/>
    <w:rsid w:val="00584D29"/>
    <w:rsid w:val="005855E4"/>
    <w:rsid w:val="00585F6C"/>
    <w:rsid w:val="0058608B"/>
    <w:rsid w:val="00586C18"/>
    <w:rsid w:val="00586F04"/>
    <w:rsid w:val="00587256"/>
    <w:rsid w:val="00587D1D"/>
    <w:rsid w:val="00590816"/>
    <w:rsid w:val="005913E7"/>
    <w:rsid w:val="0059164A"/>
    <w:rsid w:val="00591D02"/>
    <w:rsid w:val="00592A10"/>
    <w:rsid w:val="005933E6"/>
    <w:rsid w:val="00593780"/>
    <w:rsid w:val="00593AAC"/>
    <w:rsid w:val="00593D03"/>
    <w:rsid w:val="00593F77"/>
    <w:rsid w:val="005943E1"/>
    <w:rsid w:val="005945E7"/>
    <w:rsid w:val="00594FB8"/>
    <w:rsid w:val="00595014"/>
    <w:rsid w:val="00595526"/>
    <w:rsid w:val="00595F11"/>
    <w:rsid w:val="00596B59"/>
    <w:rsid w:val="0059773C"/>
    <w:rsid w:val="005978D2"/>
    <w:rsid w:val="005978ED"/>
    <w:rsid w:val="005A003C"/>
    <w:rsid w:val="005A05FA"/>
    <w:rsid w:val="005A08C4"/>
    <w:rsid w:val="005A157D"/>
    <w:rsid w:val="005A15B3"/>
    <w:rsid w:val="005A2295"/>
    <w:rsid w:val="005A35D9"/>
    <w:rsid w:val="005A3605"/>
    <w:rsid w:val="005A3E19"/>
    <w:rsid w:val="005A4E7A"/>
    <w:rsid w:val="005A4EA8"/>
    <w:rsid w:val="005A4F41"/>
    <w:rsid w:val="005A5191"/>
    <w:rsid w:val="005A524F"/>
    <w:rsid w:val="005A5294"/>
    <w:rsid w:val="005A7029"/>
    <w:rsid w:val="005A77FB"/>
    <w:rsid w:val="005A7BFD"/>
    <w:rsid w:val="005A7F24"/>
    <w:rsid w:val="005B078B"/>
    <w:rsid w:val="005B140F"/>
    <w:rsid w:val="005B1A85"/>
    <w:rsid w:val="005B3032"/>
    <w:rsid w:val="005B35DB"/>
    <w:rsid w:val="005B44D4"/>
    <w:rsid w:val="005B457C"/>
    <w:rsid w:val="005B4C6F"/>
    <w:rsid w:val="005B5391"/>
    <w:rsid w:val="005B5711"/>
    <w:rsid w:val="005B5A95"/>
    <w:rsid w:val="005B5F61"/>
    <w:rsid w:val="005B614A"/>
    <w:rsid w:val="005B6FBA"/>
    <w:rsid w:val="005B7584"/>
    <w:rsid w:val="005B7711"/>
    <w:rsid w:val="005B7DAD"/>
    <w:rsid w:val="005B7E45"/>
    <w:rsid w:val="005C011F"/>
    <w:rsid w:val="005C0191"/>
    <w:rsid w:val="005C0374"/>
    <w:rsid w:val="005C0831"/>
    <w:rsid w:val="005C0DCD"/>
    <w:rsid w:val="005C0FC9"/>
    <w:rsid w:val="005C10D6"/>
    <w:rsid w:val="005C10F9"/>
    <w:rsid w:val="005C195A"/>
    <w:rsid w:val="005C1A3A"/>
    <w:rsid w:val="005C1D61"/>
    <w:rsid w:val="005C2498"/>
    <w:rsid w:val="005C32B0"/>
    <w:rsid w:val="005C358F"/>
    <w:rsid w:val="005C3AF7"/>
    <w:rsid w:val="005C3D0C"/>
    <w:rsid w:val="005C45BD"/>
    <w:rsid w:val="005C5A75"/>
    <w:rsid w:val="005C5A7B"/>
    <w:rsid w:val="005C5ACD"/>
    <w:rsid w:val="005C5DD4"/>
    <w:rsid w:val="005C629C"/>
    <w:rsid w:val="005C62FD"/>
    <w:rsid w:val="005C66AC"/>
    <w:rsid w:val="005C6AA2"/>
    <w:rsid w:val="005C7252"/>
    <w:rsid w:val="005C747C"/>
    <w:rsid w:val="005C78A8"/>
    <w:rsid w:val="005C7CEC"/>
    <w:rsid w:val="005D00DB"/>
    <w:rsid w:val="005D0B5F"/>
    <w:rsid w:val="005D19E3"/>
    <w:rsid w:val="005D2159"/>
    <w:rsid w:val="005D2211"/>
    <w:rsid w:val="005D38F2"/>
    <w:rsid w:val="005D40B6"/>
    <w:rsid w:val="005D4581"/>
    <w:rsid w:val="005D461C"/>
    <w:rsid w:val="005D4DCE"/>
    <w:rsid w:val="005D5038"/>
    <w:rsid w:val="005D545D"/>
    <w:rsid w:val="005D5568"/>
    <w:rsid w:val="005D55B1"/>
    <w:rsid w:val="005D58CF"/>
    <w:rsid w:val="005D5BB7"/>
    <w:rsid w:val="005D5F1A"/>
    <w:rsid w:val="005D6E7C"/>
    <w:rsid w:val="005D72D9"/>
    <w:rsid w:val="005D760C"/>
    <w:rsid w:val="005E0E8E"/>
    <w:rsid w:val="005E0F43"/>
    <w:rsid w:val="005E1A0C"/>
    <w:rsid w:val="005E2227"/>
    <w:rsid w:val="005E26AA"/>
    <w:rsid w:val="005E2A69"/>
    <w:rsid w:val="005E3AE8"/>
    <w:rsid w:val="005E4211"/>
    <w:rsid w:val="005E48C6"/>
    <w:rsid w:val="005E5FE1"/>
    <w:rsid w:val="005E6789"/>
    <w:rsid w:val="005E7A40"/>
    <w:rsid w:val="005E7F6D"/>
    <w:rsid w:val="005F02D5"/>
    <w:rsid w:val="005F06EA"/>
    <w:rsid w:val="005F0BF6"/>
    <w:rsid w:val="005F13D0"/>
    <w:rsid w:val="005F25BB"/>
    <w:rsid w:val="005F352C"/>
    <w:rsid w:val="005F3FF0"/>
    <w:rsid w:val="005F53D9"/>
    <w:rsid w:val="005F5428"/>
    <w:rsid w:val="005F5ABF"/>
    <w:rsid w:val="005F5C65"/>
    <w:rsid w:val="005F6416"/>
    <w:rsid w:val="005F6BB9"/>
    <w:rsid w:val="005F72F3"/>
    <w:rsid w:val="005F7941"/>
    <w:rsid w:val="006006BB"/>
    <w:rsid w:val="00600974"/>
    <w:rsid w:val="00600C58"/>
    <w:rsid w:val="00601030"/>
    <w:rsid w:val="006015A9"/>
    <w:rsid w:val="00601C91"/>
    <w:rsid w:val="006022E7"/>
    <w:rsid w:val="006026EA"/>
    <w:rsid w:val="00602D03"/>
    <w:rsid w:val="006030EA"/>
    <w:rsid w:val="006033C2"/>
    <w:rsid w:val="00603417"/>
    <w:rsid w:val="00603547"/>
    <w:rsid w:val="00603D4F"/>
    <w:rsid w:val="00603F33"/>
    <w:rsid w:val="0060430C"/>
    <w:rsid w:val="0060445A"/>
    <w:rsid w:val="00604521"/>
    <w:rsid w:val="00604826"/>
    <w:rsid w:val="00604A2D"/>
    <w:rsid w:val="00604FC0"/>
    <w:rsid w:val="0060578C"/>
    <w:rsid w:val="00605CAB"/>
    <w:rsid w:val="00606238"/>
    <w:rsid w:val="00606F6D"/>
    <w:rsid w:val="00607EFF"/>
    <w:rsid w:val="00610117"/>
    <w:rsid w:val="0061017F"/>
    <w:rsid w:val="00610EEC"/>
    <w:rsid w:val="00611252"/>
    <w:rsid w:val="0061146E"/>
    <w:rsid w:val="00611866"/>
    <w:rsid w:val="00611EC7"/>
    <w:rsid w:val="00612277"/>
    <w:rsid w:val="0061254A"/>
    <w:rsid w:val="00612806"/>
    <w:rsid w:val="006128C2"/>
    <w:rsid w:val="006129FB"/>
    <w:rsid w:val="00613B96"/>
    <w:rsid w:val="00613D85"/>
    <w:rsid w:val="006143F4"/>
    <w:rsid w:val="00614B9D"/>
    <w:rsid w:val="00614CCD"/>
    <w:rsid w:val="00614DD2"/>
    <w:rsid w:val="00615EAD"/>
    <w:rsid w:val="0061673D"/>
    <w:rsid w:val="00616770"/>
    <w:rsid w:val="006167A5"/>
    <w:rsid w:val="0061688D"/>
    <w:rsid w:val="00616998"/>
    <w:rsid w:val="00616AB5"/>
    <w:rsid w:val="00616B8F"/>
    <w:rsid w:val="00616C4A"/>
    <w:rsid w:val="0061786D"/>
    <w:rsid w:val="00621437"/>
    <w:rsid w:val="00621620"/>
    <w:rsid w:val="006234EC"/>
    <w:rsid w:val="00623BB0"/>
    <w:rsid w:val="006243A0"/>
    <w:rsid w:val="0062491E"/>
    <w:rsid w:val="00624D45"/>
    <w:rsid w:val="00625575"/>
    <w:rsid w:val="006257EB"/>
    <w:rsid w:val="00625951"/>
    <w:rsid w:val="006263D1"/>
    <w:rsid w:val="00626461"/>
    <w:rsid w:val="00626571"/>
    <w:rsid w:val="0062746E"/>
    <w:rsid w:val="006278EF"/>
    <w:rsid w:val="00627A2E"/>
    <w:rsid w:val="00627DFD"/>
    <w:rsid w:val="00630035"/>
    <w:rsid w:val="00630FD1"/>
    <w:rsid w:val="006312DA"/>
    <w:rsid w:val="00631D2E"/>
    <w:rsid w:val="00631DD0"/>
    <w:rsid w:val="00632F3A"/>
    <w:rsid w:val="00633474"/>
    <w:rsid w:val="00634387"/>
    <w:rsid w:val="00634608"/>
    <w:rsid w:val="00634BF9"/>
    <w:rsid w:val="006351EF"/>
    <w:rsid w:val="006355C9"/>
    <w:rsid w:val="00635AA6"/>
    <w:rsid w:val="00635AE8"/>
    <w:rsid w:val="006364BF"/>
    <w:rsid w:val="00636C75"/>
    <w:rsid w:val="00636DE2"/>
    <w:rsid w:val="00637308"/>
    <w:rsid w:val="006377A2"/>
    <w:rsid w:val="006378CD"/>
    <w:rsid w:val="00637A6E"/>
    <w:rsid w:val="00637BBA"/>
    <w:rsid w:val="00637BF2"/>
    <w:rsid w:val="00637D18"/>
    <w:rsid w:val="00637E37"/>
    <w:rsid w:val="00637F0A"/>
    <w:rsid w:val="006404DA"/>
    <w:rsid w:val="00640977"/>
    <w:rsid w:val="00641EC3"/>
    <w:rsid w:val="00641FA2"/>
    <w:rsid w:val="00641FE3"/>
    <w:rsid w:val="00643097"/>
    <w:rsid w:val="006435D1"/>
    <w:rsid w:val="0064371D"/>
    <w:rsid w:val="00643BF9"/>
    <w:rsid w:val="006440D3"/>
    <w:rsid w:val="006443FB"/>
    <w:rsid w:val="006445DB"/>
    <w:rsid w:val="00644BD2"/>
    <w:rsid w:val="006452B3"/>
    <w:rsid w:val="00645A76"/>
    <w:rsid w:val="00645B1C"/>
    <w:rsid w:val="006465BE"/>
    <w:rsid w:val="0064712F"/>
    <w:rsid w:val="00647356"/>
    <w:rsid w:val="00647953"/>
    <w:rsid w:val="00647D21"/>
    <w:rsid w:val="00647FC1"/>
    <w:rsid w:val="00650638"/>
    <w:rsid w:val="00650DD8"/>
    <w:rsid w:val="006512C9"/>
    <w:rsid w:val="0065195B"/>
    <w:rsid w:val="00651E22"/>
    <w:rsid w:val="00652179"/>
    <w:rsid w:val="00653067"/>
    <w:rsid w:val="00653226"/>
    <w:rsid w:val="0065325D"/>
    <w:rsid w:val="006533CD"/>
    <w:rsid w:val="00653C0E"/>
    <w:rsid w:val="00654DBA"/>
    <w:rsid w:val="00656031"/>
    <w:rsid w:val="00656C4B"/>
    <w:rsid w:val="00656E14"/>
    <w:rsid w:val="00657266"/>
    <w:rsid w:val="00657591"/>
    <w:rsid w:val="00657828"/>
    <w:rsid w:val="00661030"/>
    <w:rsid w:val="00661681"/>
    <w:rsid w:val="006617D1"/>
    <w:rsid w:val="006624A7"/>
    <w:rsid w:val="006629AB"/>
    <w:rsid w:val="00663183"/>
    <w:rsid w:val="00664443"/>
    <w:rsid w:val="00664990"/>
    <w:rsid w:val="00664AB9"/>
    <w:rsid w:val="00664DAB"/>
    <w:rsid w:val="006652C6"/>
    <w:rsid w:val="006656D1"/>
    <w:rsid w:val="00666158"/>
    <w:rsid w:val="00666BEE"/>
    <w:rsid w:val="00666F3E"/>
    <w:rsid w:val="00667205"/>
    <w:rsid w:val="00667C49"/>
    <w:rsid w:val="00667E2D"/>
    <w:rsid w:val="00667F3E"/>
    <w:rsid w:val="0067024D"/>
    <w:rsid w:val="0067056A"/>
    <w:rsid w:val="006709B7"/>
    <w:rsid w:val="00670C02"/>
    <w:rsid w:val="00670F1F"/>
    <w:rsid w:val="006719B3"/>
    <w:rsid w:val="00671C42"/>
    <w:rsid w:val="00672750"/>
    <w:rsid w:val="00672B5B"/>
    <w:rsid w:val="00672D69"/>
    <w:rsid w:val="00673F74"/>
    <w:rsid w:val="0067445E"/>
    <w:rsid w:val="006748BE"/>
    <w:rsid w:val="00674DDC"/>
    <w:rsid w:val="00675773"/>
    <w:rsid w:val="00675A98"/>
    <w:rsid w:val="00675CD1"/>
    <w:rsid w:val="006762AA"/>
    <w:rsid w:val="00676343"/>
    <w:rsid w:val="0068011D"/>
    <w:rsid w:val="006808A6"/>
    <w:rsid w:val="00681ADB"/>
    <w:rsid w:val="0068244B"/>
    <w:rsid w:val="00682617"/>
    <w:rsid w:val="006827FC"/>
    <w:rsid w:val="00682F08"/>
    <w:rsid w:val="00682FE4"/>
    <w:rsid w:val="00683352"/>
    <w:rsid w:val="006838FE"/>
    <w:rsid w:val="00683B42"/>
    <w:rsid w:val="006850B3"/>
    <w:rsid w:val="006861AA"/>
    <w:rsid w:val="00686CCE"/>
    <w:rsid w:val="00687A2F"/>
    <w:rsid w:val="0069005E"/>
    <w:rsid w:val="0069071F"/>
    <w:rsid w:val="006910BB"/>
    <w:rsid w:val="00691809"/>
    <w:rsid w:val="006929C1"/>
    <w:rsid w:val="00692F55"/>
    <w:rsid w:val="00693043"/>
    <w:rsid w:val="00693AE1"/>
    <w:rsid w:val="00693FF1"/>
    <w:rsid w:val="00694324"/>
    <w:rsid w:val="00697001"/>
    <w:rsid w:val="0069768A"/>
    <w:rsid w:val="006979DA"/>
    <w:rsid w:val="00697A65"/>
    <w:rsid w:val="006A0081"/>
    <w:rsid w:val="006A032F"/>
    <w:rsid w:val="006A085A"/>
    <w:rsid w:val="006A0D2D"/>
    <w:rsid w:val="006A0D5D"/>
    <w:rsid w:val="006A0F01"/>
    <w:rsid w:val="006A1C97"/>
    <w:rsid w:val="006A1D79"/>
    <w:rsid w:val="006A1D9C"/>
    <w:rsid w:val="006A1E79"/>
    <w:rsid w:val="006A2843"/>
    <w:rsid w:val="006A3C46"/>
    <w:rsid w:val="006A3D6D"/>
    <w:rsid w:val="006A46B0"/>
    <w:rsid w:val="006A4DDE"/>
    <w:rsid w:val="006A51DE"/>
    <w:rsid w:val="006A556E"/>
    <w:rsid w:val="006A5A1D"/>
    <w:rsid w:val="006A67B3"/>
    <w:rsid w:val="006A699B"/>
    <w:rsid w:val="006A6E0A"/>
    <w:rsid w:val="006A7496"/>
    <w:rsid w:val="006A7641"/>
    <w:rsid w:val="006A7704"/>
    <w:rsid w:val="006A7FCD"/>
    <w:rsid w:val="006B0079"/>
    <w:rsid w:val="006B0101"/>
    <w:rsid w:val="006B03C6"/>
    <w:rsid w:val="006B064F"/>
    <w:rsid w:val="006B1270"/>
    <w:rsid w:val="006B1962"/>
    <w:rsid w:val="006B2197"/>
    <w:rsid w:val="006B2280"/>
    <w:rsid w:val="006B23EC"/>
    <w:rsid w:val="006B3438"/>
    <w:rsid w:val="006B364C"/>
    <w:rsid w:val="006B3C5A"/>
    <w:rsid w:val="006B3D02"/>
    <w:rsid w:val="006B4561"/>
    <w:rsid w:val="006B5CA6"/>
    <w:rsid w:val="006B673B"/>
    <w:rsid w:val="006B695B"/>
    <w:rsid w:val="006B6D76"/>
    <w:rsid w:val="006B70E4"/>
    <w:rsid w:val="006B7CD4"/>
    <w:rsid w:val="006B7E44"/>
    <w:rsid w:val="006C0867"/>
    <w:rsid w:val="006C0D21"/>
    <w:rsid w:val="006C104E"/>
    <w:rsid w:val="006C1672"/>
    <w:rsid w:val="006C16BC"/>
    <w:rsid w:val="006C1883"/>
    <w:rsid w:val="006C280A"/>
    <w:rsid w:val="006C295E"/>
    <w:rsid w:val="006C29EE"/>
    <w:rsid w:val="006C2C64"/>
    <w:rsid w:val="006C3186"/>
    <w:rsid w:val="006C324D"/>
    <w:rsid w:val="006C33DC"/>
    <w:rsid w:val="006C3430"/>
    <w:rsid w:val="006C3A11"/>
    <w:rsid w:val="006C3E7F"/>
    <w:rsid w:val="006C4B05"/>
    <w:rsid w:val="006C4CAF"/>
    <w:rsid w:val="006C4E8F"/>
    <w:rsid w:val="006C5A4F"/>
    <w:rsid w:val="006C5C4D"/>
    <w:rsid w:val="006C5ED5"/>
    <w:rsid w:val="006C60E2"/>
    <w:rsid w:val="006C63D4"/>
    <w:rsid w:val="006C6C46"/>
    <w:rsid w:val="006C6EE8"/>
    <w:rsid w:val="006D0038"/>
    <w:rsid w:val="006D0FE9"/>
    <w:rsid w:val="006D1662"/>
    <w:rsid w:val="006D16FA"/>
    <w:rsid w:val="006D1F4A"/>
    <w:rsid w:val="006D2013"/>
    <w:rsid w:val="006D2105"/>
    <w:rsid w:val="006D291E"/>
    <w:rsid w:val="006D35DF"/>
    <w:rsid w:val="006D38E1"/>
    <w:rsid w:val="006D40C2"/>
    <w:rsid w:val="006D4349"/>
    <w:rsid w:val="006D4860"/>
    <w:rsid w:val="006D486A"/>
    <w:rsid w:val="006D540F"/>
    <w:rsid w:val="006D5DBD"/>
    <w:rsid w:val="006D63BF"/>
    <w:rsid w:val="006D65F8"/>
    <w:rsid w:val="006D66A7"/>
    <w:rsid w:val="006D690B"/>
    <w:rsid w:val="006D6B8A"/>
    <w:rsid w:val="006E0C61"/>
    <w:rsid w:val="006E0DDC"/>
    <w:rsid w:val="006E1526"/>
    <w:rsid w:val="006E1F5B"/>
    <w:rsid w:val="006E1FE1"/>
    <w:rsid w:val="006E2202"/>
    <w:rsid w:val="006E23B6"/>
    <w:rsid w:val="006E3A2E"/>
    <w:rsid w:val="006E4689"/>
    <w:rsid w:val="006E4EAF"/>
    <w:rsid w:val="006E565E"/>
    <w:rsid w:val="006E58D1"/>
    <w:rsid w:val="006E67A2"/>
    <w:rsid w:val="006E6D63"/>
    <w:rsid w:val="006E772D"/>
    <w:rsid w:val="006F0114"/>
    <w:rsid w:val="006F01D6"/>
    <w:rsid w:val="006F057C"/>
    <w:rsid w:val="006F0E8D"/>
    <w:rsid w:val="006F0E93"/>
    <w:rsid w:val="006F0F4D"/>
    <w:rsid w:val="006F0F9F"/>
    <w:rsid w:val="006F1319"/>
    <w:rsid w:val="006F15AD"/>
    <w:rsid w:val="006F178F"/>
    <w:rsid w:val="006F2004"/>
    <w:rsid w:val="006F2025"/>
    <w:rsid w:val="006F2492"/>
    <w:rsid w:val="006F2B6F"/>
    <w:rsid w:val="006F38A0"/>
    <w:rsid w:val="006F3E73"/>
    <w:rsid w:val="006F457B"/>
    <w:rsid w:val="006F4895"/>
    <w:rsid w:val="006F5409"/>
    <w:rsid w:val="006F5731"/>
    <w:rsid w:val="006F5A41"/>
    <w:rsid w:val="006F6214"/>
    <w:rsid w:val="006F64E3"/>
    <w:rsid w:val="006F79D6"/>
    <w:rsid w:val="006F7AC3"/>
    <w:rsid w:val="006F7B54"/>
    <w:rsid w:val="0070008F"/>
    <w:rsid w:val="007023AC"/>
    <w:rsid w:val="00702CD9"/>
    <w:rsid w:val="00703185"/>
    <w:rsid w:val="00703479"/>
    <w:rsid w:val="007034AD"/>
    <w:rsid w:val="00703628"/>
    <w:rsid w:val="007037B1"/>
    <w:rsid w:val="00704247"/>
    <w:rsid w:val="007045BE"/>
    <w:rsid w:val="00704A9A"/>
    <w:rsid w:val="0070560A"/>
    <w:rsid w:val="00705674"/>
    <w:rsid w:val="00705D59"/>
    <w:rsid w:val="0070607A"/>
    <w:rsid w:val="007068CB"/>
    <w:rsid w:val="007068E3"/>
    <w:rsid w:val="0070690A"/>
    <w:rsid w:val="00706C6E"/>
    <w:rsid w:val="0070709A"/>
    <w:rsid w:val="0070754A"/>
    <w:rsid w:val="007077CF"/>
    <w:rsid w:val="00707EE0"/>
    <w:rsid w:val="00710B45"/>
    <w:rsid w:val="00710B8C"/>
    <w:rsid w:val="00710FE3"/>
    <w:rsid w:val="007120DC"/>
    <w:rsid w:val="007120E9"/>
    <w:rsid w:val="0071377D"/>
    <w:rsid w:val="00713A6A"/>
    <w:rsid w:val="00713F1B"/>
    <w:rsid w:val="007155A5"/>
    <w:rsid w:val="00715938"/>
    <w:rsid w:val="00715B1E"/>
    <w:rsid w:val="00716AB8"/>
    <w:rsid w:val="00716B16"/>
    <w:rsid w:val="00716C2F"/>
    <w:rsid w:val="00716E19"/>
    <w:rsid w:val="00717128"/>
    <w:rsid w:val="00717A60"/>
    <w:rsid w:val="00720E93"/>
    <w:rsid w:val="0072141A"/>
    <w:rsid w:val="00721910"/>
    <w:rsid w:val="00721C98"/>
    <w:rsid w:val="00721EDD"/>
    <w:rsid w:val="0072318E"/>
    <w:rsid w:val="00723222"/>
    <w:rsid w:val="0072326F"/>
    <w:rsid w:val="00723869"/>
    <w:rsid w:val="00723C21"/>
    <w:rsid w:val="00724159"/>
    <w:rsid w:val="0072426C"/>
    <w:rsid w:val="00724CA3"/>
    <w:rsid w:val="007252E2"/>
    <w:rsid w:val="00725A67"/>
    <w:rsid w:val="0072663B"/>
    <w:rsid w:val="00726F7F"/>
    <w:rsid w:val="00727154"/>
    <w:rsid w:val="00727A59"/>
    <w:rsid w:val="00730D81"/>
    <w:rsid w:val="00730E4F"/>
    <w:rsid w:val="007310A1"/>
    <w:rsid w:val="00731592"/>
    <w:rsid w:val="007320F5"/>
    <w:rsid w:val="00732671"/>
    <w:rsid w:val="007336FB"/>
    <w:rsid w:val="00733851"/>
    <w:rsid w:val="0073409D"/>
    <w:rsid w:val="00734452"/>
    <w:rsid w:val="00734B1C"/>
    <w:rsid w:val="00734FD3"/>
    <w:rsid w:val="00735764"/>
    <w:rsid w:val="00736188"/>
    <w:rsid w:val="00736210"/>
    <w:rsid w:val="0073724D"/>
    <w:rsid w:val="007374E1"/>
    <w:rsid w:val="007377CB"/>
    <w:rsid w:val="00737E07"/>
    <w:rsid w:val="00737FC9"/>
    <w:rsid w:val="007405E1"/>
    <w:rsid w:val="00740984"/>
    <w:rsid w:val="00740BAC"/>
    <w:rsid w:val="00741143"/>
    <w:rsid w:val="007415F3"/>
    <w:rsid w:val="00741A58"/>
    <w:rsid w:val="00741D45"/>
    <w:rsid w:val="007429C4"/>
    <w:rsid w:val="0074305B"/>
    <w:rsid w:val="007447D5"/>
    <w:rsid w:val="00744D3F"/>
    <w:rsid w:val="0074521E"/>
    <w:rsid w:val="00745329"/>
    <w:rsid w:val="007461F7"/>
    <w:rsid w:val="00746D92"/>
    <w:rsid w:val="00746DCB"/>
    <w:rsid w:val="00747EF6"/>
    <w:rsid w:val="00750030"/>
    <w:rsid w:val="0075042C"/>
    <w:rsid w:val="00750E71"/>
    <w:rsid w:val="007513FF"/>
    <w:rsid w:val="00751734"/>
    <w:rsid w:val="0075194A"/>
    <w:rsid w:val="00752F13"/>
    <w:rsid w:val="007536CD"/>
    <w:rsid w:val="00753E3B"/>
    <w:rsid w:val="00753F67"/>
    <w:rsid w:val="0075456C"/>
    <w:rsid w:val="00754B8E"/>
    <w:rsid w:val="00754CA0"/>
    <w:rsid w:val="00754F18"/>
    <w:rsid w:val="00754F88"/>
    <w:rsid w:val="00755E7A"/>
    <w:rsid w:val="00756915"/>
    <w:rsid w:val="00756F37"/>
    <w:rsid w:val="00757434"/>
    <w:rsid w:val="00757B5D"/>
    <w:rsid w:val="00760597"/>
    <w:rsid w:val="00760E58"/>
    <w:rsid w:val="0076163D"/>
    <w:rsid w:val="0076195C"/>
    <w:rsid w:val="007635C4"/>
    <w:rsid w:val="00765103"/>
    <w:rsid w:val="0076538B"/>
    <w:rsid w:val="00765672"/>
    <w:rsid w:val="007659FF"/>
    <w:rsid w:val="00765B59"/>
    <w:rsid w:val="00766054"/>
    <w:rsid w:val="00770417"/>
    <w:rsid w:val="00770D50"/>
    <w:rsid w:val="00770F8C"/>
    <w:rsid w:val="00771DD3"/>
    <w:rsid w:val="00772583"/>
    <w:rsid w:val="00772803"/>
    <w:rsid w:val="00772ABB"/>
    <w:rsid w:val="00773719"/>
    <w:rsid w:val="007738DE"/>
    <w:rsid w:val="007742DC"/>
    <w:rsid w:val="0077479E"/>
    <w:rsid w:val="00774D8C"/>
    <w:rsid w:val="00775758"/>
    <w:rsid w:val="00775ECF"/>
    <w:rsid w:val="007763EB"/>
    <w:rsid w:val="007763F0"/>
    <w:rsid w:val="0077653B"/>
    <w:rsid w:val="0077688B"/>
    <w:rsid w:val="00776B0C"/>
    <w:rsid w:val="00776BE5"/>
    <w:rsid w:val="007772AB"/>
    <w:rsid w:val="00777B9A"/>
    <w:rsid w:val="00777C60"/>
    <w:rsid w:val="00780576"/>
    <w:rsid w:val="007806CD"/>
    <w:rsid w:val="00781A84"/>
    <w:rsid w:val="00781D1E"/>
    <w:rsid w:val="00781D2C"/>
    <w:rsid w:val="007820F9"/>
    <w:rsid w:val="00782AB9"/>
    <w:rsid w:val="00783145"/>
    <w:rsid w:val="007832EE"/>
    <w:rsid w:val="00784F6A"/>
    <w:rsid w:val="0078557D"/>
    <w:rsid w:val="007857FB"/>
    <w:rsid w:val="00785C79"/>
    <w:rsid w:val="0078645C"/>
    <w:rsid w:val="0078673A"/>
    <w:rsid w:val="00786D55"/>
    <w:rsid w:val="00786D60"/>
    <w:rsid w:val="007876C4"/>
    <w:rsid w:val="00787995"/>
    <w:rsid w:val="007904C1"/>
    <w:rsid w:val="007904F1"/>
    <w:rsid w:val="007909E0"/>
    <w:rsid w:val="00790F3D"/>
    <w:rsid w:val="00791E1A"/>
    <w:rsid w:val="00791E58"/>
    <w:rsid w:val="00792798"/>
    <w:rsid w:val="007927E8"/>
    <w:rsid w:val="0079285E"/>
    <w:rsid w:val="007932EA"/>
    <w:rsid w:val="007933FA"/>
    <w:rsid w:val="00793BB4"/>
    <w:rsid w:val="00793E1A"/>
    <w:rsid w:val="007943C9"/>
    <w:rsid w:val="00794A0F"/>
    <w:rsid w:val="00794CE0"/>
    <w:rsid w:val="007951EE"/>
    <w:rsid w:val="0079634C"/>
    <w:rsid w:val="00796B6E"/>
    <w:rsid w:val="00796EE6"/>
    <w:rsid w:val="00797417"/>
    <w:rsid w:val="00797506"/>
    <w:rsid w:val="0079750A"/>
    <w:rsid w:val="00797F9E"/>
    <w:rsid w:val="007A0159"/>
    <w:rsid w:val="007A05B1"/>
    <w:rsid w:val="007A05DD"/>
    <w:rsid w:val="007A09AE"/>
    <w:rsid w:val="007A0D5D"/>
    <w:rsid w:val="007A10D2"/>
    <w:rsid w:val="007A120B"/>
    <w:rsid w:val="007A17AC"/>
    <w:rsid w:val="007A2364"/>
    <w:rsid w:val="007A2AA0"/>
    <w:rsid w:val="007A35D1"/>
    <w:rsid w:val="007A3811"/>
    <w:rsid w:val="007A5195"/>
    <w:rsid w:val="007A52CB"/>
    <w:rsid w:val="007A5311"/>
    <w:rsid w:val="007A5C25"/>
    <w:rsid w:val="007A63D4"/>
    <w:rsid w:val="007A69A9"/>
    <w:rsid w:val="007A6D19"/>
    <w:rsid w:val="007B17AC"/>
    <w:rsid w:val="007B1EFD"/>
    <w:rsid w:val="007B240F"/>
    <w:rsid w:val="007B2F1C"/>
    <w:rsid w:val="007B3A8A"/>
    <w:rsid w:val="007B44C6"/>
    <w:rsid w:val="007B4533"/>
    <w:rsid w:val="007B45AC"/>
    <w:rsid w:val="007B4A41"/>
    <w:rsid w:val="007B4A61"/>
    <w:rsid w:val="007B4BD5"/>
    <w:rsid w:val="007B4C63"/>
    <w:rsid w:val="007B4F8D"/>
    <w:rsid w:val="007B5191"/>
    <w:rsid w:val="007B5F4A"/>
    <w:rsid w:val="007B65B0"/>
    <w:rsid w:val="007B6A2D"/>
    <w:rsid w:val="007B7159"/>
    <w:rsid w:val="007B724E"/>
    <w:rsid w:val="007B72FE"/>
    <w:rsid w:val="007B7CEF"/>
    <w:rsid w:val="007C0071"/>
    <w:rsid w:val="007C0A18"/>
    <w:rsid w:val="007C0C69"/>
    <w:rsid w:val="007C117B"/>
    <w:rsid w:val="007C11FB"/>
    <w:rsid w:val="007C19E4"/>
    <w:rsid w:val="007C27D5"/>
    <w:rsid w:val="007C2EDB"/>
    <w:rsid w:val="007C2F95"/>
    <w:rsid w:val="007C32F2"/>
    <w:rsid w:val="007C3753"/>
    <w:rsid w:val="007C3B45"/>
    <w:rsid w:val="007C3C79"/>
    <w:rsid w:val="007C509F"/>
    <w:rsid w:val="007C5335"/>
    <w:rsid w:val="007C5E8B"/>
    <w:rsid w:val="007C610E"/>
    <w:rsid w:val="007C65CF"/>
    <w:rsid w:val="007C691A"/>
    <w:rsid w:val="007C6E73"/>
    <w:rsid w:val="007C7486"/>
    <w:rsid w:val="007C77C9"/>
    <w:rsid w:val="007C77F5"/>
    <w:rsid w:val="007D0266"/>
    <w:rsid w:val="007D030D"/>
    <w:rsid w:val="007D065B"/>
    <w:rsid w:val="007D0A59"/>
    <w:rsid w:val="007D0E87"/>
    <w:rsid w:val="007D1039"/>
    <w:rsid w:val="007D224A"/>
    <w:rsid w:val="007D3104"/>
    <w:rsid w:val="007D392E"/>
    <w:rsid w:val="007D3BC3"/>
    <w:rsid w:val="007D4293"/>
    <w:rsid w:val="007D4326"/>
    <w:rsid w:val="007D486C"/>
    <w:rsid w:val="007D507D"/>
    <w:rsid w:val="007D51F1"/>
    <w:rsid w:val="007D554F"/>
    <w:rsid w:val="007D59D8"/>
    <w:rsid w:val="007D5A3C"/>
    <w:rsid w:val="007D5EC0"/>
    <w:rsid w:val="007D6FBC"/>
    <w:rsid w:val="007D7216"/>
    <w:rsid w:val="007D7682"/>
    <w:rsid w:val="007D7B96"/>
    <w:rsid w:val="007D7BF6"/>
    <w:rsid w:val="007E004F"/>
    <w:rsid w:val="007E04B0"/>
    <w:rsid w:val="007E0539"/>
    <w:rsid w:val="007E0A51"/>
    <w:rsid w:val="007E0C79"/>
    <w:rsid w:val="007E225B"/>
    <w:rsid w:val="007E243C"/>
    <w:rsid w:val="007E244C"/>
    <w:rsid w:val="007E3424"/>
    <w:rsid w:val="007E37CE"/>
    <w:rsid w:val="007E3A0C"/>
    <w:rsid w:val="007E3B08"/>
    <w:rsid w:val="007E46CF"/>
    <w:rsid w:val="007E4AAE"/>
    <w:rsid w:val="007E4AE7"/>
    <w:rsid w:val="007E4C53"/>
    <w:rsid w:val="007E65EC"/>
    <w:rsid w:val="007E69CA"/>
    <w:rsid w:val="007E6A9C"/>
    <w:rsid w:val="007E6B7E"/>
    <w:rsid w:val="007E6D2B"/>
    <w:rsid w:val="007E7125"/>
    <w:rsid w:val="007E722D"/>
    <w:rsid w:val="007F008A"/>
    <w:rsid w:val="007F02EA"/>
    <w:rsid w:val="007F04F9"/>
    <w:rsid w:val="007F0558"/>
    <w:rsid w:val="007F05E6"/>
    <w:rsid w:val="007F07DF"/>
    <w:rsid w:val="007F162D"/>
    <w:rsid w:val="007F21CF"/>
    <w:rsid w:val="007F27E7"/>
    <w:rsid w:val="007F286A"/>
    <w:rsid w:val="007F2BB1"/>
    <w:rsid w:val="007F3048"/>
    <w:rsid w:val="007F33EA"/>
    <w:rsid w:val="007F3655"/>
    <w:rsid w:val="007F386E"/>
    <w:rsid w:val="007F4245"/>
    <w:rsid w:val="007F42E5"/>
    <w:rsid w:val="007F4543"/>
    <w:rsid w:val="007F5E0F"/>
    <w:rsid w:val="007F62C4"/>
    <w:rsid w:val="007F6F2D"/>
    <w:rsid w:val="007F721B"/>
    <w:rsid w:val="007F738F"/>
    <w:rsid w:val="007F7B0C"/>
    <w:rsid w:val="00800A6F"/>
    <w:rsid w:val="00800D00"/>
    <w:rsid w:val="00801D8F"/>
    <w:rsid w:val="00801DF4"/>
    <w:rsid w:val="008021A8"/>
    <w:rsid w:val="00802201"/>
    <w:rsid w:val="0080257E"/>
    <w:rsid w:val="00802A2A"/>
    <w:rsid w:val="008034E6"/>
    <w:rsid w:val="00803B64"/>
    <w:rsid w:val="00803C7D"/>
    <w:rsid w:val="00803E0E"/>
    <w:rsid w:val="00803F53"/>
    <w:rsid w:val="00804344"/>
    <w:rsid w:val="0080467C"/>
    <w:rsid w:val="00804E8E"/>
    <w:rsid w:val="008051E4"/>
    <w:rsid w:val="008059D8"/>
    <w:rsid w:val="00805ED1"/>
    <w:rsid w:val="008062D8"/>
    <w:rsid w:val="0080703F"/>
    <w:rsid w:val="00810454"/>
    <w:rsid w:val="0081093E"/>
    <w:rsid w:val="00810BB2"/>
    <w:rsid w:val="00811B40"/>
    <w:rsid w:val="008121FE"/>
    <w:rsid w:val="008122CA"/>
    <w:rsid w:val="00812BAB"/>
    <w:rsid w:val="00812D43"/>
    <w:rsid w:val="00812F8D"/>
    <w:rsid w:val="0081332A"/>
    <w:rsid w:val="00813356"/>
    <w:rsid w:val="0081379C"/>
    <w:rsid w:val="00814DBA"/>
    <w:rsid w:val="00814F09"/>
    <w:rsid w:val="0081538F"/>
    <w:rsid w:val="008158F0"/>
    <w:rsid w:val="00815D99"/>
    <w:rsid w:val="00816604"/>
    <w:rsid w:val="00816876"/>
    <w:rsid w:val="008170DB"/>
    <w:rsid w:val="00817106"/>
    <w:rsid w:val="008177E2"/>
    <w:rsid w:val="0081798B"/>
    <w:rsid w:val="00820339"/>
    <w:rsid w:val="00820C16"/>
    <w:rsid w:val="00821416"/>
    <w:rsid w:val="00821448"/>
    <w:rsid w:val="008218EA"/>
    <w:rsid w:val="00821CFA"/>
    <w:rsid w:val="00822ED9"/>
    <w:rsid w:val="0082351A"/>
    <w:rsid w:val="00824156"/>
    <w:rsid w:val="0082454B"/>
    <w:rsid w:val="008249CA"/>
    <w:rsid w:val="00824C6D"/>
    <w:rsid w:val="008252DE"/>
    <w:rsid w:val="0082570E"/>
    <w:rsid w:val="008270D5"/>
    <w:rsid w:val="00827537"/>
    <w:rsid w:val="008276C5"/>
    <w:rsid w:val="008276D1"/>
    <w:rsid w:val="00827A1B"/>
    <w:rsid w:val="00827AF2"/>
    <w:rsid w:val="00827B03"/>
    <w:rsid w:val="00827B0B"/>
    <w:rsid w:val="00827C7D"/>
    <w:rsid w:val="008300EB"/>
    <w:rsid w:val="008313BE"/>
    <w:rsid w:val="0083191E"/>
    <w:rsid w:val="008320EA"/>
    <w:rsid w:val="008324A6"/>
    <w:rsid w:val="00832872"/>
    <w:rsid w:val="008328FB"/>
    <w:rsid w:val="00832BA4"/>
    <w:rsid w:val="00832F42"/>
    <w:rsid w:val="00833068"/>
    <w:rsid w:val="0083306A"/>
    <w:rsid w:val="00833DDB"/>
    <w:rsid w:val="00833E02"/>
    <w:rsid w:val="008347A2"/>
    <w:rsid w:val="008349C5"/>
    <w:rsid w:val="008354F1"/>
    <w:rsid w:val="008356B4"/>
    <w:rsid w:val="00835764"/>
    <w:rsid w:val="008363D9"/>
    <w:rsid w:val="008368D0"/>
    <w:rsid w:val="0083753C"/>
    <w:rsid w:val="00840075"/>
    <w:rsid w:val="008403D2"/>
    <w:rsid w:val="00840AA3"/>
    <w:rsid w:val="00840C1E"/>
    <w:rsid w:val="00840E49"/>
    <w:rsid w:val="0084146B"/>
    <w:rsid w:val="00842011"/>
    <w:rsid w:val="0084201F"/>
    <w:rsid w:val="00842387"/>
    <w:rsid w:val="00842A63"/>
    <w:rsid w:val="00842B96"/>
    <w:rsid w:val="00842D1D"/>
    <w:rsid w:val="008433F4"/>
    <w:rsid w:val="008434A3"/>
    <w:rsid w:val="00843661"/>
    <w:rsid w:val="00843E0A"/>
    <w:rsid w:val="00844136"/>
    <w:rsid w:val="008448E7"/>
    <w:rsid w:val="00844EBC"/>
    <w:rsid w:val="00847191"/>
    <w:rsid w:val="00847297"/>
    <w:rsid w:val="0084732B"/>
    <w:rsid w:val="00847F9C"/>
    <w:rsid w:val="00850BAD"/>
    <w:rsid w:val="00851E4C"/>
    <w:rsid w:val="00852BB5"/>
    <w:rsid w:val="00853182"/>
    <w:rsid w:val="00853535"/>
    <w:rsid w:val="0085391B"/>
    <w:rsid w:val="008545DB"/>
    <w:rsid w:val="00854A4E"/>
    <w:rsid w:val="008552A7"/>
    <w:rsid w:val="00855316"/>
    <w:rsid w:val="008554CB"/>
    <w:rsid w:val="00855EA9"/>
    <w:rsid w:val="00855EFF"/>
    <w:rsid w:val="0085692F"/>
    <w:rsid w:val="00856D31"/>
    <w:rsid w:val="00856FB8"/>
    <w:rsid w:val="00857194"/>
    <w:rsid w:val="00857770"/>
    <w:rsid w:val="008602C0"/>
    <w:rsid w:val="0086046C"/>
    <w:rsid w:val="0086066B"/>
    <w:rsid w:val="00860731"/>
    <w:rsid w:val="00862034"/>
    <w:rsid w:val="0086257E"/>
    <w:rsid w:val="00862A0D"/>
    <w:rsid w:val="008630F4"/>
    <w:rsid w:val="0086369D"/>
    <w:rsid w:val="008636A4"/>
    <w:rsid w:val="008636D4"/>
    <w:rsid w:val="008640E2"/>
    <w:rsid w:val="00864133"/>
    <w:rsid w:val="0086426C"/>
    <w:rsid w:val="0086479F"/>
    <w:rsid w:val="008648A1"/>
    <w:rsid w:val="00864B66"/>
    <w:rsid w:val="0086550D"/>
    <w:rsid w:val="00865969"/>
    <w:rsid w:val="00865C83"/>
    <w:rsid w:val="0086654D"/>
    <w:rsid w:val="008667C1"/>
    <w:rsid w:val="00866BC9"/>
    <w:rsid w:val="00867392"/>
    <w:rsid w:val="00867617"/>
    <w:rsid w:val="0086775C"/>
    <w:rsid w:val="00867D56"/>
    <w:rsid w:val="0087001B"/>
    <w:rsid w:val="00871738"/>
    <w:rsid w:val="00871C48"/>
    <w:rsid w:val="0087366F"/>
    <w:rsid w:val="008738FD"/>
    <w:rsid w:val="00873F3B"/>
    <w:rsid w:val="00874AC9"/>
    <w:rsid w:val="0087518C"/>
    <w:rsid w:val="0087539D"/>
    <w:rsid w:val="008754E6"/>
    <w:rsid w:val="00876459"/>
    <w:rsid w:val="008770B6"/>
    <w:rsid w:val="00877A79"/>
    <w:rsid w:val="00877F94"/>
    <w:rsid w:val="0088004E"/>
    <w:rsid w:val="008814FE"/>
    <w:rsid w:val="00881617"/>
    <w:rsid w:val="008817B5"/>
    <w:rsid w:val="00882471"/>
    <w:rsid w:val="008839D1"/>
    <w:rsid w:val="00883D1A"/>
    <w:rsid w:val="00883FC8"/>
    <w:rsid w:val="00884823"/>
    <w:rsid w:val="00885241"/>
    <w:rsid w:val="00885751"/>
    <w:rsid w:val="0088591B"/>
    <w:rsid w:val="00885DFD"/>
    <w:rsid w:val="00886283"/>
    <w:rsid w:val="008862A4"/>
    <w:rsid w:val="0088642A"/>
    <w:rsid w:val="0088746A"/>
    <w:rsid w:val="0089012C"/>
    <w:rsid w:val="0089054C"/>
    <w:rsid w:val="0089081B"/>
    <w:rsid w:val="00890CFD"/>
    <w:rsid w:val="00891437"/>
    <w:rsid w:val="0089169E"/>
    <w:rsid w:val="00891911"/>
    <w:rsid w:val="00892B22"/>
    <w:rsid w:val="00892CE8"/>
    <w:rsid w:val="00892D68"/>
    <w:rsid w:val="00892F34"/>
    <w:rsid w:val="008934C0"/>
    <w:rsid w:val="00893602"/>
    <w:rsid w:val="00893694"/>
    <w:rsid w:val="00895231"/>
    <w:rsid w:val="008964E3"/>
    <w:rsid w:val="00896BFD"/>
    <w:rsid w:val="00896C4C"/>
    <w:rsid w:val="00896ED1"/>
    <w:rsid w:val="00897467"/>
    <w:rsid w:val="00897475"/>
    <w:rsid w:val="00897610"/>
    <w:rsid w:val="00897735"/>
    <w:rsid w:val="00897B83"/>
    <w:rsid w:val="00897F85"/>
    <w:rsid w:val="008A0318"/>
    <w:rsid w:val="008A075F"/>
    <w:rsid w:val="008A08EA"/>
    <w:rsid w:val="008A0E26"/>
    <w:rsid w:val="008A1292"/>
    <w:rsid w:val="008A19D7"/>
    <w:rsid w:val="008A1F30"/>
    <w:rsid w:val="008A2109"/>
    <w:rsid w:val="008A22DD"/>
    <w:rsid w:val="008A233A"/>
    <w:rsid w:val="008A2580"/>
    <w:rsid w:val="008A2739"/>
    <w:rsid w:val="008A2A6E"/>
    <w:rsid w:val="008A3239"/>
    <w:rsid w:val="008A3689"/>
    <w:rsid w:val="008A38D2"/>
    <w:rsid w:val="008A4343"/>
    <w:rsid w:val="008A459D"/>
    <w:rsid w:val="008A4FD8"/>
    <w:rsid w:val="008A5366"/>
    <w:rsid w:val="008A64CA"/>
    <w:rsid w:val="008A650E"/>
    <w:rsid w:val="008A6644"/>
    <w:rsid w:val="008A669F"/>
    <w:rsid w:val="008A6E14"/>
    <w:rsid w:val="008A71AE"/>
    <w:rsid w:val="008A756B"/>
    <w:rsid w:val="008A7F71"/>
    <w:rsid w:val="008B0285"/>
    <w:rsid w:val="008B0D61"/>
    <w:rsid w:val="008B0E19"/>
    <w:rsid w:val="008B13E8"/>
    <w:rsid w:val="008B1ED8"/>
    <w:rsid w:val="008B29CF"/>
    <w:rsid w:val="008B2DBF"/>
    <w:rsid w:val="008B320C"/>
    <w:rsid w:val="008B32E2"/>
    <w:rsid w:val="008B3AC4"/>
    <w:rsid w:val="008B3BD0"/>
    <w:rsid w:val="008B3CFA"/>
    <w:rsid w:val="008B44CC"/>
    <w:rsid w:val="008B46AD"/>
    <w:rsid w:val="008B4BD2"/>
    <w:rsid w:val="008B4E3A"/>
    <w:rsid w:val="008B52FC"/>
    <w:rsid w:val="008B5B80"/>
    <w:rsid w:val="008B6034"/>
    <w:rsid w:val="008B6226"/>
    <w:rsid w:val="008B67AE"/>
    <w:rsid w:val="008B6D5D"/>
    <w:rsid w:val="008B73FF"/>
    <w:rsid w:val="008B7781"/>
    <w:rsid w:val="008B7917"/>
    <w:rsid w:val="008B7B95"/>
    <w:rsid w:val="008B7D1E"/>
    <w:rsid w:val="008B7DAE"/>
    <w:rsid w:val="008C11F6"/>
    <w:rsid w:val="008C142F"/>
    <w:rsid w:val="008C18A3"/>
    <w:rsid w:val="008C1B97"/>
    <w:rsid w:val="008C21D8"/>
    <w:rsid w:val="008C3758"/>
    <w:rsid w:val="008C4F9F"/>
    <w:rsid w:val="008C5B8A"/>
    <w:rsid w:val="008C6028"/>
    <w:rsid w:val="008C6AAB"/>
    <w:rsid w:val="008C6CAE"/>
    <w:rsid w:val="008C7441"/>
    <w:rsid w:val="008C76C0"/>
    <w:rsid w:val="008C7A93"/>
    <w:rsid w:val="008C7B06"/>
    <w:rsid w:val="008C7E25"/>
    <w:rsid w:val="008D17FD"/>
    <w:rsid w:val="008D2D01"/>
    <w:rsid w:val="008D3916"/>
    <w:rsid w:val="008D3A9D"/>
    <w:rsid w:val="008D5290"/>
    <w:rsid w:val="008D5B9F"/>
    <w:rsid w:val="008D624D"/>
    <w:rsid w:val="008D6935"/>
    <w:rsid w:val="008D6F4A"/>
    <w:rsid w:val="008D7237"/>
    <w:rsid w:val="008D7528"/>
    <w:rsid w:val="008D7FF2"/>
    <w:rsid w:val="008E019F"/>
    <w:rsid w:val="008E01FF"/>
    <w:rsid w:val="008E0487"/>
    <w:rsid w:val="008E0647"/>
    <w:rsid w:val="008E1106"/>
    <w:rsid w:val="008E1434"/>
    <w:rsid w:val="008E14AC"/>
    <w:rsid w:val="008E1F59"/>
    <w:rsid w:val="008E258A"/>
    <w:rsid w:val="008E28E6"/>
    <w:rsid w:val="008E2B44"/>
    <w:rsid w:val="008E3276"/>
    <w:rsid w:val="008E34A6"/>
    <w:rsid w:val="008E34BC"/>
    <w:rsid w:val="008E380F"/>
    <w:rsid w:val="008E4120"/>
    <w:rsid w:val="008E42BA"/>
    <w:rsid w:val="008E467E"/>
    <w:rsid w:val="008E4E8E"/>
    <w:rsid w:val="008E4F99"/>
    <w:rsid w:val="008E529D"/>
    <w:rsid w:val="008E56BD"/>
    <w:rsid w:val="008E5F88"/>
    <w:rsid w:val="008E6128"/>
    <w:rsid w:val="008E7148"/>
    <w:rsid w:val="008E71C5"/>
    <w:rsid w:val="008E7AC6"/>
    <w:rsid w:val="008E7AED"/>
    <w:rsid w:val="008E7CF4"/>
    <w:rsid w:val="008F0559"/>
    <w:rsid w:val="008F1761"/>
    <w:rsid w:val="008F192C"/>
    <w:rsid w:val="008F3773"/>
    <w:rsid w:val="008F4F96"/>
    <w:rsid w:val="008F5028"/>
    <w:rsid w:val="008F56EA"/>
    <w:rsid w:val="008F5A3C"/>
    <w:rsid w:val="008F5D76"/>
    <w:rsid w:val="008F5EF5"/>
    <w:rsid w:val="008F6280"/>
    <w:rsid w:val="008F6769"/>
    <w:rsid w:val="008F6974"/>
    <w:rsid w:val="008F7536"/>
    <w:rsid w:val="008F77E2"/>
    <w:rsid w:val="00900093"/>
    <w:rsid w:val="0090041B"/>
    <w:rsid w:val="009005C1"/>
    <w:rsid w:val="0090083B"/>
    <w:rsid w:val="0090096B"/>
    <w:rsid w:val="00900DBB"/>
    <w:rsid w:val="00900DE8"/>
    <w:rsid w:val="009010A1"/>
    <w:rsid w:val="00901420"/>
    <w:rsid w:val="0090183B"/>
    <w:rsid w:val="00901972"/>
    <w:rsid w:val="00902160"/>
    <w:rsid w:val="00902749"/>
    <w:rsid w:val="00902A5D"/>
    <w:rsid w:val="00902E20"/>
    <w:rsid w:val="00902F8B"/>
    <w:rsid w:val="009038FC"/>
    <w:rsid w:val="0090435E"/>
    <w:rsid w:val="0090472A"/>
    <w:rsid w:val="00904CEE"/>
    <w:rsid w:val="0090550A"/>
    <w:rsid w:val="00905723"/>
    <w:rsid w:val="009057D5"/>
    <w:rsid w:val="00905C32"/>
    <w:rsid w:val="0090647F"/>
    <w:rsid w:val="00906685"/>
    <w:rsid w:val="00906A07"/>
    <w:rsid w:val="00907AFD"/>
    <w:rsid w:val="00907B65"/>
    <w:rsid w:val="0091029F"/>
    <w:rsid w:val="00910871"/>
    <w:rsid w:val="0091227A"/>
    <w:rsid w:val="0091254F"/>
    <w:rsid w:val="00912803"/>
    <w:rsid w:val="0091308A"/>
    <w:rsid w:val="00913344"/>
    <w:rsid w:val="00913F5A"/>
    <w:rsid w:val="00915236"/>
    <w:rsid w:val="00915AB7"/>
    <w:rsid w:val="00915D7A"/>
    <w:rsid w:val="00916D90"/>
    <w:rsid w:val="0091737F"/>
    <w:rsid w:val="00917834"/>
    <w:rsid w:val="00917D2E"/>
    <w:rsid w:val="00917E94"/>
    <w:rsid w:val="00917F52"/>
    <w:rsid w:val="00920066"/>
    <w:rsid w:val="00920553"/>
    <w:rsid w:val="00920A98"/>
    <w:rsid w:val="00920C3C"/>
    <w:rsid w:val="00921CCB"/>
    <w:rsid w:val="00921D29"/>
    <w:rsid w:val="00921F19"/>
    <w:rsid w:val="009222E5"/>
    <w:rsid w:val="00922D0B"/>
    <w:rsid w:val="00922F59"/>
    <w:rsid w:val="00923756"/>
    <w:rsid w:val="00923A80"/>
    <w:rsid w:val="00924A3F"/>
    <w:rsid w:val="00924FC8"/>
    <w:rsid w:val="00925286"/>
    <w:rsid w:val="00925382"/>
    <w:rsid w:val="00926586"/>
    <w:rsid w:val="00926771"/>
    <w:rsid w:val="00926E3A"/>
    <w:rsid w:val="009272C9"/>
    <w:rsid w:val="00927FC6"/>
    <w:rsid w:val="009300CE"/>
    <w:rsid w:val="0093037C"/>
    <w:rsid w:val="009305A7"/>
    <w:rsid w:val="0093092A"/>
    <w:rsid w:val="00930AF0"/>
    <w:rsid w:val="009315FB"/>
    <w:rsid w:val="009318BF"/>
    <w:rsid w:val="00931AFB"/>
    <w:rsid w:val="00932EEB"/>
    <w:rsid w:val="009334C2"/>
    <w:rsid w:val="00933B71"/>
    <w:rsid w:val="00933CA5"/>
    <w:rsid w:val="00933EC5"/>
    <w:rsid w:val="00934184"/>
    <w:rsid w:val="009341A3"/>
    <w:rsid w:val="00934683"/>
    <w:rsid w:val="00934D63"/>
    <w:rsid w:val="00934E1F"/>
    <w:rsid w:val="00935630"/>
    <w:rsid w:val="00935879"/>
    <w:rsid w:val="009359F2"/>
    <w:rsid w:val="00936A59"/>
    <w:rsid w:val="00936FFC"/>
    <w:rsid w:val="009401C7"/>
    <w:rsid w:val="009422CB"/>
    <w:rsid w:val="00942477"/>
    <w:rsid w:val="0094249E"/>
    <w:rsid w:val="00942C0F"/>
    <w:rsid w:val="009439FA"/>
    <w:rsid w:val="00944266"/>
    <w:rsid w:val="00945B3B"/>
    <w:rsid w:val="00945F13"/>
    <w:rsid w:val="00946098"/>
    <w:rsid w:val="00946442"/>
    <w:rsid w:val="00946891"/>
    <w:rsid w:val="00946EA2"/>
    <w:rsid w:val="00950EEC"/>
    <w:rsid w:val="00950F45"/>
    <w:rsid w:val="00952741"/>
    <w:rsid w:val="00952C79"/>
    <w:rsid w:val="00952CB9"/>
    <w:rsid w:val="009531DC"/>
    <w:rsid w:val="0095368A"/>
    <w:rsid w:val="00953DE5"/>
    <w:rsid w:val="00955347"/>
    <w:rsid w:val="00955DBE"/>
    <w:rsid w:val="0095630C"/>
    <w:rsid w:val="00956419"/>
    <w:rsid w:val="00956C0D"/>
    <w:rsid w:val="00957453"/>
    <w:rsid w:val="00957572"/>
    <w:rsid w:val="00960C78"/>
    <w:rsid w:val="00960D12"/>
    <w:rsid w:val="00960E7B"/>
    <w:rsid w:val="00961D7E"/>
    <w:rsid w:val="009624AE"/>
    <w:rsid w:val="00963002"/>
    <w:rsid w:val="00963A11"/>
    <w:rsid w:val="00963DA5"/>
    <w:rsid w:val="00963DFC"/>
    <w:rsid w:val="00965F20"/>
    <w:rsid w:val="00965FF7"/>
    <w:rsid w:val="00966FFE"/>
    <w:rsid w:val="009671A4"/>
    <w:rsid w:val="00967734"/>
    <w:rsid w:val="0097088A"/>
    <w:rsid w:val="009716BF"/>
    <w:rsid w:val="0097230B"/>
    <w:rsid w:val="00972680"/>
    <w:rsid w:val="00972981"/>
    <w:rsid w:val="00972DB0"/>
    <w:rsid w:val="00972FDC"/>
    <w:rsid w:val="00973010"/>
    <w:rsid w:val="009732D0"/>
    <w:rsid w:val="00973BBA"/>
    <w:rsid w:val="00974066"/>
    <w:rsid w:val="009741F3"/>
    <w:rsid w:val="009745D6"/>
    <w:rsid w:val="00974917"/>
    <w:rsid w:val="00974D00"/>
    <w:rsid w:val="00974F07"/>
    <w:rsid w:val="009752F2"/>
    <w:rsid w:val="00976C77"/>
    <w:rsid w:val="00977E9E"/>
    <w:rsid w:val="009807B4"/>
    <w:rsid w:val="00981474"/>
    <w:rsid w:val="00981AB1"/>
    <w:rsid w:val="00981C80"/>
    <w:rsid w:val="00981F25"/>
    <w:rsid w:val="009821BE"/>
    <w:rsid w:val="00982246"/>
    <w:rsid w:val="009827C1"/>
    <w:rsid w:val="009839ED"/>
    <w:rsid w:val="00983FCC"/>
    <w:rsid w:val="009848BD"/>
    <w:rsid w:val="009848E5"/>
    <w:rsid w:val="00984B8F"/>
    <w:rsid w:val="00985C38"/>
    <w:rsid w:val="00985F3A"/>
    <w:rsid w:val="009860BE"/>
    <w:rsid w:val="00987070"/>
    <w:rsid w:val="0098712C"/>
    <w:rsid w:val="009877D7"/>
    <w:rsid w:val="00987840"/>
    <w:rsid w:val="00987D4D"/>
    <w:rsid w:val="00987EDB"/>
    <w:rsid w:val="0099087D"/>
    <w:rsid w:val="00991317"/>
    <w:rsid w:val="0099195A"/>
    <w:rsid w:val="00991DCA"/>
    <w:rsid w:val="00992CD0"/>
    <w:rsid w:val="009934DB"/>
    <w:rsid w:val="00994597"/>
    <w:rsid w:val="009946F8"/>
    <w:rsid w:val="00994A85"/>
    <w:rsid w:val="00994B8B"/>
    <w:rsid w:val="00996570"/>
    <w:rsid w:val="00996919"/>
    <w:rsid w:val="009969A4"/>
    <w:rsid w:val="00996BD0"/>
    <w:rsid w:val="00996D3F"/>
    <w:rsid w:val="009972F5"/>
    <w:rsid w:val="00997E36"/>
    <w:rsid w:val="009A0C59"/>
    <w:rsid w:val="009A0F89"/>
    <w:rsid w:val="009A1124"/>
    <w:rsid w:val="009A11E9"/>
    <w:rsid w:val="009A12CF"/>
    <w:rsid w:val="009A12E3"/>
    <w:rsid w:val="009A1509"/>
    <w:rsid w:val="009A16A9"/>
    <w:rsid w:val="009A22E5"/>
    <w:rsid w:val="009A2DE0"/>
    <w:rsid w:val="009A34B0"/>
    <w:rsid w:val="009A3760"/>
    <w:rsid w:val="009A3C03"/>
    <w:rsid w:val="009A41C3"/>
    <w:rsid w:val="009A4201"/>
    <w:rsid w:val="009A4DC7"/>
    <w:rsid w:val="009A58E3"/>
    <w:rsid w:val="009A5A17"/>
    <w:rsid w:val="009A665A"/>
    <w:rsid w:val="009A67FC"/>
    <w:rsid w:val="009A79E0"/>
    <w:rsid w:val="009A7A03"/>
    <w:rsid w:val="009A7A3F"/>
    <w:rsid w:val="009B038E"/>
    <w:rsid w:val="009B1B58"/>
    <w:rsid w:val="009B1BF0"/>
    <w:rsid w:val="009B1C23"/>
    <w:rsid w:val="009B1C6E"/>
    <w:rsid w:val="009B26F0"/>
    <w:rsid w:val="009B3928"/>
    <w:rsid w:val="009B39DE"/>
    <w:rsid w:val="009B3A4D"/>
    <w:rsid w:val="009B50ED"/>
    <w:rsid w:val="009B51E0"/>
    <w:rsid w:val="009B57FD"/>
    <w:rsid w:val="009B6534"/>
    <w:rsid w:val="009B76AC"/>
    <w:rsid w:val="009B76B3"/>
    <w:rsid w:val="009C02BE"/>
    <w:rsid w:val="009C0695"/>
    <w:rsid w:val="009C0939"/>
    <w:rsid w:val="009C13AE"/>
    <w:rsid w:val="009C1FDC"/>
    <w:rsid w:val="009C2786"/>
    <w:rsid w:val="009C288A"/>
    <w:rsid w:val="009C2C4F"/>
    <w:rsid w:val="009C2C78"/>
    <w:rsid w:val="009C2F6F"/>
    <w:rsid w:val="009C3903"/>
    <w:rsid w:val="009C39FC"/>
    <w:rsid w:val="009C3B0E"/>
    <w:rsid w:val="009C473C"/>
    <w:rsid w:val="009C4970"/>
    <w:rsid w:val="009C4B72"/>
    <w:rsid w:val="009C4D23"/>
    <w:rsid w:val="009C558E"/>
    <w:rsid w:val="009C5C16"/>
    <w:rsid w:val="009C5EC4"/>
    <w:rsid w:val="009C5F63"/>
    <w:rsid w:val="009C5F9A"/>
    <w:rsid w:val="009C68A9"/>
    <w:rsid w:val="009C72A9"/>
    <w:rsid w:val="009C7CA1"/>
    <w:rsid w:val="009D0514"/>
    <w:rsid w:val="009D0DF5"/>
    <w:rsid w:val="009D1834"/>
    <w:rsid w:val="009D28B8"/>
    <w:rsid w:val="009D2BA2"/>
    <w:rsid w:val="009D2F6B"/>
    <w:rsid w:val="009D3AFE"/>
    <w:rsid w:val="009D3B73"/>
    <w:rsid w:val="009D4037"/>
    <w:rsid w:val="009D43A4"/>
    <w:rsid w:val="009D51BD"/>
    <w:rsid w:val="009D5DF3"/>
    <w:rsid w:val="009D6E39"/>
    <w:rsid w:val="009D6F3C"/>
    <w:rsid w:val="009D70B5"/>
    <w:rsid w:val="009D78A0"/>
    <w:rsid w:val="009D7F03"/>
    <w:rsid w:val="009E01DD"/>
    <w:rsid w:val="009E022E"/>
    <w:rsid w:val="009E0971"/>
    <w:rsid w:val="009E0ADB"/>
    <w:rsid w:val="009E154E"/>
    <w:rsid w:val="009E2196"/>
    <w:rsid w:val="009E2968"/>
    <w:rsid w:val="009E2C06"/>
    <w:rsid w:val="009E2D2D"/>
    <w:rsid w:val="009E3724"/>
    <w:rsid w:val="009E4713"/>
    <w:rsid w:val="009E53F2"/>
    <w:rsid w:val="009E54C4"/>
    <w:rsid w:val="009E5914"/>
    <w:rsid w:val="009E6D65"/>
    <w:rsid w:val="009E6E4F"/>
    <w:rsid w:val="009E722C"/>
    <w:rsid w:val="009E763B"/>
    <w:rsid w:val="009F02DA"/>
    <w:rsid w:val="009F17C0"/>
    <w:rsid w:val="009F17C3"/>
    <w:rsid w:val="009F2865"/>
    <w:rsid w:val="009F37EB"/>
    <w:rsid w:val="009F3B6D"/>
    <w:rsid w:val="009F3DA5"/>
    <w:rsid w:val="009F4334"/>
    <w:rsid w:val="009F4C44"/>
    <w:rsid w:val="009F53CC"/>
    <w:rsid w:val="009F58D8"/>
    <w:rsid w:val="009F5B9C"/>
    <w:rsid w:val="009F5BAB"/>
    <w:rsid w:val="009F642F"/>
    <w:rsid w:val="00A00398"/>
    <w:rsid w:val="00A0062C"/>
    <w:rsid w:val="00A01033"/>
    <w:rsid w:val="00A01E09"/>
    <w:rsid w:val="00A02641"/>
    <w:rsid w:val="00A031CE"/>
    <w:rsid w:val="00A03C1F"/>
    <w:rsid w:val="00A04132"/>
    <w:rsid w:val="00A04D8D"/>
    <w:rsid w:val="00A05837"/>
    <w:rsid w:val="00A06814"/>
    <w:rsid w:val="00A076B5"/>
    <w:rsid w:val="00A07E25"/>
    <w:rsid w:val="00A10230"/>
    <w:rsid w:val="00A117F7"/>
    <w:rsid w:val="00A1193E"/>
    <w:rsid w:val="00A1194A"/>
    <w:rsid w:val="00A12D6B"/>
    <w:rsid w:val="00A13B40"/>
    <w:rsid w:val="00A150DC"/>
    <w:rsid w:val="00A156C3"/>
    <w:rsid w:val="00A15B94"/>
    <w:rsid w:val="00A15F76"/>
    <w:rsid w:val="00A17A83"/>
    <w:rsid w:val="00A17FF2"/>
    <w:rsid w:val="00A20577"/>
    <w:rsid w:val="00A2144B"/>
    <w:rsid w:val="00A21AD0"/>
    <w:rsid w:val="00A21AF5"/>
    <w:rsid w:val="00A21B16"/>
    <w:rsid w:val="00A21EC9"/>
    <w:rsid w:val="00A2253E"/>
    <w:rsid w:val="00A22EE7"/>
    <w:rsid w:val="00A23435"/>
    <w:rsid w:val="00A23A8E"/>
    <w:rsid w:val="00A24474"/>
    <w:rsid w:val="00A24FC6"/>
    <w:rsid w:val="00A24FC8"/>
    <w:rsid w:val="00A250CA"/>
    <w:rsid w:val="00A25446"/>
    <w:rsid w:val="00A25910"/>
    <w:rsid w:val="00A260DA"/>
    <w:rsid w:val="00A26264"/>
    <w:rsid w:val="00A268B1"/>
    <w:rsid w:val="00A27836"/>
    <w:rsid w:val="00A27F15"/>
    <w:rsid w:val="00A30180"/>
    <w:rsid w:val="00A30B3B"/>
    <w:rsid w:val="00A30BE4"/>
    <w:rsid w:val="00A30CC2"/>
    <w:rsid w:val="00A30F29"/>
    <w:rsid w:val="00A31F66"/>
    <w:rsid w:val="00A320B9"/>
    <w:rsid w:val="00A325C6"/>
    <w:rsid w:val="00A3271A"/>
    <w:rsid w:val="00A32756"/>
    <w:rsid w:val="00A3321B"/>
    <w:rsid w:val="00A34562"/>
    <w:rsid w:val="00A34D59"/>
    <w:rsid w:val="00A34E25"/>
    <w:rsid w:val="00A35294"/>
    <w:rsid w:val="00A35A42"/>
    <w:rsid w:val="00A36076"/>
    <w:rsid w:val="00A362E1"/>
    <w:rsid w:val="00A3645D"/>
    <w:rsid w:val="00A3645F"/>
    <w:rsid w:val="00A3659C"/>
    <w:rsid w:val="00A37A18"/>
    <w:rsid w:val="00A37E58"/>
    <w:rsid w:val="00A423D0"/>
    <w:rsid w:val="00A42C11"/>
    <w:rsid w:val="00A43498"/>
    <w:rsid w:val="00A4351C"/>
    <w:rsid w:val="00A43C0E"/>
    <w:rsid w:val="00A4435C"/>
    <w:rsid w:val="00A4465D"/>
    <w:rsid w:val="00A44EC8"/>
    <w:rsid w:val="00A4595E"/>
    <w:rsid w:val="00A4597B"/>
    <w:rsid w:val="00A46038"/>
    <w:rsid w:val="00A463ED"/>
    <w:rsid w:val="00A465E6"/>
    <w:rsid w:val="00A46774"/>
    <w:rsid w:val="00A46795"/>
    <w:rsid w:val="00A469C9"/>
    <w:rsid w:val="00A4737F"/>
    <w:rsid w:val="00A50D99"/>
    <w:rsid w:val="00A50F79"/>
    <w:rsid w:val="00A512C9"/>
    <w:rsid w:val="00A51360"/>
    <w:rsid w:val="00A51B8A"/>
    <w:rsid w:val="00A51DF3"/>
    <w:rsid w:val="00A52573"/>
    <w:rsid w:val="00A52895"/>
    <w:rsid w:val="00A53A58"/>
    <w:rsid w:val="00A55234"/>
    <w:rsid w:val="00A556FD"/>
    <w:rsid w:val="00A5584C"/>
    <w:rsid w:val="00A55DD7"/>
    <w:rsid w:val="00A56234"/>
    <w:rsid w:val="00A56AFD"/>
    <w:rsid w:val="00A5716D"/>
    <w:rsid w:val="00A572D5"/>
    <w:rsid w:val="00A572E5"/>
    <w:rsid w:val="00A57536"/>
    <w:rsid w:val="00A57707"/>
    <w:rsid w:val="00A57D9E"/>
    <w:rsid w:val="00A57F1B"/>
    <w:rsid w:val="00A61086"/>
    <w:rsid w:val="00A616DD"/>
    <w:rsid w:val="00A6175E"/>
    <w:rsid w:val="00A61945"/>
    <w:rsid w:val="00A626B5"/>
    <w:rsid w:val="00A6307A"/>
    <w:rsid w:val="00A638C9"/>
    <w:rsid w:val="00A63BD6"/>
    <w:rsid w:val="00A63BF1"/>
    <w:rsid w:val="00A63E54"/>
    <w:rsid w:val="00A63FA7"/>
    <w:rsid w:val="00A6450D"/>
    <w:rsid w:val="00A6514E"/>
    <w:rsid w:val="00A65416"/>
    <w:rsid w:val="00A66675"/>
    <w:rsid w:val="00A668BA"/>
    <w:rsid w:val="00A66B2A"/>
    <w:rsid w:val="00A671A4"/>
    <w:rsid w:val="00A67AAF"/>
    <w:rsid w:val="00A67D3C"/>
    <w:rsid w:val="00A704C4"/>
    <w:rsid w:val="00A707D1"/>
    <w:rsid w:val="00A70FD5"/>
    <w:rsid w:val="00A7144D"/>
    <w:rsid w:val="00A71B09"/>
    <w:rsid w:val="00A71D6A"/>
    <w:rsid w:val="00A71E78"/>
    <w:rsid w:val="00A71EDC"/>
    <w:rsid w:val="00A71F7B"/>
    <w:rsid w:val="00A725D6"/>
    <w:rsid w:val="00A73481"/>
    <w:rsid w:val="00A73700"/>
    <w:rsid w:val="00A73B98"/>
    <w:rsid w:val="00A73CD6"/>
    <w:rsid w:val="00A73FC8"/>
    <w:rsid w:val="00A73FCD"/>
    <w:rsid w:val="00A74042"/>
    <w:rsid w:val="00A74093"/>
    <w:rsid w:val="00A7432A"/>
    <w:rsid w:val="00A74BFD"/>
    <w:rsid w:val="00A753E4"/>
    <w:rsid w:val="00A758F1"/>
    <w:rsid w:val="00A75C48"/>
    <w:rsid w:val="00A7656B"/>
    <w:rsid w:val="00A7776E"/>
    <w:rsid w:val="00A777B3"/>
    <w:rsid w:val="00A778A9"/>
    <w:rsid w:val="00A77909"/>
    <w:rsid w:val="00A77AE7"/>
    <w:rsid w:val="00A801AF"/>
    <w:rsid w:val="00A8096E"/>
    <w:rsid w:val="00A827D0"/>
    <w:rsid w:val="00A833E6"/>
    <w:rsid w:val="00A83469"/>
    <w:rsid w:val="00A835C7"/>
    <w:rsid w:val="00A83A08"/>
    <w:rsid w:val="00A83FCA"/>
    <w:rsid w:val="00A84036"/>
    <w:rsid w:val="00A8420E"/>
    <w:rsid w:val="00A8445B"/>
    <w:rsid w:val="00A84CD3"/>
    <w:rsid w:val="00A84D7A"/>
    <w:rsid w:val="00A860E4"/>
    <w:rsid w:val="00A86236"/>
    <w:rsid w:val="00A8636B"/>
    <w:rsid w:val="00A874D7"/>
    <w:rsid w:val="00A87B11"/>
    <w:rsid w:val="00A90962"/>
    <w:rsid w:val="00A919E2"/>
    <w:rsid w:val="00A91D72"/>
    <w:rsid w:val="00A922A3"/>
    <w:rsid w:val="00A93DC7"/>
    <w:rsid w:val="00A94822"/>
    <w:rsid w:val="00A95676"/>
    <w:rsid w:val="00A95983"/>
    <w:rsid w:val="00A95B5C"/>
    <w:rsid w:val="00A962E6"/>
    <w:rsid w:val="00A963C9"/>
    <w:rsid w:val="00A966DC"/>
    <w:rsid w:val="00A96795"/>
    <w:rsid w:val="00A967F1"/>
    <w:rsid w:val="00A96982"/>
    <w:rsid w:val="00A96D9E"/>
    <w:rsid w:val="00A97514"/>
    <w:rsid w:val="00A97AA9"/>
    <w:rsid w:val="00A97CD4"/>
    <w:rsid w:val="00AA00C8"/>
    <w:rsid w:val="00AA0923"/>
    <w:rsid w:val="00AA0B4A"/>
    <w:rsid w:val="00AA14BD"/>
    <w:rsid w:val="00AA1E17"/>
    <w:rsid w:val="00AA2119"/>
    <w:rsid w:val="00AA26B2"/>
    <w:rsid w:val="00AA272F"/>
    <w:rsid w:val="00AA27C0"/>
    <w:rsid w:val="00AA29D4"/>
    <w:rsid w:val="00AA2B4E"/>
    <w:rsid w:val="00AA32D3"/>
    <w:rsid w:val="00AA33C5"/>
    <w:rsid w:val="00AA33E4"/>
    <w:rsid w:val="00AA3718"/>
    <w:rsid w:val="00AA487B"/>
    <w:rsid w:val="00AA4C6F"/>
    <w:rsid w:val="00AA62D0"/>
    <w:rsid w:val="00AA6B37"/>
    <w:rsid w:val="00AA7709"/>
    <w:rsid w:val="00AA7B65"/>
    <w:rsid w:val="00AB0DD2"/>
    <w:rsid w:val="00AB0E73"/>
    <w:rsid w:val="00AB1590"/>
    <w:rsid w:val="00AB1A68"/>
    <w:rsid w:val="00AB1D0D"/>
    <w:rsid w:val="00AB1D2F"/>
    <w:rsid w:val="00AB2A75"/>
    <w:rsid w:val="00AB358E"/>
    <w:rsid w:val="00AB38ED"/>
    <w:rsid w:val="00AB3F09"/>
    <w:rsid w:val="00AB44E1"/>
    <w:rsid w:val="00AB4E0C"/>
    <w:rsid w:val="00AB4FD5"/>
    <w:rsid w:val="00AB5271"/>
    <w:rsid w:val="00AB547E"/>
    <w:rsid w:val="00AB56CD"/>
    <w:rsid w:val="00AB59DD"/>
    <w:rsid w:val="00AB5D86"/>
    <w:rsid w:val="00AB5F2F"/>
    <w:rsid w:val="00AB6862"/>
    <w:rsid w:val="00AB6B6C"/>
    <w:rsid w:val="00AB6DA5"/>
    <w:rsid w:val="00AB7273"/>
    <w:rsid w:val="00AB7E44"/>
    <w:rsid w:val="00AB7EE2"/>
    <w:rsid w:val="00AC06B3"/>
    <w:rsid w:val="00AC0C7D"/>
    <w:rsid w:val="00AC0D2B"/>
    <w:rsid w:val="00AC0D9D"/>
    <w:rsid w:val="00AC1117"/>
    <w:rsid w:val="00AC1B2F"/>
    <w:rsid w:val="00AC1DC4"/>
    <w:rsid w:val="00AC2DAF"/>
    <w:rsid w:val="00AC315D"/>
    <w:rsid w:val="00AC323B"/>
    <w:rsid w:val="00AC3661"/>
    <w:rsid w:val="00AC3DBA"/>
    <w:rsid w:val="00AC43AF"/>
    <w:rsid w:val="00AC4E5E"/>
    <w:rsid w:val="00AC4E81"/>
    <w:rsid w:val="00AC4E93"/>
    <w:rsid w:val="00AC6D77"/>
    <w:rsid w:val="00AC6DFA"/>
    <w:rsid w:val="00AC7BB3"/>
    <w:rsid w:val="00AD0767"/>
    <w:rsid w:val="00AD0E16"/>
    <w:rsid w:val="00AD1A20"/>
    <w:rsid w:val="00AD2147"/>
    <w:rsid w:val="00AD29D8"/>
    <w:rsid w:val="00AD29D9"/>
    <w:rsid w:val="00AD34FE"/>
    <w:rsid w:val="00AD47BA"/>
    <w:rsid w:val="00AD4971"/>
    <w:rsid w:val="00AD4A8E"/>
    <w:rsid w:val="00AD4AFD"/>
    <w:rsid w:val="00AD4E34"/>
    <w:rsid w:val="00AD54C8"/>
    <w:rsid w:val="00AD57E0"/>
    <w:rsid w:val="00AD5854"/>
    <w:rsid w:val="00AD5F9B"/>
    <w:rsid w:val="00AD5FC0"/>
    <w:rsid w:val="00AD5FD1"/>
    <w:rsid w:val="00AD626E"/>
    <w:rsid w:val="00AD6630"/>
    <w:rsid w:val="00AD6687"/>
    <w:rsid w:val="00AD6F32"/>
    <w:rsid w:val="00AD7125"/>
    <w:rsid w:val="00AD722B"/>
    <w:rsid w:val="00AD764D"/>
    <w:rsid w:val="00AE069C"/>
    <w:rsid w:val="00AE1681"/>
    <w:rsid w:val="00AE1EBD"/>
    <w:rsid w:val="00AE2BAC"/>
    <w:rsid w:val="00AE2BDD"/>
    <w:rsid w:val="00AE2CA4"/>
    <w:rsid w:val="00AE4320"/>
    <w:rsid w:val="00AE49C9"/>
    <w:rsid w:val="00AE4FC0"/>
    <w:rsid w:val="00AE4FFA"/>
    <w:rsid w:val="00AE52C6"/>
    <w:rsid w:val="00AE5739"/>
    <w:rsid w:val="00AE5998"/>
    <w:rsid w:val="00AE5B0F"/>
    <w:rsid w:val="00AE644E"/>
    <w:rsid w:val="00AE6694"/>
    <w:rsid w:val="00AE75EC"/>
    <w:rsid w:val="00AE7B15"/>
    <w:rsid w:val="00AE7D9C"/>
    <w:rsid w:val="00AE7E9F"/>
    <w:rsid w:val="00AF0130"/>
    <w:rsid w:val="00AF025D"/>
    <w:rsid w:val="00AF1574"/>
    <w:rsid w:val="00AF2062"/>
    <w:rsid w:val="00AF3159"/>
    <w:rsid w:val="00AF324B"/>
    <w:rsid w:val="00AF3545"/>
    <w:rsid w:val="00AF40BC"/>
    <w:rsid w:val="00AF4540"/>
    <w:rsid w:val="00AF5C2A"/>
    <w:rsid w:val="00AF5C4E"/>
    <w:rsid w:val="00AF5F98"/>
    <w:rsid w:val="00AF5FDC"/>
    <w:rsid w:val="00AF625E"/>
    <w:rsid w:val="00AF6BC7"/>
    <w:rsid w:val="00AF6FEE"/>
    <w:rsid w:val="00AF6FF0"/>
    <w:rsid w:val="00AF7087"/>
    <w:rsid w:val="00AF73FF"/>
    <w:rsid w:val="00AF745A"/>
    <w:rsid w:val="00AF768D"/>
    <w:rsid w:val="00AF7801"/>
    <w:rsid w:val="00B00347"/>
    <w:rsid w:val="00B004F1"/>
    <w:rsid w:val="00B00A8F"/>
    <w:rsid w:val="00B00E42"/>
    <w:rsid w:val="00B0100C"/>
    <w:rsid w:val="00B012E7"/>
    <w:rsid w:val="00B0182A"/>
    <w:rsid w:val="00B019BF"/>
    <w:rsid w:val="00B01B13"/>
    <w:rsid w:val="00B01E40"/>
    <w:rsid w:val="00B0232E"/>
    <w:rsid w:val="00B02363"/>
    <w:rsid w:val="00B02657"/>
    <w:rsid w:val="00B02837"/>
    <w:rsid w:val="00B02D9A"/>
    <w:rsid w:val="00B0462B"/>
    <w:rsid w:val="00B04696"/>
    <w:rsid w:val="00B04953"/>
    <w:rsid w:val="00B04C7B"/>
    <w:rsid w:val="00B04D62"/>
    <w:rsid w:val="00B04F52"/>
    <w:rsid w:val="00B0560E"/>
    <w:rsid w:val="00B06A4F"/>
    <w:rsid w:val="00B06C50"/>
    <w:rsid w:val="00B077DE"/>
    <w:rsid w:val="00B07CB0"/>
    <w:rsid w:val="00B10A9A"/>
    <w:rsid w:val="00B12004"/>
    <w:rsid w:val="00B123B9"/>
    <w:rsid w:val="00B12C2D"/>
    <w:rsid w:val="00B12E72"/>
    <w:rsid w:val="00B13006"/>
    <w:rsid w:val="00B13364"/>
    <w:rsid w:val="00B1354A"/>
    <w:rsid w:val="00B13AF1"/>
    <w:rsid w:val="00B13D4E"/>
    <w:rsid w:val="00B158F2"/>
    <w:rsid w:val="00B15E83"/>
    <w:rsid w:val="00B17258"/>
    <w:rsid w:val="00B17791"/>
    <w:rsid w:val="00B177C9"/>
    <w:rsid w:val="00B17CE3"/>
    <w:rsid w:val="00B2059D"/>
    <w:rsid w:val="00B211FE"/>
    <w:rsid w:val="00B21DD1"/>
    <w:rsid w:val="00B222B8"/>
    <w:rsid w:val="00B2314A"/>
    <w:rsid w:val="00B23307"/>
    <w:rsid w:val="00B235F4"/>
    <w:rsid w:val="00B23938"/>
    <w:rsid w:val="00B23E25"/>
    <w:rsid w:val="00B24BBA"/>
    <w:rsid w:val="00B25912"/>
    <w:rsid w:val="00B26E40"/>
    <w:rsid w:val="00B27FDD"/>
    <w:rsid w:val="00B30510"/>
    <w:rsid w:val="00B307BE"/>
    <w:rsid w:val="00B31A88"/>
    <w:rsid w:val="00B3287D"/>
    <w:rsid w:val="00B32A63"/>
    <w:rsid w:val="00B341DC"/>
    <w:rsid w:val="00B35411"/>
    <w:rsid w:val="00B3594E"/>
    <w:rsid w:val="00B35B2B"/>
    <w:rsid w:val="00B35BC4"/>
    <w:rsid w:val="00B3635F"/>
    <w:rsid w:val="00B36E35"/>
    <w:rsid w:val="00B371EF"/>
    <w:rsid w:val="00B402B5"/>
    <w:rsid w:val="00B40541"/>
    <w:rsid w:val="00B40CAB"/>
    <w:rsid w:val="00B41237"/>
    <w:rsid w:val="00B4153C"/>
    <w:rsid w:val="00B41590"/>
    <w:rsid w:val="00B41609"/>
    <w:rsid w:val="00B42802"/>
    <w:rsid w:val="00B42886"/>
    <w:rsid w:val="00B4318A"/>
    <w:rsid w:val="00B43EDC"/>
    <w:rsid w:val="00B442BE"/>
    <w:rsid w:val="00B44F51"/>
    <w:rsid w:val="00B44FE4"/>
    <w:rsid w:val="00B4505E"/>
    <w:rsid w:val="00B450EA"/>
    <w:rsid w:val="00B45B86"/>
    <w:rsid w:val="00B46142"/>
    <w:rsid w:val="00B4629E"/>
    <w:rsid w:val="00B465BC"/>
    <w:rsid w:val="00B468A0"/>
    <w:rsid w:val="00B468D9"/>
    <w:rsid w:val="00B469CA"/>
    <w:rsid w:val="00B46A4B"/>
    <w:rsid w:val="00B46BE4"/>
    <w:rsid w:val="00B46C5D"/>
    <w:rsid w:val="00B47089"/>
    <w:rsid w:val="00B5159A"/>
    <w:rsid w:val="00B51624"/>
    <w:rsid w:val="00B518EB"/>
    <w:rsid w:val="00B51F30"/>
    <w:rsid w:val="00B52394"/>
    <w:rsid w:val="00B525C2"/>
    <w:rsid w:val="00B52733"/>
    <w:rsid w:val="00B5313A"/>
    <w:rsid w:val="00B53281"/>
    <w:rsid w:val="00B53791"/>
    <w:rsid w:val="00B538A9"/>
    <w:rsid w:val="00B538DF"/>
    <w:rsid w:val="00B53DC0"/>
    <w:rsid w:val="00B53DF9"/>
    <w:rsid w:val="00B543DD"/>
    <w:rsid w:val="00B54CA6"/>
    <w:rsid w:val="00B55940"/>
    <w:rsid w:val="00B56328"/>
    <w:rsid w:val="00B5670F"/>
    <w:rsid w:val="00B57AD6"/>
    <w:rsid w:val="00B57B3C"/>
    <w:rsid w:val="00B57BF9"/>
    <w:rsid w:val="00B57F65"/>
    <w:rsid w:val="00B57FE2"/>
    <w:rsid w:val="00B60740"/>
    <w:rsid w:val="00B60933"/>
    <w:rsid w:val="00B6104F"/>
    <w:rsid w:val="00B61097"/>
    <w:rsid w:val="00B619DC"/>
    <w:rsid w:val="00B61B57"/>
    <w:rsid w:val="00B61CB7"/>
    <w:rsid w:val="00B637CE"/>
    <w:rsid w:val="00B647F6"/>
    <w:rsid w:val="00B64AA1"/>
    <w:rsid w:val="00B64D85"/>
    <w:rsid w:val="00B65157"/>
    <w:rsid w:val="00B65532"/>
    <w:rsid w:val="00B65642"/>
    <w:rsid w:val="00B66723"/>
    <w:rsid w:val="00B66727"/>
    <w:rsid w:val="00B66E01"/>
    <w:rsid w:val="00B66F64"/>
    <w:rsid w:val="00B6786E"/>
    <w:rsid w:val="00B67BFF"/>
    <w:rsid w:val="00B67CAD"/>
    <w:rsid w:val="00B70142"/>
    <w:rsid w:val="00B7041A"/>
    <w:rsid w:val="00B71423"/>
    <w:rsid w:val="00B714BE"/>
    <w:rsid w:val="00B71826"/>
    <w:rsid w:val="00B72009"/>
    <w:rsid w:val="00B72342"/>
    <w:rsid w:val="00B728FF"/>
    <w:rsid w:val="00B7319F"/>
    <w:rsid w:val="00B7324E"/>
    <w:rsid w:val="00B732E4"/>
    <w:rsid w:val="00B736E1"/>
    <w:rsid w:val="00B73CED"/>
    <w:rsid w:val="00B74962"/>
    <w:rsid w:val="00B74D92"/>
    <w:rsid w:val="00B761DA"/>
    <w:rsid w:val="00B77241"/>
    <w:rsid w:val="00B774B4"/>
    <w:rsid w:val="00B77669"/>
    <w:rsid w:val="00B80489"/>
    <w:rsid w:val="00B807A6"/>
    <w:rsid w:val="00B80962"/>
    <w:rsid w:val="00B812B8"/>
    <w:rsid w:val="00B816F8"/>
    <w:rsid w:val="00B8178E"/>
    <w:rsid w:val="00B817A3"/>
    <w:rsid w:val="00B831F2"/>
    <w:rsid w:val="00B83262"/>
    <w:rsid w:val="00B83A9D"/>
    <w:rsid w:val="00B83E1E"/>
    <w:rsid w:val="00B83EBA"/>
    <w:rsid w:val="00B840DD"/>
    <w:rsid w:val="00B84284"/>
    <w:rsid w:val="00B84CDD"/>
    <w:rsid w:val="00B84D22"/>
    <w:rsid w:val="00B84E2A"/>
    <w:rsid w:val="00B850A1"/>
    <w:rsid w:val="00B855C5"/>
    <w:rsid w:val="00B85B38"/>
    <w:rsid w:val="00B85B65"/>
    <w:rsid w:val="00B86DCD"/>
    <w:rsid w:val="00B877BE"/>
    <w:rsid w:val="00B90149"/>
    <w:rsid w:val="00B90498"/>
    <w:rsid w:val="00B92433"/>
    <w:rsid w:val="00B92AD6"/>
    <w:rsid w:val="00B9374B"/>
    <w:rsid w:val="00B939E7"/>
    <w:rsid w:val="00B93C83"/>
    <w:rsid w:val="00B941D8"/>
    <w:rsid w:val="00B94640"/>
    <w:rsid w:val="00B94F02"/>
    <w:rsid w:val="00B9573B"/>
    <w:rsid w:val="00B95768"/>
    <w:rsid w:val="00B95CF7"/>
    <w:rsid w:val="00B97153"/>
    <w:rsid w:val="00BA01E4"/>
    <w:rsid w:val="00BA029C"/>
    <w:rsid w:val="00BA0342"/>
    <w:rsid w:val="00BA04AC"/>
    <w:rsid w:val="00BA04E1"/>
    <w:rsid w:val="00BA081F"/>
    <w:rsid w:val="00BA0C2B"/>
    <w:rsid w:val="00BA0EF9"/>
    <w:rsid w:val="00BA121E"/>
    <w:rsid w:val="00BA1A86"/>
    <w:rsid w:val="00BA290D"/>
    <w:rsid w:val="00BA2F90"/>
    <w:rsid w:val="00BA3927"/>
    <w:rsid w:val="00BA3E87"/>
    <w:rsid w:val="00BA40D0"/>
    <w:rsid w:val="00BA44BA"/>
    <w:rsid w:val="00BA457B"/>
    <w:rsid w:val="00BA5223"/>
    <w:rsid w:val="00BA53C7"/>
    <w:rsid w:val="00BA5DDC"/>
    <w:rsid w:val="00BA6046"/>
    <w:rsid w:val="00BA67C0"/>
    <w:rsid w:val="00BA685C"/>
    <w:rsid w:val="00BA6AA8"/>
    <w:rsid w:val="00BA71FA"/>
    <w:rsid w:val="00BA72BC"/>
    <w:rsid w:val="00BA7473"/>
    <w:rsid w:val="00BA77E8"/>
    <w:rsid w:val="00BA7B99"/>
    <w:rsid w:val="00BA7D57"/>
    <w:rsid w:val="00BB0A65"/>
    <w:rsid w:val="00BB16C7"/>
    <w:rsid w:val="00BB1B5B"/>
    <w:rsid w:val="00BB20AB"/>
    <w:rsid w:val="00BB31BE"/>
    <w:rsid w:val="00BB56F3"/>
    <w:rsid w:val="00BB5938"/>
    <w:rsid w:val="00BB6421"/>
    <w:rsid w:val="00BB643E"/>
    <w:rsid w:val="00BB6B86"/>
    <w:rsid w:val="00BB704D"/>
    <w:rsid w:val="00BB75E5"/>
    <w:rsid w:val="00BB7BF1"/>
    <w:rsid w:val="00BB7D27"/>
    <w:rsid w:val="00BB7EC9"/>
    <w:rsid w:val="00BC0D5E"/>
    <w:rsid w:val="00BC13B3"/>
    <w:rsid w:val="00BC17BB"/>
    <w:rsid w:val="00BC2CD8"/>
    <w:rsid w:val="00BC3127"/>
    <w:rsid w:val="00BC4829"/>
    <w:rsid w:val="00BC4B3C"/>
    <w:rsid w:val="00BC4C0A"/>
    <w:rsid w:val="00BC4CAE"/>
    <w:rsid w:val="00BC5844"/>
    <w:rsid w:val="00BC5DD1"/>
    <w:rsid w:val="00BC61BB"/>
    <w:rsid w:val="00BC63CF"/>
    <w:rsid w:val="00BC6FC7"/>
    <w:rsid w:val="00BC7529"/>
    <w:rsid w:val="00BC7A15"/>
    <w:rsid w:val="00BC7B8F"/>
    <w:rsid w:val="00BD088A"/>
    <w:rsid w:val="00BD0A85"/>
    <w:rsid w:val="00BD0C5A"/>
    <w:rsid w:val="00BD1B48"/>
    <w:rsid w:val="00BD1E51"/>
    <w:rsid w:val="00BD2589"/>
    <w:rsid w:val="00BD2821"/>
    <w:rsid w:val="00BD2AB4"/>
    <w:rsid w:val="00BD2C47"/>
    <w:rsid w:val="00BD2E46"/>
    <w:rsid w:val="00BD3204"/>
    <w:rsid w:val="00BD3564"/>
    <w:rsid w:val="00BD37DA"/>
    <w:rsid w:val="00BD3B3F"/>
    <w:rsid w:val="00BD3E52"/>
    <w:rsid w:val="00BD431C"/>
    <w:rsid w:val="00BD53E7"/>
    <w:rsid w:val="00BD584C"/>
    <w:rsid w:val="00BD5925"/>
    <w:rsid w:val="00BD5D49"/>
    <w:rsid w:val="00BD5E37"/>
    <w:rsid w:val="00BD5FBA"/>
    <w:rsid w:val="00BD602C"/>
    <w:rsid w:val="00BD62B1"/>
    <w:rsid w:val="00BD673D"/>
    <w:rsid w:val="00BD720D"/>
    <w:rsid w:val="00BD7EC7"/>
    <w:rsid w:val="00BE01F5"/>
    <w:rsid w:val="00BE0B63"/>
    <w:rsid w:val="00BE112C"/>
    <w:rsid w:val="00BE1405"/>
    <w:rsid w:val="00BE1A2D"/>
    <w:rsid w:val="00BE1B07"/>
    <w:rsid w:val="00BE21A4"/>
    <w:rsid w:val="00BE224C"/>
    <w:rsid w:val="00BE22F2"/>
    <w:rsid w:val="00BE2702"/>
    <w:rsid w:val="00BE29CC"/>
    <w:rsid w:val="00BE343D"/>
    <w:rsid w:val="00BE3604"/>
    <w:rsid w:val="00BE3AB6"/>
    <w:rsid w:val="00BE3B2F"/>
    <w:rsid w:val="00BE4025"/>
    <w:rsid w:val="00BE426A"/>
    <w:rsid w:val="00BE426C"/>
    <w:rsid w:val="00BE48B3"/>
    <w:rsid w:val="00BE4F24"/>
    <w:rsid w:val="00BE516C"/>
    <w:rsid w:val="00BE63F3"/>
    <w:rsid w:val="00BE651E"/>
    <w:rsid w:val="00BE7037"/>
    <w:rsid w:val="00BE7255"/>
    <w:rsid w:val="00BE7928"/>
    <w:rsid w:val="00BE7AE5"/>
    <w:rsid w:val="00BF0283"/>
    <w:rsid w:val="00BF02E3"/>
    <w:rsid w:val="00BF0617"/>
    <w:rsid w:val="00BF0DDC"/>
    <w:rsid w:val="00BF14F9"/>
    <w:rsid w:val="00BF1E39"/>
    <w:rsid w:val="00BF21DC"/>
    <w:rsid w:val="00BF27DE"/>
    <w:rsid w:val="00BF2933"/>
    <w:rsid w:val="00BF2B41"/>
    <w:rsid w:val="00BF3373"/>
    <w:rsid w:val="00BF4232"/>
    <w:rsid w:val="00BF425D"/>
    <w:rsid w:val="00BF4613"/>
    <w:rsid w:val="00BF49D1"/>
    <w:rsid w:val="00BF627C"/>
    <w:rsid w:val="00BF6B18"/>
    <w:rsid w:val="00BF780A"/>
    <w:rsid w:val="00BF7942"/>
    <w:rsid w:val="00C00757"/>
    <w:rsid w:val="00C01D35"/>
    <w:rsid w:val="00C038BC"/>
    <w:rsid w:val="00C038D9"/>
    <w:rsid w:val="00C03DA7"/>
    <w:rsid w:val="00C03E9E"/>
    <w:rsid w:val="00C04141"/>
    <w:rsid w:val="00C0441F"/>
    <w:rsid w:val="00C049A5"/>
    <w:rsid w:val="00C04CDB"/>
    <w:rsid w:val="00C04DC3"/>
    <w:rsid w:val="00C06067"/>
    <w:rsid w:val="00C0622F"/>
    <w:rsid w:val="00C062D9"/>
    <w:rsid w:val="00C063B3"/>
    <w:rsid w:val="00C06877"/>
    <w:rsid w:val="00C07066"/>
    <w:rsid w:val="00C07CA1"/>
    <w:rsid w:val="00C10373"/>
    <w:rsid w:val="00C104D1"/>
    <w:rsid w:val="00C10C62"/>
    <w:rsid w:val="00C10DEC"/>
    <w:rsid w:val="00C11CEE"/>
    <w:rsid w:val="00C120AE"/>
    <w:rsid w:val="00C125B9"/>
    <w:rsid w:val="00C12AC2"/>
    <w:rsid w:val="00C12D4E"/>
    <w:rsid w:val="00C13162"/>
    <w:rsid w:val="00C1363F"/>
    <w:rsid w:val="00C13E23"/>
    <w:rsid w:val="00C14442"/>
    <w:rsid w:val="00C15837"/>
    <w:rsid w:val="00C158C0"/>
    <w:rsid w:val="00C16B10"/>
    <w:rsid w:val="00C17566"/>
    <w:rsid w:val="00C1758E"/>
    <w:rsid w:val="00C1770F"/>
    <w:rsid w:val="00C1773C"/>
    <w:rsid w:val="00C17C5B"/>
    <w:rsid w:val="00C17D03"/>
    <w:rsid w:val="00C2209B"/>
    <w:rsid w:val="00C22A84"/>
    <w:rsid w:val="00C22AD0"/>
    <w:rsid w:val="00C22B11"/>
    <w:rsid w:val="00C22D75"/>
    <w:rsid w:val="00C2333F"/>
    <w:rsid w:val="00C2478A"/>
    <w:rsid w:val="00C24EFF"/>
    <w:rsid w:val="00C26A4E"/>
    <w:rsid w:val="00C27235"/>
    <w:rsid w:val="00C277A9"/>
    <w:rsid w:val="00C27A1F"/>
    <w:rsid w:val="00C27E6D"/>
    <w:rsid w:val="00C30C5B"/>
    <w:rsid w:val="00C30E65"/>
    <w:rsid w:val="00C30EF6"/>
    <w:rsid w:val="00C313F9"/>
    <w:rsid w:val="00C31CD9"/>
    <w:rsid w:val="00C339DF"/>
    <w:rsid w:val="00C343EF"/>
    <w:rsid w:val="00C34C2B"/>
    <w:rsid w:val="00C35975"/>
    <w:rsid w:val="00C35E06"/>
    <w:rsid w:val="00C3615F"/>
    <w:rsid w:val="00C36E15"/>
    <w:rsid w:val="00C37414"/>
    <w:rsid w:val="00C374CE"/>
    <w:rsid w:val="00C37FEB"/>
    <w:rsid w:val="00C40609"/>
    <w:rsid w:val="00C408F4"/>
    <w:rsid w:val="00C40EFA"/>
    <w:rsid w:val="00C417E8"/>
    <w:rsid w:val="00C41C89"/>
    <w:rsid w:val="00C42066"/>
    <w:rsid w:val="00C423B1"/>
    <w:rsid w:val="00C42840"/>
    <w:rsid w:val="00C42D5B"/>
    <w:rsid w:val="00C42F86"/>
    <w:rsid w:val="00C438E2"/>
    <w:rsid w:val="00C439B7"/>
    <w:rsid w:val="00C43AFF"/>
    <w:rsid w:val="00C446A8"/>
    <w:rsid w:val="00C44875"/>
    <w:rsid w:val="00C44B91"/>
    <w:rsid w:val="00C451C8"/>
    <w:rsid w:val="00C458CE"/>
    <w:rsid w:val="00C45AFC"/>
    <w:rsid w:val="00C46307"/>
    <w:rsid w:val="00C46647"/>
    <w:rsid w:val="00C46A71"/>
    <w:rsid w:val="00C46FEC"/>
    <w:rsid w:val="00C471A6"/>
    <w:rsid w:val="00C47D53"/>
    <w:rsid w:val="00C502E7"/>
    <w:rsid w:val="00C5072C"/>
    <w:rsid w:val="00C51AB2"/>
    <w:rsid w:val="00C51ACB"/>
    <w:rsid w:val="00C52284"/>
    <w:rsid w:val="00C527DC"/>
    <w:rsid w:val="00C5324A"/>
    <w:rsid w:val="00C537BE"/>
    <w:rsid w:val="00C540A0"/>
    <w:rsid w:val="00C5446A"/>
    <w:rsid w:val="00C54B6E"/>
    <w:rsid w:val="00C55AC4"/>
    <w:rsid w:val="00C55C37"/>
    <w:rsid w:val="00C56558"/>
    <w:rsid w:val="00C565EE"/>
    <w:rsid w:val="00C56DF6"/>
    <w:rsid w:val="00C57211"/>
    <w:rsid w:val="00C576C8"/>
    <w:rsid w:val="00C57D16"/>
    <w:rsid w:val="00C6058B"/>
    <w:rsid w:val="00C61261"/>
    <w:rsid w:val="00C6184F"/>
    <w:rsid w:val="00C627A4"/>
    <w:rsid w:val="00C628C6"/>
    <w:rsid w:val="00C629B5"/>
    <w:rsid w:val="00C63C52"/>
    <w:rsid w:val="00C6480F"/>
    <w:rsid w:val="00C650CB"/>
    <w:rsid w:val="00C650FD"/>
    <w:rsid w:val="00C6513F"/>
    <w:rsid w:val="00C659DA"/>
    <w:rsid w:val="00C659EA"/>
    <w:rsid w:val="00C65E50"/>
    <w:rsid w:val="00C66612"/>
    <w:rsid w:val="00C66626"/>
    <w:rsid w:val="00C66F73"/>
    <w:rsid w:val="00C67811"/>
    <w:rsid w:val="00C67DAD"/>
    <w:rsid w:val="00C7050C"/>
    <w:rsid w:val="00C7068F"/>
    <w:rsid w:val="00C7126E"/>
    <w:rsid w:val="00C719FD"/>
    <w:rsid w:val="00C71D15"/>
    <w:rsid w:val="00C72517"/>
    <w:rsid w:val="00C728A4"/>
    <w:rsid w:val="00C72D4F"/>
    <w:rsid w:val="00C730D6"/>
    <w:rsid w:val="00C73987"/>
    <w:rsid w:val="00C7491E"/>
    <w:rsid w:val="00C74DCC"/>
    <w:rsid w:val="00C75098"/>
    <w:rsid w:val="00C75C00"/>
    <w:rsid w:val="00C75C6A"/>
    <w:rsid w:val="00C75DE1"/>
    <w:rsid w:val="00C7617F"/>
    <w:rsid w:val="00C762D9"/>
    <w:rsid w:val="00C76649"/>
    <w:rsid w:val="00C768A4"/>
    <w:rsid w:val="00C769F2"/>
    <w:rsid w:val="00C76AF7"/>
    <w:rsid w:val="00C76DF1"/>
    <w:rsid w:val="00C77421"/>
    <w:rsid w:val="00C77804"/>
    <w:rsid w:val="00C80207"/>
    <w:rsid w:val="00C80351"/>
    <w:rsid w:val="00C805CB"/>
    <w:rsid w:val="00C8096B"/>
    <w:rsid w:val="00C8160F"/>
    <w:rsid w:val="00C8163B"/>
    <w:rsid w:val="00C817FD"/>
    <w:rsid w:val="00C81F68"/>
    <w:rsid w:val="00C821A2"/>
    <w:rsid w:val="00C82226"/>
    <w:rsid w:val="00C826B6"/>
    <w:rsid w:val="00C83C7D"/>
    <w:rsid w:val="00C8491F"/>
    <w:rsid w:val="00C852CA"/>
    <w:rsid w:val="00C852DC"/>
    <w:rsid w:val="00C85A1B"/>
    <w:rsid w:val="00C85C5F"/>
    <w:rsid w:val="00C85DCB"/>
    <w:rsid w:val="00C8644A"/>
    <w:rsid w:val="00C871E4"/>
    <w:rsid w:val="00C873F4"/>
    <w:rsid w:val="00C87A07"/>
    <w:rsid w:val="00C87B72"/>
    <w:rsid w:val="00C87E30"/>
    <w:rsid w:val="00C87F25"/>
    <w:rsid w:val="00C9010B"/>
    <w:rsid w:val="00C903D6"/>
    <w:rsid w:val="00C904CC"/>
    <w:rsid w:val="00C90D44"/>
    <w:rsid w:val="00C91197"/>
    <w:rsid w:val="00C91722"/>
    <w:rsid w:val="00C9216F"/>
    <w:rsid w:val="00C923E5"/>
    <w:rsid w:val="00C92D1B"/>
    <w:rsid w:val="00C9312F"/>
    <w:rsid w:val="00C93408"/>
    <w:rsid w:val="00C948E3"/>
    <w:rsid w:val="00C94CF2"/>
    <w:rsid w:val="00C94D77"/>
    <w:rsid w:val="00C957C6"/>
    <w:rsid w:val="00C965A4"/>
    <w:rsid w:val="00C965B2"/>
    <w:rsid w:val="00C967F4"/>
    <w:rsid w:val="00C96E07"/>
    <w:rsid w:val="00C97654"/>
    <w:rsid w:val="00C97757"/>
    <w:rsid w:val="00CA003C"/>
    <w:rsid w:val="00CA0124"/>
    <w:rsid w:val="00CA0693"/>
    <w:rsid w:val="00CA0D44"/>
    <w:rsid w:val="00CA1DCD"/>
    <w:rsid w:val="00CA1FA4"/>
    <w:rsid w:val="00CA2118"/>
    <w:rsid w:val="00CA282C"/>
    <w:rsid w:val="00CA2E25"/>
    <w:rsid w:val="00CA3F3A"/>
    <w:rsid w:val="00CA4A2B"/>
    <w:rsid w:val="00CA4C69"/>
    <w:rsid w:val="00CA4EC9"/>
    <w:rsid w:val="00CA5498"/>
    <w:rsid w:val="00CA55AB"/>
    <w:rsid w:val="00CA5D5C"/>
    <w:rsid w:val="00CA70B2"/>
    <w:rsid w:val="00CA73C5"/>
    <w:rsid w:val="00CA752F"/>
    <w:rsid w:val="00CA7BC9"/>
    <w:rsid w:val="00CB0934"/>
    <w:rsid w:val="00CB0C76"/>
    <w:rsid w:val="00CB0DFB"/>
    <w:rsid w:val="00CB0EA9"/>
    <w:rsid w:val="00CB1102"/>
    <w:rsid w:val="00CB163C"/>
    <w:rsid w:val="00CB1882"/>
    <w:rsid w:val="00CB1962"/>
    <w:rsid w:val="00CB3FA7"/>
    <w:rsid w:val="00CB41A0"/>
    <w:rsid w:val="00CB444D"/>
    <w:rsid w:val="00CB4A73"/>
    <w:rsid w:val="00CB4D5F"/>
    <w:rsid w:val="00CB4DE9"/>
    <w:rsid w:val="00CB51F3"/>
    <w:rsid w:val="00CB5DC2"/>
    <w:rsid w:val="00CB6326"/>
    <w:rsid w:val="00CB683C"/>
    <w:rsid w:val="00CB712E"/>
    <w:rsid w:val="00CB728F"/>
    <w:rsid w:val="00CB7EF0"/>
    <w:rsid w:val="00CC0F0A"/>
    <w:rsid w:val="00CC0F46"/>
    <w:rsid w:val="00CC100A"/>
    <w:rsid w:val="00CC1062"/>
    <w:rsid w:val="00CC147A"/>
    <w:rsid w:val="00CC1523"/>
    <w:rsid w:val="00CC22D2"/>
    <w:rsid w:val="00CC23DA"/>
    <w:rsid w:val="00CC24AD"/>
    <w:rsid w:val="00CC283D"/>
    <w:rsid w:val="00CC29A8"/>
    <w:rsid w:val="00CC2DE8"/>
    <w:rsid w:val="00CC2EA8"/>
    <w:rsid w:val="00CC321C"/>
    <w:rsid w:val="00CC3836"/>
    <w:rsid w:val="00CC46C9"/>
    <w:rsid w:val="00CC48B9"/>
    <w:rsid w:val="00CC4916"/>
    <w:rsid w:val="00CC497D"/>
    <w:rsid w:val="00CC4D5D"/>
    <w:rsid w:val="00CC4F45"/>
    <w:rsid w:val="00CC54DD"/>
    <w:rsid w:val="00CC5997"/>
    <w:rsid w:val="00CC5B09"/>
    <w:rsid w:val="00CC6D6B"/>
    <w:rsid w:val="00CC70F3"/>
    <w:rsid w:val="00CD008C"/>
    <w:rsid w:val="00CD01F5"/>
    <w:rsid w:val="00CD1936"/>
    <w:rsid w:val="00CD1A1C"/>
    <w:rsid w:val="00CD403C"/>
    <w:rsid w:val="00CD49CB"/>
    <w:rsid w:val="00CD53A8"/>
    <w:rsid w:val="00CD6B6B"/>
    <w:rsid w:val="00CD7B75"/>
    <w:rsid w:val="00CE0109"/>
    <w:rsid w:val="00CE0922"/>
    <w:rsid w:val="00CE124D"/>
    <w:rsid w:val="00CE13A7"/>
    <w:rsid w:val="00CE18CF"/>
    <w:rsid w:val="00CE2776"/>
    <w:rsid w:val="00CE2A18"/>
    <w:rsid w:val="00CE2BC5"/>
    <w:rsid w:val="00CE3C23"/>
    <w:rsid w:val="00CE3DD5"/>
    <w:rsid w:val="00CE3FED"/>
    <w:rsid w:val="00CE41EC"/>
    <w:rsid w:val="00CE5064"/>
    <w:rsid w:val="00CE5168"/>
    <w:rsid w:val="00CE5DFA"/>
    <w:rsid w:val="00CE6339"/>
    <w:rsid w:val="00CE6A87"/>
    <w:rsid w:val="00CE6DE1"/>
    <w:rsid w:val="00CE7C60"/>
    <w:rsid w:val="00CF0A91"/>
    <w:rsid w:val="00CF139E"/>
    <w:rsid w:val="00CF15C4"/>
    <w:rsid w:val="00CF1C6A"/>
    <w:rsid w:val="00CF266C"/>
    <w:rsid w:val="00CF2DC7"/>
    <w:rsid w:val="00CF2FD6"/>
    <w:rsid w:val="00CF3412"/>
    <w:rsid w:val="00CF512F"/>
    <w:rsid w:val="00CF5445"/>
    <w:rsid w:val="00CF5CBA"/>
    <w:rsid w:val="00CF6174"/>
    <w:rsid w:val="00CF67F6"/>
    <w:rsid w:val="00CF7835"/>
    <w:rsid w:val="00CF7A92"/>
    <w:rsid w:val="00D00202"/>
    <w:rsid w:val="00D002E7"/>
    <w:rsid w:val="00D00D5B"/>
    <w:rsid w:val="00D01298"/>
    <w:rsid w:val="00D01715"/>
    <w:rsid w:val="00D01B34"/>
    <w:rsid w:val="00D0289C"/>
    <w:rsid w:val="00D02A51"/>
    <w:rsid w:val="00D02C42"/>
    <w:rsid w:val="00D02F15"/>
    <w:rsid w:val="00D03925"/>
    <w:rsid w:val="00D03B26"/>
    <w:rsid w:val="00D03DE3"/>
    <w:rsid w:val="00D03E0E"/>
    <w:rsid w:val="00D0447B"/>
    <w:rsid w:val="00D0464F"/>
    <w:rsid w:val="00D04E10"/>
    <w:rsid w:val="00D04E7D"/>
    <w:rsid w:val="00D06312"/>
    <w:rsid w:val="00D06324"/>
    <w:rsid w:val="00D068CB"/>
    <w:rsid w:val="00D06A43"/>
    <w:rsid w:val="00D06DCB"/>
    <w:rsid w:val="00D071E9"/>
    <w:rsid w:val="00D100EB"/>
    <w:rsid w:val="00D10171"/>
    <w:rsid w:val="00D1107D"/>
    <w:rsid w:val="00D1116E"/>
    <w:rsid w:val="00D11643"/>
    <w:rsid w:val="00D1178F"/>
    <w:rsid w:val="00D11BE8"/>
    <w:rsid w:val="00D12048"/>
    <w:rsid w:val="00D12330"/>
    <w:rsid w:val="00D1266E"/>
    <w:rsid w:val="00D136BF"/>
    <w:rsid w:val="00D13C96"/>
    <w:rsid w:val="00D143B7"/>
    <w:rsid w:val="00D15002"/>
    <w:rsid w:val="00D15DF8"/>
    <w:rsid w:val="00D162B5"/>
    <w:rsid w:val="00D16CE5"/>
    <w:rsid w:val="00D170CE"/>
    <w:rsid w:val="00D173AF"/>
    <w:rsid w:val="00D1743F"/>
    <w:rsid w:val="00D17CD3"/>
    <w:rsid w:val="00D20084"/>
    <w:rsid w:val="00D208B2"/>
    <w:rsid w:val="00D2233A"/>
    <w:rsid w:val="00D2254F"/>
    <w:rsid w:val="00D2347B"/>
    <w:rsid w:val="00D23688"/>
    <w:rsid w:val="00D240DE"/>
    <w:rsid w:val="00D24A91"/>
    <w:rsid w:val="00D24B7E"/>
    <w:rsid w:val="00D24C1C"/>
    <w:rsid w:val="00D2597D"/>
    <w:rsid w:val="00D25E6B"/>
    <w:rsid w:val="00D277F6"/>
    <w:rsid w:val="00D27937"/>
    <w:rsid w:val="00D27E11"/>
    <w:rsid w:val="00D30710"/>
    <w:rsid w:val="00D30BE5"/>
    <w:rsid w:val="00D30E17"/>
    <w:rsid w:val="00D30E7C"/>
    <w:rsid w:val="00D30E8D"/>
    <w:rsid w:val="00D30F27"/>
    <w:rsid w:val="00D315B3"/>
    <w:rsid w:val="00D31D23"/>
    <w:rsid w:val="00D31EB8"/>
    <w:rsid w:val="00D3211F"/>
    <w:rsid w:val="00D3234A"/>
    <w:rsid w:val="00D324D9"/>
    <w:rsid w:val="00D326EC"/>
    <w:rsid w:val="00D32A42"/>
    <w:rsid w:val="00D32CAF"/>
    <w:rsid w:val="00D3476E"/>
    <w:rsid w:val="00D34ACA"/>
    <w:rsid w:val="00D35422"/>
    <w:rsid w:val="00D359F6"/>
    <w:rsid w:val="00D3626F"/>
    <w:rsid w:val="00D36EA4"/>
    <w:rsid w:val="00D37F33"/>
    <w:rsid w:val="00D37F98"/>
    <w:rsid w:val="00D401E7"/>
    <w:rsid w:val="00D40C6F"/>
    <w:rsid w:val="00D41CFA"/>
    <w:rsid w:val="00D42D7A"/>
    <w:rsid w:val="00D431C9"/>
    <w:rsid w:val="00D434EA"/>
    <w:rsid w:val="00D43B4A"/>
    <w:rsid w:val="00D4458C"/>
    <w:rsid w:val="00D44E41"/>
    <w:rsid w:val="00D4528A"/>
    <w:rsid w:val="00D47741"/>
    <w:rsid w:val="00D47F6D"/>
    <w:rsid w:val="00D507F6"/>
    <w:rsid w:val="00D50AEB"/>
    <w:rsid w:val="00D50F2D"/>
    <w:rsid w:val="00D50F85"/>
    <w:rsid w:val="00D51162"/>
    <w:rsid w:val="00D513C2"/>
    <w:rsid w:val="00D513F0"/>
    <w:rsid w:val="00D5152C"/>
    <w:rsid w:val="00D51D6C"/>
    <w:rsid w:val="00D51E2D"/>
    <w:rsid w:val="00D521ED"/>
    <w:rsid w:val="00D521F9"/>
    <w:rsid w:val="00D52A78"/>
    <w:rsid w:val="00D53ECF"/>
    <w:rsid w:val="00D5461B"/>
    <w:rsid w:val="00D54A39"/>
    <w:rsid w:val="00D5508F"/>
    <w:rsid w:val="00D552EE"/>
    <w:rsid w:val="00D554DB"/>
    <w:rsid w:val="00D565E4"/>
    <w:rsid w:val="00D56AE1"/>
    <w:rsid w:val="00D56CF2"/>
    <w:rsid w:val="00D5715F"/>
    <w:rsid w:val="00D571BB"/>
    <w:rsid w:val="00D573BE"/>
    <w:rsid w:val="00D5756D"/>
    <w:rsid w:val="00D57E76"/>
    <w:rsid w:val="00D57EA4"/>
    <w:rsid w:val="00D603C2"/>
    <w:rsid w:val="00D60718"/>
    <w:rsid w:val="00D60AE4"/>
    <w:rsid w:val="00D61144"/>
    <w:rsid w:val="00D61B81"/>
    <w:rsid w:val="00D61FD3"/>
    <w:rsid w:val="00D6217E"/>
    <w:rsid w:val="00D621D6"/>
    <w:rsid w:val="00D625BF"/>
    <w:rsid w:val="00D625F0"/>
    <w:rsid w:val="00D6284F"/>
    <w:rsid w:val="00D630C1"/>
    <w:rsid w:val="00D63339"/>
    <w:rsid w:val="00D63805"/>
    <w:rsid w:val="00D64493"/>
    <w:rsid w:val="00D65592"/>
    <w:rsid w:val="00D65C7E"/>
    <w:rsid w:val="00D65F3D"/>
    <w:rsid w:val="00D660A8"/>
    <w:rsid w:val="00D6618F"/>
    <w:rsid w:val="00D661B4"/>
    <w:rsid w:val="00D66484"/>
    <w:rsid w:val="00D66489"/>
    <w:rsid w:val="00D66A79"/>
    <w:rsid w:val="00D66E26"/>
    <w:rsid w:val="00D67042"/>
    <w:rsid w:val="00D6745A"/>
    <w:rsid w:val="00D67474"/>
    <w:rsid w:val="00D67CFE"/>
    <w:rsid w:val="00D70E0A"/>
    <w:rsid w:val="00D7122C"/>
    <w:rsid w:val="00D71C12"/>
    <w:rsid w:val="00D72055"/>
    <w:rsid w:val="00D72285"/>
    <w:rsid w:val="00D72CA8"/>
    <w:rsid w:val="00D731C9"/>
    <w:rsid w:val="00D73697"/>
    <w:rsid w:val="00D7398C"/>
    <w:rsid w:val="00D73A43"/>
    <w:rsid w:val="00D73EC7"/>
    <w:rsid w:val="00D73F06"/>
    <w:rsid w:val="00D742A6"/>
    <w:rsid w:val="00D74939"/>
    <w:rsid w:val="00D752A5"/>
    <w:rsid w:val="00D76012"/>
    <w:rsid w:val="00D769FA"/>
    <w:rsid w:val="00D76C9D"/>
    <w:rsid w:val="00D76CCF"/>
    <w:rsid w:val="00D76F35"/>
    <w:rsid w:val="00D803C1"/>
    <w:rsid w:val="00D80585"/>
    <w:rsid w:val="00D806D2"/>
    <w:rsid w:val="00D817E7"/>
    <w:rsid w:val="00D81F68"/>
    <w:rsid w:val="00D82340"/>
    <w:rsid w:val="00D829C6"/>
    <w:rsid w:val="00D82F2F"/>
    <w:rsid w:val="00D83C7E"/>
    <w:rsid w:val="00D83D56"/>
    <w:rsid w:val="00D8453D"/>
    <w:rsid w:val="00D84748"/>
    <w:rsid w:val="00D84A22"/>
    <w:rsid w:val="00D84D35"/>
    <w:rsid w:val="00D85202"/>
    <w:rsid w:val="00D857A8"/>
    <w:rsid w:val="00D859AB"/>
    <w:rsid w:val="00D86804"/>
    <w:rsid w:val="00D86BAC"/>
    <w:rsid w:val="00D86E3D"/>
    <w:rsid w:val="00D90474"/>
    <w:rsid w:val="00D9066D"/>
    <w:rsid w:val="00D90817"/>
    <w:rsid w:val="00D908CE"/>
    <w:rsid w:val="00D91448"/>
    <w:rsid w:val="00D91BCB"/>
    <w:rsid w:val="00D91EF6"/>
    <w:rsid w:val="00D9201B"/>
    <w:rsid w:val="00D9214B"/>
    <w:rsid w:val="00D928E3"/>
    <w:rsid w:val="00D92C48"/>
    <w:rsid w:val="00D92E36"/>
    <w:rsid w:val="00D92F62"/>
    <w:rsid w:val="00D92F8F"/>
    <w:rsid w:val="00D9337E"/>
    <w:rsid w:val="00D93A86"/>
    <w:rsid w:val="00D93DFE"/>
    <w:rsid w:val="00D9471B"/>
    <w:rsid w:val="00D950BB"/>
    <w:rsid w:val="00D955B1"/>
    <w:rsid w:val="00D956F7"/>
    <w:rsid w:val="00D9583E"/>
    <w:rsid w:val="00D95F7B"/>
    <w:rsid w:val="00D962DF"/>
    <w:rsid w:val="00D9713E"/>
    <w:rsid w:val="00D9754A"/>
    <w:rsid w:val="00D979A7"/>
    <w:rsid w:val="00DA07B0"/>
    <w:rsid w:val="00DA1092"/>
    <w:rsid w:val="00DA26AD"/>
    <w:rsid w:val="00DA3883"/>
    <w:rsid w:val="00DA4198"/>
    <w:rsid w:val="00DA4A91"/>
    <w:rsid w:val="00DA4C94"/>
    <w:rsid w:val="00DA4E47"/>
    <w:rsid w:val="00DA57E5"/>
    <w:rsid w:val="00DA6E3F"/>
    <w:rsid w:val="00DA797F"/>
    <w:rsid w:val="00DB03EF"/>
    <w:rsid w:val="00DB07D1"/>
    <w:rsid w:val="00DB1821"/>
    <w:rsid w:val="00DB1BB8"/>
    <w:rsid w:val="00DB201C"/>
    <w:rsid w:val="00DB2145"/>
    <w:rsid w:val="00DB23EC"/>
    <w:rsid w:val="00DB3349"/>
    <w:rsid w:val="00DB3370"/>
    <w:rsid w:val="00DB3813"/>
    <w:rsid w:val="00DB543D"/>
    <w:rsid w:val="00DB59F9"/>
    <w:rsid w:val="00DB5A93"/>
    <w:rsid w:val="00DB5CB0"/>
    <w:rsid w:val="00DB6144"/>
    <w:rsid w:val="00DB62DB"/>
    <w:rsid w:val="00DB62E1"/>
    <w:rsid w:val="00DB6501"/>
    <w:rsid w:val="00DB6818"/>
    <w:rsid w:val="00DB6AAC"/>
    <w:rsid w:val="00DB6B59"/>
    <w:rsid w:val="00DB6B7D"/>
    <w:rsid w:val="00DB6DF9"/>
    <w:rsid w:val="00DB6E94"/>
    <w:rsid w:val="00DB7516"/>
    <w:rsid w:val="00DB7958"/>
    <w:rsid w:val="00DB7A5F"/>
    <w:rsid w:val="00DC02F9"/>
    <w:rsid w:val="00DC03C0"/>
    <w:rsid w:val="00DC08FC"/>
    <w:rsid w:val="00DC16A2"/>
    <w:rsid w:val="00DC1CF7"/>
    <w:rsid w:val="00DC2049"/>
    <w:rsid w:val="00DC232D"/>
    <w:rsid w:val="00DC265B"/>
    <w:rsid w:val="00DC28E1"/>
    <w:rsid w:val="00DC3392"/>
    <w:rsid w:val="00DC3896"/>
    <w:rsid w:val="00DC3A8B"/>
    <w:rsid w:val="00DC3ED2"/>
    <w:rsid w:val="00DC582D"/>
    <w:rsid w:val="00DC622D"/>
    <w:rsid w:val="00DC68F0"/>
    <w:rsid w:val="00DC6F52"/>
    <w:rsid w:val="00DC76E9"/>
    <w:rsid w:val="00DC7701"/>
    <w:rsid w:val="00DC7A0D"/>
    <w:rsid w:val="00DC7A85"/>
    <w:rsid w:val="00DC7B49"/>
    <w:rsid w:val="00DC7EB8"/>
    <w:rsid w:val="00DD0D9F"/>
    <w:rsid w:val="00DD0FE1"/>
    <w:rsid w:val="00DD1168"/>
    <w:rsid w:val="00DD11C5"/>
    <w:rsid w:val="00DD2932"/>
    <w:rsid w:val="00DD293B"/>
    <w:rsid w:val="00DD2AA4"/>
    <w:rsid w:val="00DD32BD"/>
    <w:rsid w:val="00DD3E46"/>
    <w:rsid w:val="00DD4695"/>
    <w:rsid w:val="00DD4883"/>
    <w:rsid w:val="00DD4AF1"/>
    <w:rsid w:val="00DD4CEA"/>
    <w:rsid w:val="00DD4DAE"/>
    <w:rsid w:val="00DD4F85"/>
    <w:rsid w:val="00DD5A0A"/>
    <w:rsid w:val="00DD641E"/>
    <w:rsid w:val="00DD6507"/>
    <w:rsid w:val="00DD65AF"/>
    <w:rsid w:val="00DD6952"/>
    <w:rsid w:val="00DD6C49"/>
    <w:rsid w:val="00DD75D3"/>
    <w:rsid w:val="00DD7E83"/>
    <w:rsid w:val="00DE07EE"/>
    <w:rsid w:val="00DE1312"/>
    <w:rsid w:val="00DE1882"/>
    <w:rsid w:val="00DE1B0C"/>
    <w:rsid w:val="00DE21B9"/>
    <w:rsid w:val="00DE280B"/>
    <w:rsid w:val="00DE2872"/>
    <w:rsid w:val="00DE3083"/>
    <w:rsid w:val="00DE380D"/>
    <w:rsid w:val="00DE3ABD"/>
    <w:rsid w:val="00DE4BA6"/>
    <w:rsid w:val="00DE4D68"/>
    <w:rsid w:val="00DE5820"/>
    <w:rsid w:val="00DE7001"/>
    <w:rsid w:val="00DE727C"/>
    <w:rsid w:val="00DE7586"/>
    <w:rsid w:val="00DF0BA5"/>
    <w:rsid w:val="00DF1386"/>
    <w:rsid w:val="00DF1DD4"/>
    <w:rsid w:val="00DF20D4"/>
    <w:rsid w:val="00DF297D"/>
    <w:rsid w:val="00DF2AF6"/>
    <w:rsid w:val="00DF319E"/>
    <w:rsid w:val="00DF32F0"/>
    <w:rsid w:val="00DF4255"/>
    <w:rsid w:val="00DF4301"/>
    <w:rsid w:val="00DF4A6B"/>
    <w:rsid w:val="00DF54B6"/>
    <w:rsid w:val="00DF6210"/>
    <w:rsid w:val="00DF70BD"/>
    <w:rsid w:val="00DF71C5"/>
    <w:rsid w:val="00DF7648"/>
    <w:rsid w:val="00DF777C"/>
    <w:rsid w:val="00DF7B94"/>
    <w:rsid w:val="00DF7D16"/>
    <w:rsid w:val="00E004A5"/>
    <w:rsid w:val="00E00765"/>
    <w:rsid w:val="00E0093C"/>
    <w:rsid w:val="00E00D6F"/>
    <w:rsid w:val="00E01FDF"/>
    <w:rsid w:val="00E022DF"/>
    <w:rsid w:val="00E02531"/>
    <w:rsid w:val="00E02757"/>
    <w:rsid w:val="00E02958"/>
    <w:rsid w:val="00E03A96"/>
    <w:rsid w:val="00E0486D"/>
    <w:rsid w:val="00E04B1F"/>
    <w:rsid w:val="00E04FDB"/>
    <w:rsid w:val="00E05BBA"/>
    <w:rsid w:val="00E05EEE"/>
    <w:rsid w:val="00E0707D"/>
    <w:rsid w:val="00E077BB"/>
    <w:rsid w:val="00E078F2"/>
    <w:rsid w:val="00E079B2"/>
    <w:rsid w:val="00E07F7E"/>
    <w:rsid w:val="00E10231"/>
    <w:rsid w:val="00E10F20"/>
    <w:rsid w:val="00E11783"/>
    <w:rsid w:val="00E118C3"/>
    <w:rsid w:val="00E122C8"/>
    <w:rsid w:val="00E12541"/>
    <w:rsid w:val="00E12552"/>
    <w:rsid w:val="00E12751"/>
    <w:rsid w:val="00E128C0"/>
    <w:rsid w:val="00E12DAC"/>
    <w:rsid w:val="00E12DC5"/>
    <w:rsid w:val="00E13122"/>
    <w:rsid w:val="00E143F8"/>
    <w:rsid w:val="00E167A6"/>
    <w:rsid w:val="00E16D6D"/>
    <w:rsid w:val="00E170C2"/>
    <w:rsid w:val="00E2070B"/>
    <w:rsid w:val="00E20C24"/>
    <w:rsid w:val="00E20FFF"/>
    <w:rsid w:val="00E213D2"/>
    <w:rsid w:val="00E215E6"/>
    <w:rsid w:val="00E217CB"/>
    <w:rsid w:val="00E21B61"/>
    <w:rsid w:val="00E21BB1"/>
    <w:rsid w:val="00E22E04"/>
    <w:rsid w:val="00E230A8"/>
    <w:rsid w:val="00E2377B"/>
    <w:rsid w:val="00E239CF"/>
    <w:rsid w:val="00E246CF"/>
    <w:rsid w:val="00E24934"/>
    <w:rsid w:val="00E25293"/>
    <w:rsid w:val="00E2615B"/>
    <w:rsid w:val="00E26283"/>
    <w:rsid w:val="00E2630C"/>
    <w:rsid w:val="00E270A9"/>
    <w:rsid w:val="00E27DDD"/>
    <w:rsid w:val="00E27EFE"/>
    <w:rsid w:val="00E27F7F"/>
    <w:rsid w:val="00E30E56"/>
    <w:rsid w:val="00E311EE"/>
    <w:rsid w:val="00E318E6"/>
    <w:rsid w:val="00E31EF2"/>
    <w:rsid w:val="00E31F14"/>
    <w:rsid w:val="00E32503"/>
    <w:rsid w:val="00E33198"/>
    <w:rsid w:val="00E33212"/>
    <w:rsid w:val="00E34D75"/>
    <w:rsid w:val="00E35025"/>
    <w:rsid w:val="00E354AC"/>
    <w:rsid w:val="00E35900"/>
    <w:rsid w:val="00E35E45"/>
    <w:rsid w:val="00E35E6F"/>
    <w:rsid w:val="00E36541"/>
    <w:rsid w:val="00E36FE3"/>
    <w:rsid w:val="00E37756"/>
    <w:rsid w:val="00E37955"/>
    <w:rsid w:val="00E400C0"/>
    <w:rsid w:val="00E41DAC"/>
    <w:rsid w:val="00E42618"/>
    <w:rsid w:val="00E42C09"/>
    <w:rsid w:val="00E44CFB"/>
    <w:rsid w:val="00E45781"/>
    <w:rsid w:val="00E46080"/>
    <w:rsid w:val="00E462AD"/>
    <w:rsid w:val="00E46456"/>
    <w:rsid w:val="00E4676D"/>
    <w:rsid w:val="00E46946"/>
    <w:rsid w:val="00E46E0F"/>
    <w:rsid w:val="00E47CCD"/>
    <w:rsid w:val="00E50D48"/>
    <w:rsid w:val="00E50F43"/>
    <w:rsid w:val="00E51D12"/>
    <w:rsid w:val="00E52F2B"/>
    <w:rsid w:val="00E52F89"/>
    <w:rsid w:val="00E53D33"/>
    <w:rsid w:val="00E53E7D"/>
    <w:rsid w:val="00E541B9"/>
    <w:rsid w:val="00E54482"/>
    <w:rsid w:val="00E545BA"/>
    <w:rsid w:val="00E55020"/>
    <w:rsid w:val="00E552E6"/>
    <w:rsid w:val="00E5544D"/>
    <w:rsid w:val="00E562D9"/>
    <w:rsid w:val="00E56797"/>
    <w:rsid w:val="00E5698E"/>
    <w:rsid w:val="00E56A80"/>
    <w:rsid w:val="00E56DFE"/>
    <w:rsid w:val="00E56EAB"/>
    <w:rsid w:val="00E577E3"/>
    <w:rsid w:val="00E57913"/>
    <w:rsid w:val="00E60377"/>
    <w:rsid w:val="00E60E7E"/>
    <w:rsid w:val="00E611B9"/>
    <w:rsid w:val="00E6144C"/>
    <w:rsid w:val="00E617E2"/>
    <w:rsid w:val="00E619AA"/>
    <w:rsid w:val="00E62BDF"/>
    <w:rsid w:val="00E62D28"/>
    <w:rsid w:val="00E63014"/>
    <w:rsid w:val="00E63C47"/>
    <w:rsid w:val="00E653D2"/>
    <w:rsid w:val="00E65401"/>
    <w:rsid w:val="00E65F23"/>
    <w:rsid w:val="00E6630C"/>
    <w:rsid w:val="00E670FB"/>
    <w:rsid w:val="00E6753F"/>
    <w:rsid w:val="00E67E12"/>
    <w:rsid w:val="00E67FBB"/>
    <w:rsid w:val="00E70C7F"/>
    <w:rsid w:val="00E71505"/>
    <w:rsid w:val="00E71EC8"/>
    <w:rsid w:val="00E724C1"/>
    <w:rsid w:val="00E72FA5"/>
    <w:rsid w:val="00E735B3"/>
    <w:rsid w:val="00E73769"/>
    <w:rsid w:val="00E740C3"/>
    <w:rsid w:val="00E75428"/>
    <w:rsid w:val="00E7585D"/>
    <w:rsid w:val="00E75E17"/>
    <w:rsid w:val="00E765ED"/>
    <w:rsid w:val="00E76EB1"/>
    <w:rsid w:val="00E801F5"/>
    <w:rsid w:val="00E80ABB"/>
    <w:rsid w:val="00E80E3E"/>
    <w:rsid w:val="00E80F4B"/>
    <w:rsid w:val="00E814F3"/>
    <w:rsid w:val="00E81693"/>
    <w:rsid w:val="00E819A4"/>
    <w:rsid w:val="00E81D1C"/>
    <w:rsid w:val="00E82192"/>
    <w:rsid w:val="00E8240B"/>
    <w:rsid w:val="00E8258D"/>
    <w:rsid w:val="00E834DD"/>
    <w:rsid w:val="00E83A59"/>
    <w:rsid w:val="00E83E9A"/>
    <w:rsid w:val="00E84442"/>
    <w:rsid w:val="00E84F72"/>
    <w:rsid w:val="00E85215"/>
    <w:rsid w:val="00E867F1"/>
    <w:rsid w:val="00E86993"/>
    <w:rsid w:val="00E8741B"/>
    <w:rsid w:val="00E87E5F"/>
    <w:rsid w:val="00E9015D"/>
    <w:rsid w:val="00E902C9"/>
    <w:rsid w:val="00E902E8"/>
    <w:rsid w:val="00E9062F"/>
    <w:rsid w:val="00E90724"/>
    <w:rsid w:val="00E91E78"/>
    <w:rsid w:val="00E9208B"/>
    <w:rsid w:val="00E92943"/>
    <w:rsid w:val="00E9327D"/>
    <w:rsid w:val="00E93629"/>
    <w:rsid w:val="00E950A9"/>
    <w:rsid w:val="00E9518B"/>
    <w:rsid w:val="00E959CB"/>
    <w:rsid w:val="00E95E1F"/>
    <w:rsid w:val="00E96434"/>
    <w:rsid w:val="00E9742E"/>
    <w:rsid w:val="00E977CC"/>
    <w:rsid w:val="00E9781F"/>
    <w:rsid w:val="00E9792E"/>
    <w:rsid w:val="00E97A72"/>
    <w:rsid w:val="00EA00DE"/>
    <w:rsid w:val="00EA02E7"/>
    <w:rsid w:val="00EA116A"/>
    <w:rsid w:val="00EA193A"/>
    <w:rsid w:val="00EA1F3E"/>
    <w:rsid w:val="00EA25FA"/>
    <w:rsid w:val="00EA2DA1"/>
    <w:rsid w:val="00EA3AAA"/>
    <w:rsid w:val="00EA40EE"/>
    <w:rsid w:val="00EA423A"/>
    <w:rsid w:val="00EA4426"/>
    <w:rsid w:val="00EA466D"/>
    <w:rsid w:val="00EA535C"/>
    <w:rsid w:val="00EA5D88"/>
    <w:rsid w:val="00EA634F"/>
    <w:rsid w:val="00EA6A4F"/>
    <w:rsid w:val="00EA6BBC"/>
    <w:rsid w:val="00EA71C8"/>
    <w:rsid w:val="00EA7395"/>
    <w:rsid w:val="00EA7BDC"/>
    <w:rsid w:val="00EA7E10"/>
    <w:rsid w:val="00EB0328"/>
    <w:rsid w:val="00EB1746"/>
    <w:rsid w:val="00EB1D50"/>
    <w:rsid w:val="00EB21BD"/>
    <w:rsid w:val="00EB2964"/>
    <w:rsid w:val="00EB2B16"/>
    <w:rsid w:val="00EB2B94"/>
    <w:rsid w:val="00EB3198"/>
    <w:rsid w:val="00EB328A"/>
    <w:rsid w:val="00EB35BE"/>
    <w:rsid w:val="00EB3E01"/>
    <w:rsid w:val="00EB4ABB"/>
    <w:rsid w:val="00EB5065"/>
    <w:rsid w:val="00EB55F4"/>
    <w:rsid w:val="00EB5777"/>
    <w:rsid w:val="00EB57FD"/>
    <w:rsid w:val="00EB6B39"/>
    <w:rsid w:val="00EB6FDA"/>
    <w:rsid w:val="00EB707B"/>
    <w:rsid w:val="00EC0CCB"/>
    <w:rsid w:val="00EC0D0A"/>
    <w:rsid w:val="00EC0EA6"/>
    <w:rsid w:val="00EC0F78"/>
    <w:rsid w:val="00EC16ED"/>
    <w:rsid w:val="00EC18A4"/>
    <w:rsid w:val="00EC1B18"/>
    <w:rsid w:val="00EC20B8"/>
    <w:rsid w:val="00EC2239"/>
    <w:rsid w:val="00EC28D7"/>
    <w:rsid w:val="00EC2924"/>
    <w:rsid w:val="00EC2B5E"/>
    <w:rsid w:val="00EC380B"/>
    <w:rsid w:val="00EC39B5"/>
    <w:rsid w:val="00EC39BD"/>
    <w:rsid w:val="00EC44CC"/>
    <w:rsid w:val="00EC45BF"/>
    <w:rsid w:val="00EC45F2"/>
    <w:rsid w:val="00EC467A"/>
    <w:rsid w:val="00EC4C26"/>
    <w:rsid w:val="00EC5909"/>
    <w:rsid w:val="00EC5FF9"/>
    <w:rsid w:val="00EC60C4"/>
    <w:rsid w:val="00EC6FC0"/>
    <w:rsid w:val="00EC74CE"/>
    <w:rsid w:val="00EC74DC"/>
    <w:rsid w:val="00EC7533"/>
    <w:rsid w:val="00EC7630"/>
    <w:rsid w:val="00EC7953"/>
    <w:rsid w:val="00EC7BE7"/>
    <w:rsid w:val="00ED0273"/>
    <w:rsid w:val="00ED0808"/>
    <w:rsid w:val="00ED09CC"/>
    <w:rsid w:val="00ED18E8"/>
    <w:rsid w:val="00ED2053"/>
    <w:rsid w:val="00ED249E"/>
    <w:rsid w:val="00ED2793"/>
    <w:rsid w:val="00ED3D3E"/>
    <w:rsid w:val="00ED3D6A"/>
    <w:rsid w:val="00ED3F5A"/>
    <w:rsid w:val="00ED44CD"/>
    <w:rsid w:val="00ED49DA"/>
    <w:rsid w:val="00ED5099"/>
    <w:rsid w:val="00ED5279"/>
    <w:rsid w:val="00ED55D8"/>
    <w:rsid w:val="00ED6201"/>
    <w:rsid w:val="00ED6CFE"/>
    <w:rsid w:val="00ED749D"/>
    <w:rsid w:val="00ED7BC1"/>
    <w:rsid w:val="00EE01E3"/>
    <w:rsid w:val="00EE0361"/>
    <w:rsid w:val="00EE04F9"/>
    <w:rsid w:val="00EE059A"/>
    <w:rsid w:val="00EE0D36"/>
    <w:rsid w:val="00EE138F"/>
    <w:rsid w:val="00EE1F59"/>
    <w:rsid w:val="00EE3137"/>
    <w:rsid w:val="00EE3331"/>
    <w:rsid w:val="00EE3CF7"/>
    <w:rsid w:val="00EE4ADE"/>
    <w:rsid w:val="00EE4D9E"/>
    <w:rsid w:val="00EE5C88"/>
    <w:rsid w:val="00EE67B3"/>
    <w:rsid w:val="00EE6A27"/>
    <w:rsid w:val="00EE6FFE"/>
    <w:rsid w:val="00EE7660"/>
    <w:rsid w:val="00EE787B"/>
    <w:rsid w:val="00EF02E7"/>
    <w:rsid w:val="00EF039A"/>
    <w:rsid w:val="00EF06D3"/>
    <w:rsid w:val="00EF090D"/>
    <w:rsid w:val="00EF0981"/>
    <w:rsid w:val="00EF0F1B"/>
    <w:rsid w:val="00EF120E"/>
    <w:rsid w:val="00EF1439"/>
    <w:rsid w:val="00EF14CB"/>
    <w:rsid w:val="00EF1AAD"/>
    <w:rsid w:val="00EF242F"/>
    <w:rsid w:val="00EF2CA3"/>
    <w:rsid w:val="00EF2FCA"/>
    <w:rsid w:val="00EF35A1"/>
    <w:rsid w:val="00EF3EE8"/>
    <w:rsid w:val="00EF4FB1"/>
    <w:rsid w:val="00EF52E8"/>
    <w:rsid w:val="00EF531E"/>
    <w:rsid w:val="00EF53AD"/>
    <w:rsid w:val="00EF61F9"/>
    <w:rsid w:val="00EF6468"/>
    <w:rsid w:val="00EF6BE8"/>
    <w:rsid w:val="00F002F2"/>
    <w:rsid w:val="00F00523"/>
    <w:rsid w:val="00F00B65"/>
    <w:rsid w:val="00F018BE"/>
    <w:rsid w:val="00F01BAD"/>
    <w:rsid w:val="00F01E81"/>
    <w:rsid w:val="00F022D7"/>
    <w:rsid w:val="00F024F1"/>
    <w:rsid w:val="00F03650"/>
    <w:rsid w:val="00F039ED"/>
    <w:rsid w:val="00F04168"/>
    <w:rsid w:val="00F04A95"/>
    <w:rsid w:val="00F04D8F"/>
    <w:rsid w:val="00F058E6"/>
    <w:rsid w:val="00F0603A"/>
    <w:rsid w:val="00F061CE"/>
    <w:rsid w:val="00F0667E"/>
    <w:rsid w:val="00F07DEF"/>
    <w:rsid w:val="00F10AF5"/>
    <w:rsid w:val="00F11958"/>
    <w:rsid w:val="00F11E90"/>
    <w:rsid w:val="00F12B99"/>
    <w:rsid w:val="00F12CF0"/>
    <w:rsid w:val="00F12FC8"/>
    <w:rsid w:val="00F13174"/>
    <w:rsid w:val="00F13207"/>
    <w:rsid w:val="00F141E9"/>
    <w:rsid w:val="00F1437D"/>
    <w:rsid w:val="00F14686"/>
    <w:rsid w:val="00F146C4"/>
    <w:rsid w:val="00F14BEA"/>
    <w:rsid w:val="00F14CA9"/>
    <w:rsid w:val="00F14F63"/>
    <w:rsid w:val="00F160E8"/>
    <w:rsid w:val="00F1681E"/>
    <w:rsid w:val="00F168CA"/>
    <w:rsid w:val="00F17954"/>
    <w:rsid w:val="00F17965"/>
    <w:rsid w:val="00F20775"/>
    <w:rsid w:val="00F207CA"/>
    <w:rsid w:val="00F208DD"/>
    <w:rsid w:val="00F2138A"/>
    <w:rsid w:val="00F214D9"/>
    <w:rsid w:val="00F21596"/>
    <w:rsid w:val="00F21668"/>
    <w:rsid w:val="00F21B10"/>
    <w:rsid w:val="00F22350"/>
    <w:rsid w:val="00F2344F"/>
    <w:rsid w:val="00F237E8"/>
    <w:rsid w:val="00F23C23"/>
    <w:rsid w:val="00F23CD4"/>
    <w:rsid w:val="00F24B6F"/>
    <w:rsid w:val="00F24DB4"/>
    <w:rsid w:val="00F25BCB"/>
    <w:rsid w:val="00F26C75"/>
    <w:rsid w:val="00F26E25"/>
    <w:rsid w:val="00F27F65"/>
    <w:rsid w:val="00F300B4"/>
    <w:rsid w:val="00F3010C"/>
    <w:rsid w:val="00F30265"/>
    <w:rsid w:val="00F316BC"/>
    <w:rsid w:val="00F3192E"/>
    <w:rsid w:val="00F31F78"/>
    <w:rsid w:val="00F31FCE"/>
    <w:rsid w:val="00F323FA"/>
    <w:rsid w:val="00F32570"/>
    <w:rsid w:val="00F32B56"/>
    <w:rsid w:val="00F32B95"/>
    <w:rsid w:val="00F32E7A"/>
    <w:rsid w:val="00F32FBB"/>
    <w:rsid w:val="00F33429"/>
    <w:rsid w:val="00F334A2"/>
    <w:rsid w:val="00F33C10"/>
    <w:rsid w:val="00F342C6"/>
    <w:rsid w:val="00F34DA2"/>
    <w:rsid w:val="00F35791"/>
    <w:rsid w:val="00F35ADC"/>
    <w:rsid w:val="00F3619F"/>
    <w:rsid w:val="00F369A8"/>
    <w:rsid w:val="00F36F7F"/>
    <w:rsid w:val="00F37C3F"/>
    <w:rsid w:val="00F37D1F"/>
    <w:rsid w:val="00F37ECA"/>
    <w:rsid w:val="00F41477"/>
    <w:rsid w:val="00F41582"/>
    <w:rsid w:val="00F41EF5"/>
    <w:rsid w:val="00F41FFF"/>
    <w:rsid w:val="00F4259F"/>
    <w:rsid w:val="00F42AF5"/>
    <w:rsid w:val="00F43ABD"/>
    <w:rsid w:val="00F43E53"/>
    <w:rsid w:val="00F44058"/>
    <w:rsid w:val="00F44706"/>
    <w:rsid w:val="00F449A2"/>
    <w:rsid w:val="00F4607F"/>
    <w:rsid w:val="00F46306"/>
    <w:rsid w:val="00F46802"/>
    <w:rsid w:val="00F4688D"/>
    <w:rsid w:val="00F46907"/>
    <w:rsid w:val="00F46955"/>
    <w:rsid w:val="00F471A0"/>
    <w:rsid w:val="00F47BFC"/>
    <w:rsid w:val="00F501C9"/>
    <w:rsid w:val="00F509C7"/>
    <w:rsid w:val="00F50E7A"/>
    <w:rsid w:val="00F516C4"/>
    <w:rsid w:val="00F5172C"/>
    <w:rsid w:val="00F51737"/>
    <w:rsid w:val="00F52006"/>
    <w:rsid w:val="00F529AC"/>
    <w:rsid w:val="00F537AB"/>
    <w:rsid w:val="00F53AE7"/>
    <w:rsid w:val="00F53C6D"/>
    <w:rsid w:val="00F55457"/>
    <w:rsid w:val="00F55953"/>
    <w:rsid w:val="00F56C83"/>
    <w:rsid w:val="00F5747D"/>
    <w:rsid w:val="00F5781D"/>
    <w:rsid w:val="00F57BB0"/>
    <w:rsid w:val="00F57C11"/>
    <w:rsid w:val="00F600CE"/>
    <w:rsid w:val="00F60506"/>
    <w:rsid w:val="00F60DA8"/>
    <w:rsid w:val="00F61905"/>
    <w:rsid w:val="00F62A0B"/>
    <w:rsid w:val="00F63A51"/>
    <w:rsid w:val="00F63C66"/>
    <w:rsid w:val="00F64AE4"/>
    <w:rsid w:val="00F64C02"/>
    <w:rsid w:val="00F65170"/>
    <w:rsid w:val="00F654B6"/>
    <w:rsid w:val="00F6558F"/>
    <w:rsid w:val="00F660A2"/>
    <w:rsid w:val="00F66562"/>
    <w:rsid w:val="00F66BBE"/>
    <w:rsid w:val="00F67197"/>
    <w:rsid w:val="00F671DE"/>
    <w:rsid w:val="00F67983"/>
    <w:rsid w:val="00F67B62"/>
    <w:rsid w:val="00F67B66"/>
    <w:rsid w:val="00F7060C"/>
    <w:rsid w:val="00F710C1"/>
    <w:rsid w:val="00F7140E"/>
    <w:rsid w:val="00F71EA9"/>
    <w:rsid w:val="00F71ECB"/>
    <w:rsid w:val="00F7201D"/>
    <w:rsid w:val="00F722AC"/>
    <w:rsid w:val="00F72343"/>
    <w:rsid w:val="00F728D4"/>
    <w:rsid w:val="00F733C8"/>
    <w:rsid w:val="00F7363B"/>
    <w:rsid w:val="00F740F5"/>
    <w:rsid w:val="00F7443A"/>
    <w:rsid w:val="00F747D7"/>
    <w:rsid w:val="00F7482D"/>
    <w:rsid w:val="00F75196"/>
    <w:rsid w:val="00F757D5"/>
    <w:rsid w:val="00F75A3F"/>
    <w:rsid w:val="00F75F03"/>
    <w:rsid w:val="00F75F31"/>
    <w:rsid w:val="00F764FD"/>
    <w:rsid w:val="00F7679F"/>
    <w:rsid w:val="00F77310"/>
    <w:rsid w:val="00F77348"/>
    <w:rsid w:val="00F806B4"/>
    <w:rsid w:val="00F80C8D"/>
    <w:rsid w:val="00F82825"/>
    <w:rsid w:val="00F829DA"/>
    <w:rsid w:val="00F839F4"/>
    <w:rsid w:val="00F83A25"/>
    <w:rsid w:val="00F83E64"/>
    <w:rsid w:val="00F842F8"/>
    <w:rsid w:val="00F8445E"/>
    <w:rsid w:val="00F84483"/>
    <w:rsid w:val="00F844B7"/>
    <w:rsid w:val="00F84511"/>
    <w:rsid w:val="00F85954"/>
    <w:rsid w:val="00F85BB3"/>
    <w:rsid w:val="00F86254"/>
    <w:rsid w:val="00F873E2"/>
    <w:rsid w:val="00F8769E"/>
    <w:rsid w:val="00F876F1"/>
    <w:rsid w:val="00F87CED"/>
    <w:rsid w:val="00F87E0A"/>
    <w:rsid w:val="00F87ECF"/>
    <w:rsid w:val="00F90498"/>
    <w:rsid w:val="00F90BD3"/>
    <w:rsid w:val="00F918CE"/>
    <w:rsid w:val="00F92AEE"/>
    <w:rsid w:val="00F92C15"/>
    <w:rsid w:val="00F93795"/>
    <w:rsid w:val="00F937EC"/>
    <w:rsid w:val="00F93A29"/>
    <w:rsid w:val="00F93D97"/>
    <w:rsid w:val="00F94C16"/>
    <w:rsid w:val="00F94D6D"/>
    <w:rsid w:val="00F95210"/>
    <w:rsid w:val="00F953E3"/>
    <w:rsid w:val="00F9578D"/>
    <w:rsid w:val="00F9581F"/>
    <w:rsid w:val="00F963A2"/>
    <w:rsid w:val="00F96538"/>
    <w:rsid w:val="00F96F38"/>
    <w:rsid w:val="00F975AD"/>
    <w:rsid w:val="00F97754"/>
    <w:rsid w:val="00F97884"/>
    <w:rsid w:val="00F97A0F"/>
    <w:rsid w:val="00F97D6B"/>
    <w:rsid w:val="00FA0522"/>
    <w:rsid w:val="00FA0AEB"/>
    <w:rsid w:val="00FA1FF2"/>
    <w:rsid w:val="00FA2551"/>
    <w:rsid w:val="00FA3412"/>
    <w:rsid w:val="00FA4AF6"/>
    <w:rsid w:val="00FA4F79"/>
    <w:rsid w:val="00FA51A8"/>
    <w:rsid w:val="00FA5356"/>
    <w:rsid w:val="00FA5C98"/>
    <w:rsid w:val="00FA6626"/>
    <w:rsid w:val="00FA66E6"/>
    <w:rsid w:val="00FA687C"/>
    <w:rsid w:val="00FA7F91"/>
    <w:rsid w:val="00FB01AB"/>
    <w:rsid w:val="00FB0592"/>
    <w:rsid w:val="00FB08B1"/>
    <w:rsid w:val="00FB150E"/>
    <w:rsid w:val="00FB17AA"/>
    <w:rsid w:val="00FB249E"/>
    <w:rsid w:val="00FB267E"/>
    <w:rsid w:val="00FB2EB8"/>
    <w:rsid w:val="00FB3006"/>
    <w:rsid w:val="00FB323F"/>
    <w:rsid w:val="00FB4375"/>
    <w:rsid w:val="00FB5617"/>
    <w:rsid w:val="00FB6564"/>
    <w:rsid w:val="00FB6ECE"/>
    <w:rsid w:val="00FB796E"/>
    <w:rsid w:val="00FB7C88"/>
    <w:rsid w:val="00FC0141"/>
    <w:rsid w:val="00FC0679"/>
    <w:rsid w:val="00FC0A96"/>
    <w:rsid w:val="00FC0C68"/>
    <w:rsid w:val="00FC0F36"/>
    <w:rsid w:val="00FC318E"/>
    <w:rsid w:val="00FC324A"/>
    <w:rsid w:val="00FC33F4"/>
    <w:rsid w:val="00FC3F3C"/>
    <w:rsid w:val="00FC4CED"/>
    <w:rsid w:val="00FC5824"/>
    <w:rsid w:val="00FC58F6"/>
    <w:rsid w:val="00FC5A5D"/>
    <w:rsid w:val="00FC6B82"/>
    <w:rsid w:val="00FC783B"/>
    <w:rsid w:val="00FD02BF"/>
    <w:rsid w:val="00FD0832"/>
    <w:rsid w:val="00FD0BC2"/>
    <w:rsid w:val="00FD1388"/>
    <w:rsid w:val="00FD15DE"/>
    <w:rsid w:val="00FD1883"/>
    <w:rsid w:val="00FD24C1"/>
    <w:rsid w:val="00FD24D9"/>
    <w:rsid w:val="00FD2CD3"/>
    <w:rsid w:val="00FD317B"/>
    <w:rsid w:val="00FD33EF"/>
    <w:rsid w:val="00FD3549"/>
    <w:rsid w:val="00FD3C1D"/>
    <w:rsid w:val="00FD436A"/>
    <w:rsid w:val="00FD4FC8"/>
    <w:rsid w:val="00FD5179"/>
    <w:rsid w:val="00FD5356"/>
    <w:rsid w:val="00FD58A2"/>
    <w:rsid w:val="00FD5D55"/>
    <w:rsid w:val="00FD5D85"/>
    <w:rsid w:val="00FD6A83"/>
    <w:rsid w:val="00FD7751"/>
    <w:rsid w:val="00FD7810"/>
    <w:rsid w:val="00FD7D31"/>
    <w:rsid w:val="00FE05AB"/>
    <w:rsid w:val="00FE1396"/>
    <w:rsid w:val="00FE13A1"/>
    <w:rsid w:val="00FE15F3"/>
    <w:rsid w:val="00FE1864"/>
    <w:rsid w:val="00FE1B66"/>
    <w:rsid w:val="00FE1C6E"/>
    <w:rsid w:val="00FE214B"/>
    <w:rsid w:val="00FE2732"/>
    <w:rsid w:val="00FE27FB"/>
    <w:rsid w:val="00FE2DE5"/>
    <w:rsid w:val="00FE33DF"/>
    <w:rsid w:val="00FE36B7"/>
    <w:rsid w:val="00FE3A8C"/>
    <w:rsid w:val="00FE3B13"/>
    <w:rsid w:val="00FE3EAE"/>
    <w:rsid w:val="00FE45FC"/>
    <w:rsid w:val="00FE4E8F"/>
    <w:rsid w:val="00FE5192"/>
    <w:rsid w:val="00FE5200"/>
    <w:rsid w:val="00FE56F1"/>
    <w:rsid w:val="00FE5C42"/>
    <w:rsid w:val="00FE68BF"/>
    <w:rsid w:val="00FE71F9"/>
    <w:rsid w:val="00FE795B"/>
    <w:rsid w:val="00FF0417"/>
    <w:rsid w:val="00FF19B3"/>
    <w:rsid w:val="00FF1C2B"/>
    <w:rsid w:val="00FF23E5"/>
    <w:rsid w:val="00FF30FB"/>
    <w:rsid w:val="00FF3134"/>
    <w:rsid w:val="00FF371F"/>
    <w:rsid w:val="00FF393D"/>
    <w:rsid w:val="00FF4A16"/>
    <w:rsid w:val="00FF6622"/>
    <w:rsid w:val="00FF6F6C"/>
    <w:rsid w:val="00FF7461"/>
    <w:rsid w:val="00FF78BC"/>
    <w:rsid w:val="00FF7BD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825E73"/>
  <w15:chartTrackingRefBased/>
  <w15:docId w15:val="{9E72D751-B99E-41AF-A76F-C747DD7A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55"/>
    <w:pPr>
      <w:spacing w:after="200" w:line="276" w:lineRule="auto"/>
    </w:pPr>
    <w:rPr>
      <w:rFonts w:ascii="Calibri" w:eastAsia="Calibri" w:hAnsi="Calibri"/>
      <w:sz w:val="22"/>
      <w:szCs w:val="22"/>
      <w:lang w:eastAsia="en-US"/>
    </w:rPr>
  </w:style>
  <w:style w:type="paragraph" w:styleId="Heading1">
    <w:name w:val="heading 1"/>
    <w:basedOn w:val="Normal"/>
    <w:next w:val="Text1"/>
    <w:link w:val="Heading1Char"/>
    <w:qFormat/>
    <w:rsid w:val="008B67AE"/>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rsid w:val="008B67AE"/>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rsid w:val="008B67AE"/>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nhideWhenUsed/>
    <w:qFormat/>
    <w:rsid w:val="008B67AE"/>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7AE"/>
    <w:rPr>
      <w:b/>
      <w:bCs/>
      <w:smallCaps/>
      <w:sz w:val="24"/>
      <w:szCs w:val="32"/>
      <w:lang w:eastAsia="en-US"/>
    </w:rPr>
  </w:style>
  <w:style w:type="character" w:customStyle="1" w:styleId="Heading2Char">
    <w:name w:val="Heading 2 Char"/>
    <w:basedOn w:val="DefaultParagraphFont"/>
    <w:link w:val="Heading2"/>
    <w:rsid w:val="008B67AE"/>
    <w:rPr>
      <w:b/>
      <w:bCs/>
      <w:iCs/>
      <w:sz w:val="24"/>
      <w:szCs w:val="28"/>
      <w:lang w:eastAsia="en-US"/>
    </w:rPr>
  </w:style>
  <w:style w:type="character" w:customStyle="1" w:styleId="Heading3Char">
    <w:name w:val="Heading 3 Char"/>
    <w:basedOn w:val="DefaultParagraphFont"/>
    <w:link w:val="Heading3"/>
    <w:rsid w:val="008B67AE"/>
    <w:rPr>
      <w:bCs/>
      <w:i/>
      <w:sz w:val="24"/>
      <w:szCs w:val="26"/>
      <w:lang w:eastAsia="en-US"/>
    </w:rPr>
  </w:style>
  <w:style w:type="character" w:customStyle="1" w:styleId="Heading4Char">
    <w:name w:val="Heading 4 Char"/>
    <w:basedOn w:val="DefaultParagraphFont"/>
    <w:link w:val="Heading4"/>
    <w:rsid w:val="008B67AE"/>
    <w:rPr>
      <w:bCs/>
      <w:sz w:val="24"/>
      <w:szCs w:val="28"/>
      <w:lang w:eastAsia="en-US"/>
    </w:rPr>
  </w:style>
  <w:style w:type="character" w:styleId="Hyperlink">
    <w:name w:val="Hyperlink"/>
    <w:unhideWhenUsed/>
    <w:rsid w:val="008B67AE"/>
    <w:rPr>
      <w:rFonts w:ascii="Times New Roman" w:hAnsi="Times New Roman" w:cs="Times New Roman" w:hint="default"/>
      <w:color w:val="0000FF"/>
      <w:u w:val="single"/>
    </w:rPr>
  </w:style>
  <w:style w:type="character" w:styleId="FollowedHyperlink">
    <w:name w:val="FollowedHyperlink"/>
    <w:semiHidden/>
    <w:unhideWhenUsed/>
    <w:rsid w:val="008B67AE"/>
    <w:rPr>
      <w:color w:val="800080"/>
      <w:u w:val="single"/>
    </w:rPr>
  </w:style>
  <w:style w:type="paragraph" w:customStyle="1" w:styleId="Text1">
    <w:name w:val="Text 1"/>
    <w:basedOn w:val="Normal"/>
    <w:rsid w:val="008B67AE"/>
    <w:pPr>
      <w:spacing w:before="120" w:after="120" w:line="240" w:lineRule="auto"/>
      <w:ind w:left="850"/>
      <w:jc w:val="both"/>
    </w:pPr>
    <w:rPr>
      <w:rFonts w:ascii="Times New Roman" w:eastAsia="Times New Roman" w:hAnsi="Times New Roman"/>
      <w:sz w:val="24"/>
      <w:szCs w:val="24"/>
    </w:rPr>
  </w:style>
  <w:style w:type="paragraph" w:customStyle="1" w:styleId="msonormal0">
    <w:name w:val="msonormal"/>
    <w:basedOn w:val="Normal"/>
    <w:rsid w:val="008B67AE"/>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rsid w:val="008B67AE"/>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rsid w:val="008B67AE"/>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rsid w:val="008B67AE"/>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rsid w:val="008B67AE"/>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rsid w:val="008B67AE"/>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8B67AE"/>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8B67AE"/>
    <w:rPr>
      <w:lang w:eastAsia="en-US"/>
    </w:rPr>
  </w:style>
  <w:style w:type="paragraph" w:styleId="CommentText">
    <w:name w:val="annotation text"/>
    <w:basedOn w:val="Normal"/>
    <w:link w:val="CommentTextChar"/>
    <w:semiHidden/>
    <w:unhideWhenUsed/>
    <w:rsid w:val="008B67AE"/>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8B67AE"/>
  </w:style>
  <w:style w:type="paragraph" w:styleId="Header">
    <w:name w:val="header"/>
    <w:basedOn w:val="Normal"/>
    <w:link w:val="HeaderChar"/>
    <w:uiPriority w:val="99"/>
    <w:unhideWhenUsed/>
    <w:rsid w:val="008B67AE"/>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8B67AE"/>
    <w:rPr>
      <w:rFonts w:eastAsia="Calibri"/>
      <w:sz w:val="24"/>
      <w:szCs w:val="22"/>
      <w:lang w:eastAsia="en-US"/>
    </w:rPr>
  </w:style>
  <w:style w:type="paragraph" w:styleId="Footer">
    <w:name w:val="footer"/>
    <w:basedOn w:val="Normal"/>
    <w:link w:val="FooterChar"/>
    <w:uiPriority w:val="99"/>
    <w:unhideWhenUsed/>
    <w:rsid w:val="008B67AE"/>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B67AE"/>
    <w:rPr>
      <w:sz w:val="24"/>
      <w:szCs w:val="24"/>
      <w:lang w:eastAsia="en-US"/>
    </w:rPr>
  </w:style>
  <w:style w:type="paragraph" w:styleId="Caption">
    <w:name w:val="caption"/>
    <w:basedOn w:val="Normal"/>
    <w:next w:val="Normal"/>
    <w:unhideWhenUsed/>
    <w:qFormat/>
    <w:rsid w:val="008B67AE"/>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rsid w:val="008B67AE"/>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rsid w:val="008B67AE"/>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8B67AE"/>
    <w:rPr>
      <w:lang w:eastAsia="en-US"/>
    </w:rPr>
  </w:style>
  <w:style w:type="paragraph" w:styleId="ListBullet">
    <w:name w:val="List Bullet"/>
    <w:basedOn w:val="Normal"/>
    <w:semiHidden/>
    <w:unhideWhenUsed/>
    <w:rsid w:val="008B67AE"/>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unhideWhenUsed/>
    <w:rsid w:val="008B67AE"/>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rsid w:val="008B67AE"/>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rsid w:val="008B67AE"/>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rsid w:val="008B67AE"/>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rsid w:val="008B67AE"/>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rsid w:val="008B67AE"/>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rsid w:val="008B67AE"/>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sid w:val="008B67AE"/>
    <w:rPr>
      <w:b/>
      <w:bCs/>
      <w:lang w:eastAsia="de-DE"/>
    </w:rPr>
  </w:style>
  <w:style w:type="character" w:customStyle="1" w:styleId="CommentSubjectChar">
    <w:name w:val="Comment Subject Char"/>
    <w:basedOn w:val="CommentTextChar"/>
    <w:link w:val="CommentSubject"/>
    <w:semiHidden/>
    <w:rsid w:val="008B67AE"/>
    <w:rPr>
      <w:b/>
      <w:bCs/>
      <w:lang w:eastAsia="de-DE"/>
    </w:rPr>
  </w:style>
  <w:style w:type="paragraph" w:styleId="BalloonText">
    <w:name w:val="Balloon Text"/>
    <w:basedOn w:val="Normal"/>
    <w:link w:val="BalloonTextChar"/>
    <w:semiHidden/>
    <w:unhideWhenUsed/>
    <w:rsid w:val="008B67AE"/>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sid w:val="008B67AE"/>
    <w:rPr>
      <w:rFonts w:ascii="Tahoma" w:hAnsi="Tahoma" w:cs="Tahoma"/>
      <w:sz w:val="16"/>
      <w:szCs w:val="16"/>
      <w:lang w:eastAsia="de-DE"/>
    </w:rPr>
  </w:style>
  <w:style w:type="paragraph" w:styleId="Revision">
    <w:name w:val="Revision"/>
    <w:uiPriority w:val="99"/>
    <w:semiHidden/>
    <w:rsid w:val="008B67AE"/>
    <w:rPr>
      <w:sz w:val="24"/>
      <w:szCs w:val="24"/>
      <w:lang w:eastAsia="en-US"/>
    </w:rPr>
  </w:style>
  <w:style w:type="paragraph" w:styleId="TOCHeading">
    <w:name w:val="TOC Heading"/>
    <w:basedOn w:val="Normal"/>
    <w:next w:val="Normal"/>
    <w:unhideWhenUsed/>
    <w:qFormat/>
    <w:rsid w:val="008B67AE"/>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rsid w:val="008B67AE"/>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rsid w:val="008B67AE"/>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rsid w:val="008B67AE"/>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rsid w:val="008B67AE"/>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rsid w:val="008B67AE"/>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rsid w:val="008B67AE"/>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rsid w:val="008B67AE"/>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rsid w:val="008B67AE"/>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rsid w:val="008B67AE"/>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rsid w:val="008B67AE"/>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rsid w:val="008B67AE"/>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rsid w:val="008B67AE"/>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rsid w:val="008B67AE"/>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rsid w:val="008B67AE"/>
    <w:pPr>
      <w:numPr>
        <w:numId w:val="10"/>
      </w:numPr>
    </w:pPr>
  </w:style>
  <w:style w:type="paragraph" w:customStyle="1" w:styleId="Tiret1">
    <w:name w:val="Tiret 1"/>
    <w:basedOn w:val="Point1"/>
    <w:rsid w:val="008B67AE"/>
    <w:pPr>
      <w:numPr>
        <w:numId w:val="11"/>
      </w:numPr>
    </w:pPr>
  </w:style>
  <w:style w:type="paragraph" w:customStyle="1" w:styleId="Tiret2">
    <w:name w:val="Tiret 2"/>
    <w:basedOn w:val="Point2"/>
    <w:rsid w:val="008B67AE"/>
    <w:pPr>
      <w:numPr>
        <w:numId w:val="12"/>
      </w:numPr>
    </w:pPr>
  </w:style>
  <w:style w:type="paragraph" w:customStyle="1" w:styleId="Tiret3">
    <w:name w:val="Tiret 3"/>
    <w:basedOn w:val="Point3"/>
    <w:rsid w:val="008B67AE"/>
    <w:pPr>
      <w:numPr>
        <w:numId w:val="13"/>
      </w:numPr>
    </w:pPr>
  </w:style>
  <w:style w:type="paragraph" w:customStyle="1" w:styleId="Tiret4">
    <w:name w:val="Tiret 4"/>
    <w:basedOn w:val="Point4"/>
    <w:rsid w:val="008B67AE"/>
    <w:pPr>
      <w:numPr>
        <w:numId w:val="14"/>
      </w:numPr>
    </w:pPr>
  </w:style>
  <w:style w:type="paragraph" w:customStyle="1" w:styleId="PointDouble0">
    <w:name w:val="PointDouble 0"/>
    <w:basedOn w:val="Normal"/>
    <w:rsid w:val="008B67AE"/>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rsid w:val="008B67AE"/>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rsid w:val="008B67AE"/>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rsid w:val="008B67AE"/>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rsid w:val="008B67AE"/>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rsid w:val="008B67AE"/>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rsid w:val="008B67AE"/>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rsid w:val="008B67AE"/>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rsid w:val="008B67AE"/>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rsid w:val="008B67AE"/>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rsid w:val="008B67AE"/>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rsid w:val="008B67AE"/>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rsid w:val="008B67AE"/>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rsid w:val="008B67AE"/>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rsid w:val="008B67AE"/>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rsid w:val="008B67AE"/>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rsid w:val="008B67AE"/>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rsid w:val="008B67AE"/>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rsid w:val="008B67AE"/>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rsid w:val="008B67AE"/>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rsid w:val="008B67A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rsid w:val="008B67AE"/>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rsid w:val="008B67AE"/>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rsid w:val="008B67AE"/>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rsid w:val="008B67AE"/>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rsid w:val="008B67AE"/>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rsid w:val="008B67AE"/>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rsid w:val="008B67AE"/>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rsid w:val="008B67AE"/>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rsid w:val="008B67AE"/>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rsid w:val="008B67AE"/>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rsid w:val="008B67AE"/>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rsid w:val="008B67AE"/>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rsid w:val="008B67AE"/>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rsid w:val="008B67AE"/>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rsid w:val="008B67AE"/>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rsid w:val="008B67AE"/>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Institutionquisigne">
    <w:name w:val="Institution qui signe"/>
    <w:basedOn w:val="Normal"/>
    <w:next w:val="Personnequisigne"/>
    <w:rsid w:val="008B67A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Fait">
    <w:name w:val="Fait à"/>
    <w:basedOn w:val="Normal"/>
    <w:next w:val="Institutionquisigne"/>
    <w:rsid w:val="008B67A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rsid w:val="008B67AE"/>
    <w:pPr>
      <w:spacing w:before="480" w:after="120" w:line="240" w:lineRule="auto"/>
      <w:jc w:val="both"/>
    </w:pPr>
    <w:rPr>
      <w:rFonts w:ascii="Times New Roman" w:eastAsia="Times New Roman" w:hAnsi="Times New Roman"/>
      <w:sz w:val="24"/>
      <w:szCs w:val="24"/>
    </w:rPr>
  </w:style>
  <w:style w:type="paragraph" w:customStyle="1" w:styleId="Personnequisigne">
    <w:name w:val="Personne qui signe"/>
    <w:basedOn w:val="Normal"/>
    <w:next w:val="Institutionquisigne"/>
    <w:rsid w:val="008B67A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rsid w:val="008B67AE"/>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rsid w:val="008B67AE"/>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rsid w:val="008B67AE"/>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rsid w:val="008B67AE"/>
    <w:pPr>
      <w:spacing w:before="240" w:after="240" w:line="240" w:lineRule="auto"/>
      <w:ind w:left="5103"/>
      <w:jc w:val="both"/>
    </w:pPr>
    <w:rPr>
      <w:rFonts w:ascii="Times New Roman" w:eastAsia="Times New Roman" w:hAnsi="Times New Roman"/>
      <w:i/>
      <w:sz w:val="32"/>
      <w:szCs w:val="24"/>
    </w:rPr>
  </w:style>
  <w:style w:type="paragraph" w:customStyle="1" w:styleId="Sous-titreobjet">
    <w:name w:val="Sous-titre objet"/>
    <w:basedOn w:val="Normal"/>
    <w:rsid w:val="008B67AE"/>
    <w:pPr>
      <w:spacing w:after="0" w:line="240" w:lineRule="auto"/>
      <w:jc w:val="center"/>
    </w:pPr>
    <w:rPr>
      <w:rFonts w:ascii="Times New Roman" w:eastAsia="Times New Roman" w:hAnsi="Times New Roman"/>
      <w:b/>
      <w:sz w:val="24"/>
      <w:szCs w:val="24"/>
    </w:rPr>
  </w:style>
  <w:style w:type="paragraph" w:customStyle="1" w:styleId="Titreobjet">
    <w:name w:val="Titre objet"/>
    <w:basedOn w:val="Normal"/>
    <w:next w:val="Sous-titreobjet"/>
    <w:rsid w:val="008B67AE"/>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rsid w:val="008B67AE"/>
    <w:pPr>
      <w:spacing w:before="360"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rsid w:val="008B67AE"/>
  </w:style>
  <w:style w:type="paragraph" w:customStyle="1" w:styleId="TitreobjetPagedecouverture">
    <w:name w:val="Titre objet (Page de couverture)"/>
    <w:basedOn w:val="Titreobjet"/>
    <w:next w:val="Sous-titreobjetPagedecouverture"/>
    <w:rsid w:val="008B67AE"/>
  </w:style>
  <w:style w:type="paragraph" w:customStyle="1" w:styleId="Considrant">
    <w:name w:val="Considérant"/>
    <w:basedOn w:val="Normal"/>
    <w:rsid w:val="008B67AE"/>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rsid w:val="008B67AE"/>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rsid w:val="008B67AE"/>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rsid w:val="008B67AE"/>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rsid w:val="008B67A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rsid w:val="008B67AE"/>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rsid w:val="008B67A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rsid w:val="008B67AE"/>
    <w:pPr>
      <w:keepNext/>
      <w:spacing w:before="600" w:after="120" w:line="240" w:lineRule="auto"/>
      <w:jc w:val="both"/>
    </w:pPr>
    <w:rPr>
      <w:rFonts w:ascii="Times New Roman" w:eastAsia="Times New Roman" w:hAnsi="Times New Roman"/>
      <w:sz w:val="24"/>
      <w:szCs w:val="24"/>
    </w:rPr>
  </w:style>
  <w:style w:type="paragraph" w:customStyle="1" w:styleId="Rfrenceinterinstitutionnelle">
    <w:name w:val="Référence interinstitutionnelle"/>
    <w:basedOn w:val="Normal"/>
    <w:next w:val="Statut"/>
    <w:rsid w:val="008B67AE"/>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rsid w:val="008B67A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rsid w:val="008B67A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Statut">
    <w:name w:val="Statut"/>
    <w:basedOn w:val="Normal"/>
    <w:next w:val="Typedudocument"/>
    <w:rsid w:val="008B67AE"/>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rsid w:val="008B67AE"/>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rsid w:val="008B67AE"/>
    <w:pPr>
      <w:spacing w:after="0" w:line="240" w:lineRule="auto"/>
    </w:pPr>
    <w:rPr>
      <w:rFonts w:ascii="Arial" w:eastAsia="Times New Roman" w:hAnsi="Arial" w:cs="Arial"/>
      <w:sz w:val="24"/>
      <w:szCs w:val="24"/>
    </w:rPr>
  </w:style>
  <w:style w:type="paragraph" w:customStyle="1" w:styleId="Address">
    <w:name w:val="Address"/>
    <w:basedOn w:val="Normal"/>
    <w:next w:val="Normal"/>
    <w:rsid w:val="008B67AE"/>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rsid w:val="008B67AE"/>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rsid w:val="008B67AE"/>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rsid w:val="008B67AE"/>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rsid w:val="008B67AE"/>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rsid w:val="008B67AE"/>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rsid w:val="008B67AE"/>
  </w:style>
  <w:style w:type="paragraph" w:customStyle="1" w:styleId="RfrenceinterinstitutionnellePagedecouverture">
    <w:name w:val="Référence interinstitutionnelle (Page de couverture)"/>
    <w:basedOn w:val="Rfrenceinterinstitutionnelle"/>
    <w:next w:val="Confidentialit"/>
    <w:rsid w:val="008B67AE"/>
  </w:style>
  <w:style w:type="paragraph" w:customStyle="1" w:styleId="StatutPagedecouverture">
    <w:name w:val="Statut (Page de couverture)"/>
    <w:basedOn w:val="Statut"/>
    <w:next w:val="TypedudocumentPagedecouverture"/>
    <w:rsid w:val="008B67AE"/>
  </w:style>
  <w:style w:type="paragraph" w:customStyle="1" w:styleId="Volume">
    <w:name w:val="Volume"/>
    <w:basedOn w:val="Normal"/>
    <w:next w:val="Confidentialit"/>
    <w:rsid w:val="008B67AE"/>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rsid w:val="008B67AE"/>
    <w:pPr>
      <w:spacing w:after="240"/>
    </w:pPr>
  </w:style>
  <w:style w:type="paragraph" w:customStyle="1" w:styleId="Objetacteprincipal">
    <w:name w:val="Objet acte principal"/>
    <w:basedOn w:val="Normal"/>
    <w:next w:val="Titrearticle"/>
    <w:rsid w:val="008B67AE"/>
    <w:pPr>
      <w:spacing w:after="360" w:line="240" w:lineRule="auto"/>
      <w:jc w:val="center"/>
    </w:pPr>
    <w:rPr>
      <w:rFonts w:ascii="Times New Roman" w:eastAsia="Times New Roman" w:hAnsi="Times New Roman"/>
      <w:b/>
      <w:sz w:val="24"/>
      <w:szCs w:val="24"/>
    </w:rPr>
  </w:style>
  <w:style w:type="paragraph" w:customStyle="1" w:styleId="Typeacteprincipal">
    <w:name w:val="Type acte principal"/>
    <w:basedOn w:val="Normal"/>
    <w:next w:val="Objetacteprincipal"/>
    <w:rsid w:val="008B67AE"/>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rsid w:val="008B67AE"/>
    <w:pPr>
      <w:spacing w:after="240" w:line="240" w:lineRule="auto"/>
      <w:jc w:val="center"/>
    </w:pPr>
    <w:rPr>
      <w:rFonts w:ascii="Times New Roman" w:eastAsia="Times New Roman" w:hAnsi="Times New Roman"/>
      <w:b/>
      <w:i/>
      <w:sz w:val="24"/>
      <w:szCs w:val="24"/>
    </w:rPr>
  </w:style>
  <w:style w:type="paragraph" w:customStyle="1" w:styleId="IntrtEEEPagedecouverture">
    <w:name w:val="Intérêt EEE (Page de couverture)"/>
    <w:basedOn w:val="IntrtEEE"/>
    <w:next w:val="Rfrencecroise"/>
    <w:rsid w:val="008B67AE"/>
  </w:style>
  <w:style w:type="paragraph" w:customStyle="1" w:styleId="ObjetacteprincipalPagedecouverture">
    <w:name w:val="Objet acte principal (Page de couverture)"/>
    <w:basedOn w:val="Objetacteprincipal"/>
    <w:next w:val="Rfrencecroise"/>
    <w:rsid w:val="008B67AE"/>
  </w:style>
  <w:style w:type="paragraph" w:customStyle="1" w:styleId="TypeacteprincipalPagedecouverture">
    <w:name w:val="Type acte principal (Page de couverture)"/>
    <w:basedOn w:val="Typeacteprincipal"/>
    <w:next w:val="ObjetacteprincipalPagedecouverture"/>
    <w:rsid w:val="008B67AE"/>
  </w:style>
  <w:style w:type="paragraph" w:customStyle="1" w:styleId="AccompagnantPagedecouverture">
    <w:name w:val="Accompagnant (Page de couverture)"/>
    <w:basedOn w:val="Accompagnant"/>
    <w:next w:val="TypeacteprincipalPagedecouverture"/>
    <w:rsid w:val="008B67AE"/>
  </w:style>
  <w:style w:type="paragraph" w:customStyle="1" w:styleId="LanguesfaisantfoiPagedecouverture">
    <w:name w:val="Langues faisant foi (Page de couverture)"/>
    <w:basedOn w:val="Normal"/>
    <w:next w:val="Normal"/>
    <w:rsid w:val="008B67AE"/>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rsid w:val="008B67AE"/>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rsid w:val="008B67AE"/>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rsid w:val="008B67AE"/>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rsid w:val="008B67AE"/>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rsid w:val="008B67AE"/>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rsid w:val="008B67AE"/>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rsid w:val="008B67AE"/>
    <w:pPr>
      <w:numPr>
        <w:numId w:val="29"/>
      </w:numPr>
    </w:pPr>
    <w:rPr>
      <w:lang w:eastAsia="de-DE"/>
    </w:rPr>
  </w:style>
  <w:style w:type="paragraph" w:customStyle="1" w:styleId="ListNumberLevel2">
    <w:name w:val="List Number (Level 2)"/>
    <w:basedOn w:val="Normal"/>
    <w:rsid w:val="008B67AE"/>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rsid w:val="008B67AE"/>
    <w:pPr>
      <w:numPr>
        <w:ilvl w:val="1"/>
        <w:numId w:val="29"/>
      </w:numPr>
    </w:pPr>
    <w:rPr>
      <w:lang w:eastAsia="de-DE"/>
    </w:rPr>
  </w:style>
  <w:style w:type="paragraph" w:customStyle="1" w:styleId="ListNumber2Level2">
    <w:name w:val="List Number 2 (Level 2)"/>
    <w:basedOn w:val="Text2"/>
    <w:rsid w:val="008B67AE"/>
    <w:pPr>
      <w:numPr>
        <w:ilvl w:val="1"/>
        <w:numId w:val="7"/>
      </w:numPr>
    </w:pPr>
    <w:rPr>
      <w:lang w:eastAsia="de-DE"/>
    </w:rPr>
  </w:style>
  <w:style w:type="paragraph" w:customStyle="1" w:styleId="ListNumber3Level2">
    <w:name w:val="List Number 3 (Level 2)"/>
    <w:basedOn w:val="Text3"/>
    <w:rsid w:val="008B67AE"/>
    <w:pPr>
      <w:numPr>
        <w:ilvl w:val="1"/>
        <w:numId w:val="8"/>
      </w:numPr>
    </w:pPr>
    <w:rPr>
      <w:lang w:eastAsia="de-DE"/>
    </w:rPr>
  </w:style>
  <w:style w:type="paragraph" w:customStyle="1" w:styleId="ListNumber4Level2">
    <w:name w:val="List Number 4 (Level 2)"/>
    <w:basedOn w:val="Text4"/>
    <w:rsid w:val="008B67AE"/>
    <w:pPr>
      <w:numPr>
        <w:ilvl w:val="1"/>
        <w:numId w:val="9"/>
      </w:numPr>
    </w:pPr>
    <w:rPr>
      <w:lang w:eastAsia="de-DE"/>
    </w:rPr>
  </w:style>
  <w:style w:type="paragraph" w:customStyle="1" w:styleId="ListNumberLevel3">
    <w:name w:val="List Number (Level 3)"/>
    <w:basedOn w:val="Normal"/>
    <w:rsid w:val="008B67AE"/>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rsid w:val="008B67AE"/>
    <w:pPr>
      <w:numPr>
        <w:ilvl w:val="2"/>
        <w:numId w:val="29"/>
      </w:numPr>
    </w:pPr>
    <w:rPr>
      <w:lang w:eastAsia="de-DE"/>
    </w:rPr>
  </w:style>
  <w:style w:type="paragraph" w:customStyle="1" w:styleId="ListNumber2Level3">
    <w:name w:val="List Number 2 (Level 3)"/>
    <w:basedOn w:val="Text2"/>
    <w:rsid w:val="008B67AE"/>
    <w:pPr>
      <w:numPr>
        <w:ilvl w:val="2"/>
        <w:numId w:val="7"/>
      </w:numPr>
    </w:pPr>
    <w:rPr>
      <w:lang w:eastAsia="de-DE"/>
    </w:rPr>
  </w:style>
  <w:style w:type="paragraph" w:customStyle="1" w:styleId="ListNumber3Level3">
    <w:name w:val="List Number 3 (Level 3)"/>
    <w:basedOn w:val="Text3"/>
    <w:rsid w:val="008B67AE"/>
    <w:pPr>
      <w:numPr>
        <w:ilvl w:val="2"/>
        <w:numId w:val="8"/>
      </w:numPr>
    </w:pPr>
    <w:rPr>
      <w:lang w:eastAsia="de-DE"/>
    </w:rPr>
  </w:style>
  <w:style w:type="paragraph" w:customStyle="1" w:styleId="ListNumber4Level3">
    <w:name w:val="List Number 4 (Level 3)"/>
    <w:basedOn w:val="Text4"/>
    <w:rsid w:val="008B67AE"/>
    <w:pPr>
      <w:numPr>
        <w:ilvl w:val="2"/>
        <w:numId w:val="9"/>
      </w:numPr>
    </w:pPr>
    <w:rPr>
      <w:lang w:eastAsia="de-DE"/>
    </w:rPr>
  </w:style>
  <w:style w:type="paragraph" w:customStyle="1" w:styleId="ListNumberLevel4">
    <w:name w:val="List Number (Level 4)"/>
    <w:basedOn w:val="Normal"/>
    <w:rsid w:val="008B67AE"/>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rsid w:val="008B67AE"/>
    <w:pPr>
      <w:numPr>
        <w:ilvl w:val="3"/>
        <w:numId w:val="29"/>
      </w:numPr>
    </w:pPr>
    <w:rPr>
      <w:lang w:eastAsia="de-DE"/>
    </w:rPr>
  </w:style>
  <w:style w:type="paragraph" w:customStyle="1" w:styleId="ListNumber2Level4">
    <w:name w:val="List Number 2 (Level 4)"/>
    <w:basedOn w:val="Text2"/>
    <w:rsid w:val="008B67AE"/>
    <w:pPr>
      <w:numPr>
        <w:ilvl w:val="3"/>
        <w:numId w:val="7"/>
      </w:numPr>
    </w:pPr>
    <w:rPr>
      <w:lang w:eastAsia="de-DE"/>
    </w:rPr>
  </w:style>
  <w:style w:type="paragraph" w:customStyle="1" w:styleId="ListNumber3Level4">
    <w:name w:val="List Number 3 (Level 4)"/>
    <w:basedOn w:val="Text3"/>
    <w:rsid w:val="008B67AE"/>
    <w:pPr>
      <w:numPr>
        <w:ilvl w:val="3"/>
        <w:numId w:val="8"/>
      </w:numPr>
    </w:pPr>
    <w:rPr>
      <w:lang w:eastAsia="de-DE"/>
    </w:rPr>
  </w:style>
  <w:style w:type="paragraph" w:customStyle="1" w:styleId="ListNumber4Level4">
    <w:name w:val="List Number 4 (Level 4)"/>
    <w:basedOn w:val="Text4"/>
    <w:rsid w:val="008B67AE"/>
    <w:pPr>
      <w:numPr>
        <w:ilvl w:val="3"/>
        <w:numId w:val="9"/>
      </w:numPr>
    </w:pPr>
    <w:rPr>
      <w:lang w:eastAsia="de-DE"/>
    </w:rPr>
  </w:style>
  <w:style w:type="paragraph" w:customStyle="1" w:styleId="Rfrenceinterinstitutionelleprliminaire">
    <w:name w:val="Référence interinstitutionelle (préliminaire)"/>
    <w:basedOn w:val="Normal"/>
    <w:next w:val="Normal"/>
    <w:rsid w:val="008B67AE"/>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rsid w:val="008B67AE"/>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rsid w:val="008B67AE"/>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rsid w:val="008B67AE"/>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rsid w:val="008B67AE"/>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rsid w:val="008B67AE"/>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rsid w:val="008B67AE"/>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rsid w:val="008B67AE"/>
    <w:pPr>
      <w:autoSpaceDE w:val="0"/>
      <w:autoSpaceDN w:val="0"/>
      <w:adjustRightInd w:val="0"/>
    </w:pPr>
    <w:rPr>
      <w:rFonts w:ascii="EUAlbertina" w:hAnsi="EUAlbertina" w:cs="EUAlbertina"/>
      <w:color w:val="000000"/>
      <w:sz w:val="24"/>
      <w:szCs w:val="24"/>
    </w:rPr>
  </w:style>
  <w:style w:type="character" w:customStyle="1" w:styleId="FooterCoverPageChar">
    <w:name w:val="Footer Cover Page Char"/>
    <w:link w:val="FooterCoverPage"/>
    <w:locked/>
    <w:rsid w:val="008B67AE"/>
    <w:rPr>
      <w:rFonts w:eastAsia="Calibri"/>
      <w:sz w:val="24"/>
      <w:szCs w:val="22"/>
      <w:lang w:eastAsia="en-US"/>
    </w:rPr>
  </w:style>
  <w:style w:type="paragraph" w:customStyle="1" w:styleId="FooterCoverPage">
    <w:name w:val="Footer Cover Page"/>
    <w:basedOn w:val="Normal"/>
    <w:link w:val="FooterCoverPageChar"/>
    <w:rsid w:val="008B67AE"/>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erCoverPageChar">
    <w:name w:val="Header Cover Page Char"/>
    <w:link w:val="HeaderCoverPage"/>
    <w:locked/>
    <w:rsid w:val="008B67AE"/>
    <w:rPr>
      <w:rFonts w:eastAsia="Calibri"/>
      <w:sz w:val="24"/>
      <w:szCs w:val="22"/>
      <w:lang w:eastAsia="en-US"/>
    </w:rPr>
  </w:style>
  <w:style w:type="paragraph" w:customStyle="1" w:styleId="HeaderCoverPage">
    <w:name w:val="Header Cover Page"/>
    <w:basedOn w:val="Normal"/>
    <w:link w:val="HeaderCoverPageChar"/>
    <w:rsid w:val="008B67AE"/>
    <w:pPr>
      <w:tabs>
        <w:tab w:val="center" w:pos="4535"/>
        <w:tab w:val="right" w:pos="9071"/>
      </w:tabs>
      <w:spacing w:after="120" w:line="240" w:lineRule="auto"/>
      <w:jc w:val="both"/>
    </w:pPr>
    <w:rPr>
      <w:rFonts w:ascii="Times New Roman" w:hAnsi="Times New Roman"/>
      <w:sz w:val="24"/>
    </w:rPr>
  </w:style>
  <w:style w:type="character" w:styleId="FootnoteReference">
    <w:name w:val="footnote reference"/>
    <w:uiPriority w:val="99"/>
    <w:unhideWhenUsed/>
    <w:rsid w:val="008B67AE"/>
    <w:rPr>
      <w:vertAlign w:val="superscript"/>
    </w:rPr>
  </w:style>
  <w:style w:type="character" w:styleId="CommentReference">
    <w:name w:val="annotation reference"/>
    <w:semiHidden/>
    <w:unhideWhenUsed/>
    <w:rsid w:val="008B67AE"/>
    <w:rPr>
      <w:rFonts w:ascii="Times New Roman" w:hAnsi="Times New Roman" w:cs="Times New Roman" w:hint="default"/>
      <w:sz w:val="16"/>
    </w:rPr>
  </w:style>
  <w:style w:type="character" w:styleId="EndnoteReference">
    <w:name w:val="endnote reference"/>
    <w:semiHidden/>
    <w:unhideWhenUsed/>
    <w:rsid w:val="008B67AE"/>
    <w:rPr>
      <w:vertAlign w:val="superscript"/>
    </w:rPr>
  </w:style>
  <w:style w:type="character" w:customStyle="1" w:styleId="Marker">
    <w:name w:val="Marker"/>
    <w:rsid w:val="008B67AE"/>
    <w:rPr>
      <w:color w:val="0000FF"/>
    </w:rPr>
  </w:style>
  <w:style w:type="character" w:customStyle="1" w:styleId="Marker1">
    <w:name w:val="Marker1"/>
    <w:rsid w:val="008B67AE"/>
    <w:rPr>
      <w:color w:val="008000"/>
    </w:rPr>
  </w:style>
  <w:style w:type="character" w:customStyle="1" w:styleId="Marker2">
    <w:name w:val="Marker2"/>
    <w:rsid w:val="008B67AE"/>
    <w:rPr>
      <w:color w:val="FF0000"/>
    </w:rPr>
  </w:style>
  <w:style w:type="character" w:customStyle="1" w:styleId="Added">
    <w:name w:val="Added"/>
    <w:rsid w:val="008B67AE"/>
    <w:rPr>
      <w:b/>
      <w:bCs w:val="0"/>
      <w:u w:val="single"/>
    </w:rPr>
  </w:style>
  <w:style w:type="character" w:customStyle="1" w:styleId="Deleted">
    <w:name w:val="Deleted"/>
    <w:rsid w:val="008B67AE"/>
    <w:rPr>
      <w:strike/>
    </w:rPr>
  </w:style>
  <w:style w:type="table" w:styleId="TableGrid">
    <w:name w:val="Table Grid"/>
    <w:basedOn w:val="TableNormal"/>
    <w:rsid w:val="008B67AE"/>
    <w:pPr>
      <w:spacing w:before="120" w:after="1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67AE"/>
    <w:rPr>
      <w:b/>
      <w:bCs/>
    </w:rPr>
  </w:style>
  <w:style w:type="paragraph" w:customStyle="1" w:styleId="Declassification">
    <w:name w:val="Declassification"/>
    <w:basedOn w:val="Normal"/>
    <w:next w:val="Normal"/>
    <w:rsid w:val="00A73481"/>
    <w:pPr>
      <w:spacing w:after="0" w:line="240" w:lineRule="auto"/>
      <w:jc w:val="both"/>
    </w:pPr>
    <w:rPr>
      <w:rFonts w:ascii="Times New Roman" w:hAnsi="Times New Roman"/>
      <w:sz w:val="24"/>
    </w:rPr>
  </w:style>
  <w:style w:type="paragraph" w:customStyle="1" w:styleId="HeaderSensitivity">
    <w:name w:val="Header Sensitivity"/>
    <w:basedOn w:val="Normal"/>
    <w:rsid w:val="00A7348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rsid w:val="00A7348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rsid w:val="00A73481"/>
    <w:pPr>
      <w:spacing w:after="0"/>
      <w:ind w:left="5103"/>
    </w:pPr>
    <w:rPr>
      <w:rFonts w:ascii="Times New Roman" w:eastAsiaTheme="minorHAnsi" w:hAnsi="Times New Roman"/>
      <w:sz w:val="28"/>
    </w:rPr>
  </w:style>
  <w:style w:type="paragraph" w:customStyle="1" w:styleId="DateMarking">
    <w:name w:val="DateMarking"/>
    <w:basedOn w:val="Normal"/>
    <w:rsid w:val="00A73481"/>
    <w:pPr>
      <w:spacing w:after="0"/>
      <w:ind w:left="5103"/>
    </w:pPr>
    <w:rPr>
      <w:rFonts w:ascii="Times New Roman" w:eastAsiaTheme="minorHAnsi" w:hAnsi="Times New Roman"/>
      <w:i/>
      <w:sz w:val="28"/>
    </w:rPr>
  </w:style>
  <w:style w:type="paragraph" w:customStyle="1" w:styleId="ReleasableTo">
    <w:name w:val="ReleasableTo"/>
    <w:basedOn w:val="Normal"/>
    <w:rsid w:val="00A73481"/>
    <w:pPr>
      <w:spacing w:after="0"/>
      <w:ind w:left="5103"/>
    </w:pPr>
    <w:rPr>
      <w:rFonts w:ascii="Times New Roman" w:eastAsiaTheme="minorHAnsi" w:hAnsi="Times New Roman"/>
      <w:i/>
      <w:sz w:val="28"/>
    </w:rPr>
  </w:style>
  <w:style w:type="paragraph" w:customStyle="1" w:styleId="HeaderSensitivityRight">
    <w:name w:val="Header Sensitivity Right"/>
    <w:basedOn w:val="Normal"/>
    <w:rsid w:val="00A73481"/>
    <w:pPr>
      <w:spacing w:after="120" w:line="240" w:lineRule="auto"/>
      <w:jc w:val="right"/>
    </w:pPr>
    <w:rPr>
      <w:rFonts w:ascii="Times New Roman" w:hAnsi="Times New Roman"/>
      <w:sz w:val="28"/>
    </w:rPr>
  </w:style>
  <w:style w:type="paragraph" w:styleId="NormalWeb">
    <w:name w:val="Normal (Web)"/>
    <w:basedOn w:val="Normal"/>
    <w:uiPriority w:val="99"/>
    <w:semiHidden/>
    <w:unhideWhenUsed/>
    <w:rsid w:val="00A7348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8324A6"/>
    <w:rPr>
      <w:color w:val="605E5C"/>
      <w:shd w:val="clear" w:color="auto" w:fill="E1DFDD"/>
    </w:rPr>
  </w:style>
  <w:style w:type="character" w:customStyle="1" w:styleId="UnresolvedMention2">
    <w:name w:val="Unresolved Mention2"/>
    <w:basedOn w:val="DefaultParagraphFont"/>
    <w:uiPriority w:val="99"/>
    <w:semiHidden/>
    <w:unhideWhenUsed/>
    <w:rsid w:val="00A20577"/>
    <w:rPr>
      <w:color w:val="605E5C"/>
      <w:shd w:val="clear" w:color="auto" w:fill="E1DFDD"/>
    </w:rPr>
  </w:style>
  <w:style w:type="paragraph" w:styleId="ListParagraph">
    <w:name w:val="List Paragraph"/>
    <w:basedOn w:val="Normal"/>
    <w:uiPriority w:val="34"/>
    <w:qFormat/>
    <w:rsid w:val="00955347"/>
    <w:pPr>
      <w:ind w:left="720"/>
      <w:contextualSpacing/>
    </w:pPr>
  </w:style>
  <w:style w:type="character" w:customStyle="1" w:styleId="UnresolvedMention3">
    <w:name w:val="Unresolved Mention3"/>
    <w:basedOn w:val="DefaultParagraphFont"/>
    <w:uiPriority w:val="99"/>
    <w:semiHidden/>
    <w:unhideWhenUsed/>
    <w:rsid w:val="0086550D"/>
    <w:rPr>
      <w:color w:val="605E5C"/>
      <w:shd w:val="clear" w:color="auto" w:fill="E1DFDD"/>
    </w:rPr>
  </w:style>
  <w:style w:type="character" w:customStyle="1" w:styleId="UnresolvedMention">
    <w:name w:val="Unresolved Mention"/>
    <w:basedOn w:val="DefaultParagraphFont"/>
    <w:uiPriority w:val="99"/>
    <w:semiHidden/>
    <w:unhideWhenUsed/>
    <w:rsid w:val="00E8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60981">
      <w:bodyDiv w:val="1"/>
      <w:marLeft w:val="0"/>
      <w:marRight w:val="0"/>
      <w:marTop w:val="0"/>
      <w:marBottom w:val="0"/>
      <w:divBdr>
        <w:top w:val="none" w:sz="0" w:space="0" w:color="auto"/>
        <w:left w:val="none" w:sz="0" w:space="0" w:color="auto"/>
        <w:bottom w:val="none" w:sz="0" w:space="0" w:color="auto"/>
        <w:right w:val="none" w:sz="0" w:space="0" w:color="auto"/>
      </w:divBdr>
    </w:div>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530075490">
      <w:bodyDiv w:val="1"/>
      <w:marLeft w:val="0"/>
      <w:marRight w:val="0"/>
      <w:marTop w:val="0"/>
      <w:marBottom w:val="0"/>
      <w:divBdr>
        <w:top w:val="none" w:sz="0" w:space="0" w:color="auto"/>
        <w:left w:val="none" w:sz="0" w:space="0" w:color="auto"/>
        <w:bottom w:val="none" w:sz="0" w:space="0" w:color="auto"/>
        <w:right w:val="none" w:sz="0" w:space="0" w:color="auto"/>
      </w:divBdr>
    </w:div>
    <w:div w:id="753210670">
      <w:bodyDiv w:val="1"/>
      <w:marLeft w:val="0"/>
      <w:marRight w:val="0"/>
      <w:marTop w:val="0"/>
      <w:marBottom w:val="0"/>
      <w:divBdr>
        <w:top w:val="none" w:sz="0" w:space="0" w:color="auto"/>
        <w:left w:val="none" w:sz="0" w:space="0" w:color="auto"/>
        <w:bottom w:val="none" w:sz="0" w:space="0" w:color="auto"/>
        <w:right w:val="none" w:sz="0" w:space="0" w:color="auto"/>
      </w:divBdr>
    </w:div>
    <w:div w:id="1326981571">
      <w:bodyDiv w:val="1"/>
      <w:marLeft w:val="0"/>
      <w:marRight w:val="0"/>
      <w:marTop w:val="0"/>
      <w:marBottom w:val="0"/>
      <w:divBdr>
        <w:top w:val="none" w:sz="0" w:space="0" w:color="auto"/>
        <w:left w:val="none" w:sz="0" w:space="0" w:color="auto"/>
        <w:bottom w:val="none" w:sz="0" w:space="0" w:color="auto"/>
        <w:right w:val="none" w:sz="0" w:space="0" w:color="auto"/>
      </w:divBdr>
    </w:div>
    <w:div w:id="15751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_pt" TargetMode="External"/><Relationship Id="rId2" Type="http://schemas.openxmlformats.org/officeDocument/2006/relationships/hyperlink" Target="https://eur-lex.europa.eu/legal-content/PT/TXT/?uri=OJ:L:2022:275:TOC" TargetMode="External"/><Relationship Id="rId1" Type="http://schemas.openxmlformats.org/officeDocument/2006/relationships/hyperlink" Target="https://ec.europa.eu/transparency/comitology-register/scre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9366A3-DD58-47FC-870D-5395C3FF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3179</Words>
  <Characters>14530</Characters>
  <Application>Microsoft Office Word</Application>
  <DocSecurity>0</DocSecurity>
  <Lines>1117</Lines>
  <Paragraphs>1041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cp:lastPrinted>2021-05-06T06:24:00Z</cp:lastPrinted>
  <dcterms:created xsi:type="dcterms:W3CDTF">2023-10-12T08:45:00Z</dcterms:created>
  <dcterms:modified xsi:type="dcterms:W3CDTF">2023-10-16T14:35:00Z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2022-04-26T13:29:07Z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a189bb57-ace6-49f8-934a-6876e0e37d76</vt:lpwstr>
  </property>
  <property fmtid="{D5CDD505-2E9C-101B-9397-08002B2CF9AE}" pid="15" name="MSIP_Label_6bd9ddd1-4d20-43f6-abfa-fc3c07406f94_ContentBits">
    <vt:lpwstr>0</vt:lpwstr>
  </property>
</Properties>
</file>