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0F9BC2" w14:textId="6693A49C" w:rsidR="00F67093" w:rsidRPr="002F34BA" w:rsidRDefault="00272311" w:rsidP="00272311">
      <w:pPr>
        <w:pStyle w:val="Pagedecouverture"/>
        <w:rPr>
          <w:noProof/>
        </w:rPr>
      </w:pPr>
      <w:r>
        <w:rPr>
          <w:noProof/>
        </w:rPr>
        <w:pict w14:anchorId="3E8D20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37A19535-44FA-4E55-AC06-C4763A29F5EA" style="width:455.25pt;height:369.75pt">
            <v:imagedata r:id="rId11" o:title=""/>
          </v:shape>
        </w:pict>
      </w:r>
    </w:p>
    <w:p w14:paraId="45D750AC" w14:textId="77777777" w:rsidR="00F67093" w:rsidRPr="002F34BA" w:rsidRDefault="00F67093" w:rsidP="00F67093">
      <w:pPr>
        <w:rPr>
          <w:noProof/>
        </w:rPr>
        <w:sectPr w:rsidR="00F67093" w:rsidRPr="002F34BA" w:rsidSect="00272311">
          <w:footerReference w:type="even" r:id="rId12"/>
          <w:footerReference w:type="default" r:id="rId13"/>
          <w:footnotePr>
            <w:numRestart w:val="eachSect"/>
          </w:footnotePr>
          <w:pgSz w:w="11907" w:h="16839"/>
          <w:pgMar w:top="1134" w:right="1417" w:bottom="1134" w:left="1417" w:header="709" w:footer="709" w:gutter="0"/>
          <w:pgNumType w:start="0"/>
          <w:cols w:space="720"/>
          <w:docGrid w:linePitch="360"/>
        </w:sectPr>
      </w:pPr>
    </w:p>
    <w:p w14:paraId="703EADA0" w14:textId="77777777" w:rsidR="00A14709" w:rsidRPr="00133050" w:rsidRDefault="00A14709" w:rsidP="00DB479F">
      <w:pPr>
        <w:pStyle w:val="Exposdesmotifstitre"/>
        <w:rPr>
          <w:noProof/>
        </w:rPr>
      </w:pPr>
      <w:bookmarkStart w:id="0" w:name="_Hlk144454421"/>
      <w:bookmarkStart w:id="1" w:name="_Hlk155908868"/>
      <w:bookmarkStart w:id="2" w:name="_GoBack"/>
      <w:bookmarkEnd w:id="2"/>
      <w:r w:rsidRPr="00133050">
        <w:rPr>
          <w:noProof/>
        </w:rPr>
        <w:lastRenderedPageBreak/>
        <w:t>ОБЯСНИТЕЛЕН МЕМОРАНДУМ</w:t>
      </w:r>
    </w:p>
    <w:p w14:paraId="2F97B67B" w14:textId="77777777" w:rsidR="00A14709" w:rsidRPr="00133050" w:rsidRDefault="00A14709" w:rsidP="00C01EE5">
      <w:pPr>
        <w:pStyle w:val="ManualHeading1"/>
        <w:rPr>
          <w:noProof/>
        </w:rPr>
      </w:pPr>
      <w:r>
        <w:rPr>
          <w:noProof/>
        </w:rPr>
        <w:t>1.</w:t>
      </w:r>
      <w:r>
        <w:rPr>
          <w:noProof/>
        </w:rPr>
        <w:tab/>
      </w:r>
      <w:r w:rsidRPr="00133050">
        <w:rPr>
          <w:noProof/>
        </w:rPr>
        <w:t>КОНТЕКСТ НА ПРЕДЛОЖЕНИЕТО</w:t>
      </w:r>
    </w:p>
    <w:p w14:paraId="6A406120" w14:textId="77777777" w:rsidR="00A14709" w:rsidRPr="00133050" w:rsidRDefault="00A14709" w:rsidP="00A14709">
      <w:pPr>
        <w:pStyle w:val="ManualHeading2"/>
        <w:rPr>
          <w:noProof/>
        </w:rPr>
      </w:pPr>
      <w:r>
        <w:rPr>
          <w:noProof/>
        </w:rPr>
        <w:t>1.1.</w:t>
      </w:r>
      <w:r>
        <w:rPr>
          <w:noProof/>
        </w:rPr>
        <w:tab/>
      </w:r>
      <w:r w:rsidRPr="00133050">
        <w:rPr>
          <w:noProof/>
        </w:rPr>
        <w:t>Основания и цели на предложението</w:t>
      </w:r>
    </w:p>
    <w:p w14:paraId="42DAFDAA" w14:textId="77777777" w:rsidR="00A14709" w:rsidRPr="00133050" w:rsidRDefault="00A14709" w:rsidP="00DB479F">
      <w:pPr>
        <w:spacing w:after="0"/>
        <w:rPr>
          <w:noProof/>
        </w:rPr>
      </w:pPr>
      <w:r w:rsidRPr="00133050">
        <w:rPr>
          <w:noProof/>
          <w:shd w:val="clear" w:color="auto" w:fill="FFFFFF"/>
        </w:rPr>
        <w:t xml:space="preserve">Регламент (ЕС) 2019/452 на Европейския парламент и на Съвета от 19 март 2019 г. </w:t>
      </w:r>
      <w:r w:rsidRPr="00133050">
        <w:rPr>
          <w:rStyle w:val="Emphasis"/>
          <w:i w:val="0"/>
          <w:noProof/>
          <w:shd w:val="clear" w:color="auto" w:fill="FFFFFF"/>
        </w:rPr>
        <w:t>за създаване на рамка за скрининг на преки чуждестранни инвестиции</w:t>
      </w:r>
      <w:r w:rsidRPr="00133050">
        <w:rPr>
          <w:rStyle w:val="Emphasis"/>
          <w:noProof/>
          <w:shd w:val="clear" w:color="auto" w:fill="FFFFFF"/>
        </w:rPr>
        <w:t xml:space="preserve"> (ПЧИ)</w:t>
      </w:r>
      <w:r w:rsidRPr="00133050">
        <w:rPr>
          <w:rStyle w:val="Emphasis"/>
          <w:i w:val="0"/>
          <w:noProof/>
          <w:shd w:val="clear" w:color="auto" w:fill="FFFFFF"/>
        </w:rPr>
        <w:t xml:space="preserve"> в Съюза</w:t>
      </w:r>
      <w:r w:rsidRPr="00133050">
        <w:rPr>
          <w:noProof/>
        </w:rPr>
        <w:t xml:space="preserve"> (наричан по-долу „регламентът“) беше приет през 2019 г. и започна да се прилага на 11 октомври 2020 г. Той представлява отговор на нарастващата загриженост относно някои чуждестранни инвеститори, които се стремят да придобият контрол върху дружества от ЕС, предоставящи критични технологии, инфраструктура или ресурси или притежаващи чувствителна информация, чиито дейности са от решаващо значение за сигурността или обществения ред на равнище ЕС. Целта на регламента беше да се спомогне за установяването и преодоляването на свързаните с ПЧИ рискове за сигурността или обществения ред, които засягат най-малко две държави членки или ЕС като цяло, тъй като високата степен на интеграция на вътрешния пазар означава, че ПЧИ в дружество от ЕС може да породят риск, който надхвърля границите на държавата членка, която приема ПЧИ. За да се постигне тази цел с регламента на държавите членки се дава възможност да правят преглед на ПЧИ на тяхна територия на основания, свързани със сигурността или обществения ред, и да обменят информация с Комисията и с останалите държави членки, като им се предоставя право и възможност да предприемат мерки за преодоляване на конкретни рискове. Освен това с регламента беше създаден механизъм за сътрудничество между Европейската комисия и скрининговите органи на държавите членки във връзка с индивидуални ПЧИ. С този механизъм се създадоха условия за обмен на информация, като се предостави възможност както на Комисията, така и на останалите държави членки да отбелязват евентуални рискове за сигурността или обществения ред, произтичащи от ПЧИ и засягащи други държави членки или програми от критично значение на равнището на ЕС. С това се подобри оценката на ПЧИ от съответните органи на държавите членки и се улесни вземането на окончателно решение от „приемащата“ държава членка дали да разреши дадена сделка, или не, и ако тя бъде разрешена, дали са необходими определени условия.</w:t>
      </w:r>
    </w:p>
    <w:p w14:paraId="664231F4" w14:textId="77777777" w:rsidR="00A14709" w:rsidRPr="00133050" w:rsidRDefault="00A14709" w:rsidP="00DB479F">
      <w:pPr>
        <w:rPr>
          <w:noProof/>
        </w:rPr>
      </w:pPr>
      <w:r w:rsidRPr="00133050">
        <w:rPr>
          <w:noProof/>
        </w:rPr>
        <w:t>След приемането на регламента въпросът за сигурността и обществения ред придоби още по-голямо значение. Пандемията от COVID-19, нападението на Русия срещу Украйна и други геополитически напрежения изведоха на преден план необходимостта от установяване на рисковете и осигуряване на по-добра защита на стратегическите активи на ЕС от някои инвестиции. Това допринесе и за значителното нарастване на броя на държавите членки, приемащи национален механизъм за скрининг, както и за това някои държави членки да увеличат броя на подлежащите на скрининг сектори</w:t>
      </w:r>
      <w:r w:rsidRPr="00133050">
        <w:rPr>
          <w:rStyle w:val="FootnoteReference"/>
          <w:noProof/>
        </w:rPr>
        <w:footnoteReference w:id="2"/>
      </w:r>
      <w:r w:rsidRPr="00133050">
        <w:rPr>
          <w:noProof/>
        </w:rPr>
        <w:t>. Значителен дял от ПЧИ в ЕС обаче все още отиват в държави членки, които не притежават механизъм за скрининг</w:t>
      </w:r>
      <w:r w:rsidRPr="00133050">
        <w:rPr>
          <w:rStyle w:val="FootnoteReference"/>
          <w:noProof/>
        </w:rPr>
        <w:footnoteReference w:id="3"/>
      </w:r>
      <w:r w:rsidRPr="00133050">
        <w:rPr>
          <w:noProof/>
        </w:rPr>
        <w:t xml:space="preserve">, и това води до уязвимости, тъй като ПЧИ от потенциално критично значение остават неразкрити. </w:t>
      </w:r>
    </w:p>
    <w:p w14:paraId="14835D9F" w14:textId="77777777" w:rsidR="00A14709" w:rsidRPr="00133050" w:rsidRDefault="00A14709" w:rsidP="00DB479F">
      <w:pPr>
        <w:rPr>
          <w:noProof/>
        </w:rPr>
      </w:pPr>
      <w:r w:rsidRPr="00133050">
        <w:rPr>
          <w:noProof/>
        </w:rPr>
        <w:lastRenderedPageBreak/>
        <w:t>Въпреки това сътрудничеството между всички национални органи и Комисията изигра важна роля за разясняване на проблематиката и за засичане и противодействие на рискови ПЧИ, които иначе биха останали незабелязани</w:t>
      </w:r>
      <w:r w:rsidRPr="00133050">
        <w:rPr>
          <w:rStyle w:val="FootnoteReference"/>
          <w:noProof/>
        </w:rPr>
        <w:footnoteReference w:id="4"/>
      </w:r>
      <w:r w:rsidRPr="00133050">
        <w:rPr>
          <w:noProof/>
        </w:rPr>
        <w:t>. Управлението на уведомленията до множество юрисдикции (т.е. сделки, които се отнасят за една и съща дейност в няколко държави членки) се оказа обаче предизвикателство и повдигна въпроси, свързани с ефикасността (особено за чуждестранните инвеститори, целевите предприятия в Съюза и скрининговите органи).</w:t>
      </w:r>
    </w:p>
    <w:p w14:paraId="0EAB5988" w14:textId="77777777" w:rsidR="00A14709" w:rsidRPr="00133050" w:rsidRDefault="00A14709" w:rsidP="00DB479F">
      <w:pPr>
        <w:rPr>
          <w:noProof/>
        </w:rPr>
      </w:pPr>
      <w:r w:rsidRPr="00133050">
        <w:rPr>
          <w:noProof/>
        </w:rPr>
        <w:t xml:space="preserve">Съгласно член 15, параграф 1 от регламента от Комисията се изисква да направи </w:t>
      </w:r>
      <w:r w:rsidRPr="00133050">
        <w:rPr>
          <w:noProof/>
          <w:shd w:val="clear" w:color="auto" w:fill="FFFFFF"/>
        </w:rPr>
        <w:t>оценка на функционирането и ефективността на регламента и да представи доклад на Европейския парламент и на Съвета</w:t>
      </w:r>
      <w:r w:rsidRPr="00133050">
        <w:rPr>
          <w:noProof/>
        </w:rPr>
        <w:t xml:space="preserve"> до 12 октомври 2023 г. (т.е. не по-късно от 3 години след цялостното му прилагане). </w:t>
      </w:r>
    </w:p>
    <w:p w14:paraId="5E9675CB" w14:textId="77777777" w:rsidR="00A14709" w:rsidRPr="00133050" w:rsidRDefault="00A14709" w:rsidP="00DB479F">
      <w:pPr>
        <w:pBdr>
          <w:top w:val="nil"/>
          <w:left w:val="nil"/>
          <w:bottom w:val="nil"/>
          <w:right w:val="nil"/>
          <w:between w:val="nil"/>
          <w:bar w:val="nil"/>
        </w:pBdr>
        <w:spacing w:before="0" w:after="240"/>
        <w:rPr>
          <w:noProof/>
        </w:rPr>
      </w:pPr>
      <w:r w:rsidRPr="00133050">
        <w:rPr>
          <w:noProof/>
        </w:rPr>
        <w:t>Въз основа на констатациите в доклада за оценка, който придружава настоящото законодателно предложение, е целесъобразно да се предложи преразглеждане на регламента, за да се гарантира, че всички държави членки разполагат с механизъм за скрининг, който позволява да се извършва оценка на сделките, преди те да бъдат осъществени, и да се приемат мерки срещу установените при оценката ключови недостатъци в ефективността и ефикасността на механизма за сътрудничество.</w:t>
      </w:r>
    </w:p>
    <w:p w14:paraId="4D31E036" w14:textId="77777777" w:rsidR="00A14709" w:rsidRPr="00133050" w:rsidRDefault="00A14709" w:rsidP="00A14709">
      <w:pPr>
        <w:pStyle w:val="ManualHeading2"/>
        <w:rPr>
          <w:noProof/>
        </w:rPr>
      </w:pPr>
      <w:r>
        <w:rPr>
          <w:noProof/>
        </w:rPr>
        <w:t>1.2.</w:t>
      </w:r>
      <w:r>
        <w:rPr>
          <w:noProof/>
        </w:rPr>
        <w:tab/>
      </w:r>
      <w:r w:rsidRPr="00133050">
        <w:rPr>
          <w:noProof/>
        </w:rPr>
        <w:t>Съгласуваност с действащите разпоредби в тази област на политиката</w:t>
      </w:r>
    </w:p>
    <w:p w14:paraId="0D734DF0" w14:textId="77777777" w:rsidR="00A14709" w:rsidRPr="00133050" w:rsidRDefault="00A14709" w:rsidP="00DB479F">
      <w:pPr>
        <w:rPr>
          <w:noProof/>
        </w:rPr>
      </w:pPr>
      <w:r w:rsidRPr="00133050">
        <w:rPr>
          <w:noProof/>
        </w:rPr>
        <w:t>Целта на предложението е да се осигури защита на сигурността и обществения ред на ЕС, когато става въпрос за чуждестранни инвестиции. Това е в съответствие с общите цели на политиката на ЕС, посочени в член 3, параграф 5 от Договора за Европейския съюз, по-специално в отношенията си с останалата част от света ЕС да утвърждава и насърчава своите ценности и интереси и да допринася за защитата на своите граждани, мира, сигурността и свободната и справедлива търговия.</w:t>
      </w:r>
    </w:p>
    <w:p w14:paraId="1B81AD42" w14:textId="77777777" w:rsidR="00A14709" w:rsidRPr="00133050" w:rsidRDefault="00A14709" w:rsidP="00DB479F">
      <w:pPr>
        <w:rPr>
          <w:noProof/>
        </w:rPr>
      </w:pPr>
      <w:r w:rsidRPr="00133050">
        <w:rPr>
          <w:noProof/>
        </w:rPr>
        <w:t>Предложението е изцяло в съответствие със „</w:t>
      </w:r>
      <w:r w:rsidRPr="00133050">
        <w:rPr>
          <w:rStyle w:val="cf01"/>
          <w:rFonts w:ascii="Times New Roman" w:hAnsi="Times New Roman"/>
          <w:noProof/>
          <w:sz w:val="24"/>
        </w:rPr>
        <w:t>Съобщението за икономическата сигурност“</w:t>
      </w:r>
      <w:r w:rsidRPr="00133050">
        <w:rPr>
          <w:rStyle w:val="FootnoteReference"/>
          <w:noProof/>
        </w:rPr>
        <w:footnoteReference w:id="5"/>
      </w:r>
      <w:r w:rsidRPr="00133050">
        <w:rPr>
          <w:rStyle w:val="cf01"/>
          <w:rFonts w:ascii="Times New Roman" w:hAnsi="Times New Roman"/>
          <w:noProof/>
          <w:sz w:val="24"/>
        </w:rPr>
        <w:t xml:space="preserve"> от 2023 г., в което скринингът на ПЧИ се изтъква като </w:t>
      </w:r>
      <w:r w:rsidRPr="00133050">
        <w:rPr>
          <w:noProof/>
        </w:rPr>
        <w:t>един от въведените от ЕС инструменти с цел да се защити от общоустановени рискове, които засягат икономическата му сигурност. В това съвместно съобщение Комисията повтори призива към държавите членки, които все още не са въвели национални механизми за скрининг на ПЧИ, да направят това без по-нататъшно забавяне. В него се обявява и законодателно предложение за преразглеждане на Регламента за скрининг на ПЧИ.</w:t>
      </w:r>
    </w:p>
    <w:p w14:paraId="58E071E0" w14:textId="77777777" w:rsidR="00A14709" w:rsidRPr="00133050" w:rsidRDefault="00A14709" w:rsidP="00DB479F">
      <w:pPr>
        <w:rPr>
          <w:noProof/>
        </w:rPr>
      </w:pPr>
      <w:r w:rsidRPr="00133050">
        <w:rPr>
          <w:noProof/>
        </w:rPr>
        <w:t>С предлагания регламент се постига необходимият баланс между целта да се отговори, от една страна, на изразени основателни опасения във връзка с определени чуждестранни инвестиции и, от друга страна, на необходимостта ЕС да запази своя отворен и гостоприемен режим по отношение на инвестициите, като същевременно той е напълно съвместим със законодателството на ЕС и с международните му ангажименти.</w:t>
      </w:r>
    </w:p>
    <w:p w14:paraId="357D815B" w14:textId="77777777" w:rsidR="00A14709" w:rsidRPr="00133050" w:rsidRDefault="00A14709" w:rsidP="00A14709">
      <w:pPr>
        <w:pStyle w:val="ManualHeading2"/>
        <w:rPr>
          <w:noProof/>
        </w:rPr>
      </w:pPr>
      <w:r>
        <w:rPr>
          <w:noProof/>
        </w:rPr>
        <w:lastRenderedPageBreak/>
        <w:t>1.3.</w:t>
      </w:r>
      <w:r>
        <w:rPr>
          <w:noProof/>
        </w:rPr>
        <w:tab/>
      </w:r>
      <w:r w:rsidRPr="00133050">
        <w:rPr>
          <w:noProof/>
        </w:rPr>
        <w:t>Съгласуваност с други политики на Съюза</w:t>
      </w:r>
    </w:p>
    <w:p w14:paraId="2AD857E0" w14:textId="77777777" w:rsidR="00A14709" w:rsidRPr="00133050" w:rsidRDefault="00A14709" w:rsidP="00DB479F">
      <w:pPr>
        <w:rPr>
          <w:noProof/>
          <w:color w:val="333333"/>
        </w:rPr>
      </w:pPr>
      <w:r w:rsidRPr="00133050">
        <w:rPr>
          <w:noProof/>
        </w:rPr>
        <w:t>Предложеният регламент ще допълва други политики и инициативи на ЕС, ще бъде съгласуван с тях и няма да ги засяга. Някои сделки може да подлежат на други процедури по разрешаване на равнището на ЕС и на национално равнище, но не са налице несъответствия между предложението и тези инструменти, чиято цел се различава от тази на предложението. По-скоро се наблюдава известна степен на допълване между предложения регламент и инструментите на ЕС, приложими по отношение на сектори или действия, свързани със сигурността или обществения ред.</w:t>
      </w:r>
    </w:p>
    <w:p w14:paraId="48B001B8" w14:textId="77777777" w:rsidR="00A14709" w:rsidRPr="00133050" w:rsidRDefault="00A14709" w:rsidP="00DB479F">
      <w:pPr>
        <w:keepNext/>
        <w:pBdr>
          <w:top w:val="nil"/>
          <w:left w:val="nil"/>
          <w:bottom w:val="nil"/>
          <w:right w:val="nil"/>
          <w:between w:val="nil"/>
          <w:bar w:val="nil"/>
        </w:pBdr>
        <w:spacing w:before="0" w:after="240"/>
        <w:rPr>
          <w:noProof/>
          <w:u w:val="single"/>
        </w:rPr>
      </w:pPr>
      <w:r w:rsidRPr="00133050">
        <w:rPr>
          <w:noProof/>
          <w:u w:val="single"/>
        </w:rPr>
        <w:t xml:space="preserve">Свободно движение на капитали и свобода на установяване </w:t>
      </w:r>
    </w:p>
    <w:p w14:paraId="233EC56A" w14:textId="77777777" w:rsidR="00F67BC5" w:rsidRPr="00133050" w:rsidRDefault="00A14709" w:rsidP="00DB479F">
      <w:pPr>
        <w:rPr>
          <w:noProof/>
        </w:rPr>
      </w:pPr>
      <w:r w:rsidRPr="00133050">
        <w:rPr>
          <w:noProof/>
        </w:rPr>
        <w:t>Предложеният регламент се прилага спрямо инвестиции, с които се установява или се поддържа трайна икономическа връзка между чуждестранен инвеститор и целево предприятие в Съюза. Това включва например придобиването на мажоритарно или пълно дялово участие, както и всяко придобиване на дялове, даващи права на чуждестранния инвеститор да контролира или да влияе върху сделките на целевото предприятие в Съюза или върху създаването на съоръжения в ЕС (инвестиции „на зелено“). Поради това, когато се отнасят до движение в рамките на ЕС, подобни инвестиции попадат най-вече в областта на свободата на установяване. Разпоредбите на Договора за функционирането на Европейския съюз (ДФЕС) относно свободата на установяване се съдържат в членове 49—55 от ДФЕС. С тези разпоредби се установява общият принцип, че ограниченията на свободата на установяване са забранени, освен ако не са обосновани поради конкретни причини, свързани с обществения ред, сигурността или здравето, както е посочено в член 52, параграф 1 от ДФЕС. Държавите членки могат да се позоват на съображения, свързани с обществения ред и обществената сигурност, за да ограничат инвестициите, само при наличието на действителна и достатъчно сериозна заплаха, която засяга основен обществен интерес, и ако по-малко ограничителните мерки са недостатъчни за справяне с тази заплаха. Съдът разясни, че понятието за обществена сигурност обхваща както вътрешната, така и външната сигурност на държавата.</w:t>
      </w:r>
    </w:p>
    <w:p w14:paraId="3A28379E" w14:textId="77777777" w:rsidR="00A14709" w:rsidRPr="00133050" w:rsidRDefault="00A14709" w:rsidP="00DB479F">
      <w:pPr>
        <w:rPr>
          <w:noProof/>
        </w:rPr>
      </w:pPr>
      <w:r w:rsidRPr="00133050">
        <w:rPr>
          <w:noProof/>
        </w:rPr>
        <w:t>Тези разпоредби се прилагат обаче единствено по отношение на физически и юридически лица от държави — членки на ЕС, и поради това не са уместни, когато става въпрос за ПЧИ от трети държави в рамките на ЕС. Поради това, както е посочено в предложения регламент, правилата за скрининг на ПЧИ от трета държава в рамките на ЕС не взаимодействат с разпоредбите относно свободата на установяване.</w:t>
      </w:r>
    </w:p>
    <w:p w14:paraId="33EA8682" w14:textId="77777777" w:rsidR="007320C0" w:rsidRPr="00133050" w:rsidRDefault="00A14709" w:rsidP="00DB479F">
      <w:pPr>
        <w:rPr>
          <w:noProof/>
        </w:rPr>
      </w:pPr>
      <w:r w:rsidRPr="00133050">
        <w:rPr>
          <w:noProof/>
        </w:rPr>
        <w:t xml:space="preserve">С предложения регламент също така се разширява приложното поле на настоящия регламент, така че той да обхване някои инвестиции в рамките на ЕС, включващи инвестиции, контролирани от инвеститори от трети държави. Както е обяснено по-долу, това разширяване е важно, за да бъдат включени в приложното поле на регламента конкретна група от такива инвестиции, когато чрез тях се установява или поддържа трайна икономическа връзка между инвеститора от трета държава и целевото предприятие в Съюза. Тези инвестиции се извършват от субект от ЕС, но този субект е под контрола на инвеститор от трета държава и правомощията за вземане на решения относно инвестициите продължават да бъдат притежавани от инвеститора от трета държава. Поради това е целесъобразно да се гарантира, че третирането на тези сделки — и по-специално на елементите, които може да повлияят на решението за скрининг на сделката или за предприемане на допълнителни смекчаващи мерки по отношение на опасенията за последствията върху сигурността или обществения ред — е в съответствие с третирането на ПЧИ, доколкото това е възможно, за да се избегне </w:t>
      </w:r>
      <w:r w:rsidRPr="00133050">
        <w:rPr>
          <w:noProof/>
        </w:rPr>
        <w:lastRenderedPageBreak/>
        <w:t xml:space="preserve">ситуация, при която за целите на предложения регламент инвестициите, носещи сравними за ЕС рискове, се третират по различен начин. </w:t>
      </w:r>
    </w:p>
    <w:p w14:paraId="47370876" w14:textId="77777777" w:rsidR="001750AA" w:rsidRPr="00133050" w:rsidRDefault="00A14709" w:rsidP="00DB479F">
      <w:pPr>
        <w:rPr>
          <w:noProof/>
        </w:rPr>
      </w:pPr>
      <w:r w:rsidRPr="00133050">
        <w:rPr>
          <w:noProof/>
        </w:rPr>
        <w:t>Във връзка с това следва да се поддържа достатъчна гъвкавост по отношение на оценката на вероятния риск за сигурността и обществения ред, така че да може да се вземат предвид специфичният характер и структура на инвестициите в ЕС, реализирани от намиращи се в ЕС дъщерни дружества на чуждестранни инвеститори. Наличието на ясна връзка с чуждестранен инвеститор, заедно с другите предвидени в регламента специфични критерии по отношение на обхвата на включените сделки (включително конкретния списък от области, в които се извършва инвестицията, или специалното внимание, отделено на държавното участие в структурата на собствеността на чуждестранния инвеститор, както и факта, че чуждестранният инвеститор може да бъде подложен на скрининг, тъй като е обект на санкции от страна на ЕС), открояват специфични характеристики на инвестицията, които може  да породят конкретни опасения във връзка със сигурността и обществения ред, които трябва да се управляват на равнище ЕС. Подобни опасения са присъщи за всички ПЧИ и инвестиции в рамките на ЕС, при които субектът от ЕС се контролира от инвеститор от трета държава. Те обаче не са закономерно свързани с други инвестиции в рамките на ЕС, при които няма участие на чуждестранни инвеститори, и с оглед на сигурността и обществения ред следва да е възможно (когато това е оправдано и съразмерно) тази разлика да бъде отразена при оценката на инвестицията.</w:t>
      </w:r>
    </w:p>
    <w:p w14:paraId="254C6B8A" w14:textId="77777777" w:rsidR="00F67BC5" w:rsidRPr="00133050" w:rsidRDefault="00B57D6F" w:rsidP="00DB479F">
      <w:pPr>
        <w:rPr>
          <w:noProof/>
        </w:rPr>
      </w:pPr>
      <w:r w:rsidRPr="00133050">
        <w:rPr>
          <w:noProof/>
        </w:rPr>
        <w:t xml:space="preserve">Въз основа на това е възможно да се направи разграничение между прилагането на свободите на вътрешния пазар по отношение на инвестициите в рамките на ЕС, когато субектът от ЕС е под контрола на инвеститор от трета държава, и сценариите с участници само от ЕС. Поради това съгласно Договора ограниченията върху сделките, в които участват трети държави, може да се основават на различни съображения. Това е уместно и поради факта, че тези сделки се подлагат на скрининг като част от обхващащ целия Съюз механизъм за сътрудничество. </w:t>
      </w:r>
    </w:p>
    <w:p w14:paraId="7FC64A58" w14:textId="77777777" w:rsidR="00A14709" w:rsidRPr="00133050" w:rsidRDefault="00A14709" w:rsidP="00DB479F">
      <w:pPr>
        <w:rPr>
          <w:noProof/>
        </w:rPr>
      </w:pPr>
      <w:r w:rsidRPr="00133050">
        <w:rPr>
          <w:noProof/>
        </w:rPr>
        <w:t xml:space="preserve">За да се осигурят последователност и предвидимост на оценката в държавите членки, е целесъобразно също така критериите и елементите, които ще се използват за оценката на чуждестранните инвестиции, да бъдат установени чрез действие на равнище ЕС посредством настоящия регламент. </w:t>
      </w:r>
    </w:p>
    <w:p w14:paraId="751F2187" w14:textId="77777777" w:rsidR="00A14709" w:rsidRPr="00133050" w:rsidRDefault="00A14709" w:rsidP="00DB479F">
      <w:pPr>
        <w:rPr>
          <w:noProof/>
        </w:rPr>
      </w:pPr>
      <w:r w:rsidRPr="00133050">
        <w:rPr>
          <w:noProof/>
        </w:rPr>
        <w:t>Разпоредбите на Договора по отношение на свободното движение на капитали се отнасят единствено за малък брой сделки, както е пояснено по-горе, също с оглед на явното изключване на портфейлните инвестиции от обхвата на предложения регламент. Във всеки случай изложените по-горе съображения се прилагат по отношение на потенциалното основание за ограничаване на свободното движение на капитали, посочено в член 65, параграф 1, буква б) от ДФЕС и свързано с обществената сигурност, обществения ред или здравето. Пак в тази връзка е важно да се гарантира, че основанието за скрининг на сделки, които в крайна сметка имат за цел установяване на трайна връзка с инвеститор от трета държава, се третира последователно (от гледна точка на защитата на сигурността и обществения ред) и че при оценката на инвестицията се вземат предвид всички конкретни опасения, които може да възникнат, когато сделката включва чуждестранен инвеститор (дори когато се извършва чрез субект, който е установен в ЕС, но е под контрола на чуждестранен инвеститор).</w:t>
      </w:r>
    </w:p>
    <w:p w14:paraId="46563925" w14:textId="77777777" w:rsidR="00A14709" w:rsidRPr="00133050" w:rsidRDefault="00A14709" w:rsidP="00DB479F">
      <w:pPr>
        <w:rPr>
          <w:noProof/>
        </w:rPr>
      </w:pPr>
      <w:r w:rsidRPr="00133050">
        <w:rPr>
          <w:noProof/>
        </w:rPr>
        <w:t xml:space="preserve">Тези съображения не засягат възможността държавите членки да ограничат допълнително чуждестранните инвестиции в добавка към критериите и приложното поле на предложения регламент, при условие че тези допълнителни ограничения са в </w:t>
      </w:r>
      <w:r w:rsidRPr="00133050">
        <w:rPr>
          <w:noProof/>
        </w:rPr>
        <w:lastRenderedPageBreak/>
        <w:t xml:space="preserve">съответствие с член 65, параграф 1, буква б) или член 52, параграф 1 от ДФЕС (според случая). </w:t>
      </w:r>
    </w:p>
    <w:p w14:paraId="74DB1914" w14:textId="77777777" w:rsidR="00A14709" w:rsidRPr="00133050" w:rsidRDefault="00A14709" w:rsidP="00DB479F">
      <w:pPr>
        <w:keepNext/>
        <w:pBdr>
          <w:top w:val="nil"/>
          <w:left w:val="nil"/>
          <w:bottom w:val="nil"/>
          <w:right w:val="nil"/>
          <w:between w:val="nil"/>
          <w:bar w:val="nil"/>
        </w:pBdr>
        <w:spacing w:before="0" w:after="240"/>
        <w:rPr>
          <w:noProof/>
          <w:u w:val="single"/>
        </w:rPr>
      </w:pPr>
      <w:r w:rsidRPr="00133050">
        <w:rPr>
          <w:noProof/>
          <w:u w:val="single"/>
        </w:rPr>
        <w:t>Регламент на ЕС за сливанията</w:t>
      </w:r>
    </w:p>
    <w:p w14:paraId="145E0FE6" w14:textId="77777777" w:rsidR="00A14709" w:rsidRPr="00133050" w:rsidRDefault="00A14709" w:rsidP="00DB479F">
      <w:pPr>
        <w:pBdr>
          <w:top w:val="nil"/>
          <w:left w:val="nil"/>
          <w:bottom w:val="nil"/>
          <w:right w:val="nil"/>
          <w:between w:val="nil"/>
          <w:bar w:val="nil"/>
        </w:pBdr>
        <w:spacing w:before="0" w:after="240"/>
        <w:rPr>
          <w:noProof/>
        </w:rPr>
      </w:pPr>
      <w:r w:rsidRPr="00133050">
        <w:rPr>
          <w:noProof/>
        </w:rPr>
        <w:t>ПЧИ може да бъдат под формата на сливания, придобивания или съвместни предприятия, които представляват концентрации, попадащи в приложното поле на Регламента на ЕС за сливанията</w:t>
      </w:r>
      <w:r w:rsidRPr="00133050">
        <w:rPr>
          <w:rStyle w:val="FootnoteReference"/>
          <w:noProof/>
        </w:rPr>
        <w:footnoteReference w:id="6"/>
      </w:r>
      <w:r w:rsidRPr="00133050">
        <w:rPr>
          <w:noProof/>
        </w:rPr>
        <w:t>. По отношение на такива концентрации съгласно член 21, параграф 4 от Регламента на ЕС за сливанията се допуска държавите членки да предприемат подходящи мерки за защита на законни интереси, при условие че те са съвместими с общите принципи и другите разпоредби на правото на ЕС. За целта в член 21, параграф 4, втора алинея за законни интереси изрично се признават защитата на обществената сигурност, плурализмът на медиите и нормите на общественото поведение. Скрининговите решения, взети съгласно предложения регламент в защита на тези интереси, не се изисква да бъдат съобщавани на Комисията съгласно член 21, параграф 4, трета алинея, при условие че са съвместими с общите принципи и другите разпоредби на правото на ЕС. От друга страна, когато държава членка възнамерява да издаде скринингово решение в съответствие с предложения регламент за целите на защитата на други обществени интереси, тя трябва да съобщи това на Комисията съгласно член 21, параграф 4, трета алинея, ако решението се отнася до концентрация, попадаща в приложното поле на Регламента на ЕС за сливанията. Комисията ще гарантира последователното прилагане на предложения регламент и на член 21, параграф 4</w:t>
      </w:r>
      <w:r w:rsidRPr="00133050">
        <w:rPr>
          <w:rStyle w:val="FootnoteReference"/>
          <w:noProof/>
        </w:rPr>
        <w:footnoteReference w:id="7"/>
      </w:r>
      <w:r w:rsidRPr="00133050">
        <w:rPr>
          <w:noProof/>
        </w:rPr>
        <w:t>. Доколкото приложното поле на единия регламент и това на другия регламент се припокриват, вероятното въздействие върху сигурността или обществения ред, определено въз основа на съображенията в член 13 от предложения регламент, и понятието за законни интереси по смисъла на член 21, параграф 4, трета алинея от Регламента на ЕС за сливанията следва да се тълкуват по последователен начин, без да се засяга оценката на съвместимостта на националните мерки, насочени към защитата на тези интереси, с общите принципи и други разпоредби на правото на ЕС.</w:t>
      </w:r>
    </w:p>
    <w:p w14:paraId="7794B94D" w14:textId="77777777" w:rsidR="00A14709" w:rsidRPr="00133050" w:rsidRDefault="00A14709" w:rsidP="00DB479F">
      <w:pPr>
        <w:pBdr>
          <w:top w:val="nil"/>
          <w:left w:val="nil"/>
          <w:bottom w:val="nil"/>
          <w:right w:val="nil"/>
          <w:between w:val="nil"/>
          <w:bar w:val="nil"/>
        </w:pBdr>
        <w:spacing w:before="0" w:after="240"/>
        <w:rPr>
          <w:noProof/>
          <w:u w:val="single"/>
        </w:rPr>
      </w:pPr>
      <w:r w:rsidRPr="00133050">
        <w:rPr>
          <w:noProof/>
          <w:u w:val="single"/>
        </w:rPr>
        <w:t>Регламент относно чуждестранните субсидии</w:t>
      </w:r>
    </w:p>
    <w:p w14:paraId="1F95BB81" w14:textId="77777777" w:rsidR="00A14709" w:rsidRPr="00133050" w:rsidRDefault="00A14709" w:rsidP="00DB479F">
      <w:pPr>
        <w:rPr>
          <w:noProof/>
        </w:rPr>
      </w:pPr>
      <w:r w:rsidRPr="00133050">
        <w:rPr>
          <w:noProof/>
        </w:rPr>
        <w:t>Макар че при оценката на риска в рамките на скрининга на ПЧИ може да се вземе предвид дали чуждестранният инвеститор е пряко или косвено контролиран от правителството на трета държава (включително чрез структурата на собствеността или значително финансиране), целта на тази оценка е да се определи дали има вероятност ПЧИ да повлияят отрицателно на сигурността или обществения ред на ЕС. Изглежда обаче, че през последните години чуждестранните субсидии са нарушили функционирането на вътрешния пазар на ЕС, а до приемането на Регламента относно чуждестранните субсидии</w:t>
      </w:r>
      <w:r w:rsidRPr="00133050">
        <w:rPr>
          <w:rStyle w:val="FootnoteReference"/>
          <w:noProof/>
        </w:rPr>
        <w:footnoteReference w:id="8"/>
      </w:r>
      <w:r w:rsidRPr="00133050">
        <w:rPr>
          <w:noProof/>
        </w:rPr>
        <w:t xml:space="preserve"> (РЧС) не съществуваше инструмент за оценка и </w:t>
      </w:r>
      <w:r w:rsidRPr="00133050">
        <w:rPr>
          <w:noProof/>
        </w:rPr>
        <w:lastRenderedPageBreak/>
        <w:t>противодействие на въздействието на чуждестранните инвестиции върху лоялната конкуренция на вътрешния пазар. Предоставяните от трети държави субсидии оставаха непроверени, докато предоставяните от държавите членки субсидии бяха обект на строг контрол съгласно правилата на ЕС за държавна помощ, според които забраната е правилото, а разрешението е изключението.</w:t>
      </w:r>
    </w:p>
    <w:p w14:paraId="4E471981" w14:textId="77777777" w:rsidR="00A14709" w:rsidRPr="00133050" w:rsidRDefault="00A14709" w:rsidP="00DB479F">
      <w:pPr>
        <w:rPr>
          <w:noProof/>
        </w:rPr>
      </w:pPr>
      <w:r w:rsidRPr="00133050">
        <w:rPr>
          <w:noProof/>
        </w:rPr>
        <w:t>В Регламента относно чуждестранните субсидии се разглеждат такива нарушения и се преодолява пропуск в нормативната уредба, като същевременно вътрешният пазар се запазва отворен по отношение на търговията и инвестициите.</w:t>
      </w:r>
    </w:p>
    <w:p w14:paraId="18AA5B4F" w14:textId="77777777" w:rsidR="00A14709" w:rsidRPr="00133050" w:rsidRDefault="00A14709" w:rsidP="00DB479F">
      <w:pPr>
        <w:rPr>
          <w:noProof/>
        </w:rPr>
      </w:pPr>
      <w:r w:rsidRPr="00133050">
        <w:rPr>
          <w:noProof/>
        </w:rPr>
        <w:t>Съгласно Регламента относно чуждестранните инвестиции Комисията ще разполага с правомощия да разследва финансова помощ, предоставена от правителства на трети държави на дружества, осъществяващи дейност в ЕС. Ако Комисията установи, че тази финансова помощ представлява нарушаващи конкуренцията субсидии, тя може да наложи мерки за коригиране на техните нарушаващи конкуренцията въздействия. С Регламента относно чуждестранните субсидии се въвеждат три процедури:</w:t>
      </w:r>
    </w:p>
    <w:p w14:paraId="5A7D9953" w14:textId="77777777" w:rsidR="00A14709" w:rsidRPr="00133050" w:rsidRDefault="00A14709" w:rsidP="00C01EE5">
      <w:pPr>
        <w:pStyle w:val="Bullet0"/>
        <w:numPr>
          <w:ilvl w:val="0"/>
          <w:numId w:val="32"/>
        </w:numPr>
        <w:rPr>
          <w:noProof/>
        </w:rPr>
      </w:pPr>
      <w:r w:rsidRPr="00133050">
        <w:rPr>
          <w:noProof/>
        </w:rPr>
        <w:t>основаваща се на уведомление процедура за разследване на концентрации, включващи финансова помощ, предоставена от правителства на трети държави — когато придобитото дружество, една от сливащите се страни или съвместното предприятие реализира оборот в ЕС от най-малко 500 милиона евро и през последните 3 години на страните е предоставена чуждестранна финансова помощ в размер над 50 милиона евро;</w:t>
      </w:r>
    </w:p>
    <w:p w14:paraId="1F6FE4C3" w14:textId="77777777" w:rsidR="00A14709" w:rsidRPr="00133050" w:rsidRDefault="00A14709" w:rsidP="00C01EE5">
      <w:pPr>
        <w:pStyle w:val="Bullet0"/>
        <w:numPr>
          <w:ilvl w:val="0"/>
          <w:numId w:val="19"/>
        </w:numPr>
        <w:rPr>
          <w:noProof/>
        </w:rPr>
      </w:pPr>
      <w:r w:rsidRPr="00133050">
        <w:rPr>
          <w:noProof/>
        </w:rPr>
        <w:t>основаваща се на уведомление процедура за разследване на оферти при процедури за възлагане на обществени поръчки, включващи финансова помощ, предоставена от правителства на трети държави — когато прогнозната стойност на поръчката е най-малко 250 милиона евро и офертата включва чуждестранна финансова помощ от най-малко 4 милиона евро през последните 3 години; и</w:t>
      </w:r>
    </w:p>
    <w:p w14:paraId="22A7DDFD" w14:textId="77777777" w:rsidR="00A14709" w:rsidRPr="00133050" w:rsidRDefault="00A14709" w:rsidP="00C01EE5">
      <w:pPr>
        <w:pStyle w:val="Bullet0"/>
        <w:numPr>
          <w:ilvl w:val="0"/>
          <w:numId w:val="19"/>
        </w:numPr>
        <w:rPr>
          <w:noProof/>
        </w:rPr>
      </w:pPr>
      <w:r w:rsidRPr="00133050">
        <w:rPr>
          <w:i/>
          <w:noProof/>
        </w:rPr>
        <w:t>собствена инициатива</w:t>
      </w:r>
      <w:r w:rsidRPr="00133050">
        <w:rPr>
          <w:noProof/>
        </w:rPr>
        <w:t> — процедура по собствена инициатива за разследване на всички други пазарни ситуации, при които Комисията може да започне преглед по собствена инициатива.</w:t>
      </w:r>
    </w:p>
    <w:p w14:paraId="1CFC01E3" w14:textId="77777777" w:rsidR="00A14709" w:rsidRPr="00133050" w:rsidRDefault="00A14709" w:rsidP="00DB479F">
      <w:pPr>
        <w:rPr>
          <w:noProof/>
        </w:rPr>
      </w:pPr>
      <w:r w:rsidRPr="00133050">
        <w:rPr>
          <w:noProof/>
        </w:rPr>
        <w:t>Когато Комисията реши да започне предварителен преглед дали разглежданата финансова помощ представлява чуждестранна субсидия и дали нарушава вътрешния пазар, тя трябва да информира държавите членки, които са уведомили Комисията за национална процедура съгласно регламента.</w:t>
      </w:r>
    </w:p>
    <w:p w14:paraId="0AE1262D" w14:textId="77777777" w:rsidR="00A14709" w:rsidRPr="00133050" w:rsidRDefault="00A14709" w:rsidP="00DB479F">
      <w:pPr>
        <w:rPr>
          <w:noProof/>
        </w:rPr>
      </w:pPr>
      <w:r w:rsidRPr="00133050">
        <w:rPr>
          <w:noProof/>
        </w:rPr>
        <w:t xml:space="preserve">Доколкото приложното поле на единия регламент и това на другия регламент се припокриват, </w:t>
      </w:r>
      <w:r w:rsidRPr="00133050">
        <w:rPr>
          <w:noProof/>
          <w:shd w:val="clear" w:color="auto" w:fill="FFFFFF"/>
        </w:rPr>
        <w:t xml:space="preserve">посочените в член 1 от регламента основания за скрининг не следва да засягат оценяването от страна на Комисията съгласно Регламента относно чуждестранните инвестиции </w:t>
      </w:r>
      <w:r w:rsidRPr="00133050">
        <w:rPr>
          <w:noProof/>
        </w:rPr>
        <w:t>дали разглежданата финансова помощ представлява чуждестранна субсидия и дали нарушава вътрешния пазар.</w:t>
      </w:r>
    </w:p>
    <w:p w14:paraId="7A825579" w14:textId="77777777" w:rsidR="00A14709" w:rsidRPr="00133050" w:rsidRDefault="00A14709" w:rsidP="00DB479F">
      <w:pPr>
        <w:pBdr>
          <w:top w:val="nil"/>
          <w:left w:val="nil"/>
          <w:bottom w:val="nil"/>
          <w:right w:val="nil"/>
          <w:between w:val="nil"/>
          <w:bar w:val="nil"/>
        </w:pBdr>
        <w:spacing w:before="0" w:after="240"/>
        <w:rPr>
          <w:noProof/>
          <w:u w:val="single"/>
        </w:rPr>
      </w:pPr>
      <w:r w:rsidRPr="00133050">
        <w:rPr>
          <w:noProof/>
          <w:u w:val="single"/>
        </w:rPr>
        <w:t>Устойчивост на критичните субекти</w:t>
      </w:r>
    </w:p>
    <w:p w14:paraId="75160DF2" w14:textId="77777777" w:rsidR="00A14709" w:rsidRPr="00133050" w:rsidRDefault="0005717D" w:rsidP="00DB479F">
      <w:pPr>
        <w:rPr>
          <w:noProof/>
        </w:rPr>
      </w:pPr>
      <w:r w:rsidRPr="00133050">
        <w:rPr>
          <w:noProof/>
        </w:rPr>
        <w:t>В Директива 2008/114/ЕО на Съвета</w:t>
      </w:r>
      <w:r w:rsidRPr="00133050">
        <w:rPr>
          <w:rStyle w:val="FootnoteReference"/>
          <w:noProof/>
        </w:rPr>
        <w:footnoteReference w:id="9"/>
      </w:r>
      <w:r w:rsidRPr="00133050">
        <w:rPr>
          <w:noProof/>
        </w:rPr>
        <w:t xml:space="preserve"> се предвижда процедура за означаването на европейски критични инфраструктури в секторите на енергетиката и транспорта, чието </w:t>
      </w:r>
      <w:r w:rsidRPr="00133050">
        <w:rPr>
          <w:noProof/>
        </w:rPr>
        <w:lastRenderedPageBreak/>
        <w:t>нарушаване или унищожаване би довело до значителни трансгранични последици за поне две държави членки, но директивата е съсредоточена само върху защитата на критичната инфраструктура в тези два сектора. Като се признава значението на цялостното разглеждане на устойчивостта на критичните субекти (т.е. субектите, определени от държавите членки като критични субекти на тяхна територия), с Директивата относно устойчивостта на критичните субекти</w:t>
      </w:r>
      <w:r w:rsidRPr="00133050">
        <w:rPr>
          <w:rStyle w:val="FootnoteReference"/>
          <w:noProof/>
        </w:rPr>
        <w:footnoteReference w:id="10"/>
      </w:r>
      <w:r w:rsidRPr="00133050">
        <w:rPr>
          <w:noProof/>
        </w:rPr>
        <w:t xml:space="preserve"> (Директивата за УКС) беше създадена цялостна рамка, насочена към устойчивостта на критичните субекти спрямо всички опасности, независимо дали са природни или антропогенни, случайни или умишлени. Съгласно Директивата за УКС от държавите членки се изисква да предприемат конкретни мерки, за да се гарантира, че услуги, които са от основно значение за поддържането на жизненоважни обществени функции или стопански дейности в 11 сектора, се предоставят безпрепятствено в рамките на вътрешния пазар. Директивата за УКС влезе в сила на 16 януари 2023 г., а крайният срок за транспонирането на изискванията ѝ в националното право на държавите членки е 17 октомври 2024 г.</w:t>
      </w:r>
    </w:p>
    <w:p w14:paraId="6A21FB04" w14:textId="77777777" w:rsidR="0037548D" w:rsidRPr="00133050" w:rsidRDefault="0037548D" w:rsidP="0037548D">
      <w:pPr>
        <w:rPr>
          <w:noProof/>
        </w:rPr>
      </w:pPr>
      <w:r w:rsidRPr="00133050">
        <w:rPr>
          <w:noProof/>
        </w:rPr>
        <w:t>Доколкото приложното поле на предложения регламент и това на Директива за УКС се припокриват, при оценката на чуждестранните инвестиции за целите на предложения регламент следва да се взема предвид определянето на дадено целево предприятие в Съюза като критичен субект.</w:t>
      </w:r>
    </w:p>
    <w:p w14:paraId="34A7BD44" w14:textId="77777777" w:rsidR="00A14709" w:rsidRPr="00133050" w:rsidRDefault="00A14709" w:rsidP="00DB479F">
      <w:pPr>
        <w:keepNext/>
        <w:rPr>
          <w:noProof/>
          <w:u w:val="single"/>
        </w:rPr>
      </w:pPr>
      <w:r w:rsidRPr="00133050">
        <w:rPr>
          <w:noProof/>
          <w:u w:val="single"/>
        </w:rPr>
        <w:t xml:space="preserve">Киберсигурност </w:t>
      </w:r>
    </w:p>
    <w:p w14:paraId="2214BA5D" w14:textId="77777777" w:rsidR="00FC1341" w:rsidRPr="00133050" w:rsidRDefault="00FC1341" w:rsidP="00FC1341">
      <w:pPr>
        <w:rPr>
          <w:noProof/>
        </w:rPr>
      </w:pPr>
      <w:r w:rsidRPr="00133050">
        <w:rPr>
          <w:noProof/>
        </w:rPr>
        <w:t>Въведените през 2016 г. правила на ЕС за киберсигурността</w:t>
      </w:r>
      <w:r w:rsidRPr="00133050">
        <w:rPr>
          <w:rStyle w:val="FootnoteReference"/>
          <w:noProof/>
        </w:rPr>
        <w:footnoteReference w:id="11"/>
      </w:r>
      <w:r w:rsidRPr="00133050">
        <w:rPr>
          <w:noProof/>
        </w:rPr>
        <w:t xml:space="preserve"> бяха актуализирани с Директивата относно мерки за високо общо ниво на киберсигурност в Съюза (Директивата МИС 2)</w:t>
      </w:r>
      <w:r w:rsidRPr="00133050">
        <w:rPr>
          <w:rStyle w:val="FootnoteReference"/>
          <w:noProof/>
        </w:rPr>
        <w:footnoteReference w:id="12"/>
      </w:r>
      <w:r w:rsidRPr="00133050">
        <w:rPr>
          <w:noProof/>
        </w:rPr>
        <w:t xml:space="preserve">, с която се осъвременява съществуващата правна рамка, за да бъде в крак с нарастващата цифровизация и с променящата се картина на киберзаплахите чрез по-широко приложно поле, по-ясни правила и по-солидни инструменти за надзор. С Директивата МИС 2 се разширява приложното поле на правилата за киберсигурността, за да се включат нови сектори и субекти и да се въведе ясен праг на размера, което означава, че по правило всички средни и големи дружества в избраните сектори ще бъдат включени в приложното поле. С Директивата МИС 2 се утвърждават и се рационализират и изискванията за сигурност и докладване за публични и частни субекти чрез налагане на подход за управление на риска. </w:t>
      </w:r>
    </w:p>
    <w:p w14:paraId="103E4167" w14:textId="77777777" w:rsidR="00FC1341" w:rsidRPr="00133050" w:rsidRDefault="00FC1341" w:rsidP="00FC1341">
      <w:pPr>
        <w:rPr>
          <w:noProof/>
        </w:rPr>
      </w:pPr>
      <w:r w:rsidRPr="00133050">
        <w:rPr>
          <w:noProof/>
        </w:rPr>
        <w:t>В Директивата МИС 2 се разглеждат сигурността на веригата на доставките и взаимоотношенията с доставчиците, като от субектите, попадащи в нейния обхват, се изисква да преодолеят рисковете за киберсигурността в своите вериги на доставки и при взаимоотношенията с доставчиците. На равнището на ЕС с директивата се укрепва киберсигурността на веригата на доставките за ключови информационни и комуникационни технологии. Групата за сътрудничество за МИС</w:t>
      </w:r>
      <w:r w:rsidRPr="00133050">
        <w:rPr>
          <w:rStyle w:val="FootnoteReference"/>
          <w:rFonts w:eastAsia="Calibri" w:cs="Arial"/>
          <w:noProof/>
        </w:rPr>
        <w:footnoteReference w:id="13"/>
      </w:r>
      <w:r w:rsidRPr="00133050">
        <w:rPr>
          <w:noProof/>
        </w:rPr>
        <w:t xml:space="preserve">, в сътрудничество с </w:t>
      </w:r>
      <w:r w:rsidRPr="00133050">
        <w:rPr>
          <w:noProof/>
        </w:rPr>
        <w:lastRenderedPageBreak/>
        <w:t>Комисията и Агенцията на Европейския съюз за киберсигурност, може да извърши координирани на равнището на Съюза оценки на риска за сигурността на критичните вериги на доставките. Директивата МИС 2 влезе в сила на 16 януари 2023 г., а крайният срок за транспонирането на изискванията ѝ в националното право на държавите членки е 17 октомври 2024 г.</w:t>
      </w:r>
    </w:p>
    <w:p w14:paraId="3F5FC810" w14:textId="77777777" w:rsidR="00FC1341" w:rsidRPr="00133050" w:rsidRDefault="00FC1341" w:rsidP="00FC1341">
      <w:pPr>
        <w:rPr>
          <w:noProof/>
        </w:rPr>
      </w:pPr>
      <w:r w:rsidRPr="00133050">
        <w:rPr>
          <w:noProof/>
        </w:rPr>
        <w:t>Доколкото приложното поле на предложения регламент и това на Директивата МИС 2 се припокриват, при оценката на чуждестранните инвестиции за целите на предложения регламент следва да се вземат предвид фактът, че дадено целево предприятие в Съюза попада в приложното поле и на Директивата МИС 2, както и резултатите от координираните на равнище ЕС оценки на риска за сигурността на критичните вериги на доставки, извършени в съответствие с член 22 от Директива (ЕС) 2022/2555.</w:t>
      </w:r>
    </w:p>
    <w:p w14:paraId="588AD7C4" w14:textId="77777777" w:rsidR="00A14709" w:rsidRPr="00133050" w:rsidRDefault="00A14709" w:rsidP="00DB479F">
      <w:pPr>
        <w:keepNext/>
        <w:pBdr>
          <w:top w:val="nil"/>
          <w:left w:val="nil"/>
          <w:bottom w:val="nil"/>
          <w:right w:val="nil"/>
          <w:between w:val="nil"/>
          <w:bar w:val="nil"/>
        </w:pBdr>
        <w:spacing w:before="0" w:after="240"/>
        <w:rPr>
          <w:noProof/>
          <w:u w:val="single"/>
        </w:rPr>
      </w:pPr>
      <w:r w:rsidRPr="00133050">
        <w:rPr>
          <w:noProof/>
          <w:u w:val="single"/>
        </w:rPr>
        <w:t>Енергетика</w:t>
      </w:r>
    </w:p>
    <w:p w14:paraId="61845EC1" w14:textId="77777777" w:rsidR="00A14709" w:rsidRPr="00133050" w:rsidRDefault="00A14709" w:rsidP="00DB479F">
      <w:pPr>
        <w:pBdr>
          <w:top w:val="nil"/>
          <w:left w:val="nil"/>
          <w:bottom w:val="nil"/>
          <w:right w:val="nil"/>
          <w:between w:val="nil"/>
          <w:bar w:val="nil"/>
        </w:pBdr>
        <w:spacing w:before="0" w:after="240"/>
        <w:rPr>
          <w:noProof/>
        </w:rPr>
      </w:pPr>
      <w:r w:rsidRPr="00133050">
        <w:rPr>
          <w:noProof/>
        </w:rPr>
        <w:t>С течение на времето ЕС е приел законодателство, с което се повишава сигурността на доставките в областта на енергетиката за ЕС и неговите държави членки. Съгласно Директивата за електроенергията и Директивата за газа</w:t>
      </w:r>
      <w:r w:rsidRPr="00133050">
        <w:rPr>
          <w:rStyle w:val="FootnoteReference"/>
          <w:noProof/>
        </w:rPr>
        <w:footnoteReference w:id="14"/>
      </w:r>
      <w:r w:rsidRPr="00133050">
        <w:rPr>
          <w:noProof/>
        </w:rPr>
        <w:t xml:space="preserve">, ако газопреносната или електропреносната система на държава членка се контролира от оператор от трета държава се изисква оценка на последиците за сигурността на доставките не само за отделните държави членки, но и за ЕС като цяло. Освен това в Регламента относно сигурността на доставките на газ в ЕС </w:t>
      </w:r>
      <w:r w:rsidRPr="00133050">
        <w:rPr>
          <w:rStyle w:val="FootnoteReference"/>
          <w:noProof/>
        </w:rPr>
        <w:footnoteReference w:id="15"/>
      </w:r>
      <w:r w:rsidRPr="00133050">
        <w:rPr>
          <w:noProof/>
        </w:rPr>
        <w:t xml:space="preserve"> се разглеждат специално опасенията във връзка със сигурността на доставките и се изисква от държавите членки да оценят на национално и регионално равнище всички евентуални рискове за газовата система (включително рисковете по отношение на сигурността на доставките, свързани с контрола на инфраструктурата от субекти от трета държава) и да изготвят всеобхватни превантивни планове за действие и планове за действие при извънредни ситуации, съдържащи мерки за ограничаване на тези рискове. Регламентът за готовността за справяне с рискове в електроенергийния сектор </w:t>
      </w:r>
      <w:r w:rsidRPr="00133050">
        <w:rPr>
          <w:rStyle w:val="FootnoteReference"/>
          <w:noProof/>
        </w:rPr>
        <w:footnoteReference w:id="16"/>
      </w:r>
      <w:r w:rsidRPr="00133050">
        <w:rPr>
          <w:noProof/>
        </w:rPr>
        <w:t xml:space="preserve"> включва подобни разпоредби за електроенергийния сектор. Някои субекти в енергийния сектор също са изрично включени в обхвата на Директивата относно устойчивостта на критичните субекти.</w:t>
      </w:r>
    </w:p>
    <w:p w14:paraId="2E34092D" w14:textId="77777777" w:rsidR="00A14709" w:rsidRPr="00133050" w:rsidRDefault="00A14709" w:rsidP="00DB479F">
      <w:pPr>
        <w:rPr>
          <w:noProof/>
          <w:shd w:val="clear" w:color="auto" w:fill="FFFFFF"/>
        </w:rPr>
      </w:pPr>
      <w:r w:rsidRPr="00133050">
        <w:rPr>
          <w:noProof/>
          <w:shd w:val="clear" w:color="auto" w:fill="FFFFFF"/>
        </w:rPr>
        <w:t xml:space="preserve">Когато чуждестранна инвестиция е последвана от искане за сертифициране съгласно член 10 от </w:t>
      </w:r>
      <w:r w:rsidRPr="00133050">
        <w:rPr>
          <w:noProof/>
        </w:rPr>
        <w:t xml:space="preserve">Директивата за електроенергията или Директивата за газа, прилагането на </w:t>
      </w:r>
      <w:r w:rsidRPr="00133050">
        <w:rPr>
          <w:noProof/>
          <w:shd w:val="clear" w:color="auto" w:fill="FFFFFF"/>
        </w:rPr>
        <w:t xml:space="preserve">предложения регламент не следва да засяга прилагането на съответната </w:t>
      </w:r>
      <w:r w:rsidRPr="00133050">
        <w:rPr>
          <w:noProof/>
        </w:rPr>
        <w:t xml:space="preserve">директива. Доколкото </w:t>
      </w:r>
      <w:r w:rsidRPr="00133050">
        <w:rPr>
          <w:noProof/>
          <w:shd w:val="clear" w:color="auto" w:fill="FFFFFF"/>
        </w:rPr>
        <w:t xml:space="preserve">съответното приложно поле на едното и това на другото правило се </w:t>
      </w:r>
      <w:r w:rsidRPr="00133050">
        <w:rPr>
          <w:noProof/>
          <w:shd w:val="clear" w:color="auto" w:fill="FFFFFF"/>
        </w:rPr>
        <w:lastRenderedPageBreak/>
        <w:t xml:space="preserve">припокриват, определените в член 1 от предложения регламент основания за скрининг и понятието сигурност на енергийните доставки следва да се тълкуват последователно и без да се засяга оценката съгласно съответната директива дали контролът от лице или лица от </w:t>
      </w:r>
      <w:r w:rsidRPr="00133050">
        <w:rPr>
          <w:noProof/>
          <w:color w:val="333333"/>
          <w:shd w:val="clear" w:color="auto" w:fill="FFFFFF"/>
        </w:rPr>
        <w:t xml:space="preserve">трета държава </w:t>
      </w:r>
      <w:r w:rsidRPr="00133050">
        <w:rPr>
          <w:noProof/>
          <w:shd w:val="clear" w:color="auto" w:fill="FFFFFF"/>
        </w:rPr>
        <w:t xml:space="preserve"> или трети държави ще изложи на риск сигурността на енергийните доставки за ЕС.</w:t>
      </w:r>
    </w:p>
    <w:p w14:paraId="1D50CEE1" w14:textId="77777777" w:rsidR="00A14709" w:rsidRPr="00133050" w:rsidRDefault="00A14709" w:rsidP="00DB479F">
      <w:pPr>
        <w:pBdr>
          <w:top w:val="nil"/>
          <w:left w:val="nil"/>
          <w:bottom w:val="nil"/>
          <w:right w:val="nil"/>
          <w:between w:val="nil"/>
          <w:bar w:val="nil"/>
        </w:pBdr>
        <w:spacing w:before="0" w:after="240"/>
        <w:rPr>
          <w:noProof/>
          <w:u w:val="single"/>
        </w:rPr>
      </w:pPr>
      <w:r w:rsidRPr="00133050">
        <w:rPr>
          <w:noProof/>
          <w:u w:val="single"/>
        </w:rPr>
        <w:t>Въздушен транспорт</w:t>
      </w:r>
    </w:p>
    <w:p w14:paraId="401D44D0" w14:textId="77777777" w:rsidR="00A14709" w:rsidRPr="00133050" w:rsidRDefault="00A14709" w:rsidP="00DB479F">
      <w:pPr>
        <w:pBdr>
          <w:top w:val="nil"/>
          <w:left w:val="nil"/>
          <w:bottom w:val="nil"/>
          <w:right w:val="nil"/>
          <w:between w:val="nil"/>
          <w:bar w:val="nil"/>
        </w:pBdr>
        <w:spacing w:before="0" w:after="240"/>
        <w:rPr>
          <w:noProof/>
        </w:rPr>
      </w:pPr>
      <w:r w:rsidRPr="00133050">
        <w:rPr>
          <w:noProof/>
        </w:rPr>
        <w:t xml:space="preserve">С Регламент (ЕО) № 1008/2008 </w:t>
      </w:r>
      <w:r w:rsidRPr="00133050">
        <w:rPr>
          <w:rStyle w:val="FootnoteReference"/>
          <w:noProof/>
        </w:rPr>
        <w:footnoteReference w:id="17"/>
      </w:r>
      <w:r w:rsidRPr="00133050">
        <w:rPr>
          <w:noProof/>
        </w:rPr>
        <w:t xml:space="preserve"> се определят общите правила за извършване на въздухоплавателни услуги в ЕС, включително лицензирането на въздушните превозвачи от ЕС и прозрачността при ценообразуването. Съгласно регламента от държавите членки или гражданите на държавите членки се изисква (като едно от условията за предоставяне на оперативен лиценз на предприятие, на което се позволява да извършва въздушен превоз на пътници, поща или товари срещу възнаграждение или такса) да притежават повече от 50 % от предприятието и да имат ефективен контрол над него, с изключение на „предвиденото в споразумение с трета държава, по което Общността е страна“ (член 4).</w:t>
      </w:r>
    </w:p>
    <w:p w14:paraId="3DE5A672" w14:textId="77777777" w:rsidR="00A14709" w:rsidRPr="00133050" w:rsidRDefault="00A14709" w:rsidP="007E2772">
      <w:pPr>
        <w:pBdr>
          <w:top w:val="nil"/>
          <w:left w:val="nil"/>
          <w:bottom w:val="nil"/>
          <w:right w:val="nil"/>
          <w:between w:val="nil"/>
          <w:bar w:val="nil"/>
        </w:pBdr>
        <w:spacing w:before="0" w:after="240"/>
        <w:rPr>
          <w:noProof/>
        </w:rPr>
      </w:pPr>
      <w:r w:rsidRPr="00133050">
        <w:rPr>
          <w:noProof/>
        </w:rPr>
        <w:t>Предложеният регламент се прилага по отношение на чуждестранни инвестиции, които да под прага, определен в Регламент (ЕО) № 1008/2008. Следователно с него се дава възможност за оценка на това дали има вероятност чуждестранна инвестиция в предприятие от ЕС, предоставящо въздухоплавателни услуги в рамките на ЕС, да повлияе отрицателно на сигурността или обществения ред. Когато чуждестранна инвестиция е предмет на предложения регламент, неговото прилагане не следва да засяга прилагането на Регламент (ЕО) № 1008/2008.</w:t>
      </w:r>
    </w:p>
    <w:p w14:paraId="2E2F36D0" w14:textId="77777777" w:rsidR="00FB5B2F" w:rsidRPr="00133050" w:rsidRDefault="00A14709" w:rsidP="00DB479F">
      <w:pPr>
        <w:pBdr>
          <w:top w:val="nil"/>
          <w:left w:val="nil"/>
          <w:bottom w:val="nil"/>
          <w:right w:val="nil"/>
          <w:between w:val="nil"/>
          <w:bar w:val="nil"/>
        </w:pBdr>
        <w:spacing w:before="0" w:after="240"/>
        <w:rPr>
          <w:noProof/>
          <w:u w:val="single"/>
        </w:rPr>
      </w:pPr>
      <w:r w:rsidRPr="00133050">
        <w:rPr>
          <w:noProof/>
          <w:u w:val="single"/>
        </w:rPr>
        <w:t xml:space="preserve">Пруденциална оценка на придобиванията и увеличаване на квалифицираното участие във финансовия сектор </w:t>
      </w:r>
    </w:p>
    <w:p w14:paraId="64568368" w14:textId="77777777" w:rsidR="005F053A" w:rsidRPr="00133050" w:rsidRDefault="005F053A" w:rsidP="005F053A">
      <w:pPr>
        <w:pBdr>
          <w:top w:val="nil"/>
          <w:left w:val="nil"/>
          <w:bottom w:val="nil"/>
          <w:right w:val="nil"/>
          <w:between w:val="nil"/>
          <w:bar w:val="nil"/>
        </w:pBdr>
        <w:spacing w:after="240"/>
        <w:rPr>
          <w:noProof/>
        </w:rPr>
      </w:pPr>
      <w:r w:rsidRPr="00133050">
        <w:rPr>
          <w:noProof/>
        </w:rPr>
        <w:t xml:space="preserve">Законодателството на ЕС във финансовия сектор дава възможност на компетентните органи да извършват пруденциална оценка на придобиванията и увеличаване на участието във финансовите институции (например кредитни институции, инвестиционни посредници и платежни институции). Целта на тези разпоредби е да се гарантира стабилното и разумното управление на финансовите институции и безпроблемното функциониране на финансовия сектор. </w:t>
      </w:r>
    </w:p>
    <w:p w14:paraId="65FC0F4F" w14:textId="77777777" w:rsidR="005F053A" w:rsidRPr="00133050" w:rsidRDefault="005F053A" w:rsidP="005F053A">
      <w:pPr>
        <w:pBdr>
          <w:top w:val="nil"/>
          <w:left w:val="nil"/>
          <w:bottom w:val="nil"/>
          <w:right w:val="nil"/>
          <w:between w:val="nil"/>
          <w:bar w:val="nil"/>
        </w:pBdr>
        <w:spacing w:after="240"/>
        <w:rPr>
          <w:noProof/>
        </w:rPr>
      </w:pPr>
      <w:r w:rsidRPr="00133050">
        <w:rPr>
          <w:noProof/>
        </w:rPr>
        <w:t>Както обаче се признава в Съобщението на Комисията от 2021 г., озаглавено „</w:t>
      </w:r>
      <w:r w:rsidRPr="00133050">
        <w:rPr>
          <w:i/>
          <w:noProof/>
        </w:rPr>
        <w:t>Европейската икономическа и финансова система: насърчаване на откритостта, силата и устойчивостта</w:t>
      </w:r>
      <w:r w:rsidRPr="00133050">
        <w:rPr>
          <w:noProof/>
        </w:rPr>
        <w:t>“</w:t>
      </w:r>
      <w:r w:rsidRPr="00133050">
        <w:rPr>
          <w:rStyle w:val="FootnoteReference"/>
          <w:noProof/>
        </w:rPr>
        <w:footnoteReference w:id="18"/>
      </w:r>
      <w:r w:rsidRPr="00133050">
        <w:rPr>
          <w:noProof/>
        </w:rPr>
        <w:t xml:space="preserve">, финансовият сектор също е от ключово значение за икономическата сигурност и устойчивостта на икономиката на ЕС. Като се отчита значението на финансовата система за сигурността и обществения ред, с предложения регламент от всички държави членки се изисква да извършват скрининг на чуждестранните инвестиции в списък от субекти, посочени в приложение II, и да </w:t>
      </w:r>
      <w:r w:rsidRPr="00133050">
        <w:rPr>
          <w:noProof/>
        </w:rPr>
        <w:lastRenderedPageBreak/>
        <w:t>уведомяват другите държави членки и Комисията за тези сделки, които отговарят на критериите, посочени в член 5, параграфи 1 и 2 от предложения регламент.</w:t>
      </w:r>
    </w:p>
    <w:p w14:paraId="11E4446F" w14:textId="77777777" w:rsidR="005F053A" w:rsidRPr="00133050" w:rsidRDefault="005F053A" w:rsidP="005F053A">
      <w:pPr>
        <w:pBdr>
          <w:top w:val="nil"/>
          <w:left w:val="nil"/>
          <w:bottom w:val="nil"/>
          <w:right w:val="nil"/>
          <w:between w:val="nil"/>
          <w:bar w:val="nil"/>
        </w:pBdr>
        <w:spacing w:after="240"/>
        <w:rPr>
          <w:noProof/>
        </w:rPr>
      </w:pPr>
      <w:r w:rsidRPr="00133050">
        <w:rPr>
          <w:noProof/>
        </w:rPr>
        <w:t>Изброените в приложение II финансови субекти са от решаващо значение за безпроблемния клиринг и сетълмент на финансовите сделки (плащания, ценни книжа и деривати), като предоставят възможност за вътрешна и външна търговия и осигуряват основа за международната роля на еврото. Освен това изброените в приложение II финансови субекти изпълняват основни функции за обществото и обикновено извършват трансгранична дейност, поради което може да представляват риск за сигурността или обществения ред в повече от една държава членка.</w:t>
      </w:r>
    </w:p>
    <w:p w14:paraId="7D221E07" w14:textId="77777777" w:rsidR="005F053A" w:rsidRPr="00133050" w:rsidRDefault="005F053A" w:rsidP="005F053A">
      <w:pPr>
        <w:pBdr>
          <w:top w:val="nil"/>
          <w:left w:val="nil"/>
          <w:bottom w:val="nil"/>
          <w:right w:val="nil"/>
          <w:between w:val="nil"/>
          <w:bar w:val="nil"/>
        </w:pBdr>
        <w:spacing w:after="240"/>
        <w:rPr>
          <w:noProof/>
        </w:rPr>
      </w:pPr>
      <w:r w:rsidRPr="00133050">
        <w:rPr>
          <w:noProof/>
        </w:rPr>
        <w:t xml:space="preserve">Предложеният регламент няма да засегне правилата на ЕС относно пруденциалния преглед на придобиванията на квалифицирано участие във финансовия сектор, който ще продължи да е отделна процедура, служеща на различна цел, с която се оценяват рисковете за сигурността и обществения ред. </w:t>
      </w:r>
    </w:p>
    <w:p w14:paraId="20E6EC3B" w14:textId="77777777" w:rsidR="00A14709" w:rsidRPr="00133050" w:rsidRDefault="00A14709" w:rsidP="00DB479F">
      <w:pPr>
        <w:pBdr>
          <w:top w:val="nil"/>
          <w:left w:val="nil"/>
          <w:bottom w:val="nil"/>
          <w:right w:val="nil"/>
          <w:between w:val="nil"/>
          <w:bar w:val="nil"/>
        </w:pBdr>
        <w:spacing w:before="0" w:after="240"/>
        <w:rPr>
          <w:noProof/>
          <w:u w:val="single"/>
        </w:rPr>
      </w:pPr>
      <w:r w:rsidRPr="00133050">
        <w:rPr>
          <w:noProof/>
          <w:u w:val="single"/>
        </w:rPr>
        <w:t>Контрол на износа на изделия с двойна употреба</w:t>
      </w:r>
    </w:p>
    <w:p w14:paraId="5601464F" w14:textId="77777777" w:rsidR="00A14709" w:rsidRPr="00133050" w:rsidRDefault="00A14709" w:rsidP="00DB479F">
      <w:pPr>
        <w:rPr>
          <w:noProof/>
        </w:rPr>
      </w:pPr>
      <w:r w:rsidRPr="00133050">
        <w:rPr>
          <w:noProof/>
          <w:shd w:val="clear" w:color="auto" w:fill="FFFFFF"/>
        </w:rPr>
        <w:t xml:space="preserve">Изделията с двойна употреба са стоки, софтуер и технологии, които могат да бъдат използвани както за граждански, така и за военни цели. </w:t>
      </w:r>
      <w:r w:rsidRPr="00133050">
        <w:rPr>
          <w:noProof/>
        </w:rPr>
        <w:t xml:space="preserve">ЕС контролира износа, транзита, брокерската дейност и техническата помощ за тези изделия, така ЕС може да допринесе за мира и сигурността в световен мащаб и да предотврати разпространението на оръжия за масово унищожение. </w:t>
      </w:r>
      <w:r w:rsidRPr="00133050">
        <w:rPr>
          <w:noProof/>
          <w:shd w:val="clear" w:color="auto" w:fill="FFFFFF"/>
        </w:rPr>
        <w:t xml:space="preserve">Регламентът относно контрола върху износа на изделия с двойна употреба </w:t>
      </w:r>
      <w:r w:rsidRPr="00133050">
        <w:rPr>
          <w:rStyle w:val="FootnoteReference"/>
          <w:noProof/>
        </w:rPr>
        <w:footnoteReference w:id="19"/>
      </w:r>
      <w:r w:rsidRPr="00133050">
        <w:rPr>
          <w:noProof/>
          <w:shd w:val="clear" w:color="auto" w:fill="FFFFFF"/>
        </w:rPr>
        <w:t xml:space="preserve"> беше преразгледан през 2021 г. с цел по-добро справяне с рисковете, свързани с бързо развиващата се среда в областта на сигурността, технологиите и търговията, със специален акцент върху износа на чувствителни нововъзникващи технологии. </w:t>
      </w:r>
      <w:r w:rsidRPr="00133050">
        <w:rPr>
          <w:noProof/>
        </w:rPr>
        <w:t>Скринингът на инвестиции допълва контрола върху износа на изделия с двойна употреба. И двете представляват важни инструменти за стратегически търговски и инвестиционен контрол за гарантиране на сигурността в ЕС.</w:t>
      </w:r>
    </w:p>
    <w:p w14:paraId="09F32B5B" w14:textId="77777777" w:rsidR="00A14709" w:rsidRPr="00133050" w:rsidRDefault="00A14709" w:rsidP="00DB479F">
      <w:pPr>
        <w:rPr>
          <w:noProof/>
        </w:rPr>
      </w:pPr>
      <w:r w:rsidRPr="00133050">
        <w:rPr>
          <w:noProof/>
        </w:rPr>
        <w:t xml:space="preserve">Съгласно предложения регламент от държавите членки се изисква да извършват скрининг и да подават уведомление до механизма за сътрудничество относно чуждестранни инвестиции, когато целевото предприятие в Съюза </w:t>
      </w:r>
      <w:r w:rsidRPr="00133050">
        <w:rPr>
          <w:noProof/>
          <w:shd w:val="clear" w:color="auto" w:fill="FFFFFF"/>
        </w:rPr>
        <w:t>разполага с правомощието да взема решение относно износа на изделия от митническата територия на ЕС.</w:t>
      </w:r>
    </w:p>
    <w:p w14:paraId="50D2EFB0" w14:textId="77777777" w:rsidR="00A14709" w:rsidRPr="00133050" w:rsidRDefault="00A14709" w:rsidP="00DB479F">
      <w:pPr>
        <w:rPr>
          <w:noProof/>
        </w:rPr>
      </w:pPr>
      <w:r w:rsidRPr="00133050">
        <w:rPr>
          <w:noProof/>
        </w:rPr>
        <w:t xml:space="preserve">Предложеният регламент няма да засегне националните разпоредби и решения, засягащи износа на изделия с двойна употреба, които ще продължат да бъдат вземани в рамките на отделна процедура със специфични цели. </w:t>
      </w:r>
    </w:p>
    <w:p w14:paraId="47422487" w14:textId="77777777" w:rsidR="00A14709" w:rsidRPr="00133050" w:rsidRDefault="00A14709" w:rsidP="00DB479F">
      <w:pPr>
        <w:rPr>
          <w:noProof/>
          <w:u w:val="single"/>
        </w:rPr>
      </w:pPr>
      <w:r w:rsidRPr="00133050">
        <w:rPr>
          <w:noProof/>
          <w:u w:val="single"/>
        </w:rPr>
        <w:t>Инструмент за борба с принудата</w:t>
      </w:r>
    </w:p>
    <w:p w14:paraId="4F8036F8" w14:textId="77777777" w:rsidR="00A14709" w:rsidRPr="00133050" w:rsidRDefault="00A14709" w:rsidP="00DB479F">
      <w:pPr>
        <w:rPr>
          <w:noProof/>
        </w:rPr>
      </w:pPr>
      <w:r w:rsidRPr="00133050">
        <w:rPr>
          <w:noProof/>
        </w:rPr>
        <w:t xml:space="preserve">Инструментът за борба с принудата (ИБП) </w:t>
      </w:r>
      <w:r w:rsidRPr="00133050">
        <w:rPr>
          <w:rStyle w:val="FootnoteReference"/>
          <w:noProof/>
        </w:rPr>
        <w:footnoteReference w:id="20"/>
      </w:r>
      <w:r w:rsidRPr="00133050">
        <w:rPr>
          <w:noProof/>
        </w:rPr>
        <w:t xml:space="preserve"> е друг важен градивен елемент за икономическата сигурност на ЕС. С него на ЕС се дава възможност да реагира на </w:t>
      </w:r>
      <w:r w:rsidRPr="00133050">
        <w:rPr>
          <w:noProof/>
        </w:rPr>
        <w:lastRenderedPageBreak/>
        <w:t>икономическата принуда и следователно да защитава по-добре своите интереси и тези на своите държави членки в световен мащаб.</w:t>
      </w:r>
    </w:p>
    <w:p w14:paraId="04C99F77" w14:textId="77777777" w:rsidR="00A14709" w:rsidRPr="00133050" w:rsidRDefault="00A14709" w:rsidP="00DB479F">
      <w:pPr>
        <w:rPr>
          <w:noProof/>
        </w:rPr>
      </w:pPr>
      <w:r w:rsidRPr="00133050">
        <w:rPr>
          <w:noProof/>
        </w:rPr>
        <w:t>ИБП е предназначен преди всичко да възпира всяка възможна икономическа принуда. Ако все пак е налице такава, чрез диалог и сътрудничество ИБП предоставя необходимите условия за това третата държава да преустанови принудителните мерки. Ако този диалог обаче се окаже неуспешен, ИБП също така предоставя на ЕС широк набор от възможни ответни мерки срещу държавата, която си служи с принуда. Горепосочените мерки включват налагането на тарифи, ограничения върху търговията с услуги и ограничения върху достъпа до ПЧИ или до обществени поръчки.</w:t>
      </w:r>
    </w:p>
    <w:p w14:paraId="45F743C4" w14:textId="77777777" w:rsidR="00A14709" w:rsidRPr="00133050" w:rsidRDefault="00A14709" w:rsidP="00DB479F">
      <w:pPr>
        <w:rPr>
          <w:noProof/>
        </w:rPr>
      </w:pPr>
      <w:r w:rsidRPr="00133050">
        <w:rPr>
          <w:noProof/>
        </w:rPr>
        <w:t xml:space="preserve">Ако предложеният регламент трябва да се приложи по отношение на чуждестранни инвеститори от трети държави, които са обект на ответни мерки съгласно ИБП, оценката дали чуждестранната инвестиция е вероятно да повлияе отрицателно на сигурността или обществения ред ще трябва да се извърши, без оглед на аспекта принуда, освен когато в резултат на принуда биха възникнали </w:t>
      </w:r>
      <w:r w:rsidRPr="00133050">
        <w:rPr>
          <w:noProof/>
          <w:shd w:val="clear" w:color="auto" w:fill="FFFFFF"/>
        </w:rPr>
        <w:t xml:space="preserve">рискове за сигурността или обществения ред. </w:t>
      </w:r>
      <w:r w:rsidRPr="00133050">
        <w:rPr>
          <w:noProof/>
        </w:rPr>
        <w:t xml:space="preserve">Освен това скрининговите решения на държавите членки на основания, свързани със сигурността или обществения ред, не трябва да засягат възможните мерки на ЕС, насочени към </w:t>
      </w:r>
      <w:r w:rsidRPr="00133050">
        <w:rPr>
          <w:noProof/>
          <w:shd w:val="clear" w:color="auto" w:fill="FFFFFF"/>
        </w:rPr>
        <w:t>борба с икономическата принуда.</w:t>
      </w:r>
      <w:r w:rsidRPr="00133050">
        <w:rPr>
          <w:noProof/>
        </w:rPr>
        <w:t xml:space="preserve"> </w:t>
      </w:r>
    </w:p>
    <w:p w14:paraId="39EF7E23" w14:textId="77777777" w:rsidR="00A14709" w:rsidRPr="00133050" w:rsidRDefault="00A14709" w:rsidP="00DB479F">
      <w:pPr>
        <w:rPr>
          <w:noProof/>
          <w:u w:val="single"/>
        </w:rPr>
      </w:pPr>
      <w:r w:rsidRPr="00133050">
        <w:rPr>
          <w:noProof/>
          <w:u w:val="single"/>
        </w:rPr>
        <w:t>Ограничителни мерки (санкции) на ЕС</w:t>
      </w:r>
    </w:p>
    <w:p w14:paraId="33C6C694" w14:textId="77777777" w:rsidR="00A14709" w:rsidRPr="00133050" w:rsidRDefault="00A14709" w:rsidP="00DB479F">
      <w:pPr>
        <w:pBdr>
          <w:top w:val="nil"/>
          <w:left w:val="nil"/>
          <w:bottom w:val="nil"/>
          <w:right w:val="nil"/>
          <w:between w:val="nil"/>
          <w:bar w:val="nil"/>
        </w:pBdr>
        <w:spacing w:before="0" w:after="240"/>
        <w:rPr>
          <w:noProof/>
        </w:rPr>
      </w:pPr>
      <w:r w:rsidRPr="00133050">
        <w:rPr>
          <w:noProof/>
        </w:rPr>
        <w:t>Предложеният регламент е в съответствие с ограничителните мерки (санкции) на ЕС, които въз основа на член 215 от ДФЕС имат предимство пред други регламенти на ЕС и с тях може да се забрани или да се попречи на разрешаването на инвестиции от някои трети държави или граждани на трети държави.</w:t>
      </w:r>
    </w:p>
    <w:p w14:paraId="6BBCE8A4" w14:textId="77777777" w:rsidR="00A14709" w:rsidRPr="00133050" w:rsidRDefault="00A14709" w:rsidP="00DB479F">
      <w:pPr>
        <w:rPr>
          <w:noProof/>
        </w:rPr>
      </w:pPr>
      <w:r w:rsidRPr="00133050">
        <w:rPr>
          <w:noProof/>
        </w:rPr>
        <w:t>Ограничителните мерки на ЕС се прилагат за редица субекти, включително за всяко лице на територията на ЕС или извън нея, което е гражданин на държава членка, за всяко юридическо лице, субект или орган на територията на ЕС или извън нея, което е регистрирано или учредено съгласно правото на държава членка, както и за всяко юридическо лице, субект или орган по отношение на стопанска дейност, извършвана изцяло или частично в рамките на ЕС.</w:t>
      </w:r>
    </w:p>
    <w:p w14:paraId="4935C35B" w14:textId="77777777" w:rsidR="00A14709" w:rsidRPr="00133050" w:rsidRDefault="00A14709" w:rsidP="00DB479F">
      <w:pPr>
        <w:rPr>
          <w:noProof/>
        </w:rPr>
      </w:pPr>
      <w:r w:rsidRPr="00133050">
        <w:rPr>
          <w:noProof/>
        </w:rPr>
        <w:t>Ограничителните мерки на ЕС могат да бъдат под формата на мерки, специфични за дружества, групи, организации или физически лица (например обезпечаване и забрана за предоставяне на средства или икономически ресурси), или на секторни мерки.</w:t>
      </w:r>
    </w:p>
    <w:p w14:paraId="2E944391" w14:textId="77777777" w:rsidR="00A14709" w:rsidRPr="00133050" w:rsidRDefault="00A14709" w:rsidP="00DB479F">
      <w:pPr>
        <w:rPr>
          <w:noProof/>
        </w:rPr>
      </w:pPr>
      <w:r w:rsidRPr="00133050">
        <w:rPr>
          <w:noProof/>
        </w:rPr>
        <w:t>Комисията счита, че обезпечаването и забраната за предоставяне на средства обхващат и активите на всеки непосочен в списъка субект, който е притежаван или контролиран от посочено в списъка лице или субект, освен ако може да се докаже, че въпросните активи в действителност не са притежавани или контролирани от посоченото в списъка лице или субект.</w:t>
      </w:r>
    </w:p>
    <w:p w14:paraId="08F0CC6C" w14:textId="77777777" w:rsidR="005F1ACB" w:rsidRPr="00133050" w:rsidRDefault="00A14709" w:rsidP="005F1ACB">
      <w:pPr>
        <w:rPr>
          <w:noProof/>
        </w:rPr>
      </w:pPr>
      <w:r w:rsidRPr="00133050">
        <w:rPr>
          <w:noProof/>
        </w:rPr>
        <w:t xml:space="preserve">Важно е да упражнява строг и стриктен контрол върху всички опити на определени или санкционирани по друг начин лица да придобият пряко или косвено контрол върху дружества от ЕС. Поради това е изключително важно това правило да се прилага и когато инвеститорът не е пряко подложен на санкции, но е притежаван или контролиран от такова лице или субект, или действа от негово име или по негово указание. Поради това с предложения регламент от държавите членки ще се изисква да уведомяват други държави членки и Комисията за всяка чуждестранна инвестиция на тяхна територия, извършена от инвеститори, които са обект на всякакъв вид ограничителни мерки на ЕС, както и от всяка друга страна, притежавана или контролирана от такова лице или субект или действаща от негово името или по негово указание. </w:t>
      </w:r>
    </w:p>
    <w:p w14:paraId="18DF0E4C" w14:textId="77777777" w:rsidR="00A14709" w:rsidRPr="00133050" w:rsidRDefault="00A14709" w:rsidP="00A14709">
      <w:pPr>
        <w:pStyle w:val="ManualHeading1"/>
        <w:rPr>
          <w:noProof/>
        </w:rPr>
      </w:pPr>
      <w:r>
        <w:rPr>
          <w:noProof/>
        </w:rPr>
        <w:lastRenderedPageBreak/>
        <w:t>2.</w:t>
      </w:r>
      <w:r>
        <w:rPr>
          <w:noProof/>
        </w:rPr>
        <w:tab/>
      </w:r>
      <w:r w:rsidRPr="00133050">
        <w:rPr>
          <w:noProof/>
        </w:rPr>
        <w:t>ПРАВНО ОСНОВАНИЕ, СУБСИДИАРНОСТ И ПРОПОРЦИОНАЛНОСТ</w:t>
      </w:r>
    </w:p>
    <w:p w14:paraId="403442E4" w14:textId="77777777" w:rsidR="00A14709" w:rsidRPr="00133050" w:rsidRDefault="00A14709" w:rsidP="00A14709">
      <w:pPr>
        <w:pStyle w:val="ManualHeading2"/>
        <w:rPr>
          <w:noProof/>
        </w:rPr>
      </w:pPr>
      <w:r>
        <w:rPr>
          <w:noProof/>
        </w:rPr>
        <w:t>2.1.</w:t>
      </w:r>
      <w:r>
        <w:rPr>
          <w:noProof/>
        </w:rPr>
        <w:tab/>
      </w:r>
      <w:r w:rsidRPr="00133050">
        <w:rPr>
          <w:noProof/>
        </w:rPr>
        <w:t>Правно основание</w:t>
      </w:r>
    </w:p>
    <w:p w14:paraId="2FF6F108" w14:textId="77777777" w:rsidR="007167F3" w:rsidRPr="00133050" w:rsidRDefault="00A14709" w:rsidP="00C0697D">
      <w:pPr>
        <w:rPr>
          <w:noProof/>
        </w:rPr>
      </w:pPr>
      <w:r w:rsidRPr="00133050">
        <w:rPr>
          <w:noProof/>
        </w:rPr>
        <w:t>ПЧИ са изрично включени в обхвата на общата търговска политика на ЕС, която попада в приложното поле на член 207 от ДФЕС. Освен това е необходимо използването като допълнително правно основание на член 114 от ДФЕС, в който се предвижда приемането на мерки за осигуряване на създаването и функционирането на вътрешния пазар. Тази разпоредба дава възможност за приемането на мерки за сближаване на законовите, подзаконовите или административните разпоредби на държавите членки, които имат за цел създаването и функционирането на вътрешния пазар. Това е подходящото правно основание за намеса, изискваща от държавите членки да извършват скрининг на някои инвестиции в рамките на вътрешния пазар и с която се преодоляват различията между механизмите за скрининг на държавите членки, които може да възпрепятстват основните свободи и да имат пряко отражение върху функционирането на вътрешния пазар.</w:t>
      </w:r>
    </w:p>
    <w:p w14:paraId="2F898F55" w14:textId="77777777" w:rsidR="007167F3" w:rsidRPr="00133050" w:rsidRDefault="007167F3" w:rsidP="00C0697D">
      <w:pPr>
        <w:rPr>
          <w:noProof/>
          <w:color w:val="333333"/>
        </w:rPr>
      </w:pPr>
      <w:r w:rsidRPr="00133050">
        <w:rPr>
          <w:noProof/>
        </w:rPr>
        <w:t xml:space="preserve">Налице са разлики в националните законодателства и те се увеличават с оглед на това, че много държави членки вече поддържат механизми за скрининг, а някои са в процес на създаване на такива механизми, които да се простират и върху инвестиции в рамките на ЕС. Това е ситуация на нормативна разпокъсаност, доколкото националните механизми за скрининг се различават по специфични елементи, като обхват (видовете дейности и обхванати сектори) и </w:t>
      </w:r>
      <w:r w:rsidRPr="00133050">
        <w:rPr>
          <w:noProof/>
          <w:color w:val="333333"/>
        </w:rPr>
        <w:t xml:space="preserve"> крайни срокове (продължителност на оценката и срок за решението на националния орган), процедурни изисквания, както и критериите, прилагани за вероятното отрицателно отражение върху сигурността или обществения ред. </w:t>
      </w:r>
      <w:r w:rsidRPr="00133050">
        <w:rPr>
          <w:noProof/>
        </w:rPr>
        <w:t xml:space="preserve">Това е още по-уместно, като се има предвид равнището на интеграция на вътрешния пазар, което може да доведе до това една-единствена сделка да засяга множество държави членки в ЕС. </w:t>
      </w:r>
    </w:p>
    <w:p w14:paraId="4B4C7809" w14:textId="77777777" w:rsidR="00827575" w:rsidRPr="00133050" w:rsidRDefault="007167F3" w:rsidP="00C0697D">
      <w:pPr>
        <w:rPr>
          <w:noProof/>
        </w:rPr>
      </w:pPr>
      <w:r w:rsidRPr="00133050">
        <w:rPr>
          <w:noProof/>
          <w:color w:val="333333"/>
        </w:rPr>
        <w:t xml:space="preserve">Такава разпокъсаност поражда пречки пред свободата на установяване и вероятно ще доведе до увеличаване на броя на държавите членки, поддържащи механизъм за скрининг. С предложените хармонизирани мерки се цели i) да се създадат еднакви условия на конкуренция между държавите членки, ii) да се намалят съществуващите разходи по спазване на изискванията за чуждестранните инвеститори, както и iii) да се предотврати </w:t>
      </w:r>
      <w:r w:rsidRPr="00133050">
        <w:rPr>
          <w:noProof/>
        </w:rPr>
        <w:t xml:space="preserve">появата на допълнителни пречки на вътрешния пазар пред инвестициите. </w:t>
      </w:r>
    </w:p>
    <w:p w14:paraId="4FA5C809" w14:textId="77777777" w:rsidR="007167F3" w:rsidRPr="00133050" w:rsidRDefault="007167F3" w:rsidP="00C0697D">
      <w:pPr>
        <w:rPr>
          <w:noProof/>
        </w:rPr>
      </w:pPr>
      <w:r w:rsidRPr="00133050">
        <w:rPr>
          <w:noProof/>
        </w:rPr>
        <w:t>В съответствие с целта си по отношение на вътрешния пазар, с настоящото предложение се предвижда някои чуждестранни инвестиции да бъдат подложени на скрининг, независимо от държавата(ите) членка(и), където се намира целевото предприятие. Освен това в предложението се предвижда чуждестранните инвестиции да бъдат оценявани съгласно хармонизирани стандарти и срокове. С оглед на горепосоченото е необходима по-висока степен на хармонизация на равнището на Съюза, поради което член 114 от ДФЕС е съответното правно основание за настоящата инициатива.</w:t>
      </w:r>
    </w:p>
    <w:p w14:paraId="25F7E826" w14:textId="77777777" w:rsidR="00A14709" w:rsidRPr="00133050" w:rsidRDefault="007167F3" w:rsidP="00C0697D">
      <w:pPr>
        <w:rPr>
          <w:noProof/>
        </w:rPr>
      </w:pPr>
      <w:r w:rsidRPr="00133050">
        <w:rPr>
          <w:noProof/>
        </w:rPr>
        <w:t xml:space="preserve">Използването на член 114 от ДФЕС дава възможност за включването в обхвата на предложения регламент на някои инвестиции в рамките на ЕС. Това цели да се гарантира, че са преодолени рисковете за сигурността и обществения ред, породени от такива сделки. По-специално предложеният регламент ще бъде ограничен до тези инвестиции в рамките на ЕС, които: </w:t>
      </w:r>
    </w:p>
    <w:p w14:paraId="3291BC58" w14:textId="77777777" w:rsidR="00A14709" w:rsidRPr="00133050" w:rsidRDefault="00CC5BED" w:rsidP="00CC5BED">
      <w:pPr>
        <w:pStyle w:val="Point1"/>
        <w:rPr>
          <w:noProof/>
        </w:rPr>
      </w:pPr>
      <w:r w:rsidRPr="00133050">
        <w:rPr>
          <w:noProof/>
        </w:rPr>
        <w:t>i)</w:t>
      </w:r>
      <w:r w:rsidRPr="00133050">
        <w:rPr>
          <w:noProof/>
        </w:rPr>
        <w:tab/>
        <w:t xml:space="preserve">са направени от дъщерно дружество на чуждестранен инвеститор в Съюза, когато дъщерното дружество е пряко или косвено контролирано от чуждестранен инвеститор. Тук не са обхванати субекти, в които няма </w:t>
      </w:r>
      <w:r w:rsidRPr="00133050">
        <w:rPr>
          <w:noProof/>
        </w:rPr>
        <w:lastRenderedPageBreak/>
        <w:t>участие от трета държава или в които има участие на чуждестранен инвеститор, без той да упражнява контрол (портфейлни инвестиции);</w:t>
      </w:r>
    </w:p>
    <w:p w14:paraId="1BF33AD6" w14:textId="77777777" w:rsidR="00A14709" w:rsidRPr="00133050" w:rsidRDefault="00CC5BED" w:rsidP="00CC5BED">
      <w:pPr>
        <w:pStyle w:val="Point1"/>
        <w:rPr>
          <w:noProof/>
        </w:rPr>
      </w:pPr>
      <w:r w:rsidRPr="00133050">
        <w:rPr>
          <w:noProof/>
        </w:rPr>
        <w:t>ii)</w:t>
      </w:r>
      <w:r w:rsidRPr="00133050">
        <w:rPr>
          <w:noProof/>
        </w:rPr>
        <w:tab/>
        <w:t>целят установяването на трайна връзка между чуждестранния инвеститор и целевото предприятие в Съюза.</w:t>
      </w:r>
    </w:p>
    <w:p w14:paraId="5D24E66D" w14:textId="77777777" w:rsidR="00A14709" w:rsidRPr="00133050" w:rsidRDefault="00A14709" w:rsidP="00DB479F">
      <w:pPr>
        <w:pBdr>
          <w:top w:val="nil"/>
          <w:left w:val="nil"/>
          <w:bottom w:val="nil"/>
          <w:right w:val="nil"/>
          <w:between w:val="nil"/>
          <w:bar w:val="nil"/>
        </w:pBdr>
        <w:spacing w:before="0" w:after="240"/>
        <w:rPr>
          <w:noProof/>
        </w:rPr>
      </w:pPr>
      <w:r w:rsidRPr="00133050">
        <w:rPr>
          <w:noProof/>
        </w:rPr>
        <w:t xml:space="preserve">Това разширяване на обхвата на настоящия Регламент за ПЧИ цели да се обхване конкретен набор от чуждестранни инвестиции, направени чрез дъщерни дружества в ЕС, контролирани от инвеститори от трети държави. С него се допълват и разширяват действащите разпоредби, които дават възможност подобни инвестиции да бъдат обхванати, когато избраната структура се използва за заобикаляне на скрининга на ПЧИ в ЕС. Това гарантира последователен подход към рисковете за сигурността и обществения ред, произтичащи от инвестиции, които в крайна сметка водят до контрол и правомощия за вземане на решения от страна на инвеститор от трета държава, независимо дали се извършват пряко от държава извън ЕС или косвено чрез установен в ЕС субект, но се контролират от чуждестранен инвеститор. </w:t>
      </w:r>
    </w:p>
    <w:p w14:paraId="6BA8D6C3" w14:textId="77777777" w:rsidR="00A14709" w:rsidRPr="00133050" w:rsidRDefault="00A14709" w:rsidP="00DB479F">
      <w:pPr>
        <w:pBdr>
          <w:top w:val="nil"/>
          <w:left w:val="nil"/>
          <w:bottom w:val="nil"/>
          <w:right w:val="nil"/>
          <w:between w:val="nil"/>
          <w:bar w:val="nil"/>
        </w:pBdr>
        <w:spacing w:before="0" w:after="240"/>
        <w:rPr>
          <w:noProof/>
        </w:rPr>
      </w:pPr>
      <w:r w:rsidRPr="00133050">
        <w:rPr>
          <w:noProof/>
        </w:rPr>
        <w:t>Това разширяване на обхвата обаче ще доведе до скрининг на сделки, които се извършват чрез законно установени в ЕС субекти. Това представлява допълнителна стъпка в сравнение с концепцията за заобикаляне в настоящия регламент, която се прилага само когато сделката се извършва в рамките на ЕС чрез изкуствени схеми, които не са обосновани от икономически съображения. Посоченото разширяване изисква да се използва като правно основание член 114 от ДФЕС, за да се отрази фактът, че инвестициите в рамките на ЕС ще попаднат в обхвата на предложения регламент.</w:t>
      </w:r>
    </w:p>
    <w:p w14:paraId="4743D7A6" w14:textId="77777777" w:rsidR="00A14709" w:rsidRPr="00133050" w:rsidRDefault="00A14709" w:rsidP="00DB479F">
      <w:pPr>
        <w:pBdr>
          <w:top w:val="nil"/>
          <w:left w:val="nil"/>
          <w:bottom w:val="nil"/>
          <w:right w:val="nil"/>
          <w:between w:val="nil"/>
          <w:bar w:val="nil"/>
        </w:pBdr>
        <w:spacing w:before="0" w:after="240"/>
        <w:rPr>
          <w:noProof/>
        </w:rPr>
      </w:pPr>
      <w:r w:rsidRPr="00133050">
        <w:rPr>
          <w:noProof/>
        </w:rPr>
        <w:t>Поради това правното основание на предложения регламент ще бъдат член 207 и член 114 от ДФЕС.</w:t>
      </w:r>
    </w:p>
    <w:p w14:paraId="10B4C8DC" w14:textId="77777777" w:rsidR="00A14709" w:rsidRPr="00133050" w:rsidRDefault="00A14709" w:rsidP="00A14709">
      <w:pPr>
        <w:pStyle w:val="ManualHeading2"/>
        <w:rPr>
          <w:noProof/>
        </w:rPr>
      </w:pPr>
      <w:r>
        <w:rPr>
          <w:noProof/>
        </w:rPr>
        <w:t>2.2.</w:t>
      </w:r>
      <w:r>
        <w:rPr>
          <w:noProof/>
        </w:rPr>
        <w:tab/>
      </w:r>
      <w:r w:rsidRPr="00133050">
        <w:rPr>
          <w:noProof/>
        </w:rPr>
        <w:t xml:space="preserve">Субсидиарност (при неизключителна компетентност) </w:t>
      </w:r>
    </w:p>
    <w:p w14:paraId="028A5354" w14:textId="77777777" w:rsidR="00827575" w:rsidRPr="00133050" w:rsidRDefault="00827575" w:rsidP="00372885">
      <w:pPr>
        <w:pBdr>
          <w:top w:val="nil"/>
          <w:left w:val="nil"/>
          <w:bottom w:val="nil"/>
          <w:right w:val="nil"/>
          <w:between w:val="nil"/>
          <w:bar w:val="nil"/>
        </w:pBdr>
        <w:spacing w:before="0" w:after="240"/>
        <w:rPr>
          <w:noProof/>
        </w:rPr>
      </w:pPr>
      <w:r w:rsidRPr="00133050">
        <w:rPr>
          <w:noProof/>
        </w:rPr>
        <w:t>Съгласно принципа на субсидиарност (член 5, параграф 3 от ДФЕС) действие на равнището на Съюза следва да се предприема само когато заложените цели не могат да бъдат постигнати в достатъчна степен от държавите членки самостоятелно и следователно поради обхвата или последиците могат да бъдат по-добре постигнати на равнището на Съюза.</w:t>
      </w:r>
    </w:p>
    <w:p w14:paraId="0FAB61DC" w14:textId="77777777" w:rsidR="00827575" w:rsidRPr="00133050" w:rsidRDefault="00827575" w:rsidP="00372885">
      <w:pPr>
        <w:pBdr>
          <w:top w:val="nil"/>
          <w:left w:val="nil"/>
          <w:bottom w:val="nil"/>
          <w:right w:val="nil"/>
          <w:between w:val="nil"/>
          <w:bar w:val="nil"/>
        </w:pBdr>
        <w:spacing w:before="0" w:after="240"/>
        <w:rPr>
          <w:noProof/>
        </w:rPr>
      </w:pPr>
      <w:r w:rsidRPr="00133050">
        <w:rPr>
          <w:noProof/>
        </w:rPr>
        <w:t xml:space="preserve">Тъй като механизмите за скрининг на държавите членки се различават по своя обхват, съдържание и ефект, може да се наблюдава разпокъсана нормативна уредба от национални правила и рисковете да се увеличат, особено когато става въпрос за скрининг на чуждестранни инвестиции в рамките на ЕС. Тя подкопава вътрешния пазар, като създава нееднакви условия на конкуренция и ненужни разходи за субектите, които се стремят да извършват стопанска дейност в сектори, които са от значение за сигурността или обществения ред. </w:t>
      </w:r>
    </w:p>
    <w:p w14:paraId="3CD5EC12" w14:textId="77777777" w:rsidR="00827575" w:rsidRPr="00133050" w:rsidRDefault="00827575" w:rsidP="00372885">
      <w:pPr>
        <w:pBdr>
          <w:top w:val="nil"/>
          <w:left w:val="nil"/>
          <w:bottom w:val="nil"/>
          <w:right w:val="nil"/>
          <w:between w:val="nil"/>
          <w:bar w:val="nil"/>
        </w:pBdr>
        <w:spacing w:before="0" w:after="240"/>
        <w:rPr>
          <w:rStyle w:val="normaltextrun"/>
          <w:noProof/>
        </w:rPr>
      </w:pPr>
      <w:r w:rsidRPr="00133050">
        <w:rPr>
          <w:noProof/>
        </w:rPr>
        <w:t>Тези проблеми може да бъдат решени само с намеса на равнището на Съюза, тъй като въведени на национално равнище правила вече</w:t>
      </w:r>
      <w:r w:rsidRPr="00133050">
        <w:rPr>
          <w:rStyle w:val="normaltextrun"/>
          <w:noProof/>
        </w:rPr>
        <w:t xml:space="preserve"> водят до създаването на пречки пред инвестиции, направени в рамките на ЕС.</w:t>
      </w:r>
      <w:r w:rsidRPr="00133050">
        <w:rPr>
          <w:noProof/>
        </w:rPr>
        <w:t xml:space="preserve"> </w:t>
      </w:r>
      <w:r w:rsidRPr="00133050">
        <w:rPr>
          <w:rStyle w:val="normaltextrun"/>
          <w:noProof/>
        </w:rPr>
        <w:t xml:space="preserve">От друга страна, последиците от всяко действие, предприето съгласно националното законодателство, ще бъдат ограничени до една държава членка и е налице риск те да бъдат заобиколени или да е трудно да се осъществява надзор върху чуждестранните инвеститори. Освен това някои държави членки понастоящем обмислят законодателни инициативи в областта на скрининга на инвестиции. Само действие на равнището на Съюза може да доведе до последователно </w:t>
      </w:r>
      <w:r w:rsidRPr="00133050">
        <w:rPr>
          <w:rStyle w:val="normaltextrun"/>
          <w:noProof/>
        </w:rPr>
        <w:lastRenderedPageBreak/>
        <w:t xml:space="preserve">решаване на този проблем на вътрешния пазар. Въвеждането на общи и пропорционални стандарти за скрининг в рамките на ЕС с чуждестранен контрол е от съществено значение, за да се гарантира, че такива мерки са установени последователно във всички държави членки по отношение на всички основни права. </w:t>
      </w:r>
      <w:r w:rsidRPr="00133050">
        <w:rPr>
          <w:noProof/>
        </w:rPr>
        <w:t>Един общ и координиран подход на равнището на ЕС, с който се привеждат в съответствие националните системи за скрининг, би осигурил по-голяма сигурност за потенциалните инвеститори по отношение на критичната инфраструктура, критичните технологии и критичните ресурси, като ги информира предварително за минималните общи правила, които Комисията и държавите членки използват за оценка</w:t>
      </w:r>
      <w:r w:rsidRPr="00133050">
        <w:rPr>
          <w:rStyle w:val="normaltextrun"/>
          <w:noProof/>
        </w:rPr>
        <w:t xml:space="preserve"> и преодоляване на рисковете, свързани със сигурността и обществения ред. </w:t>
      </w:r>
    </w:p>
    <w:p w14:paraId="75CE5364" w14:textId="77777777" w:rsidR="00827575" w:rsidRPr="00133050" w:rsidRDefault="00827575" w:rsidP="00372885">
      <w:pPr>
        <w:pBdr>
          <w:top w:val="nil"/>
          <w:left w:val="nil"/>
          <w:bottom w:val="nil"/>
          <w:right w:val="nil"/>
          <w:between w:val="nil"/>
          <w:bar w:val="nil"/>
        </w:pBdr>
        <w:spacing w:before="0" w:after="240"/>
        <w:rPr>
          <w:rStyle w:val="normaltextrun"/>
          <w:noProof/>
        </w:rPr>
      </w:pPr>
      <w:r w:rsidRPr="00133050">
        <w:rPr>
          <w:rStyle w:val="normaltextrun"/>
          <w:noProof/>
        </w:rPr>
        <w:t xml:space="preserve">Накрая, скринингът на чуждестранните инвестиции в ЕС представлява транснационален въпрос с </w:t>
      </w:r>
      <w:r w:rsidR="00F84517">
        <w:rPr>
          <w:rStyle w:val="normaltextrun"/>
          <w:noProof/>
        </w:rPr>
        <w:t>транс</w:t>
      </w:r>
      <w:r w:rsidRPr="00133050">
        <w:rPr>
          <w:rStyle w:val="normaltextrun"/>
          <w:noProof/>
        </w:rPr>
        <w:t>гранични последици, който трябва да бъде разгледан на равнището на Съюза. Чуждестранна инвестиция в една държава членка може да окаже въздействие извън границите на тази държава членка — в друга държава членка или на равнището на ЕС. Липсата на действия на равнището на ЕС може да направи държавите членки по-малко способни да защитават своите интереси в областта на сигурността или обществения ред, свързани с чуждестранни инвестиции, по-специално в случаите, когато чуждестранната инвестиция, която може да повлияе отрицателно на тяхната сигурност или обществен ред, се извършва в рамките на територията на друга държава членка. Придобитият при прилагането на регламента опит показва, че изглежда малко вероятно държавите членки да постигнат сближаване по отношение на съгласуването на стандартите и процедурите за начина на извършване на скрининг на чуждестранни инвестиции на основания, свързани със сигурността и обществения ред, или да укрепят системния обхващащ целия Съюз механизъм за сътрудничество с цел обмен на информация между тях и с Комисията.</w:t>
      </w:r>
    </w:p>
    <w:p w14:paraId="07620FE7" w14:textId="77777777" w:rsidR="00A14709" w:rsidRPr="00133050" w:rsidRDefault="00A14709" w:rsidP="00DB479F">
      <w:pPr>
        <w:pBdr>
          <w:top w:val="nil"/>
          <w:left w:val="nil"/>
          <w:bottom w:val="nil"/>
          <w:right w:val="nil"/>
          <w:between w:val="nil"/>
          <w:bar w:val="nil"/>
        </w:pBdr>
        <w:spacing w:before="0" w:after="240"/>
        <w:rPr>
          <w:noProof/>
        </w:rPr>
      </w:pPr>
      <w:r w:rsidRPr="00133050">
        <w:rPr>
          <w:rStyle w:val="normaltextrun"/>
          <w:noProof/>
        </w:rPr>
        <w:t>Поради това са налице</w:t>
      </w:r>
      <w:r w:rsidRPr="00133050">
        <w:rPr>
          <w:noProof/>
        </w:rPr>
        <w:t xml:space="preserve"> убедителни доводи за действие на равнището на ЕС за привеждане в съответствие и хармонизиране на тези национални рамки, за да се постигне по-предсказуемо инвестиране на вътрешния пазар, особено при сделки в множество юрисдикции, да се укрепи правната сигурност на скрининга на инвестиции в ЕС, да се намали административната тежест, да се допринесе за еднакви условия на конкуренция в държавите членки, в които се правят инвестиции, и да се предостави възможност за по-ефективно и ефикасно сътрудничество между държавите членки и Комисията по отношение на рисковете за трансграничната сигурност и обществения ред, свързани с чуждестранните инвестиции.</w:t>
      </w:r>
    </w:p>
    <w:p w14:paraId="5808CC09" w14:textId="77777777" w:rsidR="00A14709" w:rsidRPr="00133050" w:rsidRDefault="00A14709" w:rsidP="00A14709">
      <w:pPr>
        <w:pStyle w:val="ManualHeading2"/>
        <w:rPr>
          <w:noProof/>
        </w:rPr>
      </w:pPr>
      <w:r>
        <w:rPr>
          <w:noProof/>
        </w:rPr>
        <w:t>2.3.</w:t>
      </w:r>
      <w:r>
        <w:rPr>
          <w:noProof/>
        </w:rPr>
        <w:tab/>
      </w:r>
      <w:r w:rsidRPr="00133050">
        <w:rPr>
          <w:noProof/>
        </w:rPr>
        <w:t>Пропорционалност</w:t>
      </w:r>
    </w:p>
    <w:p w14:paraId="64885B2C" w14:textId="77777777" w:rsidR="00A14709" w:rsidRPr="00133050" w:rsidRDefault="00A14709" w:rsidP="00DB479F">
      <w:pPr>
        <w:pBdr>
          <w:top w:val="nil"/>
          <w:left w:val="nil"/>
          <w:bottom w:val="nil"/>
          <w:right w:val="nil"/>
          <w:between w:val="nil"/>
          <w:bar w:val="nil"/>
        </w:pBdr>
        <w:spacing w:before="0" w:after="240"/>
        <w:rPr>
          <w:noProof/>
        </w:rPr>
      </w:pPr>
      <w:r w:rsidRPr="00133050">
        <w:rPr>
          <w:noProof/>
        </w:rPr>
        <w:t xml:space="preserve">Предложеният регламент цели да се защитят сигурността и общественият ред в ЕС по отношение на чуждестранните инвестиции. </w:t>
      </w:r>
    </w:p>
    <w:p w14:paraId="5E1E8205" w14:textId="77777777" w:rsidR="00A14709" w:rsidRPr="00133050" w:rsidRDefault="00A14709" w:rsidP="00DB479F">
      <w:pPr>
        <w:pBdr>
          <w:top w:val="nil"/>
          <w:left w:val="nil"/>
          <w:bottom w:val="nil"/>
          <w:right w:val="nil"/>
          <w:between w:val="nil"/>
          <w:bar w:val="nil"/>
        </w:pBdr>
        <w:spacing w:before="0" w:after="240"/>
        <w:rPr>
          <w:noProof/>
        </w:rPr>
      </w:pPr>
      <w:r w:rsidRPr="00133050">
        <w:rPr>
          <w:noProof/>
        </w:rPr>
        <w:t xml:space="preserve">В него не се съдържат правила, които са еквивалент на национален механизъм за скрининг, тъй като с такъв механизъм може да се налагат условия относно дадена сделка и в краен случай да се забрани нейното осъществяване. С предложения регламент окончателното решение за всяка инвестиция ще се взима от държавата членка, в която се планира или вече е осъществена сделката. Целта на предложения регламент е по-скоро чрез механизъм за сътрудничество между държавите членки и Комисията да се помогне за установяването на рисковете за сигурността и обществения ред, които засягат поне две държави членки или ЕС като цяло, и за справянето с тях. С този механизъм за сътрудничество се предоставя официален канал за обмен на поверителна информация и за разясняване на проблематиката относно конкретните </w:t>
      </w:r>
      <w:r w:rsidRPr="00133050">
        <w:rPr>
          <w:noProof/>
        </w:rPr>
        <w:lastRenderedPageBreak/>
        <w:t>обстоятелства, при които дадена ПЧИ може да засегне сигурността или обществения ред. С него също така се предоставя възможност на Комисията и на другите държави членки да препоръчат стъпки на държавата членка, в която се планира или вече е осъществена ПЧИ, за да се преодолеят конкретните установени опасения.</w:t>
      </w:r>
    </w:p>
    <w:p w14:paraId="536EEE41" w14:textId="77777777" w:rsidR="00A14709" w:rsidRPr="00133050" w:rsidRDefault="00A14709" w:rsidP="00DB479F">
      <w:pPr>
        <w:spacing w:after="0"/>
        <w:rPr>
          <w:noProof/>
        </w:rPr>
      </w:pPr>
      <w:r w:rsidRPr="00133050">
        <w:rPr>
          <w:noProof/>
        </w:rPr>
        <w:t>Оценката на регламента показа, че ефективността на рамката на ЕС за скрининг на инвестициите е значително намалена поради i) липсата в някои държави членки на механизми за скрининг, които предоставят възможност за проверка на сделките, преди те да бъдат осъществени; и ii) ограничения обхват на националните механизми за скрининг на инвестиции</w:t>
      </w:r>
      <w:r w:rsidRPr="00133050">
        <w:rPr>
          <w:rStyle w:val="FootnoteReference"/>
          <w:noProof/>
        </w:rPr>
        <w:footnoteReference w:id="21"/>
      </w:r>
      <w:r w:rsidRPr="00133050">
        <w:rPr>
          <w:noProof/>
        </w:rPr>
        <w:t>. Това може да има страничен ефект върху свързаните със сигурността или обществения ред интереси в други държави членки и върху проекти или програми от интерес за ЕС.</w:t>
      </w:r>
    </w:p>
    <w:p w14:paraId="61B717CA" w14:textId="77777777" w:rsidR="00A14709" w:rsidRPr="00133050" w:rsidRDefault="00A14709" w:rsidP="00DB479F">
      <w:pPr>
        <w:rPr>
          <w:noProof/>
        </w:rPr>
      </w:pPr>
      <w:r w:rsidRPr="00133050">
        <w:rPr>
          <w:noProof/>
        </w:rPr>
        <w:t>При липсата на общ обхват на подлежащите на скрининг сделки или други начини за хармонизиране на условията, които следва да доведат до скрининг на национално равнище, броят и обхватът на уведомленията, получени в рамките на механизма за сътрудничество от държавите членки, вероятно ще продължат да варират значително. Освен това някои чуждестранни инвеститори може да продължат да се ползват с предимство в юрисдикции в рамките на ЕС, в които няма механизми за скрининг на ПЧИ или чийто механизъм не се прилага по отношение на съответния сектор.</w:t>
      </w:r>
    </w:p>
    <w:p w14:paraId="48189AF7" w14:textId="77777777" w:rsidR="00A14709" w:rsidRPr="00133050" w:rsidRDefault="00A14709" w:rsidP="00DB479F">
      <w:pPr>
        <w:rPr>
          <w:noProof/>
        </w:rPr>
      </w:pPr>
      <w:r w:rsidRPr="00133050">
        <w:rPr>
          <w:noProof/>
        </w:rPr>
        <w:t>Мерките в предложения регламент за създаване на механизъм за сътрудничество и определяне на някои процедурни и съществени изисквания за националните механизми за скрининг са пропорционални, тъй като постигат целта на предложения регламент, като същевременно предоставят на държавите членки възможност да отчитат в своите механизми за скрининг националните специфики и да вземат окончателното решение относно всякакви чуждестранни инвестиции.</w:t>
      </w:r>
    </w:p>
    <w:p w14:paraId="72FDD5DC" w14:textId="77777777" w:rsidR="00A14709" w:rsidRPr="00133050" w:rsidRDefault="00A14709" w:rsidP="00DB479F">
      <w:pPr>
        <w:pBdr>
          <w:top w:val="nil"/>
          <w:left w:val="nil"/>
          <w:bottom w:val="nil"/>
          <w:right w:val="nil"/>
          <w:between w:val="nil"/>
          <w:bar w:val="nil"/>
        </w:pBdr>
        <w:spacing w:before="0" w:after="240"/>
        <w:rPr>
          <w:noProof/>
        </w:rPr>
      </w:pPr>
      <w:r w:rsidRPr="00133050">
        <w:rPr>
          <w:noProof/>
        </w:rPr>
        <w:t>Съгласно предложения регламент от дружествата се изисква да си сътрудничат с националните скринингови органи, но административните разходи за дружествата ще бъдат разумни и пропорционални благодарение на стандартизирания формуляр за уведомления към механизма за сътрудничество.</w:t>
      </w:r>
    </w:p>
    <w:p w14:paraId="0F025ADA" w14:textId="77777777" w:rsidR="00A14709" w:rsidRPr="00133050" w:rsidRDefault="00A14709" w:rsidP="00A14709">
      <w:pPr>
        <w:pStyle w:val="ManualHeading2"/>
        <w:rPr>
          <w:noProof/>
        </w:rPr>
      </w:pPr>
      <w:r>
        <w:rPr>
          <w:noProof/>
        </w:rPr>
        <w:t>2.4.</w:t>
      </w:r>
      <w:r>
        <w:rPr>
          <w:noProof/>
        </w:rPr>
        <w:tab/>
      </w:r>
      <w:r w:rsidRPr="00133050">
        <w:rPr>
          <w:noProof/>
        </w:rPr>
        <w:t>Избор на инструмент</w:t>
      </w:r>
    </w:p>
    <w:p w14:paraId="68640F78" w14:textId="77777777" w:rsidR="00A14709" w:rsidRPr="00133050" w:rsidRDefault="00A14709" w:rsidP="00DB479F">
      <w:pPr>
        <w:pBdr>
          <w:top w:val="nil"/>
          <w:left w:val="nil"/>
          <w:bottom w:val="nil"/>
          <w:right w:val="nil"/>
          <w:between w:val="nil"/>
          <w:bar w:val="nil"/>
        </w:pBdr>
        <w:spacing w:before="0" w:after="240"/>
        <w:rPr>
          <w:noProof/>
        </w:rPr>
      </w:pPr>
      <w:r w:rsidRPr="00133050">
        <w:rPr>
          <w:noProof/>
        </w:rPr>
        <w:t>С настоящото предложение се преразглежда действащ регламент, поради което изглежда законосъобразно да се запази настоящата форма на инструмента (т.е. да е регламент).</w:t>
      </w:r>
    </w:p>
    <w:p w14:paraId="61B26A39" w14:textId="77777777" w:rsidR="00A14709" w:rsidRPr="00133050" w:rsidRDefault="00A14709" w:rsidP="00A14709">
      <w:pPr>
        <w:pStyle w:val="ManualHeading1"/>
        <w:rPr>
          <w:noProof/>
        </w:rPr>
      </w:pPr>
      <w:r>
        <w:rPr>
          <w:noProof/>
        </w:rPr>
        <w:t>3.</w:t>
      </w:r>
      <w:r>
        <w:rPr>
          <w:noProof/>
        </w:rPr>
        <w:tab/>
      </w:r>
      <w:r w:rsidRPr="00133050">
        <w:rPr>
          <w:noProof/>
        </w:rPr>
        <w:t>РЕЗУЛТАТИ ОТ ПОСЛЕДВАЩИТЕ ОЦЕНКИ, КОНСУЛТАЦИИТЕ СЪС ЗАИНТЕРЕСОВАНИТЕ СТРАНИ И ОЦЕНКИТЕ НА ВЪЗДЕЙСТВИЕТО</w:t>
      </w:r>
    </w:p>
    <w:p w14:paraId="14A201AC" w14:textId="77777777" w:rsidR="00A14709" w:rsidRPr="00133050" w:rsidRDefault="00A14709" w:rsidP="00A14709">
      <w:pPr>
        <w:pStyle w:val="ManualHeading2"/>
        <w:rPr>
          <w:noProof/>
        </w:rPr>
      </w:pPr>
      <w:r>
        <w:rPr>
          <w:noProof/>
        </w:rPr>
        <w:t>3.1.</w:t>
      </w:r>
      <w:r>
        <w:rPr>
          <w:noProof/>
        </w:rPr>
        <w:tab/>
      </w:r>
      <w:r w:rsidRPr="00133050">
        <w:rPr>
          <w:noProof/>
        </w:rPr>
        <w:t>Последващи оценки/проверки за пригодност на действащото законодателство</w:t>
      </w:r>
    </w:p>
    <w:p w14:paraId="2626EBB8" w14:textId="77777777" w:rsidR="00A14709" w:rsidRPr="00133050" w:rsidRDefault="00A14709" w:rsidP="00DB479F">
      <w:pPr>
        <w:pBdr>
          <w:top w:val="nil"/>
          <w:left w:val="nil"/>
          <w:bottom w:val="nil"/>
          <w:right w:val="nil"/>
          <w:between w:val="nil"/>
          <w:bar w:val="nil"/>
        </w:pBdr>
        <w:spacing w:before="0" w:after="240"/>
        <w:rPr>
          <w:noProof/>
        </w:rPr>
      </w:pPr>
      <w:r w:rsidRPr="00133050">
        <w:rPr>
          <w:noProof/>
        </w:rPr>
        <w:t>Законодателното предложение е придружено от работен документ на службите на Комисията, в който се прави оценка на регламента спрямо петте критерия за „по-добро регулиране“ (ефективност, ефикасност, уместност, съгласуваност и добавена стойност от ЕС).</w:t>
      </w:r>
    </w:p>
    <w:p w14:paraId="3E2DA937" w14:textId="77777777" w:rsidR="00A14709" w:rsidRPr="00133050" w:rsidRDefault="00A14709" w:rsidP="00A14709">
      <w:pPr>
        <w:pStyle w:val="ManualHeading2"/>
        <w:rPr>
          <w:noProof/>
        </w:rPr>
      </w:pPr>
      <w:r>
        <w:rPr>
          <w:noProof/>
        </w:rPr>
        <w:lastRenderedPageBreak/>
        <w:t>3.2.</w:t>
      </w:r>
      <w:r>
        <w:rPr>
          <w:noProof/>
        </w:rPr>
        <w:tab/>
      </w:r>
      <w:r w:rsidRPr="00133050">
        <w:rPr>
          <w:noProof/>
        </w:rPr>
        <w:t>Консултации със заинтересованите страни</w:t>
      </w:r>
    </w:p>
    <w:p w14:paraId="78C185BC" w14:textId="77777777" w:rsidR="00A14709" w:rsidRPr="00133050" w:rsidRDefault="00A14709" w:rsidP="00DB479F">
      <w:pPr>
        <w:pBdr>
          <w:top w:val="nil"/>
          <w:left w:val="nil"/>
          <w:bottom w:val="nil"/>
          <w:right w:val="nil"/>
          <w:between w:val="nil"/>
          <w:bar w:val="nil"/>
        </w:pBdr>
        <w:spacing w:before="0" w:after="240"/>
        <w:rPr>
          <w:noProof/>
        </w:rPr>
      </w:pPr>
      <w:r w:rsidRPr="00133050">
        <w:rPr>
          <w:noProof/>
        </w:rPr>
        <w:t>Комисията публикува целева консултация и покана за предоставяне на данни, на които можеше да се изпрати отговор в периода 14 юни — 21 юли 2023 г. Комисията получи 47 отговора на консултацията</w:t>
      </w:r>
      <w:r w:rsidRPr="00133050">
        <w:rPr>
          <w:rStyle w:val="FootnoteReference"/>
          <w:noProof/>
        </w:rPr>
        <w:footnoteReference w:id="22"/>
      </w:r>
      <w:r w:rsidRPr="00133050">
        <w:rPr>
          <w:noProof/>
        </w:rPr>
        <w:t xml:space="preserve"> и 10 отговора на поканата за предоставяне на данни</w:t>
      </w:r>
      <w:r w:rsidRPr="00133050">
        <w:rPr>
          <w:rStyle w:val="FootnoteReference"/>
          <w:noProof/>
        </w:rPr>
        <w:footnoteReference w:id="23"/>
      </w:r>
      <w:r w:rsidRPr="00133050">
        <w:rPr>
          <w:noProof/>
        </w:rPr>
        <w:t xml:space="preserve">. </w:t>
      </w:r>
    </w:p>
    <w:p w14:paraId="33346692" w14:textId="77777777" w:rsidR="00A14709" w:rsidRPr="00133050" w:rsidRDefault="00A14709" w:rsidP="00DB479F">
      <w:pPr>
        <w:pBdr>
          <w:top w:val="nil"/>
          <w:left w:val="nil"/>
          <w:bottom w:val="nil"/>
          <w:right w:val="nil"/>
          <w:between w:val="nil"/>
          <w:bar w:val="nil"/>
        </w:pBdr>
        <w:spacing w:before="0" w:after="240"/>
        <w:rPr>
          <w:noProof/>
        </w:rPr>
      </w:pPr>
      <w:r w:rsidRPr="00133050">
        <w:rPr>
          <w:noProof/>
        </w:rPr>
        <w:t>Комисията покани държавите членки и заинтересованите страни (адвокатски кантори, бизнес асоциации и предприятия) с доказан опит в прилагането на правилата на ЕС за скрининг на ПЧИ да предоставят допълнителна писмена информация въз основа на въпросник. Тези отговори бяха получени в периода 3 август — 1 септември 2023 г. Обобщение на отговорите може да бъде намерено в приложение V към доклада за оценка, придружаващ законодателното предложение.</w:t>
      </w:r>
    </w:p>
    <w:p w14:paraId="7C4FD0D1" w14:textId="77777777" w:rsidR="00A14709" w:rsidRPr="00133050" w:rsidRDefault="00A14709" w:rsidP="00A14709">
      <w:pPr>
        <w:pStyle w:val="ManualHeading2"/>
        <w:rPr>
          <w:noProof/>
        </w:rPr>
      </w:pPr>
      <w:r>
        <w:rPr>
          <w:noProof/>
        </w:rPr>
        <w:t>3.3.</w:t>
      </w:r>
      <w:r>
        <w:rPr>
          <w:noProof/>
        </w:rPr>
        <w:tab/>
      </w:r>
      <w:r w:rsidRPr="00133050">
        <w:rPr>
          <w:noProof/>
        </w:rPr>
        <w:t>Събиране и използване на експертни становища</w:t>
      </w:r>
    </w:p>
    <w:p w14:paraId="1D0AE3B4" w14:textId="77777777" w:rsidR="00A14709" w:rsidRPr="00133050" w:rsidRDefault="00A14709" w:rsidP="00DB479F">
      <w:pPr>
        <w:pBdr>
          <w:top w:val="nil"/>
          <w:left w:val="nil"/>
          <w:bottom w:val="nil"/>
          <w:right w:val="nil"/>
          <w:between w:val="nil"/>
          <w:bar w:val="nil"/>
        </w:pBdr>
        <w:spacing w:before="0" w:after="240"/>
        <w:rPr>
          <w:noProof/>
        </w:rPr>
      </w:pPr>
      <w:r w:rsidRPr="00133050">
        <w:rPr>
          <w:noProof/>
        </w:rPr>
        <w:t>Комисията използва външен изпълнител, който да помогне при извършването на оценката на Регламента за скрининг на ПЧИ. Секретариатът на ОИСР (отдел „Инвестиции“ към дирекция „Финанси и предприятия“) проведе проучване относно ефективността и ефикасността на Регламента за скрининг на ПЧИ и предложи заключения и общи препоръки за това как да се преодолеят установените при проучването недостатъци</w:t>
      </w:r>
      <w:r w:rsidRPr="00133050">
        <w:rPr>
          <w:rStyle w:val="FootnoteReference"/>
          <w:noProof/>
        </w:rPr>
        <w:footnoteReference w:id="24"/>
      </w:r>
      <w:r w:rsidRPr="00133050">
        <w:rPr>
          <w:noProof/>
        </w:rPr>
        <w:t>. Посоченото проучване беше съфинансирано от Комисията и беше проведено в периода октомври 2021— юни 2022 г.</w:t>
      </w:r>
    </w:p>
    <w:p w14:paraId="45CE3AF2" w14:textId="77777777" w:rsidR="00A14709" w:rsidRPr="00133050" w:rsidRDefault="00A14709" w:rsidP="00A14709">
      <w:pPr>
        <w:pStyle w:val="ManualHeading2"/>
        <w:rPr>
          <w:noProof/>
        </w:rPr>
      </w:pPr>
      <w:r>
        <w:rPr>
          <w:noProof/>
        </w:rPr>
        <w:t>3.4.</w:t>
      </w:r>
      <w:r>
        <w:rPr>
          <w:noProof/>
        </w:rPr>
        <w:tab/>
      </w:r>
      <w:r w:rsidRPr="00133050">
        <w:rPr>
          <w:noProof/>
        </w:rPr>
        <w:t>Оценка на въздействието</w:t>
      </w:r>
    </w:p>
    <w:p w14:paraId="13B8257E" w14:textId="77777777" w:rsidR="00A14709" w:rsidRPr="00133050" w:rsidRDefault="00A14709" w:rsidP="00DB479F">
      <w:pPr>
        <w:pBdr>
          <w:top w:val="nil"/>
          <w:left w:val="nil"/>
          <w:bottom w:val="nil"/>
          <w:right w:val="nil"/>
          <w:between w:val="nil"/>
          <w:bar w:val="nil"/>
        </w:pBdr>
        <w:spacing w:before="0" w:after="240"/>
        <w:rPr>
          <w:noProof/>
        </w:rPr>
      </w:pPr>
      <w:r w:rsidRPr="00133050">
        <w:rPr>
          <w:noProof/>
        </w:rPr>
        <w:t>Законодателното предложение не е подкрепено от оценка на въздействието. Това е в съответствие с инструментариума за по-добро регулиране, в който се предвижда, че оценка на въздействието може да не е необходима за „инициативи в областта на политиката, с които се предлагат ограничени промени въз основа на задълбочена оценка, при която са ясно установени необходимите изменения на политика или законодателство“</w:t>
      </w:r>
      <w:r w:rsidRPr="00133050">
        <w:rPr>
          <w:rStyle w:val="FootnoteReference"/>
          <w:noProof/>
        </w:rPr>
        <w:footnoteReference w:id="25"/>
      </w:r>
      <w:r w:rsidRPr="00133050">
        <w:rPr>
          <w:noProof/>
        </w:rPr>
        <w:t>. Комисията счита, че предложеният регламент и докладът за оценка, придружаващ настоящото законодателно предложение, отговарят на тези критерии.</w:t>
      </w:r>
    </w:p>
    <w:p w14:paraId="1A830281" w14:textId="77777777" w:rsidR="00A14709" w:rsidRPr="00133050" w:rsidRDefault="00A14709" w:rsidP="00A14709">
      <w:pPr>
        <w:pStyle w:val="ManualHeading2"/>
        <w:rPr>
          <w:noProof/>
        </w:rPr>
      </w:pPr>
      <w:r>
        <w:rPr>
          <w:noProof/>
        </w:rPr>
        <w:t>3.5.</w:t>
      </w:r>
      <w:r>
        <w:rPr>
          <w:noProof/>
        </w:rPr>
        <w:tab/>
      </w:r>
      <w:r w:rsidRPr="00133050">
        <w:rPr>
          <w:noProof/>
        </w:rPr>
        <w:t>Пригодност и опростяване на законодателството</w:t>
      </w:r>
    </w:p>
    <w:p w14:paraId="2F03DD64" w14:textId="77777777" w:rsidR="00A14709" w:rsidRPr="00133050" w:rsidRDefault="00A14709" w:rsidP="00DB479F">
      <w:pPr>
        <w:pBdr>
          <w:top w:val="nil"/>
          <w:left w:val="nil"/>
          <w:bottom w:val="nil"/>
          <w:right w:val="nil"/>
          <w:between w:val="nil"/>
          <w:bar w:val="nil"/>
        </w:pBdr>
        <w:spacing w:before="0" w:after="240"/>
        <w:rPr>
          <w:noProof/>
        </w:rPr>
      </w:pPr>
      <w:r w:rsidRPr="00133050">
        <w:rPr>
          <w:noProof/>
        </w:rPr>
        <w:t>Настоящата инициатива е част от работната програма на Комисията за 2023 г.</w:t>
      </w:r>
      <w:r w:rsidRPr="00133050">
        <w:rPr>
          <w:rStyle w:val="FootnoteReference"/>
          <w:noProof/>
        </w:rPr>
        <w:footnoteReference w:id="26"/>
      </w:r>
      <w:r w:rsidRPr="00133050">
        <w:rPr>
          <w:noProof/>
        </w:rPr>
        <w:t>. Тя не е част от приложение II (инициативите по „Програмата за пригодност и резултатност на регулаторната рамка“(REFIT).</w:t>
      </w:r>
    </w:p>
    <w:p w14:paraId="42510697" w14:textId="77777777" w:rsidR="00A14709" w:rsidRPr="00133050" w:rsidRDefault="00A14709" w:rsidP="00DB479F">
      <w:pPr>
        <w:pBdr>
          <w:top w:val="nil"/>
          <w:left w:val="nil"/>
          <w:bottom w:val="nil"/>
          <w:right w:val="nil"/>
          <w:between w:val="nil"/>
          <w:bar w:val="nil"/>
        </w:pBdr>
        <w:spacing w:before="0" w:after="240"/>
        <w:rPr>
          <w:noProof/>
        </w:rPr>
      </w:pPr>
      <w:r w:rsidRPr="00133050">
        <w:rPr>
          <w:noProof/>
        </w:rPr>
        <w:t xml:space="preserve">С предложения регламент се подобрява способността на Комисията и на държавите членки да установяват и да се справят с чуждестранни инвестиции, които е вероятно да повлияят отрицателно на сигурността или обществения ред в ЕС. Съгласно </w:t>
      </w:r>
      <w:r w:rsidRPr="00133050">
        <w:rPr>
          <w:noProof/>
        </w:rPr>
        <w:lastRenderedPageBreak/>
        <w:t>предложението държавите членки трябва да извършват скрининг на чуждестранните инвестиции, което може да увеличи административната тежест за предприятията, тъй като чуждестранните инвестиции в ЕС ще бъдат обект на контрол в повече юрисдикции от онези 21 държави членки, в които понастоящем се поддържа механизъм за скрининг. Очаква се обаче предложението до доведе до потенциални икономии на разходите поради опростяването и привеждането в съответствие на настоящите правила и договорености на равнището на ЕС и на национално равнище. Опростяването се отнася до привеждането в съответствие на сроковете за скрининг на национално равнище; съсредоточаването на сътрудничеството на равнището на ЕС за скрининг на ПЧИ върху сделки от потенциално критично значение (вместо върху всички сделки, подлежащи на официален скрининг в държава членка); и увеличаването на прозрачността на процедурите на механизма на ЕС за сътрудничество.</w:t>
      </w:r>
    </w:p>
    <w:p w14:paraId="3976B0B6" w14:textId="77777777" w:rsidR="00A14709" w:rsidRPr="00133050" w:rsidRDefault="00A14709" w:rsidP="00A14709">
      <w:pPr>
        <w:pStyle w:val="ManualHeading2"/>
        <w:rPr>
          <w:noProof/>
        </w:rPr>
      </w:pPr>
      <w:r>
        <w:rPr>
          <w:noProof/>
        </w:rPr>
        <w:t>3.6.</w:t>
      </w:r>
      <w:r>
        <w:rPr>
          <w:noProof/>
        </w:rPr>
        <w:tab/>
      </w:r>
      <w:r w:rsidRPr="00133050">
        <w:rPr>
          <w:noProof/>
        </w:rPr>
        <w:t>Основни права</w:t>
      </w:r>
    </w:p>
    <w:p w14:paraId="19661880" w14:textId="77777777" w:rsidR="00A14709" w:rsidRPr="00133050" w:rsidRDefault="00A14709" w:rsidP="00DB479F">
      <w:pPr>
        <w:pBdr>
          <w:top w:val="nil"/>
          <w:left w:val="nil"/>
          <w:bottom w:val="nil"/>
          <w:right w:val="nil"/>
          <w:between w:val="nil"/>
          <w:bar w:val="nil"/>
        </w:pBdr>
        <w:spacing w:before="0" w:after="240"/>
        <w:rPr>
          <w:noProof/>
        </w:rPr>
      </w:pPr>
      <w:r w:rsidRPr="00133050">
        <w:rPr>
          <w:noProof/>
        </w:rPr>
        <w:t>Предложението е в съответствие с Хартата на основните права на ЕС и зачита свободата на стопанска инициатива. С предложения регламент на държавите членки се оставя отговорността да извършат скрининга на инвестиции (включително окончателното решение относно конкретни сделки), но изискванията за национални механизми за скрининг помагат на държавите членки да гарантират пълно зачитане на основните права на справедлив процес и добра администрация.</w:t>
      </w:r>
    </w:p>
    <w:p w14:paraId="7CC6ACEE" w14:textId="77777777" w:rsidR="00A14709" w:rsidRPr="00133050" w:rsidRDefault="00A14709" w:rsidP="00A14709">
      <w:pPr>
        <w:pStyle w:val="ManualHeading1"/>
        <w:rPr>
          <w:noProof/>
        </w:rPr>
      </w:pPr>
      <w:r>
        <w:rPr>
          <w:noProof/>
        </w:rPr>
        <w:t>4.</w:t>
      </w:r>
      <w:r>
        <w:rPr>
          <w:noProof/>
        </w:rPr>
        <w:tab/>
      </w:r>
      <w:r w:rsidRPr="00133050">
        <w:rPr>
          <w:noProof/>
        </w:rPr>
        <w:t>ОТРАЖЕНИЕ ВЪРХУ БЮДЖЕТА</w:t>
      </w:r>
    </w:p>
    <w:p w14:paraId="6CE51CC5" w14:textId="77777777" w:rsidR="00A14709" w:rsidRPr="00133050" w:rsidRDefault="00A14709" w:rsidP="00DB479F">
      <w:pPr>
        <w:spacing w:before="0" w:after="240"/>
        <w:rPr>
          <w:noProof/>
        </w:rPr>
      </w:pPr>
      <w:r w:rsidRPr="00133050">
        <w:rPr>
          <w:noProof/>
        </w:rPr>
        <w:t>С цел ефективното постигане на целите на настоящата инициатива е необходимо да се финансират редица дейности на равнището на Комисията. Годишните разходи за човешки ресурси ще възлизат на приблизително 5,162 милиона евро годишно, с които е предвидено да се осигури общ брой от 29 длъжностни лица (еквивалент на пълно работно време) в Комисията. Други административни разходи са свързани с възстановяването на направените от държавите членки пътни разходи за участие в заседанията на експертната група (член 5) и на комисията (член 21). Очаква се тези разходи да възлязат на 0,032 милиона евро годишно. Оперативните разходи, които ще бъдат направени за финансиране на необходимата ИТ инфраструктура за подпомагане на прякото сътрудничество между Комисията и държавите членки чрез сигурни канали за комуникация, ще достигнат приблизителен размер от 0,25—0,29 милиона евро годишно. Комисията възнамерява да започне външно проучване с бюджет от 0,25 милиона евро, за да подкрепи оценката си на съответствието на държавите членки след края на преходния период. Комисията ще обмисли стартирането на второ проучване в подкрепа на 5-годишната оценка на предложения регламент от страна на Комисията.</w:t>
      </w:r>
    </w:p>
    <w:p w14:paraId="2C8DAA94" w14:textId="77777777" w:rsidR="00A14709" w:rsidRPr="00133050" w:rsidRDefault="00A14709" w:rsidP="00DB479F">
      <w:pPr>
        <w:pBdr>
          <w:top w:val="nil"/>
          <w:left w:val="nil"/>
          <w:bottom w:val="nil"/>
          <w:right w:val="nil"/>
          <w:between w:val="nil"/>
          <w:bar w:val="nil"/>
        </w:pBdr>
        <w:spacing w:before="0" w:after="240"/>
        <w:rPr>
          <w:noProof/>
        </w:rPr>
      </w:pPr>
      <w:r w:rsidRPr="00133050">
        <w:rPr>
          <w:noProof/>
        </w:rPr>
        <w:t>Подробен преглед на необходимите разходи е представен във финансовата обосновка на настоящата инициатива.</w:t>
      </w:r>
    </w:p>
    <w:p w14:paraId="51D5B0BA" w14:textId="77777777" w:rsidR="00A14709" w:rsidRPr="00133050" w:rsidRDefault="00A14709" w:rsidP="00A14709">
      <w:pPr>
        <w:pStyle w:val="ManualHeading1"/>
        <w:rPr>
          <w:noProof/>
        </w:rPr>
      </w:pPr>
      <w:r>
        <w:rPr>
          <w:noProof/>
        </w:rPr>
        <w:t>5.</w:t>
      </w:r>
      <w:r>
        <w:rPr>
          <w:noProof/>
        </w:rPr>
        <w:tab/>
      </w:r>
      <w:r w:rsidRPr="00133050">
        <w:rPr>
          <w:noProof/>
        </w:rPr>
        <w:t>ДРУГИ ЕЛЕМЕНТИ</w:t>
      </w:r>
    </w:p>
    <w:p w14:paraId="0DE9BBEC" w14:textId="77777777" w:rsidR="00A14709" w:rsidRPr="00133050" w:rsidRDefault="00A14709" w:rsidP="00A14709">
      <w:pPr>
        <w:pStyle w:val="ManualHeading2"/>
        <w:rPr>
          <w:noProof/>
        </w:rPr>
      </w:pPr>
      <w:r>
        <w:rPr>
          <w:noProof/>
        </w:rPr>
        <w:t>5.1.</w:t>
      </w:r>
      <w:r>
        <w:rPr>
          <w:noProof/>
        </w:rPr>
        <w:tab/>
      </w:r>
      <w:r w:rsidRPr="00133050">
        <w:rPr>
          <w:noProof/>
        </w:rPr>
        <w:t>Планове за изпълнение и механизъм за мониторинг, оценка и докладване</w:t>
      </w:r>
    </w:p>
    <w:p w14:paraId="5ADAF2DF" w14:textId="77777777" w:rsidR="00A14709" w:rsidRPr="00133050" w:rsidRDefault="00A14709" w:rsidP="00DB479F">
      <w:pPr>
        <w:spacing w:before="0"/>
        <w:rPr>
          <w:noProof/>
        </w:rPr>
      </w:pPr>
      <w:r w:rsidRPr="00133050">
        <w:rPr>
          <w:noProof/>
        </w:rPr>
        <w:t xml:space="preserve">Мониторингът, докладването и оценката са важна част от предложението. </w:t>
      </w:r>
    </w:p>
    <w:p w14:paraId="1CA44050" w14:textId="77777777" w:rsidR="00A14709" w:rsidRPr="00133050" w:rsidRDefault="00A14709" w:rsidP="00DB479F">
      <w:pPr>
        <w:spacing w:before="0"/>
        <w:rPr>
          <w:noProof/>
        </w:rPr>
      </w:pPr>
      <w:r w:rsidRPr="00133050">
        <w:rPr>
          <w:noProof/>
        </w:rPr>
        <w:t xml:space="preserve">Мониторингът ще бъде непрекъснат и ще се основава на оперативни цели и конкретни показатели. Редовният и непрекъснат мониторинг ще обхване следните основни аспекти: </w:t>
      </w:r>
    </w:p>
    <w:p w14:paraId="6443F4BB" w14:textId="77777777" w:rsidR="00A14709" w:rsidRPr="00133050" w:rsidRDefault="00CC5BED" w:rsidP="00CC5BED">
      <w:pPr>
        <w:pStyle w:val="Point1"/>
        <w:rPr>
          <w:rStyle w:val="CommentReference"/>
          <w:noProof/>
          <w:sz w:val="24"/>
        </w:rPr>
      </w:pPr>
      <w:r w:rsidRPr="00133050">
        <w:rPr>
          <w:noProof/>
        </w:rPr>
        <w:lastRenderedPageBreak/>
        <w:t>i)</w:t>
      </w:r>
      <w:r w:rsidRPr="00133050">
        <w:rPr>
          <w:noProof/>
        </w:rPr>
        <w:tab/>
        <w:t xml:space="preserve">броя на сделките, за които е подадено уведомление до механизма за сътрудничество; и </w:t>
      </w:r>
    </w:p>
    <w:p w14:paraId="1E10A891" w14:textId="77777777" w:rsidR="00A14709" w:rsidRPr="00133050" w:rsidRDefault="00CC5BED" w:rsidP="00CC5BED">
      <w:pPr>
        <w:pStyle w:val="Point1"/>
        <w:rPr>
          <w:rStyle w:val="CommentReference"/>
          <w:noProof/>
          <w:sz w:val="24"/>
        </w:rPr>
      </w:pPr>
      <w:r w:rsidRPr="00133050">
        <w:rPr>
          <w:noProof/>
        </w:rPr>
        <w:t>ii)</w:t>
      </w:r>
      <w:r w:rsidRPr="00133050">
        <w:rPr>
          <w:noProof/>
        </w:rPr>
        <w:tab/>
        <w:t xml:space="preserve">броя на сделките, които е вероятно да повлияят отрицателно на сигурността или обществения ред в повече от една държава членка, или чрез проект или програма от интерес за Съюза. </w:t>
      </w:r>
    </w:p>
    <w:p w14:paraId="001F751B" w14:textId="77777777" w:rsidR="00A14709" w:rsidRPr="00133050" w:rsidRDefault="00A14709" w:rsidP="00DB479F">
      <w:pPr>
        <w:spacing w:before="0" w:after="240"/>
        <w:rPr>
          <w:noProof/>
        </w:rPr>
      </w:pPr>
      <w:r w:rsidRPr="00133050">
        <w:rPr>
          <w:noProof/>
        </w:rPr>
        <w:t>Освен това Комисията може да наблюдава развитието, свързано с окончателните решения, докладвани от държавите членки на Комисията при условия на поверителност.</w:t>
      </w:r>
    </w:p>
    <w:p w14:paraId="51DC49A6" w14:textId="77777777" w:rsidR="00A14709" w:rsidRPr="00133050" w:rsidRDefault="00A14709" w:rsidP="00DB479F">
      <w:pPr>
        <w:spacing w:before="0" w:after="240"/>
        <w:rPr>
          <w:noProof/>
        </w:rPr>
      </w:pPr>
      <w:r w:rsidRPr="00133050">
        <w:rPr>
          <w:noProof/>
        </w:rPr>
        <w:t>С предложения регламент от държавите членки ще продължи да се изисква да докладват всяка година на Комисията, при условия на поверителност, за дейностите в рамките на техния механизъм за скрининг за предходната календарна година. Държавите членки ще са задължени също така да публикуват годишен доклад с информация относно съответните законодателни промени и дейностите на скрининговия орган, включително обобщени данни за случаите, по отношение на които е извършен скрининг, както и издадените скринингови решения. Комисията ще продължи да представя годишен доклад относно прилагането на предложения регламент на Европейския парламент и на Съвета. Този доклад ще продължи да се оповестява публично.</w:t>
      </w:r>
    </w:p>
    <w:p w14:paraId="0B025208" w14:textId="77777777" w:rsidR="00A14709" w:rsidRPr="00133050" w:rsidRDefault="00A14709" w:rsidP="00DB479F">
      <w:pPr>
        <w:spacing w:before="0" w:after="240"/>
        <w:rPr>
          <w:noProof/>
        </w:rPr>
      </w:pPr>
      <w:r w:rsidRPr="00133050">
        <w:rPr>
          <w:noProof/>
        </w:rPr>
        <w:t>Предложеният регламент ще бъде оценен в контекста на изготвянето на оценка 5 години след датата на пълното му прилагане. Ако е необходимо, може да бъде активирана клауза за преразглеждане, съгласно която Комисията ще може да предприеме подходящи мерки, включително законодателни предложения.</w:t>
      </w:r>
    </w:p>
    <w:p w14:paraId="7311ADE8" w14:textId="77777777" w:rsidR="00A14709" w:rsidRPr="00133050" w:rsidRDefault="00A14709" w:rsidP="00A14709">
      <w:pPr>
        <w:pStyle w:val="ManualHeading2"/>
        <w:rPr>
          <w:noProof/>
        </w:rPr>
      </w:pPr>
      <w:r>
        <w:rPr>
          <w:noProof/>
        </w:rPr>
        <w:t>5.2.</w:t>
      </w:r>
      <w:r>
        <w:rPr>
          <w:noProof/>
        </w:rPr>
        <w:tab/>
      </w:r>
      <w:r w:rsidRPr="00133050">
        <w:rPr>
          <w:noProof/>
        </w:rPr>
        <w:t>Подробно разяснение на конкретните разпоредби на предложения регламент</w:t>
      </w:r>
    </w:p>
    <w:p w14:paraId="0849958B" w14:textId="77777777" w:rsidR="00A14709" w:rsidRPr="00133050" w:rsidRDefault="00A14709" w:rsidP="00DB479F">
      <w:pPr>
        <w:rPr>
          <w:noProof/>
        </w:rPr>
      </w:pPr>
      <w:r w:rsidRPr="00133050">
        <w:rPr>
          <w:noProof/>
        </w:rPr>
        <w:t>В глава 1 се съдържат общи разпоредби, включително предмета и приложното поле на предложения регламент (член 1). С предложения регламент се създава рамка на ЕС за скрининг от страна на държавите членки на инвестициите на тяхна територия на основания, свързани със сигурността или обществения ред. С него също така се определя механизъм за сътрудничество, с който на държавите членки и на Комисията се предоставя възможност да обменят информация относно дадени инвестиции, да оценяват възможното им въздействие върху сигурността и обществения ред и да набелязват потенциално тревожните елементи, които държавата членка, която извършва скрининг на инвестицията, би трябвало да разгледа. Основанията за скрининг на инвестиции се определят в съответствие с приложимите изисквания за налагане на ограничителни мерки на основания, свързани със сигурността или обществения ред, предвидени в Споразумението за създаване на световната търговска организация (включително по-специално член ХІV, буква a) и член ХІVа от Общото споразумение по търговията с услуги) и в други търговски и инвестиционни споразумения или договорености, по които ЕС или държавите членки са страни.</w:t>
      </w:r>
    </w:p>
    <w:p w14:paraId="09FABD81" w14:textId="77777777" w:rsidR="00A14709" w:rsidRPr="00133050" w:rsidRDefault="00A14709" w:rsidP="00DB479F">
      <w:pPr>
        <w:spacing w:before="0" w:after="240"/>
        <w:rPr>
          <w:noProof/>
        </w:rPr>
      </w:pPr>
      <w:r w:rsidRPr="00133050">
        <w:rPr>
          <w:noProof/>
        </w:rPr>
        <w:t xml:space="preserve">В член 2 се определят редица приложими определения. По-специално в него се разяснява, че предложеният регламент обхваща инвестиции, които са или преки чуждестранни инвестиции, или инвестиции в рамките на ЕС с чуждестранно участие. За целите на настоящия предложен регламент преките чуждестранни инвестиции обхващат широк кръг от инвестиции, при които се създават или поддържат трайни и преки връзки между инвеститорите от трети държави и предприятия, извършващи стопанска дейност в държавите членки. Това включва инвестиции от чуждестранен </w:t>
      </w:r>
      <w:r w:rsidRPr="00133050">
        <w:rPr>
          <w:noProof/>
        </w:rPr>
        <w:lastRenderedPageBreak/>
        <w:t>инвеститор в целево предприятие в Съюза, когато то е дъщерно дружество на чуждестранно целево предприятие, в което е направена инвестицията. Инвестициите в рамките на ЕС с чуждестранно участие обхващат широк набор от инвестиции, извършвани от чуждестранен инвеститор чрез дъщерно дружество на чуждестранния инвеститор в ЕС и с цел установяване или поддържане на трайни и преки връзки между чуждестранния инвеститор и целево предприятие в Съюза с оглед извършване на стопанска дейност в дадена държава членка. Предложеният регламент не обхваща портфейлните инвестиции.</w:t>
      </w:r>
    </w:p>
    <w:p w14:paraId="7344C6B1" w14:textId="77777777" w:rsidR="001F5804" w:rsidRPr="00133050" w:rsidRDefault="00A14709" w:rsidP="00DB479F">
      <w:pPr>
        <w:spacing w:before="0" w:after="240"/>
        <w:rPr>
          <w:noProof/>
        </w:rPr>
      </w:pPr>
      <w:r w:rsidRPr="00133050">
        <w:rPr>
          <w:noProof/>
        </w:rPr>
        <w:t xml:space="preserve">В глава 2 се съдържат правилата за националните механизми за скрининг. Съгласно член 3 всички държави членки трябва да определят и поддържат механизъм за скрининг, който отговаря на изисквания на предложения регламент, и да уведомят Комисията за въпросния механизъм. Въз основа на тези уведомления от Комисията се изисква да публикува списък на националните механизми за скрининг. В член 4 се определят някои изисквания във връзка с националните механизми за скрининг. По-специално тези механизми трябва да покриват най-малко i) инвестиции в дружества от ЕС, участващи в проекти или програми от интерес за ЕС, посочени в приложение I към предложения регламент; и ii) инвестиции в дружества от ЕС, осъществяващи дейност в области </w:t>
      </w:r>
      <w:r w:rsidRPr="00133050">
        <w:rPr>
          <w:noProof/>
          <w:color w:val="333333"/>
        </w:rPr>
        <w:t xml:space="preserve">от особена важност за свързаните със сигурността или обществения ред интереси на ЕС, </w:t>
      </w:r>
      <w:r w:rsidRPr="00133050">
        <w:rPr>
          <w:noProof/>
        </w:rPr>
        <w:t>посочени в приложение II към предложения регламент; („инвестиции — предмет на уведомление“). Освен това в него се определят редица изисквания за гарантиране на ефективността на механизмите за скрининг.</w:t>
      </w:r>
    </w:p>
    <w:p w14:paraId="3087636C" w14:textId="77777777" w:rsidR="002C4890" w:rsidRPr="00133050" w:rsidRDefault="00A14709" w:rsidP="00DB479F">
      <w:pPr>
        <w:spacing w:before="0" w:after="240"/>
        <w:rPr>
          <w:noProof/>
        </w:rPr>
      </w:pPr>
      <w:r w:rsidRPr="00133050">
        <w:rPr>
          <w:noProof/>
        </w:rPr>
        <w:t xml:space="preserve">В глава 3 се предвижда механизъм за сътрудничество, с който на държавите членки и на Комисията се предоставя възможност да обменят информация и да предлагат мерки, в случай че има вероятност чуждестранна инвестиция да повлияе отрицателно на сигурността или обществения ред в повече от една държава членка пряко или чрез проект или програма от интерес за Съюза. В членове 5 и 6 се определят правила и процедури, свързани с уведомяването за чуждестранни инвестиции, включително конкретна процедура за чуждестранни инвестиции, по отношение на които се извършва едновременен скрининг от множество държави членки („многонационални сделки“). В член 7 се описват условията, приложими към изготвените от държавите членки коментари и издадените от Комисията становища след оценката на чуждестранна инвестиция, за която е подадено уведомление. С това на държавите членки се дава възможност да предоставят коментари на държавата членка, в която се извършва чуждестранната инвестиция, ако има вероятност тази чуждестранна инвестиция да повлияе отрицателно на тяхната сигурност или обществен ред или ако те разполагат с информация, свързана със скрининга на тази чуждестранна инвестиция. Комисията има право да издаде становище на държавата членка, в която се извършва чуждестранната инвестиция, ако счита, че има вероятност такава чуждестранна инвестиция да повлияе отрицателно на сигурността или обществения ред в повече от една държава членка, или на проекти или програми от интерес за Съюза на основания, свързани със сигурността или обществения ред. Комисията може също така да излезе със становище, ако разполага с информация, свързана със скрининга на чуждестранната инвестиция, или ако няколко чуждестранни инвестиции представляват сходни рискове за сигурността или обществения ред. Освен това в член 7 се определят подробни процедури за предоставяне на съответните държави членки и на Комисията на информация относно скрининговото решение, издадено от уведомяващата държава членка. В член 8 се определят сроковете и процедурите за предоставяне на коментари и становища, включително за случаи на многонационални сделки. В член 9 се предвижда механизъм, с който на държавите членки и на Комисията се предоставя възможност да си </w:t>
      </w:r>
      <w:r w:rsidRPr="00133050">
        <w:rPr>
          <w:noProof/>
        </w:rPr>
        <w:lastRenderedPageBreak/>
        <w:t xml:space="preserve">сътрудничат по отношение на чуждестранни инвестиции, за които не е подадено уведомление от държавата членка, в която e планирано да се направи чуждестранната инвестиция. В член 10 се определят изискванията за информацията, която трябва да бъде предоставена и която може да бъде поискана във връзка с чуждестранни инвестиции, предмет на механизма за сътрудничество. С този член от Комисията се изисква да приеме регламент за изпълнение, за да осигури стандартизиран формуляр за уведомленията за чуждестранни инвестиции. В член 11 се определят общи изисквания за националните механизми за скрининг, за да се гарантира ефективното участие на държавите членки в механизма за сътрудничество. В член 12 се предоставят правила, с които да се гарантира поверителността на обмена между държавите членки и Комисията. </w:t>
      </w:r>
    </w:p>
    <w:p w14:paraId="54FDE818" w14:textId="77777777" w:rsidR="00AF03F7" w:rsidRPr="00133050" w:rsidRDefault="00C321D4" w:rsidP="00DB479F">
      <w:pPr>
        <w:spacing w:before="0" w:after="240"/>
        <w:rPr>
          <w:noProof/>
        </w:rPr>
      </w:pPr>
      <w:r w:rsidRPr="00133050">
        <w:rPr>
          <w:noProof/>
        </w:rPr>
        <w:t>В глава 4 се предоставят правила за държавите членки и Комисията за определяне на вероятното въздействие на чуждестранна инвестиция върху сигурността или обществения ред (член 13) и за скрининговите решения на държавите членки (член 14).</w:t>
      </w:r>
    </w:p>
    <w:p w14:paraId="2BBDD3F6" w14:textId="77777777" w:rsidR="00067076" w:rsidRPr="00133050" w:rsidRDefault="00C321D4" w:rsidP="00DB479F">
      <w:pPr>
        <w:spacing w:before="0" w:after="240"/>
        <w:rPr>
          <w:noProof/>
        </w:rPr>
      </w:pPr>
      <w:r w:rsidRPr="00133050">
        <w:rPr>
          <w:noProof/>
        </w:rPr>
        <w:t>В глава 5 се съдържат заключителните разпоредби. В глава 14 се предоставя правно основание за сътрудничество с отговорните органи на трети държави по въпроси, свързани със скрининга на инвестиции на основания, свързани със сигурността и обществения ред. Това сътрудничество няма за цел да позволи обмен на информация относно сделки, които са предмет на механизма за сътрудничество между държавите членки и Комисията. За да се гарантират прозрачността на механизмите за скрининг и сътрудничеството на ЕС при скрининга на чуждестранни инвестиции, с член 16 държавите членки се задължават да докладват ежегодно на обществеността относно своите дейности по скрининг и своите скринингови решения чрез публикуване на обобщена и анонимизирана информация. Комисията също е задължена да публикува годишен доклад за прилагането на регламента. Накрая, в глава 5 се предоставят правила, уреждащи обработването на лични данни (член 17), оценката (член 18), делегираните актове (член 19), упражняването на делегирането (член 20) и процедурата на комитет за актове за изпълнение (членове 21—22). С член 22 се отменя Регламент (ЕС) 2019/452, а в член 24 се предвижда, че предложеният регламент следва да влезе в сила след преходен период от 15 месеца. През преходния период Регламент (ЕС) 2019/452 продължава да бъде в сила и да се прилага.</w:t>
      </w:r>
    </w:p>
    <w:p w14:paraId="2C7945C8" w14:textId="77777777" w:rsidR="00A14709" w:rsidRPr="00133050" w:rsidRDefault="00A14709" w:rsidP="00DB479F">
      <w:pPr>
        <w:pBdr>
          <w:top w:val="nil"/>
          <w:left w:val="nil"/>
          <w:bottom w:val="nil"/>
          <w:right w:val="nil"/>
          <w:between w:val="nil"/>
          <w:bar w:val="nil"/>
        </w:pBdr>
        <w:spacing w:before="0" w:after="240"/>
        <w:rPr>
          <w:noProof/>
        </w:rPr>
      </w:pPr>
      <w:r w:rsidRPr="00133050">
        <w:rPr>
          <w:noProof/>
        </w:rPr>
        <w:t>В приложение I се предоставя списък на проекти и програми от интерес за Съюза. Това са проекти или програми, които попадат в обхвата на правото на ЕС, в което се предвиждат разработването, поддръжката или придобиването на критична инфраструктура, критични технологии или критични ресурси, които са от съществено значение за сигурността или обществения ред. Когато целевото предприятие в Съюза е част от проект или програма от интерес за Съюза или е свързано с участие в такива, от държавите членки се изисква да подложат на скрининг съответната чуждестранна инвестиция и да уведомят за нея Комисията и другите държави членки.</w:t>
      </w:r>
    </w:p>
    <w:p w14:paraId="4376D316" w14:textId="77777777" w:rsidR="00A14709" w:rsidRPr="00133050" w:rsidRDefault="00A14709">
      <w:pPr>
        <w:rPr>
          <w:noProof/>
        </w:rPr>
      </w:pPr>
      <w:r w:rsidRPr="00133050">
        <w:rPr>
          <w:noProof/>
        </w:rPr>
        <w:t xml:space="preserve">В приложение II се изброяват технологиите, активите, съоръженията, оборудването, мрежите, системите, услугите и стопанските дейности </w:t>
      </w:r>
      <w:r w:rsidRPr="00133050">
        <w:rPr>
          <w:noProof/>
          <w:color w:val="333333"/>
        </w:rPr>
        <w:t xml:space="preserve">от особена важност за свързаните със сигурността или обществения ред интереси на Съюза. </w:t>
      </w:r>
      <w:r w:rsidRPr="00133050">
        <w:rPr>
          <w:noProof/>
        </w:rPr>
        <w:t xml:space="preserve">Когато целевото предприятие в Съюза извършва стопанска дейност в област, описана в приложение II, държавите членки са задължени да извършват скрининг на чуждестранната инвестиция. Подаването на уведомление до механизма за сътрудничество за тази чуждестранна инвестиция се изисква, ако чуждестранният инвеститор или целевото предприятие в Съюза отговаря на основаните на риска условия, определени в регламента. Този </w:t>
      </w:r>
      <w:r w:rsidRPr="00133050">
        <w:rPr>
          <w:noProof/>
        </w:rPr>
        <w:lastRenderedPageBreak/>
        <w:t>основан на риска филтър е подходящ, за да се гарантира, че механизмът за сътрудничество на ЕС е съсредоточен само върху чуждестранни инвестиции, които представляват потенциален интерес от гледна точка на сигурността, и не налага ненужна тежест на държавните администрации и на дружествата.</w:t>
      </w:r>
    </w:p>
    <w:p w14:paraId="408CCD22" w14:textId="77777777" w:rsidR="00A14709" w:rsidRPr="00133050" w:rsidRDefault="00A14709" w:rsidP="00774854">
      <w:pPr>
        <w:rPr>
          <w:noProof/>
        </w:rPr>
        <w:sectPr w:rsidR="00A14709" w:rsidRPr="00133050" w:rsidSect="00272311">
          <w:headerReference w:type="even" r:id="rId14"/>
          <w:footerReference w:type="even" r:id="rId15"/>
          <w:footerReference w:type="default" r:id="rId16"/>
          <w:headerReference w:type="first" r:id="rId17"/>
          <w:footerReference w:type="first" r:id="rId18"/>
          <w:footnotePr>
            <w:numRestart w:val="eachSect"/>
          </w:footnotePr>
          <w:pgSz w:w="11907" w:h="16839"/>
          <w:pgMar w:top="1134" w:right="1417" w:bottom="1134" w:left="1417" w:header="709" w:footer="709" w:gutter="0"/>
          <w:cols w:space="708"/>
          <w:docGrid w:linePitch="360"/>
        </w:sectPr>
      </w:pPr>
    </w:p>
    <w:p w14:paraId="74A65888" w14:textId="77777777" w:rsidR="007A5876" w:rsidRPr="00133050" w:rsidRDefault="002F34BA" w:rsidP="002F34BA">
      <w:pPr>
        <w:pStyle w:val="Rfrenceinterinstitutionnelle"/>
        <w:rPr>
          <w:noProof/>
        </w:rPr>
      </w:pPr>
      <w:r>
        <w:rPr>
          <w:noProof/>
        </w:rPr>
        <w:lastRenderedPageBreak/>
        <w:t>2024/0017 (COD)</w:t>
      </w:r>
    </w:p>
    <w:p w14:paraId="2C9F48AD" w14:textId="77777777" w:rsidR="00F67093" w:rsidRPr="00133050" w:rsidRDefault="002F34BA" w:rsidP="002F34BA">
      <w:pPr>
        <w:pStyle w:val="Statut"/>
        <w:rPr>
          <w:noProof/>
        </w:rPr>
      </w:pPr>
      <w:r w:rsidRPr="002F34BA">
        <w:rPr>
          <w:noProof/>
        </w:rPr>
        <w:t>Предложение за</w:t>
      </w:r>
    </w:p>
    <w:p w14:paraId="75B3E4A5" w14:textId="77777777" w:rsidR="00F67093" w:rsidRPr="00133050" w:rsidRDefault="002F34BA" w:rsidP="002F34BA">
      <w:pPr>
        <w:pStyle w:val="Typedudocument"/>
        <w:rPr>
          <w:noProof/>
        </w:rPr>
      </w:pPr>
      <w:r w:rsidRPr="002F34BA">
        <w:rPr>
          <w:noProof/>
        </w:rPr>
        <w:t>РЕГЛАМЕНТ НА ЕВРОПЕЙСКИЯ ПАРЛАМЕНТ И НА СЪВЕТА</w:t>
      </w:r>
    </w:p>
    <w:p w14:paraId="115778F1" w14:textId="77777777" w:rsidR="00F67093" w:rsidRPr="00133050" w:rsidRDefault="002F34BA" w:rsidP="002F34BA">
      <w:pPr>
        <w:pStyle w:val="Titreobjet"/>
        <w:rPr>
          <w:noProof/>
        </w:rPr>
      </w:pPr>
      <w:r w:rsidRPr="002F34BA">
        <w:rPr>
          <w:noProof/>
        </w:rPr>
        <w:t>относно скрининга на чуждестранни инвестиции в Съюза и за отмяна на Регламент (ЕС) 2019/452 на Европейския парламент и на Съвета</w:t>
      </w:r>
    </w:p>
    <w:p w14:paraId="63C777B6" w14:textId="77777777" w:rsidR="00F67093" w:rsidRPr="00133050" w:rsidRDefault="79E30FF1" w:rsidP="00774854">
      <w:pPr>
        <w:pStyle w:val="Institutionquiagit"/>
        <w:rPr>
          <w:noProof/>
        </w:rPr>
      </w:pPr>
      <w:r w:rsidRPr="00133050">
        <w:rPr>
          <w:noProof/>
        </w:rPr>
        <w:t>ЕВРОПЕЙСКИЯТ ПАРЛАМЕНТ И СЪВЕТЪТ НА ЕВРОПЕЙСКИЯ СЪЮЗ,</w:t>
      </w:r>
    </w:p>
    <w:p w14:paraId="764869DD" w14:textId="77777777" w:rsidR="00F67093" w:rsidRPr="00133050" w:rsidRDefault="79E30FF1" w:rsidP="00774854">
      <w:pPr>
        <w:rPr>
          <w:noProof/>
        </w:rPr>
      </w:pPr>
      <w:r w:rsidRPr="00133050">
        <w:rPr>
          <w:noProof/>
        </w:rPr>
        <w:t>като взеха предвид Договора за функционирането на Европейския съюз, и по-специално членове 114 и 207 от него,</w:t>
      </w:r>
    </w:p>
    <w:p w14:paraId="531240F0" w14:textId="77777777" w:rsidR="00F67093" w:rsidRPr="00133050" w:rsidRDefault="00F67093" w:rsidP="00774854">
      <w:pPr>
        <w:rPr>
          <w:noProof/>
        </w:rPr>
      </w:pPr>
      <w:r w:rsidRPr="00133050">
        <w:rPr>
          <w:noProof/>
        </w:rPr>
        <w:t>като взеха предвид предложението на Европейската комисия,</w:t>
      </w:r>
    </w:p>
    <w:p w14:paraId="7E52288D" w14:textId="77777777" w:rsidR="00F67093" w:rsidRPr="00133050" w:rsidRDefault="00F67093" w:rsidP="00774854">
      <w:pPr>
        <w:rPr>
          <w:noProof/>
        </w:rPr>
      </w:pPr>
      <w:r w:rsidRPr="00133050">
        <w:rPr>
          <w:noProof/>
        </w:rPr>
        <w:t>след предаване на проекта на законодателния акт на националните парламенти,</w:t>
      </w:r>
    </w:p>
    <w:p w14:paraId="30EAA29C" w14:textId="77777777" w:rsidR="00F67093" w:rsidRPr="00133050" w:rsidRDefault="00F67093" w:rsidP="00774854">
      <w:pPr>
        <w:rPr>
          <w:noProof/>
        </w:rPr>
      </w:pPr>
      <w:r w:rsidRPr="00133050">
        <w:rPr>
          <w:noProof/>
        </w:rPr>
        <w:t>като взеха предвид становището на Европейския икономически и социален комитет</w:t>
      </w:r>
      <w:r w:rsidRPr="00133050">
        <w:rPr>
          <w:rStyle w:val="FootnoteReference"/>
          <w:noProof/>
        </w:rPr>
        <w:footnoteReference w:id="27"/>
      </w:r>
      <w:r w:rsidRPr="00133050">
        <w:rPr>
          <w:noProof/>
        </w:rPr>
        <w:t xml:space="preserve">, </w:t>
      </w:r>
    </w:p>
    <w:p w14:paraId="346CF80A" w14:textId="77777777" w:rsidR="00F67093" w:rsidRPr="00133050" w:rsidRDefault="00F67093" w:rsidP="00774854">
      <w:pPr>
        <w:rPr>
          <w:noProof/>
        </w:rPr>
      </w:pPr>
      <w:r w:rsidRPr="00133050">
        <w:rPr>
          <w:noProof/>
        </w:rPr>
        <w:t>като взеха предвид становището на Комитета на регионите</w:t>
      </w:r>
      <w:r w:rsidRPr="00133050">
        <w:rPr>
          <w:rStyle w:val="FootnoteReference"/>
          <w:noProof/>
        </w:rPr>
        <w:footnoteReference w:id="28"/>
      </w:r>
      <w:r w:rsidRPr="00133050">
        <w:rPr>
          <w:noProof/>
        </w:rPr>
        <w:t xml:space="preserve">, </w:t>
      </w:r>
    </w:p>
    <w:p w14:paraId="53746868" w14:textId="77777777" w:rsidR="00B56520" w:rsidRPr="00133050" w:rsidRDefault="00F84517" w:rsidP="00774854">
      <w:pPr>
        <w:rPr>
          <w:noProof/>
        </w:rPr>
      </w:pPr>
      <w:r>
        <w:rPr>
          <w:noProof/>
        </w:rPr>
        <w:t>к</w:t>
      </w:r>
      <w:r w:rsidR="00A339DA" w:rsidRPr="00133050">
        <w:rPr>
          <w:noProof/>
        </w:rPr>
        <w:t>ато взеха предвид становището на Европейския надзорен орган по защита на данните от [дата], което беше предоставено съгласно член 42, параграф 1 от Регламент (ЕС) 2018/1725 на Европейския парламент и на Съвета</w:t>
      </w:r>
      <w:r w:rsidR="00A339DA" w:rsidRPr="00133050">
        <w:rPr>
          <w:rStyle w:val="FootnoteReference"/>
          <w:noProof/>
        </w:rPr>
        <w:footnoteReference w:id="29"/>
      </w:r>
      <w:r w:rsidR="00A339DA" w:rsidRPr="00133050">
        <w:rPr>
          <w:noProof/>
        </w:rPr>
        <w:t>,</w:t>
      </w:r>
    </w:p>
    <w:p w14:paraId="33D63047" w14:textId="77777777" w:rsidR="00F67093" w:rsidRPr="00133050" w:rsidRDefault="00F67093" w:rsidP="00774854">
      <w:pPr>
        <w:rPr>
          <w:noProof/>
        </w:rPr>
      </w:pPr>
      <w:r w:rsidRPr="00133050">
        <w:rPr>
          <w:noProof/>
        </w:rPr>
        <w:t>в съответствие с обикновената законодателна процедура,</w:t>
      </w:r>
    </w:p>
    <w:p w14:paraId="3B06ED1C" w14:textId="77777777" w:rsidR="00F67093" w:rsidRPr="00133050" w:rsidRDefault="00F67093" w:rsidP="00774854">
      <w:pPr>
        <w:rPr>
          <w:noProof/>
        </w:rPr>
      </w:pPr>
      <w:r w:rsidRPr="00133050">
        <w:rPr>
          <w:noProof/>
        </w:rPr>
        <w:t>като имат предвид, че:</w:t>
      </w:r>
    </w:p>
    <w:p w14:paraId="13C3126F" w14:textId="77777777" w:rsidR="00F67093" w:rsidRPr="00133050" w:rsidRDefault="0028412E" w:rsidP="00DA1BBA">
      <w:pPr>
        <w:pStyle w:val="ManualConsidrant"/>
        <w:rPr>
          <w:noProof/>
        </w:rPr>
      </w:pPr>
      <w:r>
        <w:rPr>
          <w:noProof/>
        </w:rPr>
        <w:t>(1)</w:t>
      </w:r>
      <w:r>
        <w:rPr>
          <w:noProof/>
        </w:rPr>
        <w:tab/>
      </w:r>
      <w:r w:rsidRPr="00133050">
        <w:rPr>
          <w:noProof/>
          <w:color w:val="000000" w:themeColor="text1"/>
        </w:rPr>
        <w:t>Инвестициите в Съюза допринасят за неговия растеж, като подобряват конкурентоспособността му, създават работни места и икономии от мащаба и внасят капитал, технологии, иновации и експертен опит.</w:t>
      </w:r>
    </w:p>
    <w:p w14:paraId="3DA6D5D6" w14:textId="77777777" w:rsidR="00F67093" w:rsidRPr="00133050" w:rsidRDefault="3E3A0385" w:rsidP="00F67093">
      <w:pPr>
        <w:pStyle w:val="ManualConsidrant"/>
        <w:rPr>
          <w:noProof/>
        </w:rPr>
      </w:pPr>
      <w:r>
        <w:rPr>
          <w:noProof/>
        </w:rPr>
        <w:t>(2)</w:t>
      </w:r>
      <w:r>
        <w:rPr>
          <w:noProof/>
        </w:rPr>
        <w:tab/>
      </w:r>
      <w:r w:rsidRPr="00133050">
        <w:rPr>
          <w:noProof/>
          <w:color w:val="000000" w:themeColor="text1"/>
        </w:rPr>
        <w:t>В член 3, параграф 5 от Договора за Европейския съюз (ДЕС) се посочва, че в отношенията си с останалата част от света Съюзът трябва да утвърждава и насърчава своите ценности и интереси и да допринася за защитата на своите граждани. Освен това Съюзът и държавите членки имат отворена инвестиционна среда, залегнала в Договора за функционирането на Европейския съюз (ДФЕС) и въплътена в международните ангажименти на Съюза и на неговите държави членки.</w:t>
      </w:r>
    </w:p>
    <w:p w14:paraId="44663E58" w14:textId="77777777" w:rsidR="0028412E" w:rsidRPr="00133050" w:rsidRDefault="001338F4" w:rsidP="00F67093">
      <w:pPr>
        <w:pStyle w:val="ManualConsidrant"/>
        <w:rPr>
          <w:noProof/>
        </w:rPr>
      </w:pPr>
      <w:r>
        <w:rPr>
          <w:noProof/>
        </w:rPr>
        <w:t>(3)</w:t>
      </w:r>
      <w:r>
        <w:rPr>
          <w:noProof/>
        </w:rPr>
        <w:tab/>
      </w:r>
      <w:r w:rsidRPr="00133050">
        <w:rPr>
          <w:noProof/>
          <w:color w:val="000000" w:themeColor="text1"/>
        </w:rPr>
        <w:t xml:space="preserve">Съгласно международните ангажименти обаче, поети в рамките на Световната търговска организация (СТО), Организацията за икономическо сътрудничество и развитие (ОИСР) и в търговските и инвестиционните споразумения, сключени с трети държави, е възможно Съюзът и държавите членки да ограничат някои </w:t>
      </w:r>
      <w:r w:rsidRPr="00133050">
        <w:rPr>
          <w:noProof/>
          <w:color w:val="000000" w:themeColor="text1"/>
        </w:rPr>
        <w:lastRenderedPageBreak/>
        <w:t xml:space="preserve">преки чуждестранни инвестиции (ПЧИ) на основания, </w:t>
      </w:r>
      <w:r w:rsidRPr="00133050">
        <w:rPr>
          <w:noProof/>
        </w:rPr>
        <w:t>свързани със сигурността или обществения ред</w:t>
      </w:r>
      <w:r w:rsidRPr="00133050">
        <w:rPr>
          <w:noProof/>
          <w:color w:val="000000" w:themeColor="text1"/>
        </w:rPr>
        <w:t>, при условие че се спазват определени изисквания</w:t>
      </w:r>
      <w:r w:rsidRPr="00133050">
        <w:rPr>
          <w:noProof/>
        </w:rPr>
        <w:t>.</w:t>
      </w:r>
    </w:p>
    <w:p w14:paraId="21729A60" w14:textId="77777777" w:rsidR="0028412E" w:rsidRPr="00133050" w:rsidRDefault="008553CB" w:rsidP="001C24A0">
      <w:pPr>
        <w:pStyle w:val="ManualConsidrant"/>
        <w:rPr>
          <w:noProof/>
          <w:color w:val="000000" w:themeColor="text1"/>
        </w:rPr>
      </w:pPr>
      <w:r>
        <w:rPr>
          <w:noProof/>
        </w:rPr>
        <w:t>(4)</w:t>
      </w:r>
      <w:r>
        <w:rPr>
          <w:noProof/>
        </w:rPr>
        <w:tab/>
      </w:r>
      <w:r w:rsidRPr="00133050">
        <w:rPr>
          <w:noProof/>
          <w:color w:val="000000" w:themeColor="text1"/>
        </w:rPr>
        <w:t>В съответствие с Регламент (ЕС) 2019/452 на Европейския парламент и на Съвета</w:t>
      </w:r>
      <w:r w:rsidRPr="00133050">
        <w:rPr>
          <w:rStyle w:val="FootnoteReference"/>
          <w:noProof/>
          <w:color w:val="000000" w:themeColor="text1"/>
        </w:rPr>
        <w:footnoteReference w:id="30"/>
      </w:r>
      <w:r w:rsidRPr="00133050">
        <w:rPr>
          <w:noProof/>
          <w:color w:val="000000" w:themeColor="text1"/>
        </w:rPr>
        <w:t xml:space="preserve"> беше създадена рамка за скрининг на ПЧИ в Съюза от страна на държавите членки. По-специално с този регламент беше създаден механизъм за сътрудничество, който позволява на държавите членки и на Комисията да обменят информация относно ПЧИ и да изразяват опасения по отношение на рискове за сигурността или обществения ред. Този механизъм за сътрудничество изисква от държавата членка, в която се планира или вече е осъществена ПЧИ, да обърне надлежно внимание в своето скринингово решение на коментарите, отправени от други държави членки, и на становището на Комисията.</w:t>
      </w:r>
    </w:p>
    <w:p w14:paraId="449917A3" w14:textId="77777777" w:rsidR="0028412E" w:rsidRPr="00133050" w:rsidRDefault="3E3A0385" w:rsidP="3120FE7B">
      <w:pPr>
        <w:pStyle w:val="ManualConsidrant"/>
        <w:rPr>
          <w:noProof/>
          <w:color w:val="000000" w:themeColor="text1"/>
        </w:rPr>
      </w:pPr>
      <w:r>
        <w:rPr>
          <w:noProof/>
        </w:rPr>
        <w:t>(5)</w:t>
      </w:r>
      <w:r>
        <w:rPr>
          <w:noProof/>
        </w:rPr>
        <w:tab/>
      </w:r>
      <w:r w:rsidRPr="00133050">
        <w:rPr>
          <w:noProof/>
          <w:color w:val="000000" w:themeColor="text1"/>
        </w:rPr>
        <w:t xml:space="preserve">Рамката, създадена в съответствие с Регламент (ЕС) 2019/452, постигна целта си да осигури официален механизъм за държавите членки и Комисията за обмен на информация относно ПЧИ и за разясняване на проблематиката относно трансграничните </w:t>
      </w:r>
      <w:r w:rsidRPr="00133050">
        <w:rPr>
          <w:noProof/>
        </w:rPr>
        <w:t>рискове за сигурността или обществения ред</w:t>
      </w:r>
      <w:r w:rsidRPr="00133050">
        <w:rPr>
          <w:noProof/>
          <w:color w:val="000000" w:themeColor="text1"/>
        </w:rPr>
        <w:t>, произтичащи от определени ПЧИ.</w:t>
      </w:r>
    </w:p>
    <w:p w14:paraId="402C9BFC" w14:textId="77777777" w:rsidR="00816B64" w:rsidRPr="00133050" w:rsidRDefault="3E3A0385" w:rsidP="3120FE7B">
      <w:pPr>
        <w:pStyle w:val="ManualConsidrant"/>
        <w:rPr>
          <w:noProof/>
          <w:color w:val="000000" w:themeColor="text1"/>
        </w:rPr>
      </w:pPr>
      <w:r>
        <w:rPr>
          <w:noProof/>
        </w:rPr>
        <w:t>(6)</w:t>
      </w:r>
      <w:r>
        <w:rPr>
          <w:noProof/>
        </w:rPr>
        <w:tab/>
      </w:r>
      <w:r w:rsidRPr="00133050">
        <w:rPr>
          <w:noProof/>
          <w:color w:val="000000" w:themeColor="text1"/>
        </w:rPr>
        <w:t>Необходим е обаче нов законодателен инструмент, който да направи Регламент (ЕС) 2019/452 по-ефикасен и по-ефективен и да осигури по-висока степен на хармонизация в Съюза.</w:t>
      </w:r>
    </w:p>
    <w:p w14:paraId="0A68EF3D" w14:textId="77777777" w:rsidR="006A3BCD" w:rsidRPr="00133050" w:rsidRDefault="008F0D69" w:rsidP="00F67093">
      <w:pPr>
        <w:pStyle w:val="ManualConsidrant"/>
        <w:rPr>
          <w:noProof/>
        </w:rPr>
      </w:pPr>
      <w:r>
        <w:rPr>
          <w:noProof/>
        </w:rPr>
        <w:t>(7)</w:t>
      </w:r>
      <w:r>
        <w:rPr>
          <w:noProof/>
        </w:rPr>
        <w:tab/>
      </w:r>
      <w:r w:rsidRPr="00133050">
        <w:rPr>
          <w:noProof/>
          <w:color w:val="000000" w:themeColor="text1"/>
        </w:rPr>
        <w:t xml:space="preserve">Определени инвестиции, които не са обхванати от Регламент (ЕС) 2019/452, биха могли да породят рискове за сигурността и обществения ред в Съюза. Това се отнася по-специално за някои инвестиции, извършвани в държави членки, които не разполагат с механизъм за скрининг; инвестиции, извършвани в държави членки, които разполагат с механизъм за скрининг, чийто обхват не включва определени чувствителни инвестиции; и инвестиции, осъществявани от чуждестранни инвеститори чрез дъщерно дружество, регистрирано в Съюза, и които потенциално могат да породят същите рискове за сигурността или обществения ред, както преките инвестиции от трети държави. </w:t>
      </w:r>
    </w:p>
    <w:p w14:paraId="76AE9EB8" w14:textId="77777777" w:rsidR="00335342" w:rsidRPr="00133050" w:rsidRDefault="00570824" w:rsidP="00BA2724">
      <w:pPr>
        <w:pStyle w:val="ManualConsidrant"/>
        <w:rPr>
          <w:noProof/>
        </w:rPr>
      </w:pPr>
      <w:r>
        <w:rPr>
          <w:noProof/>
        </w:rPr>
        <w:t>(8)</w:t>
      </w:r>
      <w:r>
        <w:rPr>
          <w:noProof/>
        </w:rPr>
        <w:tab/>
      </w:r>
      <w:r w:rsidRPr="00133050">
        <w:rPr>
          <w:noProof/>
        </w:rPr>
        <w:t xml:space="preserve">Значителна част от държавите членки, но не всички, разполагат със законодателен инструмент, който предвижда механизъм за скрининг на ПЧИ. В много държави членки националното законодателство обхваща и скрининга на инвестициите в рамките на Съюза. Между държавите членки съществуват съществени различия по отношение на обхвата, праговете и критериите, използвани за оценка на това дали дадена инвестиция има вероятност да повлияе по неблагоприятен начин на сигурността или обществения ред. Съществуват и различия в процесите на скрининг. В определени държави членки инвестицията може да бъде осъществена, преди да е получила одобрение от гледна точка на въздействието ѝ върху сигурността и обществения ред. Други държави членки обаче изискват инвестицията да бъде финализирана едва след получаване на разрешение в рамките на механизма за скрининг. Подобни различия създават проблеми за безпрепятственото функциониране на вътрешния пазар. Например те създават нееднакви условия на конкуренция и увеличават разходите по спазване на изискванията за инвеститорите, които искат да уведомяват за сделки в повече от една държава членка. Настоящият регламент спомага за намаляване </w:t>
      </w:r>
      <w:r w:rsidRPr="00133050">
        <w:rPr>
          <w:noProof/>
        </w:rPr>
        <w:lastRenderedPageBreak/>
        <w:t>на различията по отношение на основните елементи на механизмите, прилагани на национално равнище. Това е от особено значение за осигуряване на предвидимост за инвеститорите по отношение на приложимите национални режими и техните характеристики, което намалява разходите по спазването на тези режими. Това е от още по-голямо значение, като се има предвид равнището на интеграция на вътрешния пазар, в резултат на което една-единствена сделка може да има отражение в множество държави членки в Съюза. Възможно е например сделка, целяща придобиването на целево предприятие в една държава членка, да засегне сигурността и обществения ред и в друга държава членка поради структурата на веригата на доставките или други икономически елементи, свързващи целевото предприятие с други предприятия, установени в различни държави членки. За да се намерят решения за тези проблеми на вътрешния пазар и да се осигури по-голяма последователност и предвидимост, е целесъобразно критериите и елементите, които трябва да се използват за оценка на чуждестранните инвестиции, да бъдат установени чрез действие на равнището на Съюза.</w:t>
      </w:r>
    </w:p>
    <w:p w14:paraId="240BF574" w14:textId="77777777" w:rsidR="00A56ED0" w:rsidRPr="00133050" w:rsidRDefault="6985085E" w:rsidP="00C01EE5">
      <w:pPr>
        <w:pStyle w:val="ManualConsidrant"/>
        <w:rPr>
          <w:noProof/>
        </w:rPr>
      </w:pPr>
      <w:r>
        <w:rPr>
          <w:noProof/>
        </w:rPr>
        <w:t>(9)</w:t>
      </w:r>
      <w:r>
        <w:rPr>
          <w:noProof/>
        </w:rPr>
        <w:tab/>
      </w:r>
      <w:r w:rsidRPr="00133050">
        <w:rPr>
          <w:noProof/>
          <w:color w:val="000000" w:themeColor="text1"/>
        </w:rPr>
        <w:t xml:space="preserve">За да се осигури последователен подход към скрининга на чуждестранните инвестиции в целия Съюз, от всички държави членки следва да се изисква да извършват скрининг на чуждестранните инвестиции на основания, свързани със сигурността или обществения ред, Ето защо основните елементи на националните механизми за скрининг следва да бъдат хармонизирани. Това минимално хармонизиране включва обхвата на инвестициите, които трябва да бъдат подложени на скрининг, основните характеристики на процедурите за скрининг и взаимодействието между националния механизъм и механизма на Съюза за сътрудничество. </w:t>
      </w:r>
      <w:r w:rsidRPr="00133050">
        <w:rPr>
          <w:noProof/>
          <w:color w:val="333333"/>
        </w:rPr>
        <w:t>Освен това държавите членки следва да могат да разширят обхвата на своя национален механизъм за скрининг и да включат в него други видове чуждестранни инвестиции, чуждестранни инвестиции в други сектори, допълнителни целеви предприятия в Съюза или стопански дейности, които съответната държава членка счита за критични за своята сигурност или обществен ред. Когато държавите членки правят това, техният скрининг следва да се съобразява и с разпоредбите на настоящия регламент.</w:t>
      </w:r>
    </w:p>
    <w:p w14:paraId="79D41950" w14:textId="77777777" w:rsidR="008628E7" w:rsidRPr="00133050" w:rsidRDefault="774C23F5" w:rsidP="00264EF4">
      <w:pPr>
        <w:pStyle w:val="ManualConsidrant"/>
        <w:rPr>
          <w:noProof/>
          <w:color w:val="000000" w:themeColor="text1"/>
        </w:rPr>
      </w:pPr>
      <w:r>
        <w:rPr>
          <w:noProof/>
        </w:rPr>
        <w:t>(10)</w:t>
      </w:r>
      <w:r>
        <w:rPr>
          <w:noProof/>
        </w:rPr>
        <w:tab/>
      </w:r>
      <w:bookmarkStart w:id="5" w:name="_Hlk149570207"/>
      <w:r w:rsidRPr="00133050">
        <w:rPr>
          <w:noProof/>
          <w:color w:val="000000" w:themeColor="text1"/>
        </w:rPr>
        <w:t>Регламент (ЕС) 2019/452 обхваща само ПЧИ, направени от трети държави в Съюза. Необходимо е обаче също така да се разшири приложното поле на механизма за сътрудничество, така че да включва инвестициите в различни държави членки, когато инвеститорът в една държава членка се контролира пряко или косвено от чуждестранен субект, независимо дали крайният собственик се намира в Съюза или другаде. По-специално, това разширено приложно поле е подходящо, за да се гарантира, че всяка инвестиция, която обвързва трайно чуждестранния инвеститор и целевото предприятие в Съюза, независимо дали се извършва пряко от чуждестранен инвеститор или чрез субект, установен в Съюза и контролиран от чуждестранен инвеститор, е неизменно засечена и оценена. Това следва да допринесе за последователността и предвидимостта на правилата за скрининг в държавите членки, което от своя страна ще намали разходите по спазване на изискванията за чуждестранните инвеститори и ще ограничи стимулите за насочване на инвестиции в държави членки, в които такива сделки не са обхванати.</w:t>
      </w:r>
      <w:bookmarkEnd w:id="5"/>
    </w:p>
    <w:p w14:paraId="58DBF86A" w14:textId="77777777" w:rsidR="00331B92" w:rsidRPr="00133050" w:rsidRDefault="0040503C" w:rsidP="00DB2BFE">
      <w:pPr>
        <w:pStyle w:val="ManualConsidrant"/>
        <w:rPr>
          <w:noProof/>
        </w:rPr>
      </w:pPr>
      <w:r>
        <w:rPr>
          <w:noProof/>
        </w:rPr>
        <w:t>(11)</w:t>
      </w:r>
      <w:r>
        <w:rPr>
          <w:noProof/>
        </w:rPr>
        <w:tab/>
      </w:r>
      <w:r w:rsidRPr="00133050">
        <w:rPr>
          <w:noProof/>
        </w:rPr>
        <w:t xml:space="preserve">Инвестициите от чуждестранни инвеститори в целеви предприятия в Съюза, включително инвестициите, извършвани чрез контролиран субект в Съюза, може да представляват особен риск за сигурността и обществения ред в Съюза и </w:t>
      </w:r>
      <w:r w:rsidRPr="00133050">
        <w:rPr>
          <w:noProof/>
        </w:rPr>
        <w:lastRenderedPageBreak/>
        <w:t>в неговите държави членки. Подобни рискове, свързани с инвеститорите, не би трябвало да са налице и следователно не е необходимо да се разглеждат при инвестиция, която включва само субекти, в които няма собственост, контрол, връзка с чуждестранни инвеститори или влияние от тяхна страна, включително когато чуждестранен инвеститор участва в субекта от Съюза без контролен дял. Избягването на каквото и да е разминаване в правилата, приложими към третирането на чуждестранните инвестиции, независимо дали те са направени извън Съюза пряко или чрез субект, който вече е установен в Съюза, е необходимо, за да се осигурят съгласувана рамка за скрининг на инвестициите и механизъм за контрол в Съюза. Тази рамка отразява колко е важна защитата на сигурността и обществения ред и следи изключително рисковете, които може да възникнат при инвестиции, в които участват чуждестранни субекти. Поради това държавите членки следва да осигурят най-малкото скрининг на онези чуждестранни инвестиции, които са свързани с проекти или програми от интерес за Съюза, или когато целевото предприятие в Съюза извършва дейност в области,</w:t>
      </w:r>
      <w:r w:rsidRPr="00133050">
        <w:rPr>
          <w:noProof/>
          <w:color w:val="000000" w:themeColor="text1"/>
        </w:rPr>
        <w:t xml:space="preserve"> в които дадена чуждестранна инвестиция може да засегне сигурността или обществения ред в повече от една държава членка. Държавите членки следва да могат да извършват скрининг и на други чуждестранни инвестиции. </w:t>
      </w:r>
      <w:r w:rsidRPr="00133050">
        <w:rPr>
          <w:noProof/>
        </w:rPr>
        <w:t xml:space="preserve">Когато правят това, техният скрининг следва да се съобразява и с разпоредбите на настоящия регламент. Сделките, при които няма участие на чуждестранен инвеститор или при които нивото на участие не води до пряк или косвен контрол върху субекта от Съюза, не попадат в обхвата на настоящия регламент. </w:t>
      </w:r>
    </w:p>
    <w:p w14:paraId="09D5D925" w14:textId="77777777" w:rsidR="00DB2BFE" w:rsidRPr="00133050" w:rsidRDefault="00827F55" w:rsidP="00FB5B2F">
      <w:pPr>
        <w:pStyle w:val="ManualConsidrant"/>
        <w:rPr>
          <w:noProof/>
        </w:rPr>
      </w:pPr>
      <w:r>
        <w:rPr>
          <w:noProof/>
        </w:rPr>
        <w:t>(12)</w:t>
      </w:r>
      <w:r>
        <w:rPr>
          <w:noProof/>
        </w:rPr>
        <w:tab/>
      </w:r>
      <w:r w:rsidRPr="00133050">
        <w:rPr>
          <w:noProof/>
        </w:rPr>
        <w:t xml:space="preserve">Скринингът на чуждестранни инвестиции следва да се извършва в съответствие с настоящия регламент, като се взема предвид цялата налична фактология и се спазва принципът на пропорционалност и други принципи, залегнали в Договорите. Освен това скринингът на чуждестранни инвестиции, които се осъществяват чрез установени в Съюза дъщерни дружества на чуждестранния инвеститор, следва във всички случаи да отговаря на изискванията, произтичащи от правото на Съюза, и по-специално на разпоредбите на Договорите относно правото на свобода на установяване и свободното движение на капитали, съгласно тълкуването им в съдебната практика на Съда на Европейския съюз, в съответствие с целта за запазване на отворен и приобщаващ вътрешен пазар. Всички ограничения на свободата на установяване и на свободното движение на капитали в Съюза, включително скрининга и мерките, произтичащи от скрининга, като например смекчаващи мерки и забрани, следва да се основават на действителна и достатъчно сериозна заплаха за основен интерес на обществото и следва да бъдат целесъобразни и необходими, както е посочено в съдебната практика на Съда на ЕС. Същевременно, когато се оценяват обосноваността и пропорционалността на ограниченията на свободата на установяване или на свободното движение на капитали, включително, когато е целесъобразно, във всяко становище на Комисията, прието съгласно настоящия регламент, може да бъдат взети предвид особеностите на инвестициите в Съюза, осъществявани чрез дъщерно дружество на чуждестранен инвеститор. Това следва да се осъществява, като се взема предвид интегрирането на схемите на държавите членки във всеобхватния за Съюза механизъм за сътрудничество. </w:t>
      </w:r>
    </w:p>
    <w:p w14:paraId="6BF823BA" w14:textId="77777777" w:rsidR="00C65463" w:rsidRPr="00133050" w:rsidRDefault="6985085E" w:rsidP="3120FE7B">
      <w:pPr>
        <w:pStyle w:val="ManualConsidrant"/>
        <w:rPr>
          <w:noProof/>
          <w:color w:val="000000" w:themeColor="text1"/>
        </w:rPr>
      </w:pPr>
      <w:r>
        <w:rPr>
          <w:noProof/>
        </w:rPr>
        <w:t>(13)</w:t>
      </w:r>
      <w:r>
        <w:rPr>
          <w:noProof/>
        </w:rPr>
        <w:tab/>
      </w:r>
      <w:r w:rsidRPr="00133050">
        <w:rPr>
          <w:noProof/>
          <w:color w:val="000000" w:themeColor="text1"/>
        </w:rPr>
        <w:t xml:space="preserve">За да може механизмът за сътрудничество, предвиден в настоящия регламент, да функционира ефикасно и ефективно, е необходимо да се определи минимален общ обхват при чуждестранните инвестиции, за които всички държави членки следва да подават уведомление до механизма за сътрудничество. Държавите </w:t>
      </w:r>
      <w:r w:rsidRPr="00133050">
        <w:rPr>
          <w:noProof/>
          <w:color w:val="000000" w:themeColor="text1"/>
        </w:rPr>
        <w:lastRenderedPageBreak/>
        <w:t xml:space="preserve">членки следва да запазят свободата си да подават уведомления за чуждестранни инвестиции извън минималния общ обхват на настоящия регламент. </w:t>
      </w:r>
    </w:p>
    <w:p w14:paraId="297F74C2" w14:textId="77777777" w:rsidR="001E1F76" w:rsidRPr="00133050" w:rsidRDefault="00243CBE" w:rsidP="001E1F76">
      <w:pPr>
        <w:pStyle w:val="ManualConsidrant"/>
        <w:rPr>
          <w:noProof/>
        </w:rPr>
      </w:pPr>
      <w:r>
        <w:rPr>
          <w:noProof/>
        </w:rPr>
        <w:t>(14)</w:t>
      </w:r>
      <w:r>
        <w:rPr>
          <w:noProof/>
        </w:rPr>
        <w:tab/>
      </w:r>
      <w:r w:rsidRPr="00133050">
        <w:rPr>
          <w:noProof/>
          <w:color w:val="000000" w:themeColor="text1"/>
        </w:rPr>
        <w:t>Необходимо е също така на държавата членка, в която се планира или вече е осъществена чуждестранната инвестиция, да бъде вменена по-голяма отчетност пред Комисията и пред онези държави членки, които изразяват надлежно обосновани опасения за своя обществен ред или сигурност или за сигурността на Съюза.</w:t>
      </w:r>
    </w:p>
    <w:p w14:paraId="19AEF665" w14:textId="77777777" w:rsidR="001E1F76" w:rsidRPr="00133050" w:rsidRDefault="00BF6F33" w:rsidP="3120FE7B">
      <w:pPr>
        <w:pStyle w:val="ManualConsidrant"/>
        <w:rPr>
          <w:noProof/>
          <w:color w:val="000000" w:themeColor="text1"/>
        </w:rPr>
      </w:pPr>
      <w:r>
        <w:rPr>
          <w:noProof/>
        </w:rPr>
        <w:t>(15)</w:t>
      </w:r>
      <w:r>
        <w:rPr>
          <w:noProof/>
        </w:rPr>
        <w:tab/>
      </w:r>
      <w:r w:rsidRPr="00133050">
        <w:rPr>
          <w:noProof/>
          <w:color w:val="000000" w:themeColor="text1"/>
        </w:rPr>
        <w:t>Общата рамка, установена в настоящия регламент, не следва да засяга изключителната отговорност на държавите членки да защитават националната си сигурност, както е предвидено в член 4, параграф 2 от ДЕС. Тя следва също така да не засяга защитата на техните основни интереси в областта на сигурността в съответствие с член 346 от ДФЕС.</w:t>
      </w:r>
    </w:p>
    <w:p w14:paraId="682F31D8" w14:textId="77777777" w:rsidR="00BF6F33" w:rsidRPr="00133050" w:rsidRDefault="2DE2ED05" w:rsidP="3120FE7B">
      <w:pPr>
        <w:pStyle w:val="ManualConsidrant"/>
        <w:rPr>
          <w:noProof/>
          <w:color w:val="000000" w:themeColor="text1"/>
        </w:rPr>
      </w:pPr>
      <w:r>
        <w:rPr>
          <w:noProof/>
        </w:rPr>
        <w:t>(16)</w:t>
      </w:r>
      <w:r>
        <w:rPr>
          <w:noProof/>
        </w:rPr>
        <w:tab/>
      </w:r>
      <w:r w:rsidRPr="00133050">
        <w:rPr>
          <w:noProof/>
          <w:color w:val="000000" w:themeColor="text1"/>
        </w:rPr>
        <w:t>Чуждестранните инвестиции, с които се създават или поддържат трайни и преки връзки между инвеститори от трети държави (включително държавни органи) и целеви предприятия в Съюза, осъществяващи стопанска дейност в държава членка, следва да бъдат обхванати от настоящия регламент. Това следва да се отнася за инвестициите, които се извършват пряко от трети държави или от субект от Съюза с чуждестранен контрол. Същевременно рамката не следва да обхваща придобиването на ценни книжа на дружества, предназначено единствено за финансова инвестиция, без намерение да се оказва влияние върху управлението и контрола на предприятието (портфейлни инвестиции). Операциите по преструктуриране в рамките на група дружества или сливането на повече от едно юридическо лице в едно юридическо лице не се считат за чуждестранна инвестиция, при условие че няма увеличение на акциите, притежавани от чуждестранни инвеститори, или сделката не води до допълнителни права, които може да доведат до промяна в ефективното участие на един или повече чуждестранни инвеститори в управлението или контрола на определено целево предприятие в Съюза.</w:t>
      </w:r>
    </w:p>
    <w:p w14:paraId="75980B4D" w14:textId="77777777" w:rsidR="00BF6F33" w:rsidRPr="00133050" w:rsidRDefault="00BF6F33" w:rsidP="001E1F76">
      <w:pPr>
        <w:pStyle w:val="ManualConsidrant"/>
        <w:rPr>
          <w:noProof/>
        </w:rPr>
      </w:pPr>
      <w:r>
        <w:rPr>
          <w:noProof/>
        </w:rPr>
        <w:t>(17)</w:t>
      </w:r>
      <w:r>
        <w:rPr>
          <w:noProof/>
        </w:rPr>
        <w:tab/>
      </w:r>
      <w:r w:rsidRPr="00133050">
        <w:rPr>
          <w:noProof/>
          <w:color w:val="000000" w:themeColor="text1"/>
        </w:rPr>
        <w:t>Чуждестранни инвестиции „на зелено“ са налице, когато чуждестранен инвеститор или дъщерно дружество на чуждестранен инвеститор в Съюза създава нови съоръжения или ново предприятие в Съюза. Чуждестранните инвестиции „на зелено“ следва да бъдат обхванати от настоящия регламент, доколкото дадена държава членка смята, че те са от значение за целите на скрининга на чуждестранните инвестиции, тъй като създават трайни и преки връзки между чуждестранен инвеститор и съоръжения или предприятия от този тип. Освен това, изграждайки нови съоръжения, чуждестранният инвеститор може да повлияе на сигурността и обществения ред, включително когато рискът засяга основни стопански ресурси. Поради това държавите членки се насърчават да включат чуждестранните инвестиции „на зелено“ сред сделките, които обхващат техните механизми за скрининг, по-специално, когато тези инвестиции са в сектори, които са от значение за тяхната сигурност или обществен ред, или когато техни характеристики, като размер или същност, ги правят значими за сигурността или обществения ред.</w:t>
      </w:r>
    </w:p>
    <w:p w14:paraId="64F66F06" w14:textId="77777777" w:rsidR="0034602D" w:rsidRPr="00133050" w:rsidRDefault="0034602D" w:rsidP="0034602D">
      <w:pPr>
        <w:pStyle w:val="ManualConsidrant"/>
        <w:rPr>
          <w:noProof/>
        </w:rPr>
      </w:pPr>
      <w:r>
        <w:rPr>
          <w:noProof/>
        </w:rPr>
        <w:t>(18)</w:t>
      </w:r>
      <w:r>
        <w:rPr>
          <w:noProof/>
        </w:rPr>
        <w:tab/>
      </w:r>
      <w:r w:rsidRPr="00133050">
        <w:rPr>
          <w:noProof/>
        </w:rPr>
        <w:t xml:space="preserve">За да се осигурят последователни и предвидими процеси на скрининг, е целесъобразно да се определят основните характеристики на механизмите за скрининг, които трябва да се прилагат от държавите членки. Тези характеристики следва да включват най-малко спектъра от сделки, които да бъдат подложени на изискване за издаване на разрешение, крайните срокове за </w:t>
      </w:r>
      <w:r w:rsidRPr="00133050">
        <w:rPr>
          <w:noProof/>
        </w:rPr>
        <w:lastRenderedPageBreak/>
        <w:t>скрининг и възможността предприятията, засегнати от скрининговото решение, да обжалват тези решения. Правилата и процедурите, свързани с механизмите за скрининг, следва да бъдат прозрачни и недискриминационни спрямо различните трети държави.</w:t>
      </w:r>
    </w:p>
    <w:p w14:paraId="5D0E224D" w14:textId="77777777" w:rsidR="0034602D" w:rsidRPr="00133050" w:rsidRDefault="0034602D" w:rsidP="0034602D">
      <w:pPr>
        <w:pStyle w:val="ManualConsidrant"/>
        <w:rPr>
          <w:noProof/>
        </w:rPr>
      </w:pPr>
      <w:r>
        <w:rPr>
          <w:noProof/>
        </w:rPr>
        <w:t>(19)</w:t>
      </w:r>
      <w:r>
        <w:rPr>
          <w:noProof/>
        </w:rPr>
        <w:tab/>
      </w:r>
      <w:r w:rsidRPr="00133050">
        <w:rPr>
          <w:noProof/>
        </w:rPr>
        <w:t>Механизмът за сътрудничество, установен в Регламент (ЕС) 2019/452, дава възможност на държавите членки да си сътрудничат и да си помагат взаимно, когато пряка чуждестранна инвестиция в една държава членка може да засегне сигурността или обществения ред на други държави членки или на проекти или програми от интерес за Съюза. До този момент механизмът се е доказал като много полезен, поради което следва да бъде запазен и укрепен в рамките на настоящия регламент. </w:t>
      </w:r>
    </w:p>
    <w:p w14:paraId="0246DE1C" w14:textId="77777777" w:rsidR="0038124C" w:rsidRPr="00133050" w:rsidRDefault="00480C1F" w:rsidP="00C01EE5">
      <w:pPr>
        <w:pStyle w:val="ManualConsidrant"/>
        <w:rPr>
          <w:noProof/>
        </w:rPr>
      </w:pPr>
      <w:r>
        <w:rPr>
          <w:noProof/>
        </w:rPr>
        <w:t>(20)</w:t>
      </w:r>
      <w:r>
        <w:rPr>
          <w:noProof/>
        </w:rPr>
        <w:tab/>
      </w:r>
      <w:r w:rsidRPr="00133050">
        <w:rPr>
          <w:noProof/>
        </w:rPr>
        <w:t xml:space="preserve">За да гарантира, че чуждестранните инвестиции, които е вероятно да повлияят отрицателно на сигурността или обществения ред в Съюза, се установяват по подходящ начин, държавите членки следва да извършват скрининг на чуждестранните инвестиции, когато целевото предприятие в Съюза е част от проект или програма от интерес за Съюза или е свързано с участие в такива, или когато стопанската дейност на целевото предприятие в Съюза се отнася до технология, актив, съоръжение, оборудване, мрежа, система или услуга </w:t>
      </w:r>
      <w:r w:rsidRPr="00133050">
        <w:rPr>
          <w:noProof/>
          <w:color w:val="333333"/>
        </w:rPr>
        <w:t>от особена важност за свързаните със сигурността или обществения ред интереси на Съюза. В допълнение към тези критерии механизмите за скрининг може да се прилагат и за други сектори, целеви предприятия в Съюза или стопански дейности, които съответната държава членка смята за критични за своята сигурност или обществен ред.</w:t>
      </w:r>
    </w:p>
    <w:p w14:paraId="73C38E7E" w14:textId="77777777" w:rsidR="005426B3" w:rsidRPr="00133050" w:rsidRDefault="00480C1F" w:rsidP="00C01EE5">
      <w:pPr>
        <w:pStyle w:val="ManualConsidrant"/>
        <w:rPr>
          <w:noProof/>
        </w:rPr>
      </w:pPr>
      <w:r>
        <w:rPr>
          <w:noProof/>
        </w:rPr>
        <w:t>(21)</w:t>
      </w:r>
      <w:r>
        <w:rPr>
          <w:noProof/>
        </w:rPr>
        <w:tab/>
      </w:r>
      <w:r w:rsidRPr="00133050">
        <w:rPr>
          <w:noProof/>
          <w:color w:val="333333"/>
        </w:rPr>
        <w:t>За да се гарантира, че</w:t>
      </w:r>
      <w:r w:rsidRPr="00133050">
        <w:rPr>
          <w:noProof/>
        </w:rPr>
        <w:t xml:space="preserve"> механизмът за сътрудничество се съсредоточава само върху онези чуждестранни инвестиции, при които характеристиките на чуждестранния инвеститор или на целевото предприятие в Съюза създават условия за евентуално отражение върху сигурността или обществения ред, е целесъобразно да се установят основани на риска условия за уведомяване на другите държави членки и Комисията за чуждестранните инвестиции, които се подлагат на скрининг в дадена държава членка. Когато дадена чуждестранна инвестиция не отговаря на някое от условията, държавата членка, в която се извършва скринингът на чуждестранната инвестиция, може да уведоми другите държави членки и Комисията за чуждестранната инвестиция, включително когато целевото предприятие в Съюза има значителни стопански дейности в други държави членки или принадлежи към корпоративна група, която има няколко дружества в различни държави членки. </w:t>
      </w:r>
    </w:p>
    <w:p w14:paraId="303E6C11" w14:textId="77777777" w:rsidR="00C6322A" w:rsidRPr="00133050" w:rsidRDefault="00480C1F" w:rsidP="00C6322A">
      <w:pPr>
        <w:pStyle w:val="ManualConsidrant"/>
        <w:rPr>
          <w:noProof/>
        </w:rPr>
      </w:pPr>
      <w:r>
        <w:rPr>
          <w:noProof/>
        </w:rPr>
        <w:t>(22)</w:t>
      </w:r>
      <w:r>
        <w:rPr>
          <w:noProof/>
        </w:rPr>
        <w:tab/>
      </w:r>
      <w:r w:rsidRPr="00133050">
        <w:rPr>
          <w:noProof/>
        </w:rPr>
        <w:t xml:space="preserve">За да се гарантира, че вероятното въздействие на дадена чуждестранна инвестиция върху сигурността или обществения ред на една или повече държави членки е адекватно установено, държавите членки следва да могат да предоставят коментари на държава членка, в която се планира или вече е осъществена чуждестранна инвестиция, дори ако тази държава членка не извършва скрининг на тази чуждестранна инвестиция или ако на чуждестранната инвестиция е извършен скрининг, но не е подадено уведомление за нея до механизма за сътрудничество. Уведомление за исканията за информация, отговорите и коментарите на държавите членки следва да се изпраща едновременно и на Комисията. </w:t>
      </w:r>
    </w:p>
    <w:p w14:paraId="65C48F22" w14:textId="77777777" w:rsidR="00093FBF" w:rsidRPr="00133050" w:rsidRDefault="00480C1F" w:rsidP="00C01EE5">
      <w:pPr>
        <w:pStyle w:val="ManualConsidrant"/>
        <w:rPr>
          <w:noProof/>
        </w:rPr>
      </w:pPr>
      <w:r>
        <w:rPr>
          <w:noProof/>
        </w:rPr>
        <w:t>(23)</w:t>
      </w:r>
      <w:r>
        <w:rPr>
          <w:noProof/>
        </w:rPr>
        <w:tab/>
      </w:r>
      <w:r w:rsidRPr="00133050">
        <w:rPr>
          <w:noProof/>
        </w:rPr>
        <w:t xml:space="preserve">За да се гарантира, че вероятното въздействие на дадена чуждестранна инвестиция върху сигурността или обществения ред в повече от една държава </w:t>
      </w:r>
      <w:r w:rsidRPr="00133050">
        <w:rPr>
          <w:noProof/>
        </w:rPr>
        <w:lastRenderedPageBreak/>
        <w:t xml:space="preserve">членка или в Съюза е като цяло адекватно установено, следва да бъде възможно Комисията да издаде становище по смисъла на член 288 от ДФЕС до държавата членка, в която се планира или вече е осъществена чуждестранната инвестиция, дори ако тази чуждестранна инвестиция не е в процес на скрининг в тази държава членка или ако тази чуждестранна инвестиция е подложена на скрининг, но не е подадено уведомление за нея до механизма за сътрудничество. </w:t>
      </w:r>
    </w:p>
    <w:p w14:paraId="40B3E5B7" w14:textId="77777777" w:rsidR="00C6322A" w:rsidRPr="00133050" w:rsidRDefault="00C6322A" w:rsidP="008C7D7A">
      <w:pPr>
        <w:pStyle w:val="ManualConsidrant"/>
        <w:rPr>
          <w:noProof/>
        </w:rPr>
      </w:pPr>
      <w:r>
        <w:rPr>
          <w:noProof/>
        </w:rPr>
        <w:t>(24)</w:t>
      </w:r>
      <w:r>
        <w:rPr>
          <w:noProof/>
        </w:rPr>
        <w:tab/>
      </w:r>
      <w:r w:rsidRPr="00133050">
        <w:rPr>
          <w:noProof/>
        </w:rPr>
        <w:t xml:space="preserve">Освен това, с оглед на защитата на сигурността или обществения ред, когато вероятното отражение произтича от чуждестранна инвестиция в целево предприятие в Съюза, което осигурява разработването, поддържането или придобиването на инфраструктура, технологии или ресурси, които са от критично значение за Съюза като цяло, на Комисията следва да се разреши да издава становище. Това ще предостави на Комисията инструмент за защита на проектите и програмите, от които се възползва Съюзът като цяло и които допринасят съществено за сигурността или обществения ред в Съюза. Когато Комисията издава становище, в което се посочва вероятното отражение върху проекти или програми от интерес за Съюза на основания, свързани със сигурността или обществения ред, за него следва да се подава уведомление до всички държави членки. </w:t>
      </w:r>
    </w:p>
    <w:p w14:paraId="50807991" w14:textId="77777777" w:rsidR="0009444A" w:rsidRPr="00133050" w:rsidRDefault="00A123D3" w:rsidP="0009444A">
      <w:pPr>
        <w:pStyle w:val="ManualConsidrant"/>
        <w:rPr>
          <w:noProof/>
        </w:rPr>
      </w:pPr>
      <w:r>
        <w:rPr>
          <w:noProof/>
        </w:rPr>
        <w:t>(25)</w:t>
      </w:r>
      <w:r>
        <w:rPr>
          <w:noProof/>
        </w:rPr>
        <w:tab/>
      </w:r>
      <w:r w:rsidRPr="00133050">
        <w:rPr>
          <w:noProof/>
        </w:rPr>
        <w:t>Освен това Комисията следва да може да приема становище, адресирано до всички държави членки, ако установи няколко чуждестранни инвестиции, които, взети заедно, има вероятност да засегнат сигурността или обществения ред в Съюза. Такъв би могъл да бъде случаят, когато няколко чуждестранни инвестиции имат сравними характеристики. Това включва случаите, в които чуждестранните инвестиции се правят от един и същ чуждестранен инвеститор или от чуждестранни инвеститори, които носят сходни рискове, или когато няколко чуждестранни инвестиции се отнасят до едно и също целево предприятие или до една и съща инфраструктура, включително трансевропейска инфраструктура за транспорт, енергетика и комуникации. Държавите членки и Комисията следва да обсъдят анализа на риска и възможните начини за справяне с установените в становището рискове.</w:t>
      </w:r>
    </w:p>
    <w:p w14:paraId="6BC49294" w14:textId="77777777" w:rsidR="0009444A" w:rsidRPr="00133050" w:rsidRDefault="0009444A" w:rsidP="0009444A">
      <w:pPr>
        <w:pStyle w:val="ManualConsidrant"/>
        <w:rPr>
          <w:noProof/>
        </w:rPr>
      </w:pPr>
      <w:r>
        <w:rPr>
          <w:noProof/>
        </w:rPr>
        <w:t>(26)</w:t>
      </w:r>
      <w:r>
        <w:rPr>
          <w:noProof/>
        </w:rPr>
        <w:tab/>
      </w:r>
      <w:r w:rsidRPr="00133050">
        <w:rPr>
          <w:noProof/>
        </w:rPr>
        <w:t xml:space="preserve">За да се защитят сигурността или общественият ред, като същевременно се осигури по-голяма сигурност за инвеститорите, държавите членки следва да имат възможност да отправят коментари, а Комисията следва да разполага с възможността да издава становища по отношение на чуждестранните инвестиции, които са били осъществени, но за които не е било подадено уведомление, в срок до 15 месеца след осъществяването им. </w:t>
      </w:r>
    </w:p>
    <w:p w14:paraId="6F382EF9" w14:textId="77777777" w:rsidR="00C6322A" w:rsidRPr="00133050" w:rsidRDefault="00C6322A" w:rsidP="00C6322A">
      <w:pPr>
        <w:pStyle w:val="ManualConsidrant"/>
        <w:rPr>
          <w:noProof/>
        </w:rPr>
      </w:pPr>
      <w:r>
        <w:rPr>
          <w:noProof/>
        </w:rPr>
        <w:t>(27)</w:t>
      </w:r>
      <w:r>
        <w:rPr>
          <w:noProof/>
        </w:rPr>
        <w:tab/>
      </w:r>
      <w:r w:rsidRPr="00133050">
        <w:rPr>
          <w:noProof/>
        </w:rPr>
        <w:t>От съображения за яснота списъкът на проекти или програми от интерес за Съюза следва да бъде представен в приложение I. Той следва да включва трансевропейските транспортни, енергийни и комуникационни мрежи, както и програмите за финансиране на научноизследователска и развойна дейност за дейности, свързани със сигурността или обществения ред в Съюза. Поради значението на тези проекти и програми за сигурността и обществения ред в Съюза държавите членки следва да извършват скрининг на чуждестранните инвестиции в предприятия на Съюза, които са част от тези проекти или програми или участват в тях, включително тези, които получават финансиране от Съюза.</w:t>
      </w:r>
    </w:p>
    <w:p w14:paraId="596F065C" w14:textId="77777777" w:rsidR="00C6322A" w:rsidRPr="00133050" w:rsidRDefault="00C6322A" w:rsidP="00C6322A">
      <w:pPr>
        <w:pStyle w:val="ManualConsidrant"/>
        <w:rPr>
          <w:noProof/>
        </w:rPr>
      </w:pPr>
      <w:r>
        <w:rPr>
          <w:noProof/>
        </w:rPr>
        <w:t>(28)</w:t>
      </w:r>
      <w:r>
        <w:rPr>
          <w:noProof/>
        </w:rPr>
        <w:tab/>
      </w:r>
      <w:r w:rsidRPr="00133050">
        <w:rPr>
          <w:noProof/>
        </w:rPr>
        <w:t xml:space="preserve">За да се гарантира адекватно разглеждане на вероятното отражение на дадена чуждестранна инвестиция върху сигурността или обществения ред на една или </w:t>
      </w:r>
      <w:r w:rsidRPr="00133050">
        <w:rPr>
          <w:noProof/>
        </w:rPr>
        <w:lastRenderedPageBreak/>
        <w:t>повече държави членки, държавата членка, която получава надлежно обосновани коментари от други държави членки или становище от Комисията, следва да обърне максимално внимание на коментарите или становището, включително когато смята, че собствената ѝ сигурност или обществен ред не са засегнати. Държавата членка следва да координира действията си с Комисията и заинтересованите държави членки, ако е необходимо, и да коментира в писмен вид взетото решение и начина, по който е обърнала максимално внимание на коментарите и становището. Отговорността за окончателното решение по отношение на чуждестранните инвестиции следва да се носи единствено от държавата членка, в която се планира или вече е осъществена чуждестранната инвестиция.</w:t>
      </w:r>
    </w:p>
    <w:p w14:paraId="1353D3A9" w14:textId="77777777" w:rsidR="0034602D" w:rsidRPr="00133050" w:rsidRDefault="0034602D" w:rsidP="0034602D">
      <w:pPr>
        <w:pStyle w:val="ManualConsidrant"/>
        <w:rPr>
          <w:noProof/>
        </w:rPr>
      </w:pPr>
      <w:r>
        <w:rPr>
          <w:noProof/>
        </w:rPr>
        <w:t>(29)</w:t>
      </w:r>
      <w:r>
        <w:rPr>
          <w:noProof/>
        </w:rPr>
        <w:tab/>
      </w:r>
      <w:r w:rsidRPr="00133050">
        <w:rPr>
          <w:noProof/>
        </w:rPr>
        <w:t>За да се гарантира ефективното функциониране на механизма за сътрудничество, е важно от държавата членка, която подава уведомление за чуждестранната инвестиция до механизма за сътрудничество, да се изисква определена минимална информация да бъде предоставяна в стандартизиран формат. Когато сътрудничеството се отнася до чуждестранна инвестиция, за която не е подадено уведомление до механизма за сътрудничество, държавата членка, в която се планира или вече е осъществена чуждестранната инвестиция, следва да е в състояние да предостави поне същата минимална информация. Комисията и държавите членки може да поискат допълнителна информация от държавата членка, в която се планира или вече е осъществена чуждестранната инвестиция. Подобно искане за допълнителна информация следва да бъде надлежно обосновано, ограничено до информацията, необходима на държавите членки, за да предоставят коментари, или на Комисията, за да издаде становище, да е пропорционално на целите на искането и да не е прекалено обременяващо за уведомяващата държава членка.</w:t>
      </w:r>
    </w:p>
    <w:p w14:paraId="11EBC4E0" w14:textId="77777777" w:rsidR="0034602D" w:rsidRPr="00133050" w:rsidRDefault="0009444A" w:rsidP="0034602D">
      <w:pPr>
        <w:pStyle w:val="ManualConsidrant"/>
        <w:rPr>
          <w:noProof/>
        </w:rPr>
      </w:pPr>
      <w:r>
        <w:rPr>
          <w:noProof/>
        </w:rPr>
        <w:t>(30)</w:t>
      </w:r>
      <w:r>
        <w:rPr>
          <w:noProof/>
        </w:rPr>
        <w:tab/>
      </w:r>
      <w:r w:rsidRPr="00133050">
        <w:rPr>
          <w:noProof/>
        </w:rPr>
        <w:t>За да се гарантира, че сътрудничеството се основава на пълна и точна информация, чуждестранният инвеститор или предприятие следва да предостави всяка съответна информация, поискана от държавата членка, в която инвеститорът или предприятието е установен(о), или от държавата членка, в която се планира или вече е осъществена чуждестранната инвестиция. При изключителни обстоятелства, когато въпреки всички възможни усилия държавата членка не е в състояние да получи информацията, искана от друга държава членка или от Комисията, тя следва да ги уведоми за това незабавно. В такъв случай всеки коментар, отправен от друга държава членка, или всяко становище, издадено от Комисията в рамките на механизма за сътрудничество, следва да се основава на информацията, с която разполагат.</w:t>
      </w:r>
    </w:p>
    <w:p w14:paraId="1CEC8DFC" w14:textId="77777777" w:rsidR="0009444A" w:rsidRPr="00133050" w:rsidRDefault="0009444A" w:rsidP="0009444A">
      <w:pPr>
        <w:pStyle w:val="ManualConsidrant"/>
        <w:rPr>
          <w:noProof/>
        </w:rPr>
      </w:pPr>
      <w:r>
        <w:rPr>
          <w:noProof/>
        </w:rPr>
        <w:t>(31)</w:t>
      </w:r>
      <w:r>
        <w:rPr>
          <w:noProof/>
        </w:rPr>
        <w:tab/>
      </w:r>
      <w:r w:rsidRPr="00133050">
        <w:rPr>
          <w:noProof/>
        </w:rPr>
        <w:t>За да се гарантира, че механизмът за сътрудничество се използва само с цел защитата на сигурността или обществения ред, държавите членки следва надлежно да мотивират всяко искане за информация във връзка с определена чуждестранна инвестиция в друга държава членка, както и всякакви коментари, които те изпращат към тази държава членка. Същите изисквания се прилагат, когато Комисията иска информация във връзка с определена чуждестранна инвестиция или издава становище до някоя държава членка.</w:t>
      </w:r>
    </w:p>
    <w:p w14:paraId="3A0FB066" w14:textId="77777777" w:rsidR="00A123D3" w:rsidRPr="00133050" w:rsidRDefault="00A123D3" w:rsidP="00A123D3">
      <w:pPr>
        <w:pStyle w:val="ManualConsidrant"/>
        <w:rPr>
          <w:noProof/>
        </w:rPr>
      </w:pPr>
      <w:r>
        <w:rPr>
          <w:noProof/>
        </w:rPr>
        <w:t>(32)</w:t>
      </w:r>
      <w:r>
        <w:rPr>
          <w:noProof/>
        </w:rPr>
        <w:tab/>
      </w:r>
      <w:r w:rsidRPr="00133050">
        <w:rPr>
          <w:noProof/>
        </w:rPr>
        <w:t>Държавите членки или Комисията, според случая, могат да вземат предвид смятана за важна информация, получена от икономически оператори, организации на гражданското общество или социални партньори (например синдикални организации), относно чуждестранна инвестиция, която е вероятно да повлияе отрицателно на сигурността или обществения ред.</w:t>
      </w:r>
    </w:p>
    <w:p w14:paraId="06EF0735" w14:textId="77777777" w:rsidR="0034602D" w:rsidRPr="00133050" w:rsidRDefault="0034602D" w:rsidP="0034602D">
      <w:pPr>
        <w:pStyle w:val="ManualConsidrant"/>
        <w:rPr>
          <w:noProof/>
        </w:rPr>
      </w:pPr>
      <w:r>
        <w:rPr>
          <w:noProof/>
        </w:rPr>
        <w:lastRenderedPageBreak/>
        <w:t>(33)</w:t>
      </w:r>
      <w:r>
        <w:rPr>
          <w:noProof/>
        </w:rPr>
        <w:tab/>
      </w:r>
      <w:r w:rsidRPr="00133050">
        <w:rPr>
          <w:noProof/>
        </w:rPr>
        <w:t>Държава членка, в която се планира или вече е осъществена чуждестранна инвестиция, може да информира други държави членки или Комисията, ако желае те да продължат да анализират един или повече аспекти на чуждестранната инвестиция, която е обект на оценка в рамките на механизма за сътрудничество, или ако узнае за нови обстоятелства или нова информация, които могат да повлияят на оценката на чуждестранната инвестиция. След това на другите държави членки и на Комисията може да бъде предоставено допълнително време, за да допълнят своята оценка на чуждестранната инвестиция.</w:t>
      </w:r>
    </w:p>
    <w:p w14:paraId="1AF4410A" w14:textId="77777777" w:rsidR="0034602D" w:rsidRPr="00133050" w:rsidRDefault="0034602D" w:rsidP="0034602D">
      <w:pPr>
        <w:pStyle w:val="ManualConsidrant"/>
        <w:rPr>
          <w:noProof/>
        </w:rPr>
      </w:pPr>
      <w:r>
        <w:rPr>
          <w:noProof/>
        </w:rPr>
        <w:t>(34)</w:t>
      </w:r>
      <w:r>
        <w:rPr>
          <w:noProof/>
        </w:rPr>
        <w:tab/>
      </w:r>
      <w:r w:rsidRPr="00133050">
        <w:rPr>
          <w:noProof/>
        </w:rPr>
        <w:t>За да се гарантират ефикасността и ефективността на механизма за сътрудничество, е необходимо да се уеднаквят сроковете и процедурите, когато няколко чуждестранни инвестиции, свързани с една и съща по-широкообхватна сделка, се подлагат на скрининг в няколко държави членки. При такива многонационални сделки заявителят следва да подаде едновременно различните искания за разрешение до въпросните държави членки. Освен това тези държави членки следва да подадат едновременно уведомления за тези искания до механизма за сътрудничество. За да се осигури ефикасно боравене с тези многонационални сделки, заинтересованите държави членки следва да координират и съгласуват въпроса дали чуждестранните инвестиции са предмет на уведомление и кога следва да се подаде уведомление за тях. Освен това заинтересованите държави членки следва да се координират и по окончателното решение. Ако заинтересованите държави членки възнамеряват да предоставят разрешение за чуждестранната инвестиция при определени условия, те следва да гарантират, че тези условия са съвместими помежду си и адекватно противодействат на трансграничните рискове. Преди да наложат забрана за дадена чуждестранна инвестиция, заинтересованите държави членки следва да преценят дали разрешение при определени условия с координирани мерки и тяхното координирано прилагане не би било достатъчно, за да се противодейства на едно вероятно отражение върху сигурността или обществения ред. Комисията следва да може да участва в такива действия по координиране.</w:t>
      </w:r>
    </w:p>
    <w:p w14:paraId="276FECBC" w14:textId="77777777" w:rsidR="00BF6F33" w:rsidRPr="00133050" w:rsidRDefault="00331B92" w:rsidP="00441CB1">
      <w:pPr>
        <w:pStyle w:val="ManualConsidrant"/>
        <w:rPr>
          <w:noProof/>
        </w:rPr>
      </w:pPr>
      <w:r>
        <w:rPr>
          <w:noProof/>
        </w:rPr>
        <w:t>(35)</w:t>
      </w:r>
      <w:r>
        <w:rPr>
          <w:noProof/>
        </w:rPr>
        <w:tab/>
      </w:r>
      <w:r w:rsidRPr="00133050">
        <w:rPr>
          <w:noProof/>
        </w:rPr>
        <w:t xml:space="preserve">За да се осигури последователен подход към скрининга на инвестициите в целия Съюз, от съществено значение е стандартите и критериите, използвани за оценка на вероятните рискове за сигурността и обществения ред, да бъдат тези, определени на равнището на Съюза в настоящия регламент. </w:t>
      </w:r>
      <w:r w:rsidRPr="00133050">
        <w:rPr>
          <w:noProof/>
          <w:color w:val="000000" w:themeColor="text1"/>
        </w:rPr>
        <w:t xml:space="preserve">Тези стандарти следва да отчитат отражението върху сигурността, целостта и функционирането на критичната инфраструктура, наличността на критични технологии (включително главни базови технологии) и непрекъснатото снабдяване с критични за сигурността или обществения ред ресурси, чието нарушаване, повреда, загуба или унищожаване би се отразило значително на сигурността и обществения ред на една или повече държави членки или на Съюза като цяло. В това отношение държавите членки и Комисията следва също така да вземат предвид контекста и обстоятелствата на чуждестранната инвестиция. Това следва да включва по-специално въпроса дали даден инвеститор се контролира пряко или косвено, например чрез значително финансиране, от правителството на трета държава или участва в преследването на политически цели на трети държави за развиване на техния военен капацитет. В този контекст, ако е приложимо, държавите членки и Комисията следва също така да разгледат причините, поради които чуждестранният инвеститор, неговият действителен собственик или някое от неговите дъщерни дружества, или лице, </w:t>
      </w:r>
      <w:r w:rsidRPr="00133050">
        <w:rPr>
          <w:noProof/>
        </w:rPr>
        <w:t xml:space="preserve">действащо от </w:t>
      </w:r>
      <w:r w:rsidRPr="00133050">
        <w:rPr>
          <w:noProof/>
        </w:rPr>
        <w:lastRenderedPageBreak/>
        <w:t>името или по указание на такъв чуждестранен инвеститор</w:t>
      </w:r>
      <w:r w:rsidRPr="00133050">
        <w:rPr>
          <w:noProof/>
          <w:color w:val="000000" w:themeColor="text1"/>
        </w:rPr>
        <w:t xml:space="preserve">, е обект на каквито и да е ограничителни мерки на Съюза съгласно член 215 от ДФЕС. </w:t>
      </w:r>
    </w:p>
    <w:p w14:paraId="0BD9A272" w14:textId="77777777" w:rsidR="00D77395" w:rsidRPr="00133050" w:rsidRDefault="00D77395" w:rsidP="007A73C8">
      <w:pPr>
        <w:pStyle w:val="ManualConsidrant"/>
        <w:rPr>
          <w:noProof/>
        </w:rPr>
      </w:pPr>
      <w:r>
        <w:rPr>
          <w:noProof/>
        </w:rPr>
        <w:t>(36)</w:t>
      </w:r>
      <w:r>
        <w:rPr>
          <w:noProof/>
        </w:rPr>
        <w:tab/>
      </w:r>
      <w:r w:rsidRPr="00133050">
        <w:rPr>
          <w:noProof/>
          <w:color w:val="000000" w:themeColor="text1"/>
        </w:rPr>
        <w:t>Когато държавата членка, в която се планира или вече е осъществена чуждестранната инвестиция, смята, че има вероятност дадена чуждестранна инвестиция да повлияе отрицателно на сигурността или обществения ред в Съюза, от тази държава членка е целесъобразно да се изиска да предприеме подходящи мерки за смекчаване на рисковете, когато такива мерки са на разположение и тя ги смята за адекватни, като обърне максимално внимание на коментарите от други държави членки и на становището на Комисията, ако е приложимо. Чуждестранните инвестиции следва да се забраняват само в изключителни случаи и когато смекчаващите мерки или мерките, които осигурява правото на Съюза или националното право, различни от механизма за скрининг, не са достатъчни за смекчаване на отражението върху сигурността или обществения ред.</w:t>
      </w:r>
    </w:p>
    <w:p w14:paraId="3739A118" w14:textId="77777777" w:rsidR="008D23FF" w:rsidRPr="00133050" w:rsidRDefault="0009444A" w:rsidP="3120FE7B">
      <w:pPr>
        <w:pStyle w:val="ManualConsidrant"/>
        <w:rPr>
          <w:noProof/>
        </w:rPr>
      </w:pPr>
      <w:r>
        <w:rPr>
          <w:noProof/>
        </w:rPr>
        <w:t>(37)</w:t>
      </w:r>
      <w:r>
        <w:rPr>
          <w:noProof/>
        </w:rPr>
        <w:tab/>
      </w:r>
      <w:r w:rsidRPr="00133050">
        <w:rPr>
          <w:noProof/>
        </w:rPr>
        <w:t xml:space="preserve">За да се подпомогне прилагането на механизма за сътрудничество и да се насърчи обменът на добри практики между държавите членки, следва да се запази групата от експерти за скрининг на чуждестранни инвестиции, създадена съгласно </w:t>
      </w:r>
      <w:r w:rsidRPr="00133050">
        <w:rPr>
          <w:noProof/>
          <w:color w:val="000000" w:themeColor="text1"/>
        </w:rPr>
        <w:t>Регламент (ЕС) 2019/452.</w:t>
      </w:r>
    </w:p>
    <w:p w14:paraId="38E5D99B" w14:textId="77777777" w:rsidR="00BF6F33" w:rsidRPr="00133050" w:rsidRDefault="00BF6F33" w:rsidP="00BF6F33">
      <w:pPr>
        <w:pStyle w:val="ManualConsidrant"/>
        <w:rPr>
          <w:noProof/>
        </w:rPr>
      </w:pPr>
      <w:r>
        <w:rPr>
          <w:noProof/>
        </w:rPr>
        <w:t>(38)</w:t>
      </w:r>
      <w:r>
        <w:rPr>
          <w:noProof/>
        </w:rPr>
        <w:tab/>
      </w:r>
      <w:r w:rsidRPr="00133050">
        <w:rPr>
          <w:noProof/>
          <w:color w:val="000000" w:themeColor="text1"/>
        </w:rPr>
        <w:t xml:space="preserve">Държавите членки следва да уведомяват Комисията за своите механизми за скрининг и за всяко тяхно изменение. Те следва ежегодно да докладват на обществеността как протича прилагането на техните механизми за скрининг, </w:t>
      </w:r>
      <w:r w:rsidRPr="00133050">
        <w:rPr>
          <w:noProof/>
        </w:rPr>
        <w:t>за съответните законодателни промени и за дейностите на скрининговия орган, включително обобщени данни за подложените на скрининг сделки, резултатите от процедурите за скрининг, националността на страните по чуждестранните инвестиции и стопанските сектори, в които са осъществени тези сделки</w:t>
      </w:r>
      <w:r w:rsidRPr="00133050">
        <w:rPr>
          <w:noProof/>
          <w:color w:val="000000" w:themeColor="text1"/>
        </w:rPr>
        <w:t xml:space="preserve">. </w:t>
      </w:r>
    </w:p>
    <w:p w14:paraId="64D9D883" w14:textId="77777777" w:rsidR="00BF6F33" w:rsidRPr="00133050" w:rsidRDefault="00BF6F33" w:rsidP="00B53C77">
      <w:pPr>
        <w:pStyle w:val="ManualConsidrant"/>
        <w:rPr>
          <w:noProof/>
        </w:rPr>
      </w:pPr>
      <w:r>
        <w:rPr>
          <w:noProof/>
        </w:rPr>
        <w:t>(39)</w:t>
      </w:r>
      <w:r>
        <w:rPr>
          <w:noProof/>
        </w:rPr>
        <w:tab/>
      </w:r>
      <w:r w:rsidRPr="00133050">
        <w:rPr>
          <w:noProof/>
          <w:color w:val="000000" w:themeColor="text1"/>
        </w:rPr>
        <w:t>За да се гарантира ефикасността на механизма за сътрудничество, звената за контакт, създадени от държавите членки и от Комисията, следва да бъдат подходящо разположени в съответните администрации. Звената за контакт следва да разполагат с квалифициран персонал и правомощия, необходими за изпълнение на работата им в рамките на механизма за сътрудничество, и да осигурят правилно боравене с поверителната информация.</w:t>
      </w:r>
      <w:r w:rsidRPr="00133050">
        <w:rPr>
          <w:noProof/>
        </w:rPr>
        <w:t xml:space="preserve"> </w:t>
      </w:r>
    </w:p>
    <w:p w14:paraId="14540531" w14:textId="77777777" w:rsidR="00BF6F33" w:rsidRPr="00133050" w:rsidRDefault="00BF6F33" w:rsidP="00BF6F33">
      <w:pPr>
        <w:pStyle w:val="ManualConsidrant"/>
        <w:rPr>
          <w:noProof/>
        </w:rPr>
      </w:pPr>
      <w:r>
        <w:rPr>
          <w:noProof/>
        </w:rPr>
        <w:t>(40)</w:t>
      </w:r>
      <w:r>
        <w:rPr>
          <w:noProof/>
        </w:rPr>
        <w:tab/>
      </w:r>
      <w:r w:rsidRPr="00133050">
        <w:rPr>
          <w:noProof/>
          <w:color w:val="000000" w:themeColor="text1"/>
        </w:rPr>
        <w:t xml:space="preserve">Държавите членки и Комисията следва да бъдат насърчавани да си сътрудничат с отговорните органи на трети държави със сходни виждания по въпросите, свързани със скрининга на чуждестранни инвестиции, които </w:t>
      </w:r>
      <w:r w:rsidRPr="00133050">
        <w:rPr>
          <w:noProof/>
        </w:rPr>
        <w:t>биха могли да засегнат сигурността или обществения ред. Такова</w:t>
      </w:r>
      <w:r w:rsidRPr="00133050">
        <w:rPr>
          <w:noProof/>
          <w:color w:val="000000" w:themeColor="text1"/>
        </w:rPr>
        <w:t xml:space="preserve"> административно сътрудничество следва да има за цел да повиши ефективността на рамката за скрининг на чуждестранните инвестиции от страна на държавите членки и на сътрудничеството между държавите членки и Комисията съгласно настоящия регламент. Комисията следва да бъде редовно информирана за такива двустранни контакти, доколкото те се отнасят до системни въпроси, свързани със скрининга на инвестициите. Следва да е възможно освен това Комисията да наблюдава развитието по отношение на механизмите за скрининг в трети държави.</w:t>
      </w:r>
    </w:p>
    <w:p w14:paraId="7657D5FB" w14:textId="77777777" w:rsidR="00BF6F33" w:rsidRPr="00133050" w:rsidRDefault="003710BE" w:rsidP="00BF6F33">
      <w:pPr>
        <w:pStyle w:val="ManualConsidrant"/>
        <w:rPr>
          <w:noProof/>
        </w:rPr>
      </w:pPr>
      <w:r>
        <w:rPr>
          <w:noProof/>
        </w:rPr>
        <w:t>(41)</w:t>
      </w:r>
      <w:r>
        <w:rPr>
          <w:noProof/>
        </w:rPr>
        <w:tab/>
      </w:r>
      <w:r w:rsidRPr="00133050">
        <w:rPr>
          <w:noProof/>
        </w:rPr>
        <w:t xml:space="preserve">Държавите членки и Комисията гарантират поверителността на информацията, която предоставят или получават при прилагането на настоящия регламент, в съответствие с националното право и правото на Съюза. Когато неразрешеното разкриване на информация би накърнило в една или друга степен интересите на Европейския съюз или на една или повече държави членки, първоизточникът на </w:t>
      </w:r>
      <w:r w:rsidRPr="00133050">
        <w:rPr>
          <w:noProof/>
        </w:rPr>
        <w:lastRenderedPageBreak/>
        <w:t>информацията следва да я класифицира в съответствие с националното право и правото на Съюза. Когато отговарят на разглеждани в изпълнение на настоящия регламент искания за достъп до документи, държавите членки и Комисията се координират и осигуряват поне такова ниво на защита, каквото имат интересите, защитени съгласно член 4 от Регламент (ЕО) № 1049/2001</w:t>
      </w:r>
      <w:r w:rsidRPr="00133050">
        <w:rPr>
          <w:rStyle w:val="FootnoteReference"/>
          <w:noProof/>
        </w:rPr>
        <w:footnoteReference w:id="31"/>
      </w:r>
      <w:r w:rsidRPr="00133050">
        <w:rPr>
          <w:noProof/>
        </w:rPr>
        <w:t xml:space="preserve">, за да се защитят целите на разследванията. </w:t>
      </w:r>
      <w:r w:rsidRPr="00133050">
        <w:rPr>
          <w:noProof/>
          <w:color w:val="000000" w:themeColor="text1"/>
        </w:rPr>
        <w:t>Комисията следва да предприеме всички необходими мерки, за да гарантира защитата на поверителната информация в съответствие по-специално с Решение (ЕС, Евратом) 2015/443 на Комисията</w:t>
      </w:r>
      <w:r w:rsidRPr="00133050">
        <w:rPr>
          <w:rStyle w:val="FootnoteReference"/>
          <w:noProof/>
        </w:rPr>
        <w:footnoteReference w:id="32"/>
      </w:r>
      <w:r w:rsidRPr="00133050">
        <w:rPr>
          <w:noProof/>
        </w:rPr>
        <w:t xml:space="preserve"> и </w:t>
      </w:r>
      <w:r w:rsidRPr="00133050">
        <w:rPr>
          <w:noProof/>
          <w:color w:val="000000" w:themeColor="text1"/>
        </w:rPr>
        <w:t>Решение (ЕС, Евратом) 2015/444 на Комисията</w:t>
      </w:r>
      <w:r w:rsidRPr="00133050">
        <w:rPr>
          <w:rStyle w:val="FootnoteReference"/>
          <w:noProof/>
        </w:rPr>
        <w:footnoteReference w:id="33"/>
      </w:r>
      <w:r w:rsidRPr="00133050">
        <w:rPr>
          <w:noProof/>
        </w:rPr>
        <w:t>. Аналогично, държавите членки и Комисията</w:t>
      </w:r>
      <w:r w:rsidRPr="00133050">
        <w:rPr>
          <w:noProof/>
          <w:color w:val="337AB7"/>
          <w:u w:val="single"/>
        </w:rPr>
        <w:t xml:space="preserve"> </w:t>
      </w:r>
      <w:r w:rsidRPr="00133050">
        <w:rPr>
          <w:noProof/>
          <w:color w:val="000000" w:themeColor="text1"/>
        </w:rPr>
        <w:t>следва да предприемат всички необходими мерки, за да гарантират спазването на Споразумението между държавите членки на Европейския съюз, заседаващи в рамките на Съвета, относно защитата на класифицирана информация, обменяна в интерес на Съюза</w:t>
      </w:r>
      <w:r w:rsidRPr="00133050">
        <w:rPr>
          <w:rStyle w:val="FootnoteReference"/>
          <w:noProof/>
          <w:color w:val="000000" w:themeColor="text1"/>
        </w:rPr>
        <w:footnoteReference w:id="34"/>
      </w:r>
      <w:r w:rsidRPr="00133050">
        <w:rPr>
          <w:noProof/>
          <w:color w:val="000000" w:themeColor="text1"/>
        </w:rPr>
        <w:t>. Това включва по-специално задължението да не се понижава нивото на класификация или да се декласифицира класифицираната информация без предварителното писмено съгласие на първоизточника на информацията. Всяка некласифицирана чувствителна информация или информация, която се предоставя при условия на поверителност, следва да се третира като такава от органите.</w:t>
      </w:r>
    </w:p>
    <w:p w14:paraId="22B8EC55" w14:textId="77777777" w:rsidR="00BF6F33" w:rsidRPr="00133050" w:rsidRDefault="00BF6F33" w:rsidP="00BF6F33">
      <w:pPr>
        <w:pStyle w:val="ManualConsidrant"/>
        <w:rPr>
          <w:noProof/>
        </w:rPr>
      </w:pPr>
      <w:r>
        <w:rPr>
          <w:noProof/>
        </w:rPr>
        <w:t>(42)</w:t>
      </w:r>
      <w:r>
        <w:rPr>
          <w:noProof/>
        </w:rPr>
        <w:tab/>
      </w:r>
      <w:r w:rsidRPr="00133050">
        <w:rPr>
          <w:noProof/>
          <w:color w:val="000000" w:themeColor="text1"/>
        </w:rPr>
        <w:t>Всяко обработване на лични данни съгласно настоящия регламент следва да се извършва при зачитане на приложимите правила за защита на личните данни. Обработването на лични данни от звената за контакт и други субекти в държавите членки следва да се извършва в съответствие с Регламент (ЕС) 2016/679 на Европейския парламент и на Съвета</w:t>
      </w:r>
      <w:r w:rsidRPr="00133050">
        <w:rPr>
          <w:rStyle w:val="FootnoteReference"/>
          <w:noProof/>
          <w:color w:val="000000" w:themeColor="text1"/>
        </w:rPr>
        <w:footnoteReference w:id="35"/>
      </w:r>
      <w:r w:rsidRPr="00133050">
        <w:rPr>
          <w:noProof/>
          <w:color w:val="000000" w:themeColor="text1"/>
        </w:rPr>
        <w:t>. Обработването на лични данни от Комисията следва да се извършва в съответствие с Регламент (ЕС) 2018/1725 на Европейския парламент и на Съвета</w:t>
      </w:r>
      <w:r w:rsidRPr="00133050">
        <w:rPr>
          <w:rStyle w:val="FootnoteReference"/>
          <w:noProof/>
          <w:color w:val="000000" w:themeColor="text1"/>
        </w:rPr>
        <w:footnoteReference w:id="36"/>
      </w:r>
      <w:r w:rsidRPr="00133050">
        <w:rPr>
          <w:noProof/>
          <w:color w:val="000000" w:themeColor="text1"/>
        </w:rPr>
        <w:t>.</w:t>
      </w:r>
    </w:p>
    <w:p w14:paraId="2B4F2CF5" w14:textId="77777777" w:rsidR="00513C5D" w:rsidRPr="00133050" w:rsidRDefault="00A81CE2" w:rsidP="00C01EE5">
      <w:pPr>
        <w:pStyle w:val="ManualConsidrant"/>
        <w:rPr>
          <w:noProof/>
        </w:rPr>
      </w:pPr>
      <w:r>
        <w:rPr>
          <w:noProof/>
        </w:rPr>
        <w:t>(43)</w:t>
      </w:r>
      <w:r>
        <w:rPr>
          <w:noProof/>
        </w:rPr>
        <w:tab/>
      </w:r>
      <w:r w:rsidRPr="00133050">
        <w:rPr>
          <w:noProof/>
          <w:color w:val="000000" w:themeColor="text1"/>
        </w:rPr>
        <w:t xml:space="preserve">Комисията следва да изготвя годишен доклад относно прилагането на настоящия регламент и да го представя на Европейския парламент и на Съвета. За по-голяма прозрачност докладът следва да бъде публично оповестяван. Докладът </w:t>
      </w:r>
      <w:r w:rsidRPr="00133050">
        <w:rPr>
          <w:noProof/>
          <w:color w:val="000000" w:themeColor="text1"/>
        </w:rPr>
        <w:lastRenderedPageBreak/>
        <w:t xml:space="preserve">следва да се основава, наред с другото, на доклади, представени от всички държави членки на Комисията при условия на поверителност </w:t>
      </w:r>
      <w:r w:rsidRPr="00133050">
        <w:rPr>
          <w:noProof/>
          <w:color w:val="333333"/>
          <w:shd w:val="clear" w:color="auto" w:fill="FFFFFF"/>
        </w:rPr>
        <w:t>като се зачита надлежно необходимостта от гарантиране на защитата на поверителността на определена информация, по-специално когато публикуването на данните би могло да засегне сигурността или обществения ред в Съюза или да застраши търговската тайна</w:t>
      </w:r>
      <w:r w:rsidRPr="00133050">
        <w:rPr>
          <w:noProof/>
          <w:color w:val="000000" w:themeColor="text1"/>
        </w:rPr>
        <w:t>.</w:t>
      </w:r>
    </w:p>
    <w:p w14:paraId="177C6FB3" w14:textId="77777777" w:rsidR="00BF6F33" w:rsidRPr="00133050" w:rsidRDefault="00F379FA" w:rsidP="00BF6F33">
      <w:pPr>
        <w:pStyle w:val="ManualConsidrant"/>
        <w:rPr>
          <w:noProof/>
        </w:rPr>
      </w:pPr>
      <w:r>
        <w:rPr>
          <w:noProof/>
        </w:rPr>
        <w:t>(44)</w:t>
      </w:r>
      <w:r>
        <w:rPr>
          <w:noProof/>
        </w:rPr>
        <w:tab/>
      </w:r>
      <w:r w:rsidRPr="00133050">
        <w:rPr>
          <w:noProof/>
          <w:color w:val="000000" w:themeColor="text1"/>
        </w:rPr>
        <w:t>Пет години след датата на прилагане на настоящия регламент и на всеки пет години след това Комисията следва да прави оценка на функционирането и ефективността на настоящия регламент и да представя доклад на Европейския парламент и на Съвета. Той следва да включва оценка на това дали настоящият регламент следва да бъде изменен, или не. Когато в доклада се препоръчва изменение на настоящия регламент, той може да е придружен от съответното законодателно предложение.</w:t>
      </w:r>
    </w:p>
    <w:p w14:paraId="1BD5DE73" w14:textId="77777777" w:rsidR="005748E3" w:rsidRPr="00133050" w:rsidRDefault="005748E3" w:rsidP="00BF6F33">
      <w:pPr>
        <w:pStyle w:val="ManualConsidrant"/>
        <w:rPr>
          <w:noProof/>
        </w:rPr>
      </w:pPr>
      <w:r>
        <w:rPr>
          <w:noProof/>
        </w:rPr>
        <w:t>(45)</w:t>
      </w:r>
      <w:r>
        <w:rPr>
          <w:noProof/>
        </w:rPr>
        <w:tab/>
      </w:r>
      <w:r w:rsidRPr="00133050">
        <w:rPr>
          <w:noProof/>
          <w:color w:val="000000" w:themeColor="text1"/>
        </w:rPr>
        <w:t xml:space="preserve">Прилагането на настоящия регламент от Съюза и държавите членки следва да е съобразено с </w:t>
      </w:r>
      <w:r w:rsidRPr="00133050">
        <w:rPr>
          <w:noProof/>
        </w:rPr>
        <w:t xml:space="preserve">приложимите изисквания за налагане на ограничителни мерки на основания, свързани със сигурността и обществения ред, описани в </w:t>
      </w:r>
      <w:r w:rsidRPr="00133050">
        <w:rPr>
          <w:noProof/>
          <w:color w:val="000000" w:themeColor="text1"/>
        </w:rPr>
        <w:t>споразуменията за СТО, включително по-специално член ХIV, буква а) и член ХIVа от Общото споразумение по търговията с услуги</w:t>
      </w:r>
      <w:r w:rsidRPr="00133050">
        <w:rPr>
          <w:rStyle w:val="FootnoteReference"/>
          <w:noProof/>
          <w:color w:val="000000" w:themeColor="text1"/>
        </w:rPr>
        <w:footnoteReference w:id="37"/>
      </w:r>
      <w:r w:rsidRPr="00133050">
        <w:rPr>
          <w:noProof/>
          <w:color w:val="000000" w:themeColor="text1"/>
        </w:rPr>
        <w:t xml:space="preserve"> (ГАТС). То следва освен това да е съобразено с Договорите на Съюза и да е в съответствие с ангажиментите, поети съгласно други търговски и инвестиционни споразумения, по които Съюзът или държавите членки са страни, и търговски и инвестиционни споразумения, в които Съюзът или държавите членки участват.</w:t>
      </w:r>
    </w:p>
    <w:p w14:paraId="76C3B2FF" w14:textId="77777777" w:rsidR="005748E3" w:rsidRPr="00133050" w:rsidRDefault="005748E3" w:rsidP="00BF6F33">
      <w:pPr>
        <w:pStyle w:val="ManualConsidrant"/>
        <w:rPr>
          <w:noProof/>
        </w:rPr>
      </w:pPr>
      <w:r>
        <w:rPr>
          <w:noProof/>
        </w:rPr>
        <w:t>(46)</w:t>
      </w:r>
      <w:r>
        <w:rPr>
          <w:noProof/>
        </w:rPr>
        <w:tab/>
      </w:r>
      <w:r w:rsidRPr="00133050">
        <w:rPr>
          <w:noProof/>
          <w:color w:val="000000" w:themeColor="text1"/>
        </w:rPr>
        <w:t>Когато пряка чуждестранна инвестиция представлява концентрация, попадаща в обхвата на Регламент (ЕО) № 139/2004 на Съвета</w:t>
      </w:r>
      <w:r w:rsidRPr="00133050">
        <w:rPr>
          <w:rStyle w:val="FootnoteReference"/>
          <w:noProof/>
          <w:color w:val="000000" w:themeColor="text1"/>
        </w:rPr>
        <w:footnoteReference w:id="38"/>
      </w:r>
      <w:r w:rsidRPr="00133050">
        <w:rPr>
          <w:noProof/>
          <w:color w:val="000000" w:themeColor="text1"/>
        </w:rPr>
        <w:t>, прилагането на настоящия регламент следва да не засяга прилагането на член 21, параграф 4 от Регламент (ЕО) № 139/2004. Настоящият регламент и член 21, параграф 4 от Регламент (ЕО) № 139/2004 следва да се прилагат последователно. Доколкото съответното приложно поле на тези два регламента се припокрива, основанията за скрининг, посочени в член 12 от настоящия регламент, и понятието за законен интерес по смисъла на член 21, параграф 4, трета алинея от Регламент (ЕО) № 139/2004 следва да се тълкуват по последователен начин, без да се засяга оценката на съвместимостта на националните мерки, насочени към защитата на тези интереси, с общите принципи и други разпоредби на правото на Съюза.</w:t>
      </w:r>
    </w:p>
    <w:p w14:paraId="4CB6DCF1" w14:textId="77777777" w:rsidR="005748E3" w:rsidRPr="00133050" w:rsidRDefault="005748E3" w:rsidP="00BF6F33">
      <w:pPr>
        <w:pStyle w:val="ManualConsidrant"/>
        <w:rPr>
          <w:noProof/>
        </w:rPr>
      </w:pPr>
      <w:r>
        <w:rPr>
          <w:noProof/>
        </w:rPr>
        <w:t>(47)</w:t>
      </w:r>
      <w:r>
        <w:rPr>
          <w:noProof/>
        </w:rPr>
        <w:tab/>
      </w:r>
      <w:r w:rsidRPr="00133050">
        <w:rPr>
          <w:noProof/>
          <w:color w:val="000000" w:themeColor="text1"/>
        </w:rPr>
        <w:t>Настоящият регламент не следва да засяга правилата на Съюза за пруденциална оценка на придобиванията на квалифицирано дялово участие във финансовия сектор, установени в Директива 2009/138/ЕО</w:t>
      </w:r>
      <w:r w:rsidRPr="00133050">
        <w:rPr>
          <w:rStyle w:val="FootnoteReference"/>
          <w:noProof/>
          <w:color w:val="000000" w:themeColor="text1"/>
        </w:rPr>
        <w:footnoteReference w:id="39"/>
      </w:r>
      <w:r w:rsidRPr="00133050">
        <w:rPr>
          <w:noProof/>
          <w:color w:val="000000" w:themeColor="text1"/>
        </w:rPr>
        <w:t>, Директива 2013/36/ЕС</w:t>
      </w:r>
      <w:r w:rsidRPr="00133050">
        <w:rPr>
          <w:rStyle w:val="FootnoteReference"/>
          <w:noProof/>
          <w:color w:val="000000" w:themeColor="text1"/>
        </w:rPr>
        <w:footnoteReference w:id="40"/>
      </w:r>
      <w:r w:rsidRPr="00133050">
        <w:rPr>
          <w:noProof/>
          <w:color w:val="000000" w:themeColor="text1"/>
        </w:rPr>
        <w:t xml:space="preserve"> и </w:t>
      </w:r>
      <w:r w:rsidRPr="00133050">
        <w:rPr>
          <w:noProof/>
          <w:color w:val="000000" w:themeColor="text1"/>
        </w:rPr>
        <w:lastRenderedPageBreak/>
        <w:t>Директива 2014/65/ЕС</w:t>
      </w:r>
      <w:r w:rsidRPr="00133050">
        <w:rPr>
          <w:rStyle w:val="FootnoteReference"/>
          <w:noProof/>
          <w:color w:val="000000" w:themeColor="text1"/>
        </w:rPr>
        <w:footnoteReference w:id="41"/>
      </w:r>
      <w:r w:rsidRPr="00133050">
        <w:rPr>
          <w:noProof/>
          <w:color w:val="000000" w:themeColor="text1"/>
        </w:rPr>
        <w:t xml:space="preserve"> на Европейския парламент и на Съвета, което е отделна процедура с конкретна цел. </w:t>
      </w:r>
    </w:p>
    <w:p w14:paraId="1E46F094" w14:textId="77777777" w:rsidR="005748E3" w:rsidRPr="00133050" w:rsidRDefault="005748E3" w:rsidP="007F5347">
      <w:pPr>
        <w:pStyle w:val="ManualConsidrant"/>
        <w:rPr>
          <w:noProof/>
        </w:rPr>
      </w:pPr>
      <w:r>
        <w:rPr>
          <w:noProof/>
        </w:rPr>
        <w:t>(48)</w:t>
      </w:r>
      <w:r>
        <w:rPr>
          <w:noProof/>
        </w:rPr>
        <w:tab/>
      </w:r>
      <w:r w:rsidRPr="00133050">
        <w:rPr>
          <w:noProof/>
          <w:color w:val="000000" w:themeColor="text1"/>
        </w:rPr>
        <w:t xml:space="preserve">Прилагането на настоящия регламент следва да бъде в съответствие с други процедури за уведомяване и издаване на разрешения, предвидени в правото на Съюза, и да не ги засяга. </w:t>
      </w:r>
      <w:r w:rsidRPr="00133050">
        <w:rPr>
          <w:noProof/>
        </w:rPr>
        <w:t xml:space="preserve">На Комисията следва да бъде разрешено да използва информацията, съобщена от държавите членки в рамките на механизма за сътрудничество, за да упражнява ролята си да следи за прилагането на правото на Съюза в съответствие с член 17 от ДЕС. </w:t>
      </w:r>
    </w:p>
    <w:p w14:paraId="22882E3E" w14:textId="77777777" w:rsidR="00577B64" w:rsidRPr="00133050" w:rsidRDefault="00577B64" w:rsidP="00DD2C5D">
      <w:pPr>
        <w:pStyle w:val="ManualConsidrant"/>
        <w:rPr>
          <w:noProof/>
        </w:rPr>
      </w:pPr>
      <w:r>
        <w:rPr>
          <w:noProof/>
        </w:rPr>
        <w:t>(49)</w:t>
      </w:r>
      <w:r>
        <w:rPr>
          <w:noProof/>
        </w:rPr>
        <w:tab/>
      </w:r>
      <w:r w:rsidRPr="00133050">
        <w:rPr>
          <w:noProof/>
          <w:color w:val="000000" w:themeColor="text1"/>
        </w:rPr>
        <w:t xml:space="preserve">За да се отчита развитието при проектите или програмите от интерес за Съюза, и да се актуализира списъкът на </w:t>
      </w:r>
      <w:r w:rsidRPr="00133050">
        <w:rPr>
          <w:noProof/>
        </w:rPr>
        <w:t>технологиите, активите, съоръженията, оборудването, мрежите, системите, услугите и стопанските дейности</w:t>
      </w:r>
      <w:r w:rsidRPr="00133050">
        <w:rPr>
          <w:noProof/>
          <w:color w:val="000000" w:themeColor="text1"/>
        </w:rPr>
        <w:t xml:space="preserve"> от особена важност за свързаните със сигурността или обществения ред интереси на Съюза, на Комисията следва да бъде делегирано правомощието да приема актове в съответствие с член 290 от ДФЕС по отношение на измененията на приложенията към настоящия регламент. Списъкът на проекти и програми от интерес за Съюза, представен в приложение I</w:t>
      </w:r>
      <w:r w:rsidRPr="00133050">
        <w:rPr>
          <w:noProof/>
        </w:rPr>
        <w:t>, следва да обхваща проекти или програми обхванати от законодателни актове на ЕС, в които се предвиждат разработването, поддръжката или придобиването на критична инфраструктура, критични технологии или критични ресурси, които са от съществено значение за сигурността или обществения ред.</w:t>
      </w:r>
      <w:r w:rsidRPr="00133050">
        <w:rPr>
          <w:noProof/>
          <w:color w:val="000000" w:themeColor="text1"/>
        </w:rPr>
        <w:t xml:space="preserve"> Списъкът на </w:t>
      </w:r>
      <w:r w:rsidRPr="00133050">
        <w:rPr>
          <w:noProof/>
        </w:rPr>
        <w:t xml:space="preserve">технологиите, активите, съоръженията, оборудването, мрежите, системите, услугите и стопанските дейности </w:t>
      </w:r>
      <w:r w:rsidRPr="00133050">
        <w:rPr>
          <w:noProof/>
          <w:color w:val="333333"/>
        </w:rPr>
        <w:t>от особена важност за свързаните със сигурността или обществения ред интереси на Съюза</w:t>
      </w:r>
      <w:r w:rsidRPr="00133050">
        <w:rPr>
          <w:noProof/>
          <w:color w:val="000000" w:themeColor="text1"/>
        </w:rPr>
        <w:t>, представен</w:t>
      </w:r>
      <w:r w:rsidRPr="00133050">
        <w:rPr>
          <w:i/>
          <w:noProof/>
          <w:color w:val="000000" w:themeColor="text1"/>
        </w:rPr>
        <w:t xml:space="preserve"> </w:t>
      </w:r>
      <w:r w:rsidRPr="00133050">
        <w:rPr>
          <w:noProof/>
          <w:color w:val="000000" w:themeColor="text1"/>
        </w:rPr>
        <w:t>в приложение II, следва да включва области, в които дадена чуждестранна инвестиция може да засегне сигурността или обществения ред в повече от една държава членка или в Съюза като цяло чрез целево предприятие в Съюза, което не участва в проект или програма от интерес за Съюза или не получава средства от тях.</w:t>
      </w:r>
      <w:r w:rsidRPr="00133050">
        <w:rPr>
          <w:i/>
          <w:noProof/>
          <w:color w:val="000000" w:themeColor="text1"/>
        </w:rPr>
        <w:t xml:space="preserve"> </w:t>
      </w:r>
      <w:r w:rsidRPr="00133050">
        <w:rPr>
          <w:noProof/>
          <w:color w:val="000000" w:themeColor="text1"/>
        </w:rPr>
        <w:t>От особена важност е по време на подготвителната си работа Комисията да проведе подходящи консултации, включително на експертно равнище, и тези консултации да бъдат проведени в съответствие с принципите, заложени в Междуинституционалното споразумение за по-добро законотворчество от 13 април 2016 г.</w:t>
      </w:r>
      <w:r w:rsidRPr="00133050">
        <w:rPr>
          <w:rStyle w:val="FootnoteReference"/>
          <w:noProof/>
          <w:color w:val="000000" w:themeColor="text1"/>
        </w:rPr>
        <w:footnoteReference w:id="42"/>
      </w:r>
      <w:r w:rsidRPr="00133050">
        <w:rPr>
          <w:noProof/>
          <w:color w:val="000000" w:themeColor="text1"/>
        </w:rPr>
        <w:t>. По-специално, с цел осигуряване на равно участие при подготовката на делегираните актове, Европейският парламент и Съветът получават всички документи едновременно с експертите на държавите членки, като техните експерти имат постоянен достъп до заседанията на експертните групи на Комисията, занимаващи се с подготовката на делегираните актове.</w:t>
      </w:r>
    </w:p>
    <w:p w14:paraId="5D62B725" w14:textId="77777777" w:rsidR="00E67E59" w:rsidRPr="00133050" w:rsidRDefault="00DD6F4E" w:rsidP="00731245">
      <w:pPr>
        <w:pStyle w:val="ManualConsidrant"/>
        <w:rPr>
          <w:noProof/>
        </w:rPr>
      </w:pPr>
      <w:r>
        <w:rPr>
          <w:noProof/>
        </w:rPr>
        <w:t>(50)</w:t>
      </w:r>
      <w:r>
        <w:rPr>
          <w:noProof/>
        </w:rPr>
        <w:tab/>
      </w:r>
      <w:r w:rsidRPr="00133050">
        <w:rPr>
          <w:noProof/>
          <w:color w:val="333333"/>
          <w:shd w:val="clear" w:color="auto" w:fill="FFFFFF"/>
        </w:rPr>
        <w:t xml:space="preserve">С цел да се осигурят еднакви условия за прилагането на настоящия регламент, по-специално по отношение на формуляра, който трябва да се използва за предоставяне на минимална информация за чуждестранните инвестиции, на Комисията следва да бъдат предоставени изпълнителни правомощия. Тези </w:t>
      </w:r>
      <w:r w:rsidRPr="00133050">
        <w:rPr>
          <w:noProof/>
          <w:color w:val="333333"/>
          <w:shd w:val="clear" w:color="auto" w:fill="FFFFFF"/>
        </w:rPr>
        <w:lastRenderedPageBreak/>
        <w:t>правомощия следва да бъдат упражнявани в съответствие с Регламент (ЕС) №182/2011 на Европейския парламент и на Съвета</w:t>
      </w:r>
      <w:r w:rsidRPr="00133050">
        <w:rPr>
          <w:rStyle w:val="FootnoteReference"/>
          <w:noProof/>
          <w:color w:val="333333"/>
        </w:rPr>
        <w:footnoteReference w:id="43"/>
      </w:r>
      <w:r w:rsidRPr="00133050">
        <w:rPr>
          <w:noProof/>
          <w:color w:val="333333"/>
          <w:shd w:val="clear" w:color="auto" w:fill="FFFFFF"/>
        </w:rPr>
        <w:t xml:space="preserve">. </w:t>
      </w:r>
    </w:p>
    <w:p w14:paraId="2F18F03E" w14:textId="77777777" w:rsidR="00DD6F4E" w:rsidRPr="00133050" w:rsidRDefault="00094824" w:rsidP="00731245">
      <w:pPr>
        <w:pStyle w:val="ManualConsidrant"/>
        <w:rPr>
          <w:noProof/>
        </w:rPr>
      </w:pPr>
      <w:r>
        <w:rPr>
          <w:noProof/>
        </w:rPr>
        <w:t>(51)</w:t>
      </w:r>
      <w:r>
        <w:rPr>
          <w:noProof/>
        </w:rPr>
        <w:tab/>
      </w:r>
      <w:r w:rsidRPr="00133050">
        <w:rPr>
          <w:noProof/>
          <w:color w:val="333333"/>
          <w:shd w:val="clear" w:color="auto" w:fill="FFFFFF"/>
        </w:rPr>
        <w:t xml:space="preserve">Регламент (ЕС) № 2019/452 следва да бъде отменен. За да се даде достатъчно време на държавите членки и субектите да се подготвят за прилагането му, настоящият регламент следва да се прилага, считано от [добавете датата: </w:t>
      </w:r>
      <w:r w:rsidRPr="00133050">
        <w:rPr>
          <w:noProof/>
        </w:rPr>
        <w:t>15 месеца след влизането в сила</w:t>
      </w:r>
      <w:r w:rsidRPr="00133050">
        <w:rPr>
          <w:noProof/>
          <w:color w:val="333333"/>
          <w:shd w:val="clear" w:color="auto" w:fill="FFFFFF"/>
        </w:rPr>
        <w:t>]. В преходния период между влизането в сила и прилагането на настоящия регламент следва да продължи да се прилага Регламент (ЕС) 2019/452,</w:t>
      </w:r>
    </w:p>
    <w:p w14:paraId="6AC54048" w14:textId="77777777" w:rsidR="00F67093" w:rsidRPr="00133050" w:rsidRDefault="00F67093" w:rsidP="00AF5450">
      <w:pPr>
        <w:pStyle w:val="Formuledadoption"/>
        <w:rPr>
          <w:rStyle w:val="footnotereference0"/>
          <w:noProof/>
        </w:rPr>
      </w:pPr>
      <w:r w:rsidRPr="00133050">
        <w:rPr>
          <w:rStyle w:val="footnotereference0"/>
          <w:noProof/>
        </w:rPr>
        <w:t>ПРИЕХА НАСТОЯЩИЯ РЕГЛАМЕНТ:</w:t>
      </w:r>
    </w:p>
    <w:p w14:paraId="2C3FE81E" w14:textId="77777777" w:rsidR="00881D61" w:rsidRPr="00133050" w:rsidRDefault="00676C73" w:rsidP="002B420E">
      <w:pPr>
        <w:pStyle w:val="ChapterTitle"/>
        <w:rPr>
          <w:noProof/>
        </w:rPr>
      </w:pPr>
      <w:r w:rsidRPr="00133050">
        <w:rPr>
          <w:noProof/>
        </w:rPr>
        <w:t xml:space="preserve">ГЛАВА 1 </w:t>
      </w:r>
      <w:r w:rsidRPr="00133050">
        <w:rPr>
          <w:noProof/>
        </w:rPr>
        <w:cr/>
      </w:r>
      <w:r w:rsidRPr="00133050">
        <w:rPr>
          <w:noProof/>
        </w:rPr>
        <w:br/>
        <w:t>ОБЩИ РАЗПОРЕДБИ</w:t>
      </w:r>
    </w:p>
    <w:p w14:paraId="2AB89859" w14:textId="77777777" w:rsidR="00F67093" w:rsidRPr="00133050" w:rsidRDefault="00A03209" w:rsidP="00774854">
      <w:pPr>
        <w:pStyle w:val="Titrearticle0"/>
        <w:rPr>
          <w:noProof/>
        </w:rPr>
      </w:pPr>
      <w:r w:rsidRPr="00133050">
        <w:rPr>
          <w:noProof/>
        </w:rPr>
        <w:t>Член 1</w:t>
      </w:r>
    </w:p>
    <w:p w14:paraId="06B952D2" w14:textId="77777777" w:rsidR="00E0321C" w:rsidRPr="00133050" w:rsidRDefault="00E0321C" w:rsidP="3CD612A6">
      <w:pPr>
        <w:shd w:val="clear" w:color="auto" w:fill="FFFFFF" w:themeFill="background1"/>
        <w:spacing w:after="0" w:line="312" w:lineRule="atLeast"/>
        <w:jc w:val="center"/>
        <w:rPr>
          <w:b/>
          <w:noProof/>
        </w:rPr>
      </w:pPr>
      <w:r w:rsidRPr="00133050">
        <w:rPr>
          <w:b/>
          <w:noProof/>
        </w:rPr>
        <w:t>Предмет и приложно поле</w:t>
      </w:r>
    </w:p>
    <w:p w14:paraId="0EAAF684" w14:textId="77777777" w:rsidR="00E0321C" w:rsidRPr="00133050" w:rsidRDefault="00E0321C" w:rsidP="002E476A">
      <w:pPr>
        <w:pStyle w:val="ManualNumPar1"/>
        <w:rPr>
          <w:noProof/>
        </w:rPr>
      </w:pPr>
      <w:r>
        <w:rPr>
          <w:noProof/>
        </w:rPr>
        <w:t>1.</w:t>
      </w:r>
      <w:r>
        <w:rPr>
          <w:noProof/>
        </w:rPr>
        <w:tab/>
      </w:r>
      <w:bookmarkStart w:id="6" w:name="_Ref144109246"/>
      <w:r w:rsidRPr="00133050">
        <w:rPr>
          <w:noProof/>
        </w:rPr>
        <w:t>С настоящия регламент се създава рамка на Съюза за скрининг от страна на държавите членки на чуждестранните инвестиции на тяхна територия на основания, свързани със сигурността или обществения ред.</w:t>
      </w:r>
      <w:bookmarkEnd w:id="6"/>
    </w:p>
    <w:p w14:paraId="4FBFF095" w14:textId="77777777" w:rsidR="00E0321C" w:rsidRPr="00133050" w:rsidRDefault="00E0321C" w:rsidP="002E476A">
      <w:pPr>
        <w:pStyle w:val="ManualNumPar1"/>
        <w:rPr>
          <w:noProof/>
        </w:rPr>
      </w:pPr>
      <w:r>
        <w:rPr>
          <w:noProof/>
        </w:rPr>
        <w:t>2.</w:t>
      </w:r>
      <w:r>
        <w:rPr>
          <w:noProof/>
        </w:rPr>
        <w:tab/>
      </w:r>
      <w:r w:rsidRPr="00133050">
        <w:rPr>
          <w:noProof/>
        </w:rPr>
        <w:t>С регламента се установява механизъм за сътрудничество, с който на държавите членки и на Комисията се предоставя възможност да обменят информация относно чуждестранните инвестиции, да оценяват възможното им въздействие върху сигурността или обществения ред и да набелязват потенциално тревожните елементи, които да бъдат разглеждани от държавата членка, която извършва скрининг на чуждестранната инвестиция.</w:t>
      </w:r>
    </w:p>
    <w:p w14:paraId="117D5AAD" w14:textId="77777777" w:rsidR="002524FF" w:rsidRPr="00133050" w:rsidRDefault="002524FF" w:rsidP="002E476A">
      <w:pPr>
        <w:pStyle w:val="ManualNumPar1"/>
        <w:rPr>
          <w:noProof/>
        </w:rPr>
      </w:pPr>
      <w:r>
        <w:rPr>
          <w:noProof/>
        </w:rPr>
        <w:t>3.</w:t>
      </w:r>
      <w:r>
        <w:rPr>
          <w:noProof/>
        </w:rPr>
        <w:tab/>
      </w:r>
      <w:r w:rsidRPr="00133050">
        <w:rPr>
          <w:noProof/>
        </w:rPr>
        <w:t xml:space="preserve">Държавите членки може да приемат или да запазят в сила национални разпоредби в областите, които не са координирани с настоящия регламент. </w:t>
      </w:r>
    </w:p>
    <w:p w14:paraId="110C4A76" w14:textId="77777777" w:rsidR="00E0321C" w:rsidRPr="00133050" w:rsidRDefault="00E0321C" w:rsidP="007E2B2B">
      <w:pPr>
        <w:pStyle w:val="ManualNumPar1"/>
        <w:rPr>
          <w:noProof/>
        </w:rPr>
      </w:pPr>
      <w:r>
        <w:rPr>
          <w:noProof/>
        </w:rPr>
        <w:t>4.</w:t>
      </w:r>
      <w:r>
        <w:rPr>
          <w:noProof/>
        </w:rPr>
        <w:tab/>
      </w:r>
      <w:r w:rsidRPr="00133050">
        <w:rPr>
          <w:noProof/>
        </w:rPr>
        <w:t>Настоящият регламент не засяга отговорността на всяка държава членки за опазване на националната ѝ сигурност, която се носи единствено от нея, както е предвидено в член 4, параграф 2 от ДЕС, нито правото на всяка държава членка да закриля основните интереси на своята сигурност в съответствие с член 346 от ДФЕС.</w:t>
      </w:r>
    </w:p>
    <w:p w14:paraId="1F913968" w14:textId="77777777" w:rsidR="00E07FBF" w:rsidRPr="00133050" w:rsidRDefault="00E07FBF" w:rsidP="007E2B2B">
      <w:pPr>
        <w:pStyle w:val="ManualNumPar1"/>
        <w:rPr>
          <w:noProof/>
        </w:rPr>
      </w:pPr>
      <w:r>
        <w:rPr>
          <w:noProof/>
        </w:rPr>
        <w:t>5.</w:t>
      </w:r>
      <w:r>
        <w:rPr>
          <w:noProof/>
        </w:rPr>
        <w:tab/>
      </w:r>
      <w:r w:rsidRPr="00133050">
        <w:rPr>
          <w:noProof/>
        </w:rPr>
        <w:t>Настоящият регламент не засяга задълженията на държавите членки, залегнали в Договорите, по-специално в членове 49 и 63 от ДФЕС. Държавите членки гарантират, че всяка мярка, предприета в рамките на настоящия регламент, е в съответствие с тези задължения. Настоящият регламент не засяга правомощията на Комисията съгласно член 258 от ДФЕС да гарантира спазването на правото на Съюза.</w:t>
      </w:r>
    </w:p>
    <w:p w14:paraId="21540886" w14:textId="77777777" w:rsidR="00E0321C" w:rsidRPr="00133050" w:rsidRDefault="00A03209" w:rsidP="007E2B2B">
      <w:pPr>
        <w:pStyle w:val="Titrearticle0"/>
        <w:rPr>
          <w:noProof/>
        </w:rPr>
      </w:pPr>
      <w:r w:rsidRPr="00133050">
        <w:rPr>
          <w:noProof/>
        </w:rPr>
        <w:lastRenderedPageBreak/>
        <w:t>Член 2</w:t>
      </w:r>
    </w:p>
    <w:p w14:paraId="2FD7C9EF" w14:textId="77777777" w:rsidR="00E0321C" w:rsidRPr="00133050" w:rsidRDefault="00E0321C" w:rsidP="007E2B2B">
      <w:pPr>
        <w:spacing w:after="0" w:line="312" w:lineRule="atLeast"/>
        <w:jc w:val="center"/>
        <w:rPr>
          <w:b/>
          <w:noProof/>
        </w:rPr>
      </w:pPr>
      <w:r w:rsidRPr="00133050">
        <w:rPr>
          <w:b/>
          <w:noProof/>
        </w:rPr>
        <w:t>Определения</w:t>
      </w:r>
    </w:p>
    <w:p w14:paraId="046A93B8" w14:textId="77777777" w:rsidR="00E0321C" w:rsidRPr="00133050" w:rsidRDefault="00E0321C" w:rsidP="007E2B2B">
      <w:pPr>
        <w:spacing w:after="0" w:line="312" w:lineRule="atLeast"/>
        <w:rPr>
          <w:i/>
          <w:noProof/>
        </w:rPr>
      </w:pPr>
      <w:bookmarkStart w:id="7" w:name="_Hlk150182338"/>
      <w:r w:rsidRPr="00133050">
        <w:rPr>
          <w:noProof/>
        </w:rPr>
        <w:t xml:space="preserve">За целите на настоящия регламент се прилагат следните определения: </w:t>
      </w:r>
    </w:p>
    <w:p w14:paraId="07B1AEAC" w14:textId="77777777" w:rsidR="009E37BF" w:rsidRPr="00133050" w:rsidRDefault="00BA07E4" w:rsidP="00BA07E4">
      <w:pPr>
        <w:pStyle w:val="Point0"/>
        <w:rPr>
          <w:noProof/>
        </w:rPr>
      </w:pPr>
      <w:r>
        <w:rPr>
          <w:noProof/>
        </w:rPr>
        <w:t>1)</w:t>
      </w:r>
      <w:r>
        <w:rPr>
          <w:noProof/>
        </w:rPr>
        <w:tab/>
      </w:r>
      <w:r w:rsidR="00E0321C" w:rsidRPr="00133050">
        <w:rPr>
          <w:noProof/>
        </w:rPr>
        <w:t xml:space="preserve">„чуждестранна инвестиция“ означава пряка чуждестранна инвестиция или инвестиция в рамките на Съюза с чуждестранен контрол, която дава възможност за действително участие в управлението или в контрола на целево предприятие в Съюза; </w:t>
      </w:r>
    </w:p>
    <w:p w14:paraId="4686B222" w14:textId="77777777" w:rsidR="009D11E0" w:rsidRPr="00133050" w:rsidRDefault="00BA07E4" w:rsidP="00BA07E4">
      <w:pPr>
        <w:pStyle w:val="Point0"/>
        <w:rPr>
          <w:noProof/>
        </w:rPr>
      </w:pPr>
      <w:r>
        <w:rPr>
          <w:noProof/>
        </w:rPr>
        <w:t>2)</w:t>
      </w:r>
      <w:r>
        <w:rPr>
          <w:noProof/>
        </w:rPr>
        <w:tab/>
      </w:r>
      <w:r w:rsidR="00FF15B4" w:rsidRPr="00133050">
        <w:rPr>
          <w:noProof/>
        </w:rPr>
        <w:t>„пряка чуждестранна инвестиция“ означава инвестиция от всякакъв вид от страна на чуждестранен инвеститор, имаща за цел установяването или поддържането на трайни и преки връзки между чуждестранния инвеститор и целево предприятие в Съюза, което съществува или  се предвижда да бъде установено и на което чуждестранният инвеститор предоставя капитал, за да извършва стопанска дейност в държава членка;</w:t>
      </w:r>
    </w:p>
    <w:p w14:paraId="386C9E4A" w14:textId="77777777" w:rsidR="009D11E0" w:rsidRPr="00133050" w:rsidRDefault="00BA07E4" w:rsidP="00BA07E4">
      <w:pPr>
        <w:pStyle w:val="Point0"/>
        <w:rPr>
          <w:noProof/>
        </w:rPr>
      </w:pPr>
      <w:r>
        <w:rPr>
          <w:noProof/>
        </w:rPr>
        <w:t>3)</w:t>
      </w:r>
      <w:r>
        <w:rPr>
          <w:noProof/>
        </w:rPr>
        <w:tab/>
      </w:r>
      <w:r w:rsidR="009D11E0" w:rsidRPr="00133050">
        <w:rPr>
          <w:noProof/>
        </w:rPr>
        <w:t>„</w:t>
      </w:r>
      <w:bookmarkStart w:id="8" w:name="_Hlk156157238"/>
      <w:r w:rsidR="009D11E0" w:rsidRPr="00133050">
        <w:rPr>
          <w:noProof/>
        </w:rPr>
        <w:t>инвестиция в рамките на Съюза с чуждестранен контрол</w:t>
      </w:r>
      <w:bookmarkEnd w:id="8"/>
      <w:r w:rsidR="009D11E0" w:rsidRPr="00133050">
        <w:rPr>
          <w:noProof/>
        </w:rPr>
        <w:t>“ означава инвестиция от всякакъв вид, осъществена от страна на чуждестранен инвеститор чрез дъщерно дружество на чуждестранния инвеститор в Съюза, която има за цел установяването или поддържането на трайни и преки връзки между чуждестранния инвеститор и целево предприятие в Съюза, което съществува или се предвижда да бъде установено и на което чуждестранният инвеститор предоставя капитал, за да извършва стопанска дейност в държава членка;</w:t>
      </w:r>
    </w:p>
    <w:bookmarkEnd w:id="7"/>
    <w:p w14:paraId="3A0151DA" w14:textId="77777777" w:rsidR="00876973" w:rsidRPr="00133050" w:rsidRDefault="00BA07E4" w:rsidP="00BA07E4">
      <w:pPr>
        <w:pStyle w:val="Point0"/>
        <w:rPr>
          <w:noProof/>
        </w:rPr>
      </w:pPr>
      <w:r>
        <w:rPr>
          <w:noProof/>
        </w:rPr>
        <w:t>4)</w:t>
      </w:r>
      <w:r>
        <w:rPr>
          <w:noProof/>
        </w:rPr>
        <w:tab/>
      </w:r>
      <w:r w:rsidR="00876973" w:rsidRPr="00133050">
        <w:rPr>
          <w:noProof/>
        </w:rPr>
        <w:t>„искане за разрешение“ означава подаването в рамките на механизма за скрининг, създаден в съответствие с член 3, на искане за разрешаване на чуждестранна инвестиция, подлежаща на изискване за издаване на разрешение;</w:t>
      </w:r>
    </w:p>
    <w:p w14:paraId="5FADF149" w14:textId="77777777" w:rsidR="00E0321C" w:rsidRPr="00133050" w:rsidRDefault="00BA07E4" w:rsidP="00BA07E4">
      <w:pPr>
        <w:pStyle w:val="Point0"/>
        <w:rPr>
          <w:noProof/>
        </w:rPr>
      </w:pPr>
      <w:r>
        <w:rPr>
          <w:noProof/>
        </w:rPr>
        <w:t>5)</w:t>
      </w:r>
      <w:r>
        <w:rPr>
          <w:noProof/>
        </w:rPr>
        <w:tab/>
      </w:r>
      <w:r w:rsidR="00E0321C" w:rsidRPr="00133050">
        <w:rPr>
          <w:noProof/>
        </w:rPr>
        <w:t>„инвестиция — предмет на уведомление“ означава чуждестранна инвестиция, която отговаря на поне едно от условията, посочени в член 5;</w:t>
      </w:r>
    </w:p>
    <w:p w14:paraId="2F0E563C" w14:textId="77777777" w:rsidR="00E0321C" w:rsidRPr="00133050" w:rsidRDefault="00BA07E4" w:rsidP="00BA07E4">
      <w:pPr>
        <w:pStyle w:val="Point0"/>
        <w:rPr>
          <w:noProof/>
        </w:rPr>
      </w:pPr>
      <w:r>
        <w:rPr>
          <w:noProof/>
        </w:rPr>
        <w:t>6)</w:t>
      </w:r>
      <w:r>
        <w:rPr>
          <w:noProof/>
        </w:rPr>
        <w:tab/>
      </w:r>
      <w:r w:rsidR="00E0321C" w:rsidRPr="00133050">
        <w:rPr>
          <w:noProof/>
        </w:rPr>
        <w:t>„чуждестранен инвеститор“ означава:</w:t>
      </w:r>
    </w:p>
    <w:p w14:paraId="540F1808" w14:textId="77777777" w:rsidR="00E0321C" w:rsidRPr="00133050" w:rsidRDefault="00BA07E4" w:rsidP="00BA07E4">
      <w:pPr>
        <w:pStyle w:val="Point1"/>
        <w:rPr>
          <w:noProof/>
        </w:rPr>
      </w:pPr>
      <w:r>
        <w:rPr>
          <w:noProof/>
        </w:rPr>
        <w:t>а)</w:t>
      </w:r>
      <w:r>
        <w:rPr>
          <w:noProof/>
        </w:rPr>
        <w:tab/>
      </w:r>
      <w:r w:rsidR="00E0321C" w:rsidRPr="00133050">
        <w:rPr>
          <w:noProof/>
        </w:rPr>
        <w:t xml:space="preserve">физическо лице от трета държава; или </w:t>
      </w:r>
    </w:p>
    <w:p w14:paraId="6219DBBF" w14:textId="77777777" w:rsidR="00E0321C" w:rsidRPr="00133050" w:rsidRDefault="00BA07E4" w:rsidP="00BA07E4">
      <w:pPr>
        <w:pStyle w:val="Point1"/>
        <w:rPr>
          <w:noProof/>
        </w:rPr>
      </w:pPr>
      <w:r>
        <w:rPr>
          <w:noProof/>
        </w:rPr>
        <w:t>б)</w:t>
      </w:r>
      <w:r>
        <w:rPr>
          <w:noProof/>
        </w:rPr>
        <w:tab/>
      </w:r>
      <w:r w:rsidR="00E0321C" w:rsidRPr="00133050">
        <w:rPr>
          <w:noProof/>
        </w:rPr>
        <w:t>предприятие или субект, установен(о) или организиран(о) по друг начин в съответствие със законодателството на трета държава;</w:t>
      </w:r>
    </w:p>
    <w:p w14:paraId="15101D5C" w14:textId="77777777" w:rsidR="00E02A00" w:rsidRPr="00133050" w:rsidRDefault="00BA07E4" w:rsidP="00BA07E4">
      <w:pPr>
        <w:pStyle w:val="Point0"/>
        <w:rPr>
          <w:noProof/>
        </w:rPr>
      </w:pPr>
      <w:r>
        <w:rPr>
          <w:noProof/>
        </w:rPr>
        <w:t>7)</w:t>
      </w:r>
      <w:r>
        <w:rPr>
          <w:noProof/>
        </w:rPr>
        <w:tab/>
      </w:r>
      <w:r w:rsidR="009D0171" w:rsidRPr="00133050">
        <w:rPr>
          <w:noProof/>
        </w:rPr>
        <w:t>„дъщерно дружество на чуждестранен инвеститор в Съюза“ означава извършващо стопанска дейност предприятие, установено в съответствие със законодателството на държава членка, което отговаря на изискванията на член 22, параграф 1 от Директива 2013/34/ЕС на Европейския парламент и на Съвета от 26 юни 2013 г.</w:t>
      </w:r>
      <w:r w:rsidR="009D0171" w:rsidRPr="00133050">
        <w:rPr>
          <w:rStyle w:val="FootnoteReference"/>
          <w:noProof/>
        </w:rPr>
        <w:footnoteReference w:id="44"/>
      </w:r>
      <w:r w:rsidR="009D0171" w:rsidRPr="00133050">
        <w:rPr>
          <w:noProof/>
        </w:rPr>
        <w:t xml:space="preserve"> и което е пряко или косвено контролирано от чуждестранен инвеститор;</w:t>
      </w:r>
    </w:p>
    <w:p w14:paraId="26430646" w14:textId="77777777" w:rsidR="003A4537" w:rsidRPr="00133050" w:rsidRDefault="00BA07E4" w:rsidP="00BA07E4">
      <w:pPr>
        <w:pStyle w:val="Point0"/>
        <w:rPr>
          <w:noProof/>
        </w:rPr>
      </w:pPr>
      <w:bookmarkStart w:id="9" w:name="_Hlk149228738"/>
      <w:r>
        <w:rPr>
          <w:noProof/>
        </w:rPr>
        <w:t>8)</w:t>
      </w:r>
      <w:r>
        <w:rPr>
          <w:noProof/>
        </w:rPr>
        <w:tab/>
      </w:r>
      <w:r w:rsidR="00E0321C" w:rsidRPr="00133050">
        <w:rPr>
          <w:noProof/>
        </w:rPr>
        <w:t>„целево предприятие в Съюза“ означава предприятие, установено в съответствие със законодателството на държава членка</w:t>
      </w:r>
      <w:bookmarkEnd w:id="9"/>
      <w:r w:rsidR="00E0321C" w:rsidRPr="00133050">
        <w:rPr>
          <w:noProof/>
        </w:rPr>
        <w:t>;</w:t>
      </w:r>
    </w:p>
    <w:p w14:paraId="74547994" w14:textId="77777777" w:rsidR="00E0321C" w:rsidRPr="00133050" w:rsidRDefault="00BA07E4" w:rsidP="00BA07E4">
      <w:pPr>
        <w:pStyle w:val="Point0"/>
        <w:rPr>
          <w:noProof/>
        </w:rPr>
      </w:pPr>
      <w:r>
        <w:rPr>
          <w:noProof/>
        </w:rPr>
        <w:lastRenderedPageBreak/>
        <w:t>9)</w:t>
      </w:r>
      <w:r>
        <w:rPr>
          <w:noProof/>
        </w:rPr>
        <w:tab/>
      </w:r>
      <w:r w:rsidR="003A4537" w:rsidRPr="00133050">
        <w:rPr>
          <w:noProof/>
        </w:rPr>
        <w:t>„целево предприятие в Съюза, извършващо стопанска дейност в една от областите, описани в приложение II“, означава целево предприятие в Съюза, което извършва или възнамерява да извършва дейност във връзка с технологии, активи, съоръжения, оборудване, мрежи, системи, услуги и стопански дейности от особена важност за свързаните със сигурността или обществения ред интереси на Съюза, изброени в приложение II, включително посредством собственост върху тях, тяхното използване, производство или доставки;</w:t>
      </w:r>
    </w:p>
    <w:p w14:paraId="67C90DE9" w14:textId="77777777" w:rsidR="009E109C" w:rsidRPr="00133050" w:rsidRDefault="00BA07E4" w:rsidP="00BA07E4">
      <w:pPr>
        <w:pStyle w:val="Point0"/>
        <w:rPr>
          <w:noProof/>
        </w:rPr>
      </w:pPr>
      <w:r>
        <w:rPr>
          <w:noProof/>
        </w:rPr>
        <w:t>10)</w:t>
      </w:r>
      <w:r>
        <w:rPr>
          <w:noProof/>
        </w:rPr>
        <w:tab/>
      </w:r>
      <w:r w:rsidR="00FF15B4" w:rsidRPr="00133050">
        <w:rPr>
          <w:noProof/>
        </w:rPr>
        <w:t>„заявител, подаващ искане за разрешение“, означава страната или страните по сделка с чуждестранна инвестиция, която или които подава(т) искане за разрешение до съответния скринингов орган;</w:t>
      </w:r>
    </w:p>
    <w:p w14:paraId="27279A42" w14:textId="77777777" w:rsidR="009E109C" w:rsidRPr="00133050" w:rsidRDefault="00BA07E4" w:rsidP="00BA07E4">
      <w:pPr>
        <w:pStyle w:val="Point0"/>
        <w:rPr>
          <w:noProof/>
        </w:rPr>
      </w:pPr>
      <w:r>
        <w:rPr>
          <w:noProof/>
        </w:rPr>
        <w:t>11)</w:t>
      </w:r>
      <w:r>
        <w:rPr>
          <w:noProof/>
        </w:rPr>
        <w:tab/>
      </w:r>
      <w:r w:rsidR="009E109C" w:rsidRPr="00133050">
        <w:rPr>
          <w:noProof/>
        </w:rPr>
        <w:t>„трета държава“ означава юрисдикция, която не е членка на Съюза;</w:t>
      </w:r>
    </w:p>
    <w:p w14:paraId="35559E0F" w14:textId="77777777" w:rsidR="00E0321C" w:rsidRPr="00133050" w:rsidRDefault="00BA07E4" w:rsidP="00BA07E4">
      <w:pPr>
        <w:pStyle w:val="Point0"/>
        <w:rPr>
          <w:noProof/>
        </w:rPr>
      </w:pPr>
      <w:r>
        <w:rPr>
          <w:noProof/>
        </w:rPr>
        <w:t>12)</w:t>
      </w:r>
      <w:r>
        <w:rPr>
          <w:noProof/>
        </w:rPr>
        <w:tab/>
      </w:r>
      <w:r w:rsidR="00E0321C" w:rsidRPr="00133050">
        <w:rPr>
          <w:noProof/>
        </w:rPr>
        <w:t>„скрининг“ означава процедура, която позволява на държава членка да прави оценка, да разследва, да разрешава, да разрешава под условие, че са приложени смекчаващи мерки, да забранява или да преустановява чуждестранни инвестиции на основания, свързани със сигурността или обществения ред;</w:t>
      </w:r>
    </w:p>
    <w:p w14:paraId="309D7540" w14:textId="77777777" w:rsidR="00E0321C" w:rsidRPr="00133050" w:rsidRDefault="00BA07E4" w:rsidP="00BA07E4">
      <w:pPr>
        <w:pStyle w:val="Point0"/>
        <w:rPr>
          <w:noProof/>
        </w:rPr>
      </w:pPr>
      <w:r>
        <w:rPr>
          <w:noProof/>
        </w:rPr>
        <w:t>13)</w:t>
      </w:r>
      <w:r>
        <w:rPr>
          <w:noProof/>
        </w:rPr>
        <w:tab/>
      </w:r>
      <w:r w:rsidR="00E0321C" w:rsidRPr="00133050">
        <w:rPr>
          <w:noProof/>
        </w:rPr>
        <w:t>„механизъм за скрининг“ означава инструмент с общо приложение, например закон или друг нормативен акт и придружаващите го административни изисквания, правила за приложение или насоки, в които се определят условията, редът и процедурите за скрининга на чуждестранни инвестиции на основания, свързани със сигурността или обществения ред;</w:t>
      </w:r>
    </w:p>
    <w:p w14:paraId="23A7DCE3" w14:textId="77777777" w:rsidR="00E0321C" w:rsidRPr="00133050" w:rsidRDefault="00BA07E4" w:rsidP="00BA07E4">
      <w:pPr>
        <w:pStyle w:val="Point0"/>
        <w:rPr>
          <w:noProof/>
        </w:rPr>
      </w:pPr>
      <w:r>
        <w:rPr>
          <w:noProof/>
        </w:rPr>
        <w:t>14)</w:t>
      </w:r>
      <w:r>
        <w:rPr>
          <w:noProof/>
        </w:rPr>
        <w:tab/>
      </w:r>
      <w:r w:rsidR="00E0321C" w:rsidRPr="00133050">
        <w:rPr>
          <w:noProof/>
        </w:rPr>
        <w:t xml:space="preserve">„скринингово решение“ означава мярка, приета от скринингов орган в хода на прилагането на механизъм за скрининг, в резултат на която се разрешава, разрешава се под условие, че са приложени смекчаващи мерки, забранява се или се преустановява чуждестранна инвестиция; </w:t>
      </w:r>
    </w:p>
    <w:p w14:paraId="79D1B2A0" w14:textId="77777777" w:rsidR="000F44F6" w:rsidRPr="00133050" w:rsidRDefault="00BA07E4" w:rsidP="00BA07E4">
      <w:pPr>
        <w:pStyle w:val="Point0"/>
        <w:rPr>
          <w:noProof/>
        </w:rPr>
      </w:pPr>
      <w:r>
        <w:rPr>
          <w:noProof/>
        </w:rPr>
        <w:t>15)</w:t>
      </w:r>
      <w:r>
        <w:rPr>
          <w:noProof/>
        </w:rPr>
        <w:tab/>
      </w:r>
      <w:r w:rsidR="000F44F6" w:rsidRPr="00133050">
        <w:rPr>
          <w:noProof/>
        </w:rPr>
        <w:t>„скринингов орган“ или „скринингови органи“ означава органът или органите, определени от държава членка да извършват скрининг на чуждестранните инвестиции;</w:t>
      </w:r>
    </w:p>
    <w:p w14:paraId="7CBE8CDF" w14:textId="77777777" w:rsidR="00E0321C" w:rsidRPr="00133050" w:rsidRDefault="00BA07E4" w:rsidP="00BA07E4">
      <w:pPr>
        <w:pStyle w:val="Point0"/>
        <w:rPr>
          <w:noProof/>
        </w:rPr>
      </w:pPr>
      <w:r>
        <w:rPr>
          <w:noProof/>
        </w:rPr>
        <w:t>16)</w:t>
      </w:r>
      <w:r>
        <w:rPr>
          <w:noProof/>
        </w:rPr>
        <w:tab/>
      </w:r>
      <w:r w:rsidR="00E0321C" w:rsidRPr="00133050">
        <w:rPr>
          <w:noProof/>
        </w:rPr>
        <w:t>„осъществяване“ означава моментът, в който е изпълнено последното предварително условие във връзка с инвестиционно решение на страните по сделка с чуждестранна инвестиция;</w:t>
      </w:r>
    </w:p>
    <w:p w14:paraId="352F44D1" w14:textId="77777777" w:rsidR="00C63021" w:rsidRPr="00133050" w:rsidRDefault="00BA07E4" w:rsidP="00BA07E4">
      <w:pPr>
        <w:pStyle w:val="Point0"/>
        <w:rPr>
          <w:noProof/>
        </w:rPr>
      </w:pPr>
      <w:r>
        <w:rPr>
          <w:noProof/>
        </w:rPr>
        <w:t>17)</w:t>
      </w:r>
      <w:r>
        <w:rPr>
          <w:noProof/>
        </w:rPr>
        <w:tab/>
      </w:r>
      <w:r w:rsidR="00C63021" w:rsidRPr="00133050">
        <w:rPr>
          <w:noProof/>
        </w:rPr>
        <w:t>„механизъм за сътрудничество“ означава сътрудничеството между държавите членки и Комисията по чуждестранни инвестиции съгласно настоящия регламент;</w:t>
      </w:r>
    </w:p>
    <w:p w14:paraId="716FDEDD" w14:textId="77777777" w:rsidR="00E0321C" w:rsidRPr="00133050" w:rsidRDefault="00BA07E4" w:rsidP="00BA07E4">
      <w:pPr>
        <w:pStyle w:val="Point0"/>
        <w:rPr>
          <w:noProof/>
        </w:rPr>
      </w:pPr>
      <w:r>
        <w:rPr>
          <w:noProof/>
        </w:rPr>
        <w:t>18)</w:t>
      </w:r>
      <w:r>
        <w:rPr>
          <w:noProof/>
        </w:rPr>
        <w:tab/>
      </w:r>
      <w:r w:rsidR="00E0321C" w:rsidRPr="00133050">
        <w:rPr>
          <w:noProof/>
        </w:rPr>
        <w:t xml:space="preserve">„проекти или програми от интерес за Съюза“ означава проекти или програми в обхвата на правото на Съюза, които са изброени в приложение I и в които се предвижда разработването, поддръжката или придобиването на критична инфраструктура, критични технологии или критични ресурси от съществено значение за сигурността или обществения ред; </w:t>
      </w:r>
    </w:p>
    <w:p w14:paraId="6BC5B56D" w14:textId="77777777" w:rsidR="00E0321C" w:rsidRPr="00133050" w:rsidRDefault="00BA07E4" w:rsidP="00BA07E4">
      <w:pPr>
        <w:pStyle w:val="Point0"/>
        <w:rPr>
          <w:noProof/>
        </w:rPr>
      </w:pPr>
      <w:r>
        <w:rPr>
          <w:noProof/>
        </w:rPr>
        <w:t>19)</w:t>
      </w:r>
      <w:r>
        <w:rPr>
          <w:noProof/>
        </w:rPr>
        <w:tab/>
      </w:r>
      <w:r w:rsidR="00E0321C" w:rsidRPr="00133050">
        <w:rPr>
          <w:noProof/>
        </w:rPr>
        <w:t>„уведомяваща държава членка“ означава държава членка, която е подала уведомление за инвестиция — предмет на уведомление, до механизма за сътрудничество съгласно член 5;</w:t>
      </w:r>
    </w:p>
    <w:p w14:paraId="1ACDFB3B" w14:textId="77777777" w:rsidR="00E0321C" w:rsidRPr="00133050" w:rsidRDefault="00BA07E4" w:rsidP="00BA07E4">
      <w:pPr>
        <w:pStyle w:val="Point0"/>
        <w:rPr>
          <w:noProof/>
        </w:rPr>
      </w:pPr>
      <w:r>
        <w:rPr>
          <w:noProof/>
        </w:rPr>
        <w:t>20)</w:t>
      </w:r>
      <w:r>
        <w:rPr>
          <w:noProof/>
        </w:rPr>
        <w:tab/>
      </w:r>
      <w:r w:rsidR="00E0321C" w:rsidRPr="00133050">
        <w:rPr>
          <w:noProof/>
        </w:rPr>
        <w:t>„многонационална сделка“ означава чуждестранна инвестиция, която е предмет на механизми за скрининг в няколко държави членки;</w:t>
      </w:r>
    </w:p>
    <w:p w14:paraId="6B2BB7CF" w14:textId="77777777" w:rsidR="00440DA8" w:rsidRPr="00133050" w:rsidRDefault="00BA07E4" w:rsidP="00BA07E4">
      <w:pPr>
        <w:pStyle w:val="Point0"/>
        <w:rPr>
          <w:noProof/>
        </w:rPr>
      </w:pPr>
      <w:r>
        <w:rPr>
          <w:noProof/>
        </w:rPr>
        <w:lastRenderedPageBreak/>
        <w:t>21)</w:t>
      </w:r>
      <w:r>
        <w:rPr>
          <w:noProof/>
        </w:rPr>
        <w:tab/>
      </w:r>
      <w:r w:rsidR="00E0321C" w:rsidRPr="00133050">
        <w:rPr>
          <w:noProof/>
        </w:rPr>
        <w:t>„многонационално уведомление“ означава, че по инвестиция — предмет на уведомление, няколко държави членки са задължени да подадат уведомление до механизма за сътрудничество;</w:t>
      </w:r>
    </w:p>
    <w:p w14:paraId="073774F1" w14:textId="77777777" w:rsidR="00B46E42" w:rsidRPr="00133050" w:rsidRDefault="00BA07E4" w:rsidP="00BA07E4">
      <w:pPr>
        <w:pStyle w:val="Point0"/>
        <w:rPr>
          <w:noProof/>
        </w:rPr>
      </w:pPr>
      <w:r>
        <w:rPr>
          <w:noProof/>
        </w:rPr>
        <w:t>22)</w:t>
      </w:r>
      <w:r>
        <w:rPr>
          <w:noProof/>
        </w:rPr>
        <w:tab/>
      </w:r>
      <w:r w:rsidR="00B46E42" w:rsidRPr="00133050">
        <w:rPr>
          <w:noProof/>
        </w:rPr>
        <w:t xml:space="preserve">„смекчаваща мярка“ означава всяко условие за противодействие на вероятното отрицателно отражение върху сигурността или обществения ред, произтичащо от чуждестранната инвестиция. </w:t>
      </w:r>
    </w:p>
    <w:p w14:paraId="758DF506" w14:textId="77777777" w:rsidR="002E3CAC" w:rsidRPr="00133050" w:rsidRDefault="00BA07E4" w:rsidP="00BA07E4">
      <w:pPr>
        <w:pStyle w:val="Point0"/>
        <w:rPr>
          <w:noProof/>
        </w:rPr>
      </w:pPr>
      <w:r>
        <w:rPr>
          <w:noProof/>
        </w:rPr>
        <w:t>23)</w:t>
      </w:r>
      <w:r>
        <w:rPr>
          <w:noProof/>
        </w:rPr>
        <w:tab/>
      </w:r>
      <w:r w:rsidR="00440DA8" w:rsidRPr="00133050">
        <w:rPr>
          <w:noProof/>
        </w:rPr>
        <w:t>„звено за контакт“ означава лицето или субектът, определен(о) от държава членка да подава уведомления до механизма за сътрудничество относно инвестициите — предмет на уведомление, както и да получава и изпраща до механизма за сътрудничество всяка информация, свързана с чуждестранните инвестиции, попадащи в приложното поле на настоящия регламент,  от името на скрининговия орган.</w:t>
      </w:r>
    </w:p>
    <w:p w14:paraId="61FDDF37" w14:textId="77777777" w:rsidR="00E0321C" w:rsidRPr="00133050" w:rsidRDefault="0053300B" w:rsidP="007E2B2B">
      <w:pPr>
        <w:pStyle w:val="ChapterTitle"/>
        <w:rPr>
          <w:noProof/>
        </w:rPr>
      </w:pPr>
      <w:r w:rsidRPr="00133050">
        <w:rPr>
          <w:noProof/>
        </w:rPr>
        <w:t xml:space="preserve">ГЛАВА 2 </w:t>
      </w:r>
      <w:r w:rsidRPr="00133050">
        <w:rPr>
          <w:noProof/>
        </w:rPr>
        <w:cr/>
      </w:r>
      <w:r w:rsidRPr="00133050">
        <w:rPr>
          <w:noProof/>
        </w:rPr>
        <w:br/>
        <w:t>НАЦИОНАЛНИ МЕХАНИЗМИ ЗА СКРИНИНГ</w:t>
      </w:r>
    </w:p>
    <w:p w14:paraId="63691A85" w14:textId="77777777" w:rsidR="00E0321C" w:rsidRPr="00133050" w:rsidRDefault="00A03209" w:rsidP="007E2B2B">
      <w:pPr>
        <w:pStyle w:val="Titrearticle0"/>
        <w:rPr>
          <w:b/>
          <w:noProof/>
        </w:rPr>
      </w:pPr>
      <w:r w:rsidRPr="00133050">
        <w:rPr>
          <w:noProof/>
        </w:rPr>
        <w:t>Член 3</w:t>
      </w:r>
    </w:p>
    <w:p w14:paraId="522B3C7A" w14:textId="77777777" w:rsidR="00E0321C" w:rsidRPr="00133050" w:rsidRDefault="00E0321C" w:rsidP="007E2B2B">
      <w:pPr>
        <w:tabs>
          <w:tab w:val="left" w:pos="5000"/>
        </w:tabs>
        <w:spacing w:after="0"/>
        <w:jc w:val="center"/>
        <w:rPr>
          <w:b/>
          <w:noProof/>
        </w:rPr>
      </w:pPr>
      <w:r w:rsidRPr="00133050">
        <w:rPr>
          <w:b/>
          <w:noProof/>
        </w:rPr>
        <w:t>Установяване на механизми за скрининг</w:t>
      </w:r>
    </w:p>
    <w:p w14:paraId="5FBBFE31" w14:textId="77777777" w:rsidR="00E0321C" w:rsidRPr="00133050" w:rsidRDefault="00E0321C" w:rsidP="007E2B2B">
      <w:pPr>
        <w:pStyle w:val="ManualNumPar1"/>
        <w:rPr>
          <w:noProof/>
        </w:rPr>
      </w:pPr>
      <w:r>
        <w:rPr>
          <w:noProof/>
        </w:rPr>
        <w:t>1.</w:t>
      </w:r>
      <w:r>
        <w:rPr>
          <w:noProof/>
        </w:rPr>
        <w:tab/>
      </w:r>
      <w:r w:rsidRPr="00133050">
        <w:rPr>
          <w:noProof/>
        </w:rPr>
        <w:t>Държавите членки установяват механизъм за скрининг в съответствие с настоящия регламент.</w:t>
      </w:r>
    </w:p>
    <w:p w14:paraId="4A1390E4" w14:textId="77777777" w:rsidR="00F7189C" w:rsidRPr="00133050" w:rsidRDefault="00F7189C" w:rsidP="007E2B2B">
      <w:pPr>
        <w:pStyle w:val="ManualNumPar1"/>
        <w:rPr>
          <w:noProof/>
        </w:rPr>
      </w:pPr>
      <w:r>
        <w:rPr>
          <w:noProof/>
        </w:rPr>
        <w:t>2.</w:t>
      </w:r>
      <w:r>
        <w:rPr>
          <w:noProof/>
        </w:rPr>
        <w:tab/>
      </w:r>
      <w:bookmarkStart w:id="10" w:name="_Ref144118911"/>
      <w:r w:rsidRPr="00133050">
        <w:rPr>
          <w:noProof/>
        </w:rPr>
        <w:t xml:space="preserve">Държавите членки гарантират, че механизмът за скрининг, посочен в параграф 1, се прилага най-малко по отношение на инвестициите, подлежащи на изискването за издаване на разрешение съгласно член 4, параграф 4. </w:t>
      </w:r>
    </w:p>
    <w:p w14:paraId="6BAA54AA" w14:textId="77777777" w:rsidR="009D66C1" w:rsidRPr="00133050" w:rsidRDefault="009D66C1" w:rsidP="007E2B2B">
      <w:pPr>
        <w:pStyle w:val="ManualNumPar1"/>
        <w:rPr>
          <w:noProof/>
        </w:rPr>
      </w:pPr>
      <w:r>
        <w:rPr>
          <w:noProof/>
        </w:rPr>
        <w:t>3.</w:t>
      </w:r>
      <w:r>
        <w:rPr>
          <w:noProof/>
        </w:rPr>
        <w:tab/>
      </w:r>
      <w:r w:rsidRPr="00133050">
        <w:rPr>
          <w:noProof/>
        </w:rPr>
        <w:t>Всяка държава членка уведомява Комисията относно мерките, приети в съответствие с параграф 1, не по-късно от [дата: 15 месеца след влизането в сила]. След това държавите членки уведомяват Комисията за всяко изменение на своя механизъм за скрининг в рамките на 30 дни от приемането на изменението.</w:t>
      </w:r>
      <w:bookmarkEnd w:id="10"/>
    </w:p>
    <w:p w14:paraId="007EF5CC" w14:textId="77777777" w:rsidR="009D66C1" w:rsidRPr="00133050" w:rsidRDefault="009D66C1" w:rsidP="007E2B2B">
      <w:pPr>
        <w:pStyle w:val="ManualNumPar1"/>
        <w:rPr>
          <w:noProof/>
        </w:rPr>
      </w:pPr>
      <w:r>
        <w:rPr>
          <w:noProof/>
        </w:rPr>
        <w:t>4.</w:t>
      </w:r>
      <w:r>
        <w:rPr>
          <w:noProof/>
        </w:rPr>
        <w:tab/>
      </w:r>
      <w:r w:rsidRPr="00133050">
        <w:rPr>
          <w:noProof/>
        </w:rPr>
        <w:t>Комисията предоставя на разположение на обществеността списък на механизмите за скрининг на държавите членки не по-късно от три месеца след получаването на всички уведомления, посочени в параграф 3, или до [дата: 21 месеца след влизането в сила], в зависимост от това кое от двете събития настъпи по-рано. Комисията редовно актуализира този списък.</w:t>
      </w:r>
    </w:p>
    <w:p w14:paraId="21A8464A" w14:textId="77777777" w:rsidR="00AB33DA" w:rsidRPr="00133050" w:rsidRDefault="00A03209" w:rsidP="007E2B2B">
      <w:pPr>
        <w:pStyle w:val="Titrearticle0"/>
        <w:rPr>
          <w:noProof/>
        </w:rPr>
      </w:pPr>
      <w:r w:rsidRPr="00133050">
        <w:rPr>
          <w:noProof/>
        </w:rPr>
        <w:t>Член 4</w:t>
      </w:r>
    </w:p>
    <w:p w14:paraId="4F9D3AAF" w14:textId="77777777" w:rsidR="00E0321C" w:rsidRPr="00133050" w:rsidRDefault="00633C63" w:rsidP="007E2B2B">
      <w:pPr>
        <w:tabs>
          <w:tab w:val="left" w:pos="5000"/>
        </w:tabs>
        <w:spacing w:after="0"/>
        <w:jc w:val="center"/>
        <w:rPr>
          <w:b/>
          <w:noProof/>
        </w:rPr>
      </w:pPr>
      <w:r w:rsidRPr="00133050">
        <w:rPr>
          <w:b/>
          <w:noProof/>
        </w:rPr>
        <w:t xml:space="preserve">Минимални изисквания </w:t>
      </w:r>
    </w:p>
    <w:p w14:paraId="5DE11A96" w14:textId="77777777" w:rsidR="00EB0471" w:rsidRPr="00133050" w:rsidRDefault="00761E12" w:rsidP="007E2B2B">
      <w:pPr>
        <w:pStyle w:val="ManualNumPar1"/>
        <w:rPr>
          <w:noProof/>
        </w:rPr>
      </w:pPr>
      <w:r>
        <w:rPr>
          <w:noProof/>
        </w:rPr>
        <w:t>1.</w:t>
      </w:r>
      <w:r>
        <w:rPr>
          <w:noProof/>
        </w:rPr>
        <w:tab/>
      </w:r>
      <w:r w:rsidRPr="00133050">
        <w:rPr>
          <w:noProof/>
        </w:rPr>
        <w:t xml:space="preserve">Правилата и процедурите, свързани с механизмите за скрининг, както и мерките, предприети в изпълнение на тези правила и процедури, са в съответствие с правото на Съюза, те са прозрачни и не допускат дискриминация между трети държави или между държавите членки, в които </w:t>
      </w:r>
      <w:r w:rsidRPr="00133050">
        <w:rPr>
          <w:noProof/>
          <w:color w:val="000000" w:themeColor="text1"/>
        </w:rPr>
        <w:t>е установено дъщерното дружество на чуждестранен инвеститор в Съюза</w:t>
      </w:r>
      <w:r w:rsidRPr="00133050">
        <w:rPr>
          <w:noProof/>
        </w:rPr>
        <w:t>.</w:t>
      </w:r>
    </w:p>
    <w:p w14:paraId="1FC5C7E8" w14:textId="77777777" w:rsidR="00E0321C" w:rsidRPr="00133050" w:rsidRDefault="00696066" w:rsidP="007E2B2B">
      <w:pPr>
        <w:pStyle w:val="ManualNumPar1"/>
        <w:rPr>
          <w:noProof/>
        </w:rPr>
      </w:pPr>
      <w:r>
        <w:rPr>
          <w:noProof/>
        </w:rPr>
        <w:t>2.</w:t>
      </w:r>
      <w:r>
        <w:rPr>
          <w:noProof/>
        </w:rPr>
        <w:tab/>
      </w:r>
      <w:r w:rsidRPr="00133050">
        <w:rPr>
          <w:noProof/>
        </w:rPr>
        <w:t>Държавите членки гарантират, че техните механизми за скрининг отговарят на следните изисквания:</w:t>
      </w:r>
    </w:p>
    <w:p w14:paraId="0192D9D7" w14:textId="77777777" w:rsidR="009C44C0" w:rsidRPr="00133050" w:rsidRDefault="00BA07E4" w:rsidP="00BA07E4">
      <w:pPr>
        <w:pStyle w:val="Point1"/>
        <w:rPr>
          <w:noProof/>
        </w:rPr>
      </w:pPr>
      <w:r>
        <w:rPr>
          <w:noProof/>
        </w:rPr>
        <w:lastRenderedPageBreak/>
        <w:t>а)</w:t>
      </w:r>
      <w:r>
        <w:rPr>
          <w:noProof/>
        </w:rPr>
        <w:tab/>
      </w:r>
      <w:r w:rsidR="00B400A7" w:rsidRPr="00133050">
        <w:rPr>
          <w:noProof/>
        </w:rPr>
        <w:t>предвидени са подходящи процедури, чрез които скрининговият орган да определя дали е компетентен по отношение на чуждестранна инвестиция, за която е подадено искане за разрешение, и да извършва първоначален преглед, при необходимост последван от задълбочено разследване с цел установяване дали съществува вероятност тази чуждестранна инвестиция да повлияе отрицателно на сигурността или обществения ред. Целта на задълбоченото разследване е по-специално да се установи дали е целесъобразно издаването на скринингово решение, както е посочено в член 14, параграф 1, и да се определи неговото съдържание;</w:t>
      </w:r>
    </w:p>
    <w:p w14:paraId="79BBB650" w14:textId="77777777" w:rsidR="002D69BA" w:rsidRPr="00133050" w:rsidRDefault="00BA07E4" w:rsidP="00BA07E4">
      <w:pPr>
        <w:pStyle w:val="Point1"/>
        <w:rPr>
          <w:noProof/>
        </w:rPr>
      </w:pPr>
      <w:r>
        <w:rPr>
          <w:noProof/>
        </w:rPr>
        <w:t>б)</w:t>
      </w:r>
      <w:r>
        <w:rPr>
          <w:noProof/>
        </w:rPr>
        <w:tab/>
      </w:r>
      <w:r w:rsidR="00C95D1A" w:rsidRPr="00133050">
        <w:rPr>
          <w:noProof/>
        </w:rPr>
        <w:t xml:space="preserve">скрининговият орган наблюдава и осигурява съответствието с механизма за скрининг и скрининговите решения. По-конкретно той въвежда подходящи процедури за установяване и предотвратяване на заобикалянето на механизма за скрининг и на скрининговите решения; </w:t>
      </w:r>
    </w:p>
    <w:p w14:paraId="314E1785" w14:textId="77777777" w:rsidR="00C95D1A" w:rsidRPr="00133050" w:rsidRDefault="00BA07E4" w:rsidP="00BA07E4">
      <w:pPr>
        <w:pStyle w:val="Point1"/>
        <w:rPr>
          <w:noProof/>
        </w:rPr>
      </w:pPr>
      <w:r>
        <w:rPr>
          <w:noProof/>
        </w:rPr>
        <w:t>в)</w:t>
      </w:r>
      <w:r>
        <w:rPr>
          <w:noProof/>
        </w:rPr>
        <w:tab/>
      </w:r>
      <w:r w:rsidR="00C95D1A" w:rsidRPr="00133050">
        <w:rPr>
          <w:noProof/>
        </w:rPr>
        <w:t>скрининговият орган е упълномощен да започне скрининг на чуждестранни инвестиции по своя собствена инициатива в продължение на най-малко 15 месеца след осъществяването на чуждестранна инвестиция, която не подлежи на изискването за издаване на разрешение, когато скрининговият орган има основания да смята, че чуждестранната инвестиция може да засегне сигурността или обществения ред;</w:t>
      </w:r>
    </w:p>
    <w:p w14:paraId="1BE92375" w14:textId="77777777" w:rsidR="00E0321C" w:rsidRPr="00133050" w:rsidRDefault="00BA07E4" w:rsidP="00BA07E4">
      <w:pPr>
        <w:pStyle w:val="Point1"/>
        <w:rPr>
          <w:noProof/>
        </w:rPr>
      </w:pPr>
      <w:r>
        <w:rPr>
          <w:noProof/>
        </w:rPr>
        <w:t>г)</w:t>
      </w:r>
      <w:r>
        <w:rPr>
          <w:noProof/>
        </w:rPr>
        <w:tab/>
      </w:r>
      <w:r w:rsidR="00E0321C" w:rsidRPr="00133050">
        <w:rPr>
          <w:noProof/>
        </w:rPr>
        <w:t>поверителната информация, включително търговската информация с чувствителен характер, предоставена на държавата членка, която извършва скрининга, е защитена;</w:t>
      </w:r>
    </w:p>
    <w:p w14:paraId="5A0206AF" w14:textId="77777777" w:rsidR="00E0321C" w:rsidRPr="00133050" w:rsidRDefault="00BA07E4" w:rsidP="00BA07E4">
      <w:pPr>
        <w:pStyle w:val="Point1"/>
        <w:rPr>
          <w:noProof/>
        </w:rPr>
      </w:pPr>
      <w:r>
        <w:rPr>
          <w:noProof/>
        </w:rPr>
        <w:t>д)</w:t>
      </w:r>
      <w:r>
        <w:rPr>
          <w:noProof/>
        </w:rPr>
        <w:tab/>
      </w:r>
      <w:r w:rsidR="004B7712" w:rsidRPr="00133050">
        <w:rPr>
          <w:noProof/>
        </w:rPr>
        <w:t xml:space="preserve">чуждестранните инвеститори, дъщерните дружества на чуждестранни инвеститори в Съюза, чрез които се извършва чуждестранната инвестиция, и предприятията, засегнати от дадено скринингово решение, имат възможност да обжалват по съдебен ред това скринингово решение; </w:t>
      </w:r>
    </w:p>
    <w:p w14:paraId="1AC756D8" w14:textId="77777777" w:rsidR="00E0789B" w:rsidRPr="00133050" w:rsidRDefault="00BA07E4" w:rsidP="00BA07E4">
      <w:pPr>
        <w:pStyle w:val="Point1"/>
        <w:rPr>
          <w:noProof/>
        </w:rPr>
      </w:pPr>
      <w:r>
        <w:rPr>
          <w:noProof/>
        </w:rPr>
        <w:t>е)</w:t>
      </w:r>
      <w:r>
        <w:rPr>
          <w:noProof/>
        </w:rPr>
        <w:tab/>
      </w:r>
      <w:r w:rsidR="0025447A" w:rsidRPr="00133050">
        <w:rPr>
          <w:noProof/>
        </w:rPr>
        <w:t>изготвя се годишен доклад, който се оповестява публично и включва информация за съответните законодателни промени в държавата членка, както и обобщени и анонимизирани данни за подложените на скрининг инвестиции, включително резултата от скрининговите решения, гражданството или държавата на установяване, според случая, на страните по инвестициите, за които са подадени уведомления до скрининговия орган, и стопанските сектори, в които са осъществени тези сделки;</w:t>
      </w:r>
    </w:p>
    <w:p w14:paraId="6C5B6C31" w14:textId="77777777" w:rsidR="00F20ABE" w:rsidRPr="00133050" w:rsidRDefault="00BA07E4" w:rsidP="00BA07E4">
      <w:pPr>
        <w:pStyle w:val="Point1"/>
        <w:rPr>
          <w:noProof/>
        </w:rPr>
      </w:pPr>
      <w:r>
        <w:rPr>
          <w:noProof/>
        </w:rPr>
        <w:t>ж)</w:t>
      </w:r>
      <w:r>
        <w:rPr>
          <w:noProof/>
        </w:rPr>
        <w:tab/>
      </w:r>
      <w:r w:rsidR="00F20ABE" w:rsidRPr="00133050">
        <w:rPr>
          <w:noProof/>
        </w:rPr>
        <w:t>за чуждестранните инвестиции, подлежащи на изискването за издаване на разрешение, посочено в параграф 4, искащият разрешение заявител следва да подаде искане до скрининговия орган и те се подлагат на скрининг преди осъществяването на чуждестранната инвестиция;</w:t>
      </w:r>
    </w:p>
    <w:p w14:paraId="0A5277D5" w14:textId="77777777" w:rsidR="0089611F" w:rsidRPr="00133050" w:rsidRDefault="00BA07E4" w:rsidP="00BA07E4">
      <w:pPr>
        <w:pStyle w:val="Point1"/>
        <w:rPr>
          <w:noProof/>
        </w:rPr>
      </w:pPr>
      <w:r>
        <w:rPr>
          <w:noProof/>
        </w:rPr>
        <w:t>з)</w:t>
      </w:r>
      <w:r>
        <w:rPr>
          <w:noProof/>
        </w:rPr>
        <w:tab/>
      </w:r>
      <w:r w:rsidR="0089611F" w:rsidRPr="00133050">
        <w:rPr>
          <w:noProof/>
        </w:rPr>
        <w:t>скрининговият орган е упълномощен да налага смекчаващи мерки, забрана или преустановяване на чуждестранни инвестиции, подлежащи на изискването за издаване на разрешение, посочено в параграф 4, за които не е подадено искане или искането е подадено след осъществяването им, и когато е уместно, да предприема ефективни мерки относно последиците от неспазването на смекчаващите мерки;</w:t>
      </w:r>
    </w:p>
    <w:p w14:paraId="18CBECBD" w14:textId="77777777" w:rsidR="0089611F" w:rsidRPr="00133050" w:rsidRDefault="00BA07E4" w:rsidP="00BA07E4">
      <w:pPr>
        <w:pStyle w:val="Point1"/>
        <w:rPr>
          <w:noProof/>
        </w:rPr>
      </w:pPr>
      <w:r>
        <w:rPr>
          <w:noProof/>
        </w:rPr>
        <w:t>и)</w:t>
      </w:r>
      <w:r>
        <w:rPr>
          <w:noProof/>
        </w:rPr>
        <w:tab/>
      </w:r>
      <w:r w:rsidR="0089611F" w:rsidRPr="00133050">
        <w:rPr>
          <w:noProof/>
        </w:rPr>
        <w:t>предвидени са подходящи процедури за подаване на уведомления до механизма за сътрудничество относно инвестициите — предмет на уведомление, както е предвидено в член 5.</w:t>
      </w:r>
    </w:p>
    <w:p w14:paraId="6245D7A3" w14:textId="77777777" w:rsidR="00A339DA" w:rsidRPr="00133050" w:rsidRDefault="00A339DA" w:rsidP="007E2B2B">
      <w:pPr>
        <w:pStyle w:val="ManualNumPar1"/>
        <w:rPr>
          <w:noProof/>
        </w:rPr>
      </w:pPr>
      <w:r>
        <w:rPr>
          <w:noProof/>
        </w:rPr>
        <w:lastRenderedPageBreak/>
        <w:t>3.</w:t>
      </w:r>
      <w:r>
        <w:rPr>
          <w:noProof/>
        </w:rPr>
        <w:tab/>
      </w:r>
      <w:r w:rsidRPr="00133050">
        <w:rPr>
          <w:noProof/>
        </w:rPr>
        <w:t xml:space="preserve">Преди да вземат решение за разрешаване на чуждестранна инвестиция под условие, че са приложени смекчаващи мерки, или за забрана за чуждестранна инвестиция, държавите членки информират заявителя, който подава искането за разрешение, и посочват основанията, на които възнамеряват да вземат своето решение, като спазват изискванията за защита на информацията, </w:t>
      </w:r>
      <w:r w:rsidRPr="00133050">
        <w:rPr>
          <w:noProof/>
          <w:shd w:val="clear" w:color="auto" w:fill="FFFFFF"/>
        </w:rPr>
        <w:t>чието разкриване би било в нарушение на свързаните със сигурността или обществения ред интереси на ЕС или на една или повече държави членки и без да се засяга законодателството на Съюза и националното законодателство в областта на защитата на поверителна информация.</w:t>
      </w:r>
      <w:r w:rsidRPr="00133050">
        <w:rPr>
          <w:noProof/>
        </w:rPr>
        <w:t xml:space="preserve"> Преди да вземат такова решение, държавите членки дават възможност на чуждестранния инвеститор да се произнесе.</w:t>
      </w:r>
    </w:p>
    <w:p w14:paraId="2C6E8546" w14:textId="77777777" w:rsidR="00F20ABE" w:rsidRPr="00133050" w:rsidRDefault="00F20ABE" w:rsidP="007E2B2B">
      <w:pPr>
        <w:pStyle w:val="ManualNumPar1"/>
        <w:rPr>
          <w:noProof/>
        </w:rPr>
      </w:pPr>
      <w:r>
        <w:rPr>
          <w:noProof/>
        </w:rPr>
        <w:t>4.</w:t>
      </w:r>
      <w:r>
        <w:rPr>
          <w:noProof/>
        </w:rPr>
        <w:tab/>
      </w:r>
      <w:r w:rsidRPr="00133050">
        <w:rPr>
          <w:noProof/>
        </w:rPr>
        <w:t xml:space="preserve">Държавите членки гарантират, че в техните механизми за скрининг се налага изискване за издаване на разрешение за чуждестранни инвестиции, когато установеното на тяхна територия целево предприятие в Съюза: </w:t>
      </w:r>
    </w:p>
    <w:p w14:paraId="26FB87FA" w14:textId="77777777" w:rsidR="00F20ABE" w:rsidRPr="00133050" w:rsidRDefault="00BA07E4" w:rsidP="00BA07E4">
      <w:pPr>
        <w:pStyle w:val="Point1"/>
        <w:rPr>
          <w:noProof/>
        </w:rPr>
      </w:pPr>
      <w:r>
        <w:rPr>
          <w:noProof/>
        </w:rPr>
        <w:t>а)</w:t>
      </w:r>
      <w:r>
        <w:rPr>
          <w:noProof/>
        </w:rPr>
        <w:tab/>
      </w:r>
      <w:r w:rsidR="005D1357" w:rsidRPr="00133050">
        <w:rPr>
          <w:noProof/>
        </w:rPr>
        <w:t>участва в проект или програма от интерес за Съюза, посочена в приложение I, или е свързано с участие в такива, включително като получател на средства съгласно определението в член 2, параграф 53 от Регламент (ЕС) 2018/1046 на Европейския парламент и на Съвета</w:t>
      </w:r>
      <w:r w:rsidR="005D1357" w:rsidRPr="00133050">
        <w:rPr>
          <w:rStyle w:val="FootnoteReference"/>
          <w:noProof/>
        </w:rPr>
        <w:footnoteReference w:id="45"/>
      </w:r>
      <w:r w:rsidR="005D1357" w:rsidRPr="00133050">
        <w:rPr>
          <w:noProof/>
        </w:rPr>
        <w:t>, или</w:t>
      </w:r>
    </w:p>
    <w:p w14:paraId="1A9C487B" w14:textId="77777777" w:rsidR="00F20ABE" w:rsidRPr="00133050" w:rsidRDefault="00BA07E4" w:rsidP="00BA07E4">
      <w:pPr>
        <w:pStyle w:val="Point1"/>
        <w:rPr>
          <w:noProof/>
        </w:rPr>
      </w:pPr>
      <w:r>
        <w:rPr>
          <w:noProof/>
        </w:rPr>
        <w:t>б)</w:t>
      </w:r>
      <w:r>
        <w:rPr>
          <w:noProof/>
        </w:rPr>
        <w:tab/>
      </w:r>
      <w:r w:rsidR="00F20ABE" w:rsidRPr="00133050">
        <w:rPr>
          <w:noProof/>
        </w:rPr>
        <w:t xml:space="preserve">извършва стопанска дейност в една от областите, описани в приложение II. </w:t>
      </w:r>
    </w:p>
    <w:p w14:paraId="7895552C" w14:textId="77777777" w:rsidR="00E0321C" w:rsidRPr="00133050" w:rsidRDefault="0053300B" w:rsidP="007E2B2B">
      <w:pPr>
        <w:pStyle w:val="ChapterTitle"/>
        <w:rPr>
          <w:noProof/>
        </w:rPr>
      </w:pPr>
      <w:r w:rsidRPr="00133050">
        <w:rPr>
          <w:noProof/>
        </w:rPr>
        <w:t xml:space="preserve">ГЛАВА 3 </w:t>
      </w:r>
      <w:r w:rsidRPr="00133050">
        <w:rPr>
          <w:noProof/>
        </w:rPr>
        <w:cr/>
      </w:r>
      <w:r w:rsidRPr="00133050">
        <w:rPr>
          <w:noProof/>
        </w:rPr>
        <w:br/>
        <w:t>МЕХАНИЗЪМ НА СЪЮЗА ЗА СЪТРУДНИЧЕСТВО ПО ЧУЖДЕСТРАННИ ИНВЕСТИЦИИ, ЗА КОИТО ИМА ВЕРОЯТНОСТ ДА ПОВЛИЯЯТ ОТРИЦАТЕЛНО НА СИГУРНОСТТА ИЛИ ОБЩЕСТВЕНИЯ РЕД</w:t>
      </w:r>
    </w:p>
    <w:p w14:paraId="13F1658F" w14:textId="77777777" w:rsidR="00FD1318" w:rsidRPr="00133050" w:rsidRDefault="00A03209" w:rsidP="007E2B2B">
      <w:pPr>
        <w:pStyle w:val="Titrearticle0"/>
        <w:rPr>
          <w:noProof/>
        </w:rPr>
      </w:pPr>
      <w:r w:rsidRPr="00133050">
        <w:rPr>
          <w:noProof/>
        </w:rPr>
        <w:t>Член 5</w:t>
      </w:r>
    </w:p>
    <w:p w14:paraId="2ED1DA12" w14:textId="77777777" w:rsidR="00E0321C" w:rsidRPr="00133050" w:rsidRDefault="00231DB4" w:rsidP="007E2B2B">
      <w:pPr>
        <w:spacing w:after="0"/>
        <w:jc w:val="center"/>
        <w:rPr>
          <w:b/>
          <w:noProof/>
        </w:rPr>
      </w:pPr>
      <w:r w:rsidRPr="00133050">
        <w:rPr>
          <w:b/>
          <w:noProof/>
        </w:rPr>
        <w:t>Уведомяване за чуждестранни инвестиции</w:t>
      </w:r>
    </w:p>
    <w:p w14:paraId="43A7A414" w14:textId="77777777" w:rsidR="00646CAA" w:rsidRPr="00133050" w:rsidRDefault="00646CAA" w:rsidP="00B51586">
      <w:pPr>
        <w:pStyle w:val="ManualNumPar1"/>
        <w:rPr>
          <w:noProof/>
        </w:rPr>
      </w:pPr>
      <w:r>
        <w:rPr>
          <w:noProof/>
        </w:rPr>
        <w:t>1.</w:t>
      </w:r>
      <w:r>
        <w:rPr>
          <w:noProof/>
        </w:rPr>
        <w:tab/>
      </w:r>
      <w:bookmarkStart w:id="11" w:name="_Ref144109166"/>
      <w:r w:rsidRPr="00133050">
        <w:rPr>
          <w:noProof/>
        </w:rPr>
        <w:t xml:space="preserve">Държавите членки уведомяват Комисията и другите държави членки чрез механизма за сътрудничество за всяка чуждестранна инвестиция в целево предприятие в Съюза, установено на тяхна територия, което: </w:t>
      </w:r>
    </w:p>
    <w:p w14:paraId="114E6E4F" w14:textId="77777777" w:rsidR="00646CAA" w:rsidRPr="00133050" w:rsidRDefault="00BA07E4" w:rsidP="00BA07E4">
      <w:pPr>
        <w:pStyle w:val="Point1"/>
        <w:rPr>
          <w:noProof/>
        </w:rPr>
      </w:pPr>
      <w:r>
        <w:rPr>
          <w:noProof/>
        </w:rPr>
        <w:t>а)</w:t>
      </w:r>
      <w:r>
        <w:rPr>
          <w:noProof/>
        </w:rPr>
        <w:tab/>
      </w:r>
      <w:r w:rsidR="00646CAA" w:rsidRPr="00133050">
        <w:rPr>
          <w:noProof/>
        </w:rPr>
        <w:t xml:space="preserve">отговаря на условията, установени в член 4, параграф 4, буква а); или </w:t>
      </w:r>
    </w:p>
    <w:p w14:paraId="08EA746A" w14:textId="77777777" w:rsidR="00646CAA" w:rsidRPr="00133050" w:rsidRDefault="00BA07E4" w:rsidP="00BA07E4">
      <w:pPr>
        <w:pStyle w:val="Point1"/>
        <w:rPr>
          <w:noProof/>
        </w:rPr>
      </w:pPr>
      <w:r>
        <w:rPr>
          <w:noProof/>
        </w:rPr>
        <w:t>б)</w:t>
      </w:r>
      <w:r>
        <w:rPr>
          <w:noProof/>
        </w:rPr>
        <w:tab/>
      </w:r>
      <w:r w:rsidR="00646CAA" w:rsidRPr="00133050">
        <w:rPr>
          <w:noProof/>
        </w:rPr>
        <w:t xml:space="preserve">отговаря на условията, установени в член 4, параграф 4, буква б), и на някое от следните условия: </w:t>
      </w:r>
    </w:p>
    <w:p w14:paraId="2580C453" w14:textId="77777777" w:rsidR="00277B9A" w:rsidRPr="00133050" w:rsidRDefault="00CC5BED" w:rsidP="00CC5BED">
      <w:pPr>
        <w:pStyle w:val="Point2"/>
        <w:rPr>
          <w:noProof/>
        </w:rPr>
      </w:pPr>
      <w:r w:rsidRPr="00133050">
        <w:rPr>
          <w:noProof/>
        </w:rPr>
        <w:t>i)</w:t>
      </w:r>
      <w:r w:rsidRPr="00133050">
        <w:rPr>
          <w:noProof/>
        </w:rPr>
        <w:tab/>
        <w:t xml:space="preserve">чуждестранният инвеститор или дъщерното дружество на чуждестранен инвеститор в Съюза е пряко или косвено </w:t>
      </w:r>
      <w:r w:rsidRPr="00133050">
        <w:rPr>
          <w:noProof/>
        </w:rPr>
        <w:lastRenderedPageBreak/>
        <w:t xml:space="preserve">контролиран(о) от правителството, в т.ч. държавни органи, регионални или местни органи или въоръжени сили на трета държава, включително чрез структура на собствеността, значително финансиране, специални права или назначени от държавата директори или управители; </w:t>
      </w:r>
    </w:p>
    <w:p w14:paraId="57F8785F" w14:textId="77777777" w:rsidR="00646CAA" w:rsidRPr="00133050" w:rsidRDefault="00CC5BED" w:rsidP="00CC5BED">
      <w:pPr>
        <w:pStyle w:val="Point2"/>
        <w:rPr>
          <w:noProof/>
        </w:rPr>
      </w:pPr>
      <w:r w:rsidRPr="00133050">
        <w:rPr>
          <w:noProof/>
        </w:rPr>
        <w:t>ii)</w:t>
      </w:r>
      <w:r w:rsidRPr="00133050">
        <w:rPr>
          <w:noProof/>
        </w:rPr>
        <w:tab/>
        <w:t xml:space="preserve">чуждестранният инвеститор, физическо лице или субект, упражняващ(о) контрол върху чуждестранния инвеститор, действителният собственик на чуждестранния инвеститор, някое от дъщерните дружества на чуждестранния инвеститор или всяка друга страна, притежавана или контролирана от такъв чуждестранен инвеститор или действаща от негово име или по негово указание, е обект на ограничителни мерки на Съюза съгласно член 215 от ДФЕС; или </w:t>
      </w:r>
    </w:p>
    <w:p w14:paraId="722EB4A4" w14:textId="77777777" w:rsidR="005D1357" w:rsidRPr="00133050" w:rsidRDefault="005D1357" w:rsidP="00CC5BED">
      <w:pPr>
        <w:pStyle w:val="Point2"/>
        <w:rPr>
          <w:noProof/>
        </w:rPr>
      </w:pPr>
      <w:r w:rsidRPr="00133050">
        <w:rPr>
          <w:noProof/>
        </w:rPr>
        <w:t xml:space="preserve">iii) </w:t>
      </w:r>
      <w:r w:rsidRPr="00133050">
        <w:rPr>
          <w:noProof/>
        </w:rPr>
        <w:tab/>
        <w:t>чуждестранният инвеститор или някое от неговите дъщерни дружества е участвал(о) в чуждестранна инвестиция, която преди това е била подложена на скрининг от държава членка и не е била разрешена или е била разрешена само при определени условия; за да определи това, уведомяващата държава членка разчита на информацията, с която разполага, включително информацията, съдържаща се в защитената база данни, създадена съгласно член 7, параграф 10, и информацията, предоставена от чуждестранния инвеститор по този въпрос.</w:t>
      </w:r>
    </w:p>
    <w:p w14:paraId="04D4F982" w14:textId="77777777" w:rsidR="008A32FE" w:rsidRPr="00133050" w:rsidRDefault="00646CAA" w:rsidP="00B51586">
      <w:pPr>
        <w:pStyle w:val="ManualNumPar1"/>
        <w:rPr>
          <w:noProof/>
        </w:rPr>
      </w:pPr>
      <w:r>
        <w:rPr>
          <w:noProof/>
        </w:rPr>
        <w:t>2.</w:t>
      </w:r>
      <w:r>
        <w:rPr>
          <w:noProof/>
        </w:rPr>
        <w:tab/>
      </w:r>
      <w:r w:rsidRPr="00133050">
        <w:rPr>
          <w:noProof/>
        </w:rPr>
        <w:t>Държавите членки уведомяват Комисията и другите държави членки за всяка чуждестранна инвестиция в целево предприятие в Съюза, установено на тяхна територия, когато започват задълбочено разследване съгласно своите процедури за скрининг. Освен това държавите членки уведомяват Комисията и другите държави членки за всяка чуждестранна инвестиция в целево предприятие в Съюза, установено на тяхна територия, в изключителни случаи, когато възнамеряват да наложат смекчаващи мерки или забрана на сделката без извършване на задълбочено разследване.</w:t>
      </w:r>
    </w:p>
    <w:p w14:paraId="7974A280" w14:textId="77777777" w:rsidR="00646CAA" w:rsidRPr="00133050" w:rsidRDefault="00646CAA" w:rsidP="00B51586">
      <w:pPr>
        <w:pStyle w:val="ManualNumPar1"/>
        <w:rPr>
          <w:noProof/>
        </w:rPr>
      </w:pPr>
      <w:r>
        <w:rPr>
          <w:noProof/>
        </w:rPr>
        <w:t>3.</w:t>
      </w:r>
      <w:r>
        <w:rPr>
          <w:noProof/>
        </w:rPr>
        <w:tab/>
      </w:r>
      <w:r w:rsidRPr="00133050">
        <w:rPr>
          <w:noProof/>
        </w:rPr>
        <w:t>Държавите членки може да подадат уведомление за всяка чуждестранна инвестиция, която не отговаря на условията, посочени в параграфи 1 и 2, ако държавата членка, в която е установено целевото предприятие в Съюза, счита, че чуждестранната инвестиция може да представлява интерес за другите държави членки и Комисията от гледна точка на сигурността или обществения ред, включително когато целевото предприятие в Съюза има значими стопански дейности в други държави членки или принадлежи към корпоративна група, която има няколко дружества в различни държави членки, които извършват стопанска дейност в една от областите, описани в приложение II.</w:t>
      </w:r>
      <w:bookmarkEnd w:id="11"/>
    </w:p>
    <w:p w14:paraId="0A8B0423" w14:textId="77777777" w:rsidR="00733DD9" w:rsidRPr="00133050" w:rsidRDefault="00733DD9" w:rsidP="007E2B2B">
      <w:pPr>
        <w:pStyle w:val="Text1"/>
        <w:rPr>
          <w:noProof/>
        </w:rPr>
      </w:pPr>
      <w:r w:rsidRPr="00133050">
        <w:rPr>
          <w:noProof/>
        </w:rPr>
        <w:t xml:space="preserve">Когато държава членка възнамерява да подаде уведомление за чуждестранна инвестиция на нейна територия, която е част от многонационална сделка съгласно член 6, параграф 2, тя координира действията си с другите държави членки, които са получили искането за разрешение. Съответните държави членки подават уведомление за многонационалната сделка и полагат усилия да изпратят своите уведомления до механизма за сътрудничество в един и същ ден. </w:t>
      </w:r>
    </w:p>
    <w:p w14:paraId="122A5B1B" w14:textId="77777777" w:rsidR="00A14AFC" w:rsidRPr="00133050" w:rsidRDefault="00A14AFC" w:rsidP="007E2B2B">
      <w:pPr>
        <w:pStyle w:val="Titrearticle0"/>
        <w:rPr>
          <w:noProof/>
        </w:rPr>
      </w:pPr>
      <w:r w:rsidRPr="00133050">
        <w:rPr>
          <w:noProof/>
        </w:rPr>
        <w:lastRenderedPageBreak/>
        <w:t>Член 6</w:t>
      </w:r>
    </w:p>
    <w:p w14:paraId="7DF5CA9C" w14:textId="77777777" w:rsidR="00C63021" w:rsidRPr="00133050" w:rsidRDefault="00932562" w:rsidP="007E2B2B">
      <w:pPr>
        <w:spacing w:after="0"/>
        <w:jc w:val="center"/>
        <w:rPr>
          <w:b/>
          <w:noProof/>
        </w:rPr>
      </w:pPr>
      <w:r w:rsidRPr="00133050">
        <w:rPr>
          <w:b/>
          <w:noProof/>
        </w:rPr>
        <w:t xml:space="preserve">Съдържание на уведомлението и процедури за уведомяване относно чуждестранни инвестиции </w:t>
      </w:r>
    </w:p>
    <w:p w14:paraId="596ABE87" w14:textId="77777777" w:rsidR="00C63021" w:rsidRPr="00133050" w:rsidRDefault="00C63021" w:rsidP="007E2B2B">
      <w:pPr>
        <w:pStyle w:val="ManualNumPar1"/>
        <w:rPr>
          <w:noProof/>
        </w:rPr>
      </w:pPr>
      <w:r>
        <w:rPr>
          <w:noProof/>
        </w:rPr>
        <w:t>1.</w:t>
      </w:r>
      <w:r>
        <w:rPr>
          <w:noProof/>
        </w:rPr>
        <w:tab/>
      </w:r>
      <w:r w:rsidRPr="00133050">
        <w:rPr>
          <w:noProof/>
        </w:rPr>
        <w:t>Държавите членки гарантират, че уведомлението съгласно член 5 съдържа информацията, посочена в член 10, параграф 1, и се изпраща на Комисията и на другите държави членки чрез защитената и криптирана система, посочена в член 12, параграф 4:</w:t>
      </w:r>
    </w:p>
    <w:p w14:paraId="6F1C249F" w14:textId="77777777" w:rsidR="00C63021" w:rsidRPr="00133050" w:rsidRDefault="00BA07E4" w:rsidP="00BA07E4">
      <w:pPr>
        <w:pStyle w:val="Point1"/>
        <w:rPr>
          <w:noProof/>
        </w:rPr>
      </w:pPr>
      <w:r>
        <w:rPr>
          <w:noProof/>
        </w:rPr>
        <w:t>а)</w:t>
      </w:r>
      <w:r>
        <w:rPr>
          <w:noProof/>
        </w:rPr>
        <w:tab/>
      </w:r>
      <w:r w:rsidR="00C63021" w:rsidRPr="00133050">
        <w:rPr>
          <w:noProof/>
        </w:rPr>
        <w:t>не по-късно от 15 календарни дни от получаването на съответното искане за разрешение за чуждестранни инвестиции, които отговарят на някое от условията, посочени в член 5, параграф 1 или 3;</w:t>
      </w:r>
    </w:p>
    <w:p w14:paraId="25B5D0F7" w14:textId="77777777" w:rsidR="00A14AFC" w:rsidRPr="00133050" w:rsidRDefault="00BA07E4" w:rsidP="00BA07E4">
      <w:pPr>
        <w:pStyle w:val="Point1"/>
        <w:rPr>
          <w:noProof/>
        </w:rPr>
      </w:pPr>
      <w:r>
        <w:rPr>
          <w:noProof/>
        </w:rPr>
        <w:t>б)</w:t>
      </w:r>
      <w:r>
        <w:rPr>
          <w:noProof/>
        </w:rPr>
        <w:tab/>
      </w:r>
      <w:r w:rsidR="00A14AFC" w:rsidRPr="00133050">
        <w:rPr>
          <w:noProof/>
        </w:rPr>
        <w:t xml:space="preserve">не по-късно от 60 календарни дни от получаването на искането за разрешение за чуждестранни инвестиции, които отговарят на условията, посочени в член 5, параграф 2. </w:t>
      </w:r>
    </w:p>
    <w:p w14:paraId="4B1E481B" w14:textId="77777777" w:rsidR="00A14AFC" w:rsidRPr="00133050" w:rsidRDefault="00A14AFC" w:rsidP="00C01EE5">
      <w:pPr>
        <w:pStyle w:val="ManualNumPar1"/>
        <w:rPr>
          <w:noProof/>
        </w:rPr>
      </w:pPr>
      <w:r>
        <w:rPr>
          <w:noProof/>
        </w:rPr>
        <w:t>2.</w:t>
      </w:r>
      <w:r>
        <w:rPr>
          <w:noProof/>
        </w:rPr>
        <w:tab/>
      </w:r>
      <w:bookmarkStart w:id="12" w:name="_Hlk156078782"/>
      <w:r w:rsidRPr="00133050">
        <w:rPr>
          <w:noProof/>
        </w:rPr>
        <w:t>За многонационални сделки се прилагат следните процедури:</w:t>
      </w:r>
    </w:p>
    <w:bookmarkEnd w:id="12"/>
    <w:p w14:paraId="63C10C5F" w14:textId="77777777" w:rsidR="00A14AFC" w:rsidRPr="00133050" w:rsidRDefault="00BA07E4" w:rsidP="00BA07E4">
      <w:pPr>
        <w:pStyle w:val="Point1"/>
        <w:rPr>
          <w:noProof/>
        </w:rPr>
      </w:pPr>
      <w:r>
        <w:rPr>
          <w:noProof/>
        </w:rPr>
        <w:t>а)</w:t>
      </w:r>
      <w:r>
        <w:rPr>
          <w:noProof/>
        </w:rPr>
        <w:tab/>
      </w:r>
      <w:r w:rsidR="007A6BCF" w:rsidRPr="00133050">
        <w:rPr>
          <w:noProof/>
        </w:rPr>
        <w:t xml:space="preserve">заявителите, подаващи искане за разрешение, подават своите искания за разрешение във всички съответни държави членки в един и същ ден, като всяко искане за разрешение съдържа препратка към другите искания; </w:t>
      </w:r>
    </w:p>
    <w:p w14:paraId="00048D2E" w14:textId="77777777" w:rsidR="00A14AFC" w:rsidRPr="00133050" w:rsidRDefault="00BA07E4" w:rsidP="00BA07E4">
      <w:pPr>
        <w:pStyle w:val="Point1"/>
        <w:rPr>
          <w:noProof/>
        </w:rPr>
      </w:pPr>
      <w:r>
        <w:rPr>
          <w:noProof/>
        </w:rPr>
        <w:t>б)</w:t>
      </w:r>
      <w:r>
        <w:rPr>
          <w:noProof/>
        </w:rPr>
        <w:tab/>
      </w:r>
      <w:r w:rsidR="007A6BCF" w:rsidRPr="00133050">
        <w:rPr>
          <w:noProof/>
        </w:rPr>
        <w:t xml:space="preserve">когато дадена държава членка получи искане за разрешение, което отговаря на условията, посочени в буква а), тя координира действията си с другите заинтересовани държави членки, наред с другото, за да определи дали е приложима буква в) или г) от настоящия параграф; Комисията може да участва в такова координиране на действията по искане на една или повече държави членки; </w:t>
      </w:r>
    </w:p>
    <w:p w14:paraId="49A8CA11" w14:textId="77777777" w:rsidR="00A14AFC" w:rsidRPr="00133050" w:rsidRDefault="00BA07E4" w:rsidP="00BA07E4">
      <w:pPr>
        <w:pStyle w:val="Point1"/>
        <w:rPr>
          <w:noProof/>
        </w:rPr>
      </w:pPr>
      <w:r>
        <w:rPr>
          <w:noProof/>
        </w:rPr>
        <w:t>в)</w:t>
      </w:r>
      <w:r>
        <w:rPr>
          <w:noProof/>
        </w:rPr>
        <w:tab/>
      </w:r>
      <w:r w:rsidR="007A6BCF" w:rsidRPr="00133050">
        <w:rPr>
          <w:noProof/>
        </w:rPr>
        <w:t xml:space="preserve">ако исканията за разрешение се отнасят до чуждестранна инвестиция, която отговаря на някое от условията, посочени в член 5, параграф 1, съответните държави членки изпращат своите уведомления до механизма за сътрудничество в същия ден и в рамките на срока, определен в параграф 1, буква а) от настоящия член; </w:t>
      </w:r>
    </w:p>
    <w:p w14:paraId="6B5CDC65" w14:textId="77777777" w:rsidR="00A14AFC" w:rsidRPr="00133050" w:rsidRDefault="00BA07E4" w:rsidP="00BA07E4">
      <w:pPr>
        <w:pStyle w:val="Point1"/>
        <w:rPr>
          <w:noProof/>
        </w:rPr>
      </w:pPr>
      <w:r>
        <w:rPr>
          <w:noProof/>
        </w:rPr>
        <w:t>г)</w:t>
      </w:r>
      <w:r>
        <w:rPr>
          <w:noProof/>
        </w:rPr>
        <w:tab/>
      </w:r>
      <w:r w:rsidR="008D51C7" w:rsidRPr="00133050">
        <w:rPr>
          <w:noProof/>
        </w:rPr>
        <w:t>ако исканията за разрешение се отнасят до чуждестранна инвестиция, която отговаря на условията, посочени в член 5, параграф 2, съответните държави членки полагат усилия да изпратят уведомленията си до механизма за сътрудничество същия ден.</w:t>
      </w:r>
    </w:p>
    <w:p w14:paraId="647FFDCF" w14:textId="77777777" w:rsidR="00C63021" w:rsidRPr="00133050" w:rsidRDefault="00C63021" w:rsidP="00A03209">
      <w:pPr>
        <w:pStyle w:val="Titrearticlef3"/>
        <w:rPr>
          <w:noProof/>
        </w:rPr>
      </w:pPr>
      <w:r w:rsidRPr="00133050">
        <w:rPr>
          <w:noProof/>
        </w:rPr>
        <w:t>Член 7</w:t>
      </w:r>
    </w:p>
    <w:p w14:paraId="1D38D66D" w14:textId="77777777" w:rsidR="00C63021" w:rsidRPr="00133050" w:rsidRDefault="00C63021" w:rsidP="00E04DDE">
      <w:pPr>
        <w:shd w:val="clear" w:color="auto" w:fill="FFFFFF" w:themeFill="background1"/>
        <w:tabs>
          <w:tab w:val="left" w:pos="5000"/>
        </w:tabs>
        <w:spacing w:after="0"/>
        <w:jc w:val="center"/>
        <w:rPr>
          <w:b/>
          <w:noProof/>
        </w:rPr>
      </w:pPr>
      <w:r w:rsidRPr="00133050">
        <w:rPr>
          <w:b/>
          <w:noProof/>
        </w:rPr>
        <w:t>Коментари на държавите членки и становища на Комисията относно чуждестранните инвестиции, за които е постъпило уведомление</w:t>
      </w:r>
    </w:p>
    <w:p w14:paraId="2886E07A" w14:textId="77777777" w:rsidR="00C63021" w:rsidRPr="00133050" w:rsidRDefault="00C63021" w:rsidP="00C01EE5">
      <w:pPr>
        <w:pStyle w:val="ManualNumPar1"/>
        <w:rPr>
          <w:noProof/>
        </w:rPr>
      </w:pPr>
      <w:r>
        <w:rPr>
          <w:noProof/>
        </w:rPr>
        <w:t>1.</w:t>
      </w:r>
      <w:r>
        <w:rPr>
          <w:noProof/>
        </w:rPr>
        <w:tab/>
      </w:r>
      <w:r w:rsidRPr="00133050">
        <w:rPr>
          <w:noProof/>
        </w:rPr>
        <w:t>Всяка държава членка може да отправи надлежно мотивирани коментари до уведомяващата държава членка чрез защитената и криптирана система, посочена в член 12, параграф 4. Дадена държава членка може да отправи такива коментари, ако:</w:t>
      </w:r>
    </w:p>
    <w:p w14:paraId="595E69BB" w14:textId="77777777" w:rsidR="00C63021" w:rsidRPr="00133050" w:rsidRDefault="00BA07E4" w:rsidP="00BA07E4">
      <w:pPr>
        <w:pStyle w:val="Point1"/>
        <w:rPr>
          <w:noProof/>
        </w:rPr>
      </w:pPr>
      <w:r>
        <w:rPr>
          <w:noProof/>
        </w:rPr>
        <w:t>а)</w:t>
      </w:r>
      <w:r>
        <w:rPr>
          <w:noProof/>
        </w:rPr>
        <w:tab/>
      </w:r>
      <w:r w:rsidR="00C63021" w:rsidRPr="00133050">
        <w:rPr>
          <w:noProof/>
        </w:rPr>
        <w:t xml:space="preserve">счита, че за определена чуждестранна инвестиция съществува вероятност да повлияе отрицателно на сигурността или обществения ред; или </w:t>
      </w:r>
    </w:p>
    <w:p w14:paraId="160B1ABB" w14:textId="77777777" w:rsidR="00C63021" w:rsidRPr="00133050" w:rsidRDefault="00BA07E4" w:rsidP="00BA07E4">
      <w:pPr>
        <w:pStyle w:val="Point1"/>
        <w:rPr>
          <w:noProof/>
        </w:rPr>
      </w:pPr>
      <w:r>
        <w:rPr>
          <w:noProof/>
        </w:rPr>
        <w:t>б)</w:t>
      </w:r>
      <w:r>
        <w:rPr>
          <w:noProof/>
        </w:rPr>
        <w:tab/>
      </w:r>
      <w:r w:rsidR="00C63021" w:rsidRPr="00133050">
        <w:rPr>
          <w:noProof/>
        </w:rPr>
        <w:t xml:space="preserve">ако разполага с информация, която е от значение за скрининга на тази чуждестранна инвестиция. </w:t>
      </w:r>
    </w:p>
    <w:p w14:paraId="430D2BB6" w14:textId="77777777" w:rsidR="00C63021" w:rsidRPr="00133050" w:rsidRDefault="00C63021" w:rsidP="006B7C05">
      <w:pPr>
        <w:pStyle w:val="Text1"/>
        <w:rPr>
          <w:noProof/>
        </w:rPr>
      </w:pPr>
      <w:r w:rsidRPr="00133050">
        <w:rPr>
          <w:noProof/>
        </w:rPr>
        <w:lastRenderedPageBreak/>
        <w:t xml:space="preserve">Държавата членка, която отправя коментари, едновременно с това изпраща своите коментари на Комисията и информира чрез механизма за сътрудничество всички останали държави членки, че са били изпратени коментари. </w:t>
      </w:r>
    </w:p>
    <w:p w14:paraId="6B52AC4C" w14:textId="77777777" w:rsidR="00C63021" w:rsidRPr="00133050" w:rsidRDefault="00C63021" w:rsidP="00C63021">
      <w:pPr>
        <w:pStyle w:val="ManualNumPar1"/>
        <w:rPr>
          <w:noProof/>
        </w:rPr>
      </w:pPr>
      <w:r>
        <w:rPr>
          <w:noProof/>
        </w:rPr>
        <w:t>2.</w:t>
      </w:r>
      <w:r>
        <w:rPr>
          <w:noProof/>
        </w:rPr>
        <w:tab/>
      </w:r>
      <w:r w:rsidRPr="00133050">
        <w:rPr>
          <w:noProof/>
        </w:rPr>
        <w:t xml:space="preserve">Комисията може да издаде надлежно мотивирано становище, адресирано до уведомяващата държава членка, чрез защитената и криптирана система, посочена в член 12, параграф 4. Комисията може да издаде такова становище, ако: </w:t>
      </w:r>
    </w:p>
    <w:p w14:paraId="5DA8CEE0" w14:textId="77777777" w:rsidR="00C63021" w:rsidRPr="00133050" w:rsidRDefault="00BA07E4" w:rsidP="00BA07E4">
      <w:pPr>
        <w:pStyle w:val="Point1"/>
        <w:rPr>
          <w:noProof/>
        </w:rPr>
      </w:pPr>
      <w:r>
        <w:rPr>
          <w:noProof/>
        </w:rPr>
        <w:t>а)</w:t>
      </w:r>
      <w:r>
        <w:rPr>
          <w:noProof/>
        </w:rPr>
        <w:tab/>
      </w:r>
      <w:r w:rsidR="00C63021" w:rsidRPr="00133050">
        <w:rPr>
          <w:noProof/>
        </w:rPr>
        <w:t xml:space="preserve">счита, че такава чуждестранна инвестиция има вероятност да повлияе отрицателно на сигурността или обществения ред в повече от една държава членка; </w:t>
      </w:r>
    </w:p>
    <w:p w14:paraId="30155D8A" w14:textId="77777777" w:rsidR="00D3330F" w:rsidRPr="00133050" w:rsidRDefault="00BA07E4" w:rsidP="00BA07E4">
      <w:pPr>
        <w:pStyle w:val="Point1"/>
        <w:rPr>
          <w:noProof/>
        </w:rPr>
      </w:pPr>
      <w:r>
        <w:rPr>
          <w:noProof/>
        </w:rPr>
        <w:t>б)</w:t>
      </w:r>
      <w:r>
        <w:rPr>
          <w:noProof/>
        </w:rPr>
        <w:tab/>
      </w:r>
      <w:r w:rsidR="00C63021" w:rsidRPr="00133050">
        <w:rPr>
          <w:noProof/>
        </w:rPr>
        <w:t>счита, че такава чуждестранна инвестиция има вероятност да повлияе отрицателно на проекти или програми от интерес за Съюза на основания, свързани със сигурността или обществения ред;</w:t>
      </w:r>
    </w:p>
    <w:p w14:paraId="3EB23BC4" w14:textId="77777777" w:rsidR="00C63021" w:rsidRPr="00133050" w:rsidRDefault="00C63021" w:rsidP="004B66F8">
      <w:pPr>
        <w:rPr>
          <w:noProof/>
        </w:rPr>
      </w:pPr>
      <w:r w:rsidRPr="00133050">
        <w:rPr>
          <w:noProof/>
        </w:rPr>
        <w:t>или</w:t>
      </w:r>
    </w:p>
    <w:p w14:paraId="56ABB6BA" w14:textId="77777777" w:rsidR="00C63021" w:rsidRPr="00133050" w:rsidRDefault="00BA07E4" w:rsidP="00BA07E4">
      <w:pPr>
        <w:pStyle w:val="Point1"/>
        <w:rPr>
          <w:noProof/>
        </w:rPr>
      </w:pPr>
      <w:r>
        <w:rPr>
          <w:noProof/>
        </w:rPr>
        <w:t>в)</w:t>
      </w:r>
      <w:r>
        <w:rPr>
          <w:noProof/>
        </w:rPr>
        <w:tab/>
      </w:r>
      <w:r w:rsidR="00C63021" w:rsidRPr="00133050">
        <w:rPr>
          <w:noProof/>
        </w:rPr>
        <w:t xml:space="preserve">ако разполага със съответна информация, свързана с тази чуждестранна инвестиция. </w:t>
      </w:r>
    </w:p>
    <w:p w14:paraId="148DE653" w14:textId="77777777" w:rsidR="00C63021" w:rsidRPr="00133050" w:rsidRDefault="00C63021" w:rsidP="006B7C05">
      <w:pPr>
        <w:pStyle w:val="Text1"/>
        <w:rPr>
          <w:noProof/>
        </w:rPr>
      </w:pPr>
      <w:r w:rsidRPr="00133050">
        <w:rPr>
          <w:noProof/>
        </w:rPr>
        <w:t xml:space="preserve">Комисията може да издаде становище независимо от това дали държавите членки са представили коментари. </w:t>
      </w:r>
    </w:p>
    <w:p w14:paraId="22C9AF15" w14:textId="77777777" w:rsidR="00C63021" w:rsidRPr="00133050" w:rsidRDefault="00C63021" w:rsidP="00C63021">
      <w:pPr>
        <w:pStyle w:val="ManualNumPar1"/>
        <w:rPr>
          <w:noProof/>
        </w:rPr>
      </w:pPr>
      <w:r>
        <w:rPr>
          <w:noProof/>
        </w:rPr>
        <w:t>3.</w:t>
      </w:r>
      <w:r>
        <w:rPr>
          <w:noProof/>
        </w:rPr>
        <w:tab/>
      </w:r>
      <w:r w:rsidRPr="00133050">
        <w:rPr>
          <w:noProof/>
        </w:rPr>
        <w:t>Комисията може да издаде надлежно мотивирано становище, адресирано до всички държави членки, ако счита, че няколко чуждестранни инвестиции или други подобни инвестиции, ако бъдат направени, взети заедно и като се имат предвид техните характеристики, биха могли да засегнат сигурността или обществения ред на Съюза. След издаване на становище Комисията може, ако е необходимо, да обсъди с държавите членки как да се противодейства на установените рискове.</w:t>
      </w:r>
    </w:p>
    <w:p w14:paraId="2E4E838F" w14:textId="77777777" w:rsidR="00C63021" w:rsidRPr="00133050" w:rsidRDefault="00C63021" w:rsidP="00C63021">
      <w:pPr>
        <w:pStyle w:val="ManualNumPar1"/>
        <w:rPr>
          <w:noProof/>
        </w:rPr>
      </w:pPr>
      <w:r>
        <w:rPr>
          <w:noProof/>
        </w:rPr>
        <w:t>4.</w:t>
      </w:r>
      <w:r>
        <w:rPr>
          <w:noProof/>
        </w:rPr>
        <w:tab/>
      </w:r>
      <w:r w:rsidRPr="00133050">
        <w:rPr>
          <w:noProof/>
        </w:rPr>
        <w:t>Комисията:</w:t>
      </w:r>
    </w:p>
    <w:p w14:paraId="1519D101" w14:textId="77777777" w:rsidR="00C63021" w:rsidRPr="00133050" w:rsidRDefault="00BA07E4" w:rsidP="00BA07E4">
      <w:pPr>
        <w:pStyle w:val="Point1"/>
        <w:rPr>
          <w:noProof/>
        </w:rPr>
      </w:pPr>
      <w:r>
        <w:rPr>
          <w:noProof/>
        </w:rPr>
        <w:t>а)</w:t>
      </w:r>
      <w:r>
        <w:rPr>
          <w:noProof/>
        </w:rPr>
        <w:tab/>
      </w:r>
      <w:r w:rsidR="00C63021" w:rsidRPr="00133050">
        <w:rPr>
          <w:noProof/>
        </w:rPr>
        <w:t>изпраща становища, отговарящи на условията, посочени в параграф 2, букви а) и в), на всички държави членки, които са представили коментари, и уведомява останалите държави членки, че е издадено становище, чрез защитената и криптирана система, посочена в член 12, параграф 4;</w:t>
      </w:r>
    </w:p>
    <w:p w14:paraId="1A73D4DA" w14:textId="77777777" w:rsidR="00C63021" w:rsidRPr="00133050" w:rsidRDefault="00BA07E4" w:rsidP="00BA07E4">
      <w:pPr>
        <w:pStyle w:val="Point1"/>
        <w:rPr>
          <w:noProof/>
        </w:rPr>
      </w:pPr>
      <w:r>
        <w:rPr>
          <w:noProof/>
        </w:rPr>
        <w:t>б)</w:t>
      </w:r>
      <w:r>
        <w:rPr>
          <w:noProof/>
        </w:rPr>
        <w:tab/>
      </w:r>
      <w:r w:rsidR="00C63021" w:rsidRPr="00133050">
        <w:rPr>
          <w:noProof/>
        </w:rPr>
        <w:t>изпраща становища, отговарящи на условията, посочени в параграф 2, буква б), и становища, отговарящи на условията, посочени в параграф 3, на всички държави членки чрез защитената и криптирана система, посочена в член 12, параграф 4.</w:t>
      </w:r>
    </w:p>
    <w:p w14:paraId="68B97F97" w14:textId="77777777" w:rsidR="00C63021" w:rsidRPr="00133050" w:rsidRDefault="00C63021" w:rsidP="00C63021">
      <w:pPr>
        <w:pStyle w:val="ManualNumPar1"/>
        <w:rPr>
          <w:noProof/>
        </w:rPr>
      </w:pPr>
      <w:r>
        <w:rPr>
          <w:noProof/>
        </w:rPr>
        <w:t>5.</w:t>
      </w:r>
      <w:r>
        <w:rPr>
          <w:noProof/>
        </w:rPr>
        <w:tab/>
      </w:r>
      <w:r w:rsidRPr="00133050">
        <w:rPr>
          <w:noProof/>
        </w:rPr>
        <w:t xml:space="preserve">Когато държавата членка, в която се планира или вече е осъществена чуждестранната инвестиция, получи коментар от друга държава членка съгласно параграф 1 или становище от Комисията съгласно параграфи 2 или 3, тя обръща максимално внимание на този коментар или становище. </w:t>
      </w:r>
    </w:p>
    <w:p w14:paraId="2F60C03D" w14:textId="77777777" w:rsidR="00C63021" w:rsidRPr="00133050" w:rsidRDefault="00C63021" w:rsidP="00C63021">
      <w:pPr>
        <w:pStyle w:val="ManualNumPar1"/>
        <w:rPr>
          <w:noProof/>
        </w:rPr>
      </w:pPr>
      <w:r>
        <w:rPr>
          <w:noProof/>
        </w:rPr>
        <w:t>6.</w:t>
      </w:r>
      <w:r>
        <w:rPr>
          <w:noProof/>
        </w:rPr>
        <w:tab/>
      </w:r>
      <w:r w:rsidRPr="00133050">
        <w:rPr>
          <w:noProof/>
        </w:rPr>
        <w:t xml:space="preserve">След получаването на коментар съгласно параграф 1 държавата членка организира среща с държавите членки, които са отправили коментари, за да обсъдят как най-добре да се справят с установените рискове. Ако държавата членка, в която се планира или вече е осъществена чуждестранната инвестиция, не е съгласна с установените рискове или, ако е приложимо, с </w:t>
      </w:r>
      <w:r w:rsidRPr="00133050">
        <w:rPr>
          <w:noProof/>
        </w:rPr>
        <w:lastRenderedPageBreak/>
        <w:t xml:space="preserve">предложената с коментара мярка, държавите членки се стремят да намерят алтернативни решения. Когато коментарът се отнася до многонационална сделка, другите държави членки, които са подали уведомление за чуждестранната инвестиция, също се приканват да обсъдят дали предвидените резултати са съвместими помежду си и, когато е приложимо, дали с предвидените условия може адекватно да се преодолеят установените трансгранични рискове. </w:t>
      </w:r>
      <w:r w:rsidRPr="00133050">
        <w:rPr>
          <w:noProof/>
          <w:color w:val="000000" w:themeColor="text1"/>
        </w:rPr>
        <w:t>Комисията трябва да бъде поканена да присъства на всички такива заседания</w:t>
      </w:r>
      <w:r w:rsidRPr="00133050">
        <w:rPr>
          <w:noProof/>
        </w:rPr>
        <w:t>.</w:t>
      </w:r>
    </w:p>
    <w:p w14:paraId="2DBBABB8" w14:textId="77777777" w:rsidR="00C63021" w:rsidRPr="00133050" w:rsidRDefault="00C63021" w:rsidP="00C63021">
      <w:pPr>
        <w:pStyle w:val="ManualNumPar1"/>
        <w:rPr>
          <w:noProof/>
        </w:rPr>
      </w:pPr>
      <w:r>
        <w:rPr>
          <w:noProof/>
        </w:rPr>
        <w:t>7.</w:t>
      </w:r>
      <w:r>
        <w:rPr>
          <w:noProof/>
        </w:rPr>
        <w:tab/>
      </w:r>
      <w:r w:rsidRPr="00133050">
        <w:rPr>
          <w:noProof/>
        </w:rPr>
        <w:t xml:space="preserve">След получаване на становище съгласно параграф 2 или 3 процедурата, посочена в параграф 6, се прилага </w:t>
      </w:r>
      <w:r w:rsidRPr="00133050">
        <w:rPr>
          <w:i/>
          <w:noProof/>
        </w:rPr>
        <w:t>mutatis mutandis</w:t>
      </w:r>
      <w:r w:rsidRPr="00133050">
        <w:rPr>
          <w:noProof/>
        </w:rPr>
        <w:t>.</w:t>
      </w:r>
    </w:p>
    <w:p w14:paraId="13B7773B" w14:textId="77777777" w:rsidR="00C63021" w:rsidRPr="00133050" w:rsidRDefault="00C63021" w:rsidP="00C63021">
      <w:pPr>
        <w:pStyle w:val="ManualNumPar1"/>
        <w:rPr>
          <w:noProof/>
        </w:rPr>
      </w:pPr>
      <w:r>
        <w:rPr>
          <w:noProof/>
        </w:rPr>
        <w:t>8.</w:t>
      </w:r>
      <w:r>
        <w:rPr>
          <w:noProof/>
        </w:rPr>
        <w:tab/>
      </w:r>
      <w:r w:rsidRPr="00133050">
        <w:rPr>
          <w:noProof/>
        </w:rPr>
        <w:t xml:space="preserve">След получаване на становище съгласно параграф 2 или 3 държавата членка, в която се планира или вече е осъществена чуждестранната инвестиция: </w:t>
      </w:r>
    </w:p>
    <w:p w14:paraId="0065CD8E" w14:textId="77777777" w:rsidR="00C63021" w:rsidRPr="00133050" w:rsidRDefault="00BA07E4" w:rsidP="00BA07E4">
      <w:pPr>
        <w:pStyle w:val="Point1"/>
        <w:rPr>
          <w:noProof/>
        </w:rPr>
      </w:pPr>
      <w:r>
        <w:rPr>
          <w:noProof/>
        </w:rPr>
        <w:t>а)</w:t>
      </w:r>
      <w:r>
        <w:rPr>
          <w:noProof/>
        </w:rPr>
        <w:tab/>
      </w:r>
      <w:r w:rsidR="00C63021" w:rsidRPr="00133050">
        <w:rPr>
          <w:noProof/>
        </w:rPr>
        <w:t xml:space="preserve">уведомява съответните държави членки и Комисията за скрининговото си решение чрез защитената и криптирана система, посочена в член 12, параграф 4, не по-късно от 3 календарни дни след изпращането му на съответните страни по чуждестранната инвестиция; </w:t>
      </w:r>
    </w:p>
    <w:p w14:paraId="5C8B8020" w14:textId="77777777" w:rsidR="00C63021" w:rsidRPr="00133050" w:rsidRDefault="00BA07E4" w:rsidP="00BA07E4">
      <w:pPr>
        <w:pStyle w:val="Point1"/>
        <w:rPr>
          <w:noProof/>
        </w:rPr>
      </w:pPr>
      <w:r>
        <w:rPr>
          <w:noProof/>
        </w:rPr>
        <w:t>б)</w:t>
      </w:r>
      <w:r>
        <w:rPr>
          <w:noProof/>
        </w:rPr>
        <w:tab/>
      </w:r>
      <w:r w:rsidR="00C63021" w:rsidRPr="00133050">
        <w:rPr>
          <w:noProof/>
        </w:rPr>
        <w:t xml:space="preserve">не по-късно от 7 календарни дни след като за скрининговото решение е било подадено уведомление съгласно буква а), предоставя писмено обяснение на съответните държави членки и на Комисията чрез защитената и криптирана система, посочена в член 12, параграф 4, относно: </w:t>
      </w:r>
    </w:p>
    <w:p w14:paraId="6EBF26A9" w14:textId="77777777" w:rsidR="00C63021" w:rsidRPr="00133050" w:rsidRDefault="00CC5BED" w:rsidP="00CC5BED">
      <w:pPr>
        <w:pStyle w:val="Point2"/>
        <w:rPr>
          <w:noProof/>
        </w:rPr>
      </w:pPr>
      <w:r w:rsidRPr="00133050">
        <w:rPr>
          <w:noProof/>
        </w:rPr>
        <w:t>i)</w:t>
      </w:r>
      <w:r w:rsidRPr="00133050">
        <w:rPr>
          <w:noProof/>
        </w:rPr>
        <w:tab/>
        <w:t>това как е взела под внимание коментарите на държавите членки или становището на Комисията; или</w:t>
      </w:r>
    </w:p>
    <w:p w14:paraId="363B2438" w14:textId="77777777" w:rsidR="00C63021" w:rsidRPr="00133050" w:rsidRDefault="00CC5BED" w:rsidP="00CC5BED">
      <w:pPr>
        <w:pStyle w:val="Point2"/>
        <w:rPr>
          <w:noProof/>
        </w:rPr>
      </w:pPr>
      <w:r w:rsidRPr="00133050">
        <w:rPr>
          <w:noProof/>
        </w:rPr>
        <w:t>ii)</w:t>
      </w:r>
      <w:r w:rsidRPr="00133050">
        <w:rPr>
          <w:noProof/>
        </w:rPr>
        <w:tab/>
        <w:t xml:space="preserve">основанието за несъгласието си с коментарите на държавите членки или със становището на Комисията. </w:t>
      </w:r>
    </w:p>
    <w:p w14:paraId="15E957E1" w14:textId="77777777" w:rsidR="00C63021" w:rsidRPr="00133050" w:rsidRDefault="00D53157" w:rsidP="00C321D4">
      <w:pPr>
        <w:pStyle w:val="ManualNumPar1"/>
        <w:rPr>
          <w:noProof/>
        </w:rPr>
      </w:pPr>
      <w:r>
        <w:rPr>
          <w:noProof/>
        </w:rPr>
        <w:t>9.</w:t>
      </w:r>
      <w:r>
        <w:rPr>
          <w:noProof/>
        </w:rPr>
        <w:tab/>
      </w:r>
      <w:r w:rsidRPr="00133050">
        <w:rPr>
          <w:noProof/>
        </w:rPr>
        <w:t xml:space="preserve">Когато държавите членки или Комисията отбележат, че в скрининговото решение, посочено в параграф 8, буква а) от настоящия член, на техните коментари, предоставени съгласно параграф 1, или на становището, предоставено съгласно параграф 2 или 3, не е отделено максимално внимание, държавата членка, в която се планира или вече е осъществена инвестицията, организира среща, за да обясни срещнатите пречки или причините за несъгласието си и полага усилия да намери решения за евентуална подобна ситуация в бъдеще. Когато скрининговото решение се отнася за многонационално уведомление, другите държави членки, които са подали уведомление за чуждестранната инвестиция до механизма за сътрудничество, също трябва да бъдат поканени да участват. </w:t>
      </w:r>
      <w:r w:rsidRPr="00133050">
        <w:rPr>
          <w:noProof/>
          <w:color w:val="000000" w:themeColor="text1"/>
        </w:rPr>
        <w:t>Комисията трябва да бъде поканена да присъства на всички заседания, организирани съгласно настоящия параграф</w:t>
      </w:r>
      <w:r w:rsidRPr="00133050">
        <w:rPr>
          <w:noProof/>
        </w:rPr>
        <w:t>.</w:t>
      </w:r>
    </w:p>
    <w:p w14:paraId="33DD1CEB" w14:textId="77777777" w:rsidR="00C321D4" w:rsidRPr="00133050" w:rsidRDefault="00C321D4" w:rsidP="00C321D4">
      <w:pPr>
        <w:pStyle w:val="ManualNumPar1"/>
        <w:rPr>
          <w:noProof/>
        </w:rPr>
      </w:pPr>
      <w:r>
        <w:rPr>
          <w:noProof/>
        </w:rPr>
        <w:t>10.</w:t>
      </w:r>
      <w:r>
        <w:rPr>
          <w:noProof/>
        </w:rPr>
        <w:tab/>
      </w:r>
      <w:r w:rsidRPr="00133050">
        <w:rPr>
          <w:noProof/>
        </w:rPr>
        <w:t xml:space="preserve">Комисията създава защитена база данни, достъпна за всички държави членки, с информация за чуждестранните инвестиции, оценени по механизма за сътрудничество, и за резултатите от оценките в рамките на националните механизми за скрининг, включително информация относно съответните скринингови решения. Комисията зарежда в тази база данни информацията, която има на разположение от 12 октомври 2020 г. насетне. До [датата на прилагане на настоящия регламент] държавите членки зареждат в тази база данни информацията, с която разполагат, относно резултата от съответната </w:t>
      </w:r>
      <w:r w:rsidRPr="00133050">
        <w:rPr>
          <w:noProof/>
        </w:rPr>
        <w:lastRenderedPageBreak/>
        <w:t>процедура в рамките на техните собствени механизми за скрининг. Те могат да предоставят и допълнителни обяснения.</w:t>
      </w:r>
    </w:p>
    <w:p w14:paraId="44AB3677" w14:textId="77777777" w:rsidR="00DB6494" w:rsidRPr="00133050" w:rsidRDefault="00DB6494" w:rsidP="00DB6494">
      <w:pPr>
        <w:pStyle w:val="ManualNumPar1"/>
        <w:rPr>
          <w:noProof/>
        </w:rPr>
      </w:pPr>
      <w:r>
        <w:rPr>
          <w:noProof/>
        </w:rPr>
        <w:t>11.</w:t>
      </w:r>
      <w:r>
        <w:rPr>
          <w:noProof/>
        </w:rPr>
        <w:tab/>
      </w:r>
      <w:r w:rsidRPr="00133050">
        <w:rPr>
          <w:noProof/>
          <w:color w:val="000000" w:themeColor="text1"/>
        </w:rPr>
        <w:t xml:space="preserve">Когато </w:t>
      </w:r>
      <w:r w:rsidRPr="00133050">
        <w:rPr>
          <w:noProof/>
        </w:rPr>
        <w:t xml:space="preserve">държавите членки отправят коментари или Комисията издава становище съгласно настоящия член, в зависимост от случая, те преценяват дали тези коментари или становището следва да бъдат класифицирана информация и какво ниво на класификация за сигурност следва да се прилага по отношение на тях съгласно законодателството на Съюза и съответното национално законодателство в областта на класифицираната информация. </w:t>
      </w:r>
    </w:p>
    <w:p w14:paraId="77555DED" w14:textId="77777777" w:rsidR="007710F1" w:rsidRPr="00133050" w:rsidRDefault="007710F1" w:rsidP="00A03209">
      <w:pPr>
        <w:pStyle w:val="Titrearticle0"/>
        <w:rPr>
          <w:noProof/>
        </w:rPr>
      </w:pPr>
      <w:r w:rsidRPr="00133050">
        <w:rPr>
          <w:noProof/>
        </w:rPr>
        <w:t>Член 8</w:t>
      </w:r>
    </w:p>
    <w:p w14:paraId="2101401D" w14:textId="77777777" w:rsidR="007710F1" w:rsidRPr="00133050" w:rsidRDefault="00FE78C8" w:rsidP="007710F1">
      <w:pPr>
        <w:shd w:val="clear" w:color="auto" w:fill="FFFFFF" w:themeFill="background1"/>
        <w:tabs>
          <w:tab w:val="left" w:pos="5000"/>
        </w:tabs>
        <w:spacing w:after="0"/>
        <w:jc w:val="center"/>
        <w:rPr>
          <w:b/>
          <w:noProof/>
        </w:rPr>
      </w:pPr>
      <w:r w:rsidRPr="00133050">
        <w:rPr>
          <w:b/>
          <w:noProof/>
        </w:rPr>
        <w:t>Срокове и процедури за предоставяне на коментари и становища относно чуждестранни инвестиции, за които е постъпило уведомление</w:t>
      </w:r>
    </w:p>
    <w:p w14:paraId="48056B7B" w14:textId="77777777" w:rsidR="007710F1" w:rsidRPr="00133050" w:rsidRDefault="00F17CE9" w:rsidP="00C01EE5">
      <w:pPr>
        <w:pStyle w:val="ManualNumPar1"/>
        <w:rPr>
          <w:noProof/>
        </w:rPr>
      </w:pPr>
      <w:r>
        <w:rPr>
          <w:noProof/>
        </w:rPr>
        <w:t>1.</w:t>
      </w:r>
      <w:r>
        <w:rPr>
          <w:noProof/>
        </w:rPr>
        <w:tab/>
      </w:r>
      <w:bookmarkStart w:id="13" w:name="_Ref144381362"/>
      <w:r w:rsidRPr="00133050">
        <w:rPr>
          <w:noProof/>
        </w:rPr>
        <w:t>Преди дадена държава членка да отправи коментар или Комисията да издаде становище</w:t>
      </w:r>
      <w:bookmarkEnd w:id="13"/>
      <w:r w:rsidRPr="00133050">
        <w:rPr>
          <w:noProof/>
        </w:rPr>
        <w:t xml:space="preserve"> съгласно член 7, се прилага следната процедура: </w:t>
      </w:r>
    </w:p>
    <w:p w14:paraId="12F92A73" w14:textId="77777777" w:rsidR="007710F1" w:rsidRPr="00133050" w:rsidRDefault="00BA07E4" w:rsidP="00BA07E4">
      <w:pPr>
        <w:pStyle w:val="Point1"/>
        <w:rPr>
          <w:noProof/>
        </w:rPr>
      </w:pPr>
      <w:bookmarkStart w:id="14" w:name="_Ref144381379"/>
      <w:r>
        <w:rPr>
          <w:noProof/>
        </w:rPr>
        <w:t>а)</w:t>
      </w:r>
      <w:r>
        <w:rPr>
          <w:noProof/>
        </w:rPr>
        <w:tab/>
      </w:r>
      <w:r w:rsidR="007710F1" w:rsidRPr="00133050">
        <w:rPr>
          <w:noProof/>
        </w:rPr>
        <w:t>държавите членки информират уведомяващата държава членка чрез защитената и криптирана система, посочена в член 12, параграф 4, че си запазват правото да отправят коментари, не по-късно от 15 календарни дни след получаването на уведомлението съгласно член </w:t>
      </w:r>
      <w:bookmarkEnd w:id="14"/>
      <w:r w:rsidR="007710F1" w:rsidRPr="00133050">
        <w:rPr>
          <w:noProof/>
        </w:rPr>
        <w:t xml:space="preserve">5; </w:t>
      </w:r>
    </w:p>
    <w:p w14:paraId="7BDE2C4E" w14:textId="77777777" w:rsidR="007710F1" w:rsidRPr="00133050" w:rsidRDefault="00BA07E4" w:rsidP="00BA07E4">
      <w:pPr>
        <w:pStyle w:val="Point1"/>
        <w:rPr>
          <w:noProof/>
        </w:rPr>
      </w:pPr>
      <w:bookmarkStart w:id="15" w:name="_Ref144381389"/>
      <w:r>
        <w:rPr>
          <w:noProof/>
        </w:rPr>
        <w:t>б)</w:t>
      </w:r>
      <w:r>
        <w:rPr>
          <w:noProof/>
        </w:rPr>
        <w:tab/>
      </w:r>
      <w:r w:rsidR="00327187" w:rsidRPr="00133050">
        <w:rPr>
          <w:noProof/>
        </w:rPr>
        <w:t>Комисията информира уведомяващата държава членка чрез защитената и криптирана система, посочена в член 12, параграф 4, че си запазва правото да издаде становище, не по-късно от 20 календарни дни след получаването на уведомлението съгласно член 5</w:t>
      </w:r>
      <w:bookmarkEnd w:id="15"/>
      <w:r w:rsidR="00327187" w:rsidRPr="00133050">
        <w:rPr>
          <w:noProof/>
        </w:rPr>
        <w:t>.</w:t>
      </w:r>
    </w:p>
    <w:p w14:paraId="1556A4D3" w14:textId="77777777" w:rsidR="00B9129A" w:rsidRPr="00133050" w:rsidRDefault="00F17CE9" w:rsidP="00C01EE5">
      <w:pPr>
        <w:pStyle w:val="ManualNumPar1"/>
        <w:rPr>
          <w:noProof/>
        </w:rPr>
      </w:pPr>
      <w:r>
        <w:rPr>
          <w:noProof/>
        </w:rPr>
        <w:t>2.</w:t>
      </w:r>
      <w:r>
        <w:rPr>
          <w:noProof/>
        </w:rPr>
        <w:tab/>
      </w:r>
      <w:r w:rsidRPr="00133050">
        <w:rPr>
          <w:noProof/>
        </w:rPr>
        <w:t>Когато си запазват правото да представят коментари или становище, държавите членки и Комисията може да поискат допълнителна информация от уведомяващата държава членка. Всяко искане за допълнителна информация е надлежно обосновано, ограничено до информацията, която е необходима на държавите членки, за да отправят коментари, или на Комисията, за да издаде становище, пропорционално на целите на искането и не прекалено обременяващо за уведомяващата държава членка. Когато държава членка отправя искане за допълнителна информация от уведомяващата държава членка, тя изпраща това искане едновременно и на Комисията.</w:t>
      </w:r>
    </w:p>
    <w:p w14:paraId="37FDE920" w14:textId="77777777" w:rsidR="00F17CE9" w:rsidRPr="00133050" w:rsidRDefault="00F17CE9" w:rsidP="00C01EE5">
      <w:pPr>
        <w:pStyle w:val="ManualNumPar1"/>
        <w:rPr>
          <w:noProof/>
        </w:rPr>
      </w:pPr>
      <w:r>
        <w:rPr>
          <w:noProof/>
        </w:rPr>
        <w:t>3.</w:t>
      </w:r>
      <w:r>
        <w:rPr>
          <w:noProof/>
        </w:rPr>
        <w:tab/>
      </w:r>
      <w:bookmarkStart w:id="16" w:name="_Ref144381434"/>
      <w:r w:rsidRPr="00133050">
        <w:rPr>
          <w:noProof/>
        </w:rPr>
        <w:t xml:space="preserve">За посочените в член 7 коментари от държавите членки и становища от Комисията се прилагат следните срокове: </w:t>
      </w:r>
      <w:bookmarkEnd w:id="16"/>
    </w:p>
    <w:p w14:paraId="22E54C7D" w14:textId="77777777" w:rsidR="00F17CE9" w:rsidRPr="00133050" w:rsidRDefault="00BA07E4" w:rsidP="00BA07E4">
      <w:pPr>
        <w:pStyle w:val="Point1"/>
        <w:rPr>
          <w:noProof/>
        </w:rPr>
      </w:pPr>
      <w:r>
        <w:rPr>
          <w:noProof/>
        </w:rPr>
        <w:t>а)</w:t>
      </w:r>
      <w:r>
        <w:rPr>
          <w:noProof/>
        </w:rPr>
        <w:tab/>
      </w:r>
      <w:r w:rsidR="00F17CE9" w:rsidRPr="00133050">
        <w:rPr>
          <w:noProof/>
        </w:rPr>
        <w:t xml:space="preserve">когато дадена държава членка си запазва правото да отправи коментари по чуждестранна инвестиция, за която е постъпило уведомление, без да изисква допълнителна информация от уведомяващата държава членка, съответните коментари се адресират до уведомяващата държава членка чрез защитената и криптирана система, посочена в член 12, параграф 4, не по-късно от 35 календарни дни след получаване на пълното уведомление за чуждестранната инвестиция; </w:t>
      </w:r>
    </w:p>
    <w:p w14:paraId="51B42569" w14:textId="77777777" w:rsidR="00F17CE9" w:rsidRPr="00133050" w:rsidRDefault="00BA07E4" w:rsidP="00BA07E4">
      <w:pPr>
        <w:pStyle w:val="Point1"/>
        <w:rPr>
          <w:noProof/>
        </w:rPr>
      </w:pPr>
      <w:r>
        <w:rPr>
          <w:noProof/>
        </w:rPr>
        <w:t>б)</w:t>
      </w:r>
      <w:r>
        <w:rPr>
          <w:noProof/>
        </w:rPr>
        <w:tab/>
      </w:r>
      <w:r w:rsidR="00F17CE9" w:rsidRPr="00133050">
        <w:rPr>
          <w:noProof/>
        </w:rPr>
        <w:t xml:space="preserve">когато Комисията си запазва правото да издаде становище относно чуждестранна инвестиция, за която е постъпило уведомление, без да изисква допълнителна информация от уведомяващата държава членка, съответното становище се адресира до уведомяващата държава членка чрез защитената и криптирана система, посочена в член 12, параграф 4, не </w:t>
      </w:r>
      <w:r w:rsidR="00F17CE9" w:rsidRPr="00133050">
        <w:rPr>
          <w:noProof/>
        </w:rPr>
        <w:lastRenderedPageBreak/>
        <w:t xml:space="preserve">по-късно от 45 календарни дни след получаване на пълното уведомление за чуждестранната инвестиция; </w:t>
      </w:r>
    </w:p>
    <w:p w14:paraId="070C0A5C" w14:textId="77777777" w:rsidR="00F17CE9" w:rsidRPr="00133050" w:rsidRDefault="00BA07E4" w:rsidP="00BA07E4">
      <w:pPr>
        <w:pStyle w:val="Point1"/>
        <w:rPr>
          <w:noProof/>
        </w:rPr>
      </w:pPr>
      <w:bookmarkStart w:id="17" w:name="_Ref144381444"/>
      <w:r>
        <w:rPr>
          <w:noProof/>
        </w:rPr>
        <w:t>в)</w:t>
      </w:r>
      <w:r>
        <w:rPr>
          <w:noProof/>
        </w:rPr>
        <w:tab/>
      </w:r>
      <w:r w:rsidR="00F17CE9" w:rsidRPr="00133050">
        <w:rPr>
          <w:noProof/>
        </w:rPr>
        <w:t xml:space="preserve">когато дадена държава членка си запазва правото да отправи коментари по чуждестранна инвестиция, за която е постъпило уведомление, и изисква допълнителна информация от уведомяващата държава членка, съответните коментари се адресират до уведомяващата държава членка чрез защитената и криптирана система, посочена в член 12, параграф 4, не по-късно от 20 календарни дни след получаване на пълната допълнителна информация; </w:t>
      </w:r>
      <w:bookmarkEnd w:id="17"/>
    </w:p>
    <w:p w14:paraId="73F61D65" w14:textId="77777777" w:rsidR="00F17CE9" w:rsidRPr="00133050" w:rsidRDefault="00BA07E4" w:rsidP="00BA07E4">
      <w:pPr>
        <w:pStyle w:val="Point1"/>
        <w:rPr>
          <w:noProof/>
        </w:rPr>
      </w:pPr>
      <w:bookmarkStart w:id="18" w:name="_Ref144381457"/>
      <w:r>
        <w:rPr>
          <w:noProof/>
        </w:rPr>
        <w:t>г)</w:t>
      </w:r>
      <w:r>
        <w:rPr>
          <w:noProof/>
        </w:rPr>
        <w:tab/>
      </w:r>
      <w:r w:rsidR="00F17CE9" w:rsidRPr="00133050">
        <w:rPr>
          <w:noProof/>
        </w:rPr>
        <w:t>когато Комисията си запазва правото да издаде становище и изисква допълнителна информация от уведомяващата държава членка, съответното становище се издава до уведомяващата държава членка чрез защитената и криптирана система, посочена в член 12, параграф 4, не по-късно от 30 календарни дни след получаване на пълната допълнителна информация.</w:t>
      </w:r>
      <w:bookmarkEnd w:id="18"/>
    </w:p>
    <w:p w14:paraId="43D2B1D0" w14:textId="77777777" w:rsidR="002A5EB5" w:rsidRPr="00133050" w:rsidRDefault="002A5EB5" w:rsidP="007426C6">
      <w:pPr>
        <w:pStyle w:val="Text1"/>
        <w:rPr>
          <w:noProof/>
        </w:rPr>
      </w:pPr>
      <w:r w:rsidRPr="00133050">
        <w:rPr>
          <w:noProof/>
        </w:rPr>
        <w:t>Уведомяващата държава членка издава своето скринингово решение едва след изтичането на сроковете, посочени в букви а)—г).</w:t>
      </w:r>
    </w:p>
    <w:p w14:paraId="04FC57CD" w14:textId="77777777" w:rsidR="00087622" w:rsidRPr="00133050" w:rsidRDefault="00087622" w:rsidP="00C01EE5">
      <w:pPr>
        <w:pStyle w:val="ManualNumPar1"/>
        <w:rPr>
          <w:noProof/>
        </w:rPr>
      </w:pPr>
      <w:r>
        <w:rPr>
          <w:noProof/>
        </w:rPr>
        <w:t>4.</w:t>
      </w:r>
      <w:r>
        <w:rPr>
          <w:noProof/>
        </w:rPr>
        <w:tab/>
      </w:r>
      <w:bookmarkStart w:id="19" w:name="_Ref144381970"/>
      <w:r w:rsidRPr="00133050">
        <w:rPr>
          <w:noProof/>
        </w:rPr>
        <w:t>Уведомяващата държава членка уведомява Комисията и другите държави членки чрез защитената и криптирана система, посочена в член 12, параграф 4, за всяка съществена нова информация или обстоятелства, които са от значение за оценката на чуждестранна инвестиция, за която вече е постъпило уведомление съгласно член 5. Ако тази информация бъде предоставена преди изтичането на крайните срокове, посочени в параграф 3, уведомяващата държава членка, Комисията и другите държави членки полагат усилия да се споразумеят за взаимно приемливо удължаване на срока. Ако сроковете за оценка на първоначалното уведомление, посочени в параграф 3, са изтекли, те започват да текат отново, като се спазват посочените в параграф 3, букви в) и г) срокове.</w:t>
      </w:r>
    </w:p>
    <w:bookmarkEnd w:id="19"/>
    <w:p w14:paraId="5FC101C7" w14:textId="77777777" w:rsidR="00237C89" w:rsidRPr="00133050" w:rsidRDefault="00237C89" w:rsidP="00237C89">
      <w:pPr>
        <w:pStyle w:val="ManualNumPar1"/>
        <w:rPr>
          <w:noProof/>
        </w:rPr>
      </w:pPr>
      <w:r>
        <w:rPr>
          <w:noProof/>
        </w:rPr>
        <w:t>5.</w:t>
      </w:r>
      <w:r>
        <w:rPr>
          <w:noProof/>
        </w:rPr>
        <w:tab/>
      </w:r>
      <w:r w:rsidRPr="00133050">
        <w:rPr>
          <w:noProof/>
        </w:rPr>
        <w:t xml:space="preserve">Уведомяващата държава членка предоставя без излишно забавяне пълната допълнителна информация, поискана от Комисията или от други държави членки съгласно параграф 2, чрез защитената и криптирана система, посочена в член 12, параграф 4. Когато уведомяващата държава членка предоставя допълнителна информация на държава членка, тази допълнителна информация се изпраща едновременно и на Комисията. </w:t>
      </w:r>
    </w:p>
    <w:p w14:paraId="0A6E12E0" w14:textId="77777777" w:rsidR="007710F1" w:rsidRPr="00133050" w:rsidRDefault="00087622" w:rsidP="00C01EE5">
      <w:pPr>
        <w:pStyle w:val="ManualNumPar1"/>
        <w:rPr>
          <w:noProof/>
        </w:rPr>
      </w:pPr>
      <w:r>
        <w:rPr>
          <w:noProof/>
        </w:rPr>
        <w:t>6.</w:t>
      </w:r>
      <w:r>
        <w:rPr>
          <w:noProof/>
        </w:rPr>
        <w:tab/>
      </w:r>
      <w:r w:rsidRPr="00133050">
        <w:rPr>
          <w:noProof/>
        </w:rPr>
        <w:t xml:space="preserve">Когато уведомяващата държава членка получи няколко искания за допълнителна информация за една и съща инвестиция — предмет на уведомление, тя предоставя цялата поискана допълнителна информация едновременно. </w:t>
      </w:r>
    </w:p>
    <w:p w14:paraId="3BD6DE36" w14:textId="77777777" w:rsidR="00BF2BC4" w:rsidRPr="00133050" w:rsidRDefault="002A5EB5" w:rsidP="002A5EB5">
      <w:pPr>
        <w:pStyle w:val="ManualNumPar1"/>
        <w:rPr>
          <w:noProof/>
        </w:rPr>
      </w:pPr>
      <w:r>
        <w:rPr>
          <w:noProof/>
        </w:rPr>
        <w:t>7.</w:t>
      </w:r>
      <w:r>
        <w:rPr>
          <w:noProof/>
        </w:rPr>
        <w:tab/>
      </w:r>
      <w:r w:rsidRPr="00133050">
        <w:rPr>
          <w:noProof/>
        </w:rPr>
        <w:t xml:space="preserve">Когато няколко уведомяващи държави членки получат искания за допълнителна информация относно дадено многонационално уведомление, сроковете, посочени в параграф 3, започват да текат от датата на получаване на последната пълна допълнителна информация. Комисията съобщава тази дата и срока на съответните държави членки. </w:t>
      </w:r>
    </w:p>
    <w:p w14:paraId="3D17985B" w14:textId="77777777" w:rsidR="00B0511B" w:rsidRPr="00133050" w:rsidRDefault="0021258C" w:rsidP="00147561">
      <w:pPr>
        <w:pStyle w:val="ManualNumPar1"/>
        <w:rPr>
          <w:noProof/>
        </w:rPr>
      </w:pPr>
      <w:r>
        <w:rPr>
          <w:noProof/>
        </w:rPr>
        <w:t>8.</w:t>
      </w:r>
      <w:r>
        <w:rPr>
          <w:noProof/>
        </w:rPr>
        <w:tab/>
      </w:r>
      <w:r w:rsidRPr="00133050">
        <w:rPr>
          <w:noProof/>
        </w:rPr>
        <w:t xml:space="preserve">Когато поради извънредни обстоятелства уведомяващата държава членка счита, че нейната сигурност или обществен ред изискват издаването на скринингово решение преди изтичането на сроковете, посочени в параграф 3, тя уведомява останалите държави членки и Комисията за своето намерение и </w:t>
      </w:r>
      <w:r w:rsidRPr="00133050">
        <w:rPr>
          <w:noProof/>
        </w:rPr>
        <w:lastRenderedPageBreak/>
        <w:t>надлежно обосновава необходимостта от незабавни действия. Останалите държави членки отправят коментари, а Комисията   издава становище експедитивно. До тази процедура не може да се прибягва, само за да се обслужат търговските интереси на заявителя, подаващ искане за разрешение.</w:t>
      </w:r>
    </w:p>
    <w:p w14:paraId="4D3CB3A0" w14:textId="77777777" w:rsidR="00E05B4C" w:rsidRPr="00133050" w:rsidRDefault="00E05B4C" w:rsidP="00147561">
      <w:pPr>
        <w:pStyle w:val="ManualNumPar1"/>
        <w:rPr>
          <w:noProof/>
        </w:rPr>
      </w:pPr>
      <w:r>
        <w:rPr>
          <w:noProof/>
        </w:rPr>
        <w:t>9.</w:t>
      </w:r>
      <w:r>
        <w:rPr>
          <w:noProof/>
        </w:rPr>
        <w:tab/>
      </w:r>
      <w:r w:rsidRPr="00133050">
        <w:rPr>
          <w:noProof/>
        </w:rPr>
        <w:t>Всички срокове, посочени в настоящия член, спират да текат през периода между 25 декември и 1 януари и започват да текат отново на 2 януари.</w:t>
      </w:r>
    </w:p>
    <w:p w14:paraId="2CC3CF6D" w14:textId="77777777" w:rsidR="00E0321C" w:rsidRPr="00133050" w:rsidRDefault="00A03209" w:rsidP="00A03209">
      <w:pPr>
        <w:pStyle w:val="Titrearticle0"/>
        <w:rPr>
          <w:noProof/>
        </w:rPr>
      </w:pPr>
      <w:r w:rsidRPr="00133050">
        <w:rPr>
          <w:noProof/>
        </w:rPr>
        <w:t>Член 9</w:t>
      </w:r>
    </w:p>
    <w:p w14:paraId="6EF95B51" w14:textId="77777777" w:rsidR="00E0321C" w:rsidRPr="00133050" w:rsidRDefault="00B46E42" w:rsidP="3CD612A6">
      <w:pPr>
        <w:shd w:val="clear" w:color="auto" w:fill="FFFFFF" w:themeFill="background1"/>
        <w:tabs>
          <w:tab w:val="left" w:pos="5000"/>
        </w:tabs>
        <w:spacing w:after="0"/>
        <w:jc w:val="center"/>
        <w:rPr>
          <w:b/>
          <w:noProof/>
        </w:rPr>
      </w:pPr>
      <w:r w:rsidRPr="00133050">
        <w:rPr>
          <w:b/>
          <w:noProof/>
        </w:rPr>
        <w:t>Процедура по собствена инициатива</w:t>
      </w:r>
    </w:p>
    <w:p w14:paraId="6F3120A5" w14:textId="77777777" w:rsidR="0000764C" w:rsidRPr="00133050" w:rsidRDefault="00E0321C" w:rsidP="00C01EE5">
      <w:pPr>
        <w:pStyle w:val="ManualNumPar1"/>
        <w:rPr>
          <w:noProof/>
        </w:rPr>
      </w:pPr>
      <w:r>
        <w:rPr>
          <w:noProof/>
        </w:rPr>
        <w:t>1.</w:t>
      </w:r>
      <w:r>
        <w:rPr>
          <w:noProof/>
        </w:rPr>
        <w:tab/>
      </w:r>
      <w:bookmarkStart w:id="20" w:name="_Ref144381868"/>
      <w:r w:rsidRPr="00133050">
        <w:rPr>
          <w:noProof/>
        </w:rPr>
        <w:t>Държава членка, която счита, че чуждестранна инвестиция на територията на друга държава членка, за която не е било подадено уведомление в рамките на механизма за сътрудничество, има вероятност да повлияе отрицателно на нейната сигурност или обществения ѝ ред, може да започне процедура по собствена инициатива</w:t>
      </w:r>
      <w:bookmarkEnd w:id="20"/>
      <w:r w:rsidRPr="00133050">
        <w:rPr>
          <w:noProof/>
        </w:rPr>
        <w:t xml:space="preserve"> по отношение на тази чуждестранна инвестиция. Преди да започне процедурата, държавата членка проверява дали държавата членка, в която се планира или вече е осъществена инвестицията, не възнамерява да подаде уведомление за чуждестранната инвестиция до механизма за сътрудничество. </w:t>
      </w:r>
    </w:p>
    <w:p w14:paraId="4ABE3B46" w14:textId="77777777" w:rsidR="00E0321C" w:rsidRPr="00133050" w:rsidRDefault="0000764C" w:rsidP="00C01EE5">
      <w:pPr>
        <w:pStyle w:val="ManualNumPar1"/>
        <w:rPr>
          <w:noProof/>
        </w:rPr>
      </w:pPr>
      <w:r>
        <w:rPr>
          <w:noProof/>
        </w:rPr>
        <w:t>2.</w:t>
      </w:r>
      <w:r>
        <w:rPr>
          <w:noProof/>
        </w:rPr>
        <w:tab/>
      </w:r>
      <w:r w:rsidRPr="00133050">
        <w:rPr>
          <w:noProof/>
        </w:rPr>
        <w:t>На държавите членки се предоставя правото, в рамките на най-малко 15 месеца след осъществяване на чуждестранната инвестиция, да започнат процедурата, посочена в параграф 1, при условие че междувременно до механизма за сътрудничество не е било подадено уведомление за съответната чуждестранна инвестиция.</w:t>
      </w:r>
    </w:p>
    <w:p w14:paraId="7EF4C478" w14:textId="77777777" w:rsidR="0000764C" w:rsidRPr="00133050" w:rsidRDefault="00E0321C" w:rsidP="00C01EE5">
      <w:pPr>
        <w:pStyle w:val="ManualNumPar1"/>
        <w:rPr>
          <w:noProof/>
        </w:rPr>
      </w:pPr>
      <w:r>
        <w:rPr>
          <w:noProof/>
        </w:rPr>
        <w:t>3.</w:t>
      </w:r>
      <w:r>
        <w:rPr>
          <w:noProof/>
        </w:rPr>
        <w:tab/>
      </w:r>
      <w:bookmarkStart w:id="21" w:name="_Ref144381885"/>
      <w:r w:rsidRPr="00133050">
        <w:rPr>
          <w:noProof/>
        </w:rPr>
        <w:t>Комисията може да започне процедура по собствена инициатива, когато прецени, че чуждестранна инвестиция на територията на държава членка, за която не е подадено уведомление в рамките на механизма за сътрудничество, попада в обхвата на член 7, параграф 2</w:t>
      </w:r>
      <w:bookmarkEnd w:id="21"/>
      <w:r w:rsidRPr="00133050">
        <w:rPr>
          <w:noProof/>
        </w:rPr>
        <w:t xml:space="preserve">. Преди да започне процедурата, Комисията проверява дали държавата членка, в която се планира или вече е осъществена инвестицията, не възнамерява да подаде уведомление за чуждестранната инвестиция в рамките на механизма за сътрудничество. </w:t>
      </w:r>
    </w:p>
    <w:p w14:paraId="0F2219D8" w14:textId="77777777" w:rsidR="00E0321C" w:rsidRPr="00133050" w:rsidRDefault="0000764C" w:rsidP="00C01EE5">
      <w:pPr>
        <w:pStyle w:val="ManualNumPar1"/>
        <w:rPr>
          <w:noProof/>
        </w:rPr>
      </w:pPr>
      <w:r>
        <w:rPr>
          <w:noProof/>
        </w:rPr>
        <w:t>4.</w:t>
      </w:r>
      <w:r>
        <w:rPr>
          <w:noProof/>
        </w:rPr>
        <w:tab/>
      </w:r>
      <w:r w:rsidRPr="00133050">
        <w:rPr>
          <w:noProof/>
        </w:rPr>
        <w:t>На Комисията се предоставя правото, в рамките на най-малко 15 месеца след осъществяване на чуждестранната инвестиция, да започне процедурата, посочена в параграф 3, при условие че междувременно до механизма за сътрудничество не е било подадено уведомление за съответната чуждестранна инвестиция.</w:t>
      </w:r>
    </w:p>
    <w:p w14:paraId="2A463CD3" w14:textId="77777777" w:rsidR="00E0321C" w:rsidRPr="00133050" w:rsidRDefault="00E609CB" w:rsidP="00C01EE5">
      <w:pPr>
        <w:pStyle w:val="ManualNumPar1"/>
        <w:rPr>
          <w:noProof/>
        </w:rPr>
      </w:pPr>
      <w:r>
        <w:rPr>
          <w:noProof/>
        </w:rPr>
        <w:t>5.</w:t>
      </w:r>
      <w:r>
        <w:rPr>
          <w:noProof/>
        </w:rPr>
        <w:tab/>
      </w:r>
      <w:bookmarkStart w:id="22" w:name="_Ref144119349"/>
      <w:bookmarkStart w:id="23" w:name="_Ref144381739"/>
      <w:r w:rsidRPr="00133050">
        <w:rPr>
          <w:noProof/>
        </w:rPr>
        <w:t xml:space="preserve">Държавите членки или Комисията започват процедурата по собствена инициатива, посочена съответно в параграфи 1 и 3, като изпращат до държавата членка, в която се планира или вече е осъществена чуждестранната инвестиция, надлежно мотивирано искане за информация чрез защитената и криптирана система, посочена в член 12, параграф 4. </w:t>
      </w:r>
      <w:bookmarkEnd w:id="22"/>
      <w:r w:rsidRPr="00133050">
        <w:rPr>
          <w:noProof/>
        </w:rPr>
        <w:t>Всяко искане за информация съгласно настоящия параграф е надлежно обосновано, ограничено до информацията, която е необходима на държавите членки, за да отправят коментари, или на Комисията, за да издаде становище, пропорционално на целите на искането и не прекалено обременяващо за уведомяващата държава членка. Когато искането за информация е подадено от държава членка, тази държава членка изпраща искането едновременно и на Комисията.</w:t>
      </w:r>
      <w:bookmarkEnd w:id="23"/>
    </w:p>
    <w:p w14:paraId="63983DD2" w14:textId="77777777" w:rsidR="00DF36BB" w:rsidRPr="00133050" w:rsidRDefault="00DF36BB" w:rsidP="00C01EE5">
      <w:pPr>
        <w:pStyle w:val="ManualNumPar1"/>
        <w:rPr>
          <w:noProof/>
        </w:rPr>
      </w:pPr>
      <w:r>
        <w:rPr>
          <w:noProof/>
        </w:rPr>
        <w:lastRenderedPageBreak/>
        <w:t>6.</w:t>
      </w:r>
      <w:r>
        <w:rPr>
          <w:noProof/>
        </w:rPr>
        <w:tab/>
      </w:r>
      <w:r w:rsidRPr="00133050">
        <w:rPr>
          <w:noProof/>
        </w:rPr>
        <w:t xml:space="preserve">Държавата членка, в която се планира или вече е осъществена инвестицията, предоставя без излишно забавяне пълната информация, поискана от другите държави членки или от Комисията съгласно параграф 5, чрез защитената и криптирана система, посочена в член 12, параграф 4. Когато уведомяващата държава членка предоставя допълнителна информация на държава членка, тази допълнителна информация се изпраща едновременно и на Комисията. </w:t>
      </w:r>
    </w:p>
    <w:p w14:paraId="628892F4" w14:textId="77777777" w:rsidR="00C63021" w:rsidRPr="00133050" w:rsidRDefault="005D3AD8" w:rsidP="00C63021">
      <w:pPr>
        <w:pStyle w:val="ManualNumPar1"/>
        <w:rPr>
          <w:noProof/>
        </w:rPr>
      </w:pPr>
      <w:r>
        <w:rPr>
          <w:noProof/>
        </w:rPr>
        <w:t>7.</w:t>
      </w:r>
      <w:r>
        <w:rPr>
          <w:noProof/>
        </w:rPr>
        <w:tab/>
      </w:r>
      <w:r w:rsidRPr="00133050">
        <w:rPr>
          <w:noProof/>
        </w:rPr>
        <w:t xml:space="preserve">След получаването на информацията, посочена в параграф 6, държавите членки могат да отправят коментари, а Комисията може да издаде становище за държавата членка, в която се планира или вече е осъществена чуждестранната инвестиция. Правилата и процедурите, определени в членове 7 и 8, се прилагат </w:t>
      </w:r>
      <w:r w:rsidRPr="00133050">
        <w:rPr>
          <w:i/>
          <w:noProof/>
        </w:rPr>
        <w:t>mutatis mutandis</w:t>
      </w:r>
      <w:r w:rsidRPr="00133050">
        <w:rPr>
          <w:noProof/>
        </w:rPr>
        <w:t>, като се спазват следните изменения:</w:t>
      </w:r>
    </w:p>
    <w:p w14:paraId="2C7A8989" w14:textId="77777777" w:rsidR="00C63021" w:rsidRPr="00133050" w:rsidRDefault="00BA07E4" w:rsidP="00BA07E4">
      <w:pPr>
        <w:pStyle w:val="Point1"/>
        <w:rPr>
          <w:noProof/>
        </w:rPr>
      </w:pPr>
      <w:r>
        <w:rPr>
          <w:noProof/>
        </w:rPr>
        <w:t>а)</w:t>
      </w:r>
      <w:r>
        <w:rPr>
          <w:noProof/>
        </w:rPr>
        <w:tab/>
      </w:r>
      <w:r w:rsidR="00C63021" w:rsidRPr="00133050">
        <w:rPr>
          <w:noProof/>
        </w:rPr>
        <w:t xml:space="preserve">коментарите на държавите членки или становището на Комисията се изпращат не по-късно от 35 календарни дни след получаването на пълната информация, поискана съгласно параграф 5; </w:t>
      </w:r>
    </w:p>
    <w:p w14:paraId="73FB2003" w14:textId="77777777" w:rsidR="00C63021" w:rsidRPr="00133050" w:rsidRDefault="00BA07E4" w:rsidP="00BA07E4">
      <w:pPr>
        <w:pStyle w:val="Point1"/>
        <w:rPr>
          <w:noProof/>
        </w:rPr>
      </w:pPr>
      <w:r>
        <w:rPr>
          <w:noProof/>
        </w:rPr>
        <w:t>б)</w:t>
      </w:r>
      <w:r>
        <w:rPr>
          <w:noProof/>
        </w:rPr>
        <w:tab/>
      </w:r>
      <w:r w:rsidR="00E609CB" w:rsidRPr="00133050">
        <w:rPr>
          <w:noProof/>
        </w:rPr>
        <w:t>за процедури, започнати съгласно параграф 1, Комисията разполага с 15 допълнителни календарни дни, за да издаде становище, след изтичането на крайния срок за държавата членка, посочен в буква а) от настоящия параграф.</w:t>
      </w:r>
    </w:p>
    <w:p w14:paraId="04080BBA" w14:textId="77777777" w:rsidR="00E0321C" w:rsidRPr="00133050" w:rsidRDefault="00A03209" w:rsidP="00A03209">
      <w:pPr>
        <w:pStyle w:val="Titrearticle0"/>
        <w:rPr>
          <w:noProof/>
        </w:rPr>
      </w:pPr>
      <w:r w:rsidRPr="00133050">
        <w:rPr>
          <w:noProof/>
        </w:rPr>
        <w:t>Член 10</w:t>
      </w:r>
    </w:p>
    <w:p w14:paraId="43B6A321" w14:textId="77777777" w:rsidR="00E0321C" w:rsidRPr="00133050" w:rsidRDefault="00E0321C" w:rsidP="7AEE87CE">
      <w:pPr>
        <w:shd w:val="clear" w:color="auto" w:fill="FFFFFF" w:themeFill="background1"/>
        <w:spacing w:before="60"/>
        <w:jc w:val="center"/>
        <w:rPr>
          <w:b/>
          <w:noProof/>
          <w:color w:val="000000" w:themeColor="text1"/>
        </w:rPr>
      </w:pPr>
      <w:r w:rsidRPr="00133050">
        <w:rPr>
          <w:b/>
          <w:noProof/>
          <w:color w:val="000000" w:themeColor="text1"/>
        </w:rPr>
        <w:t xml:space="preserve">Изисквания по отношение на информация </w:t>
      </w:r>
    </w:p>
    <w:p w14:paraId="509D0A8B" w14:textId="77777777" w:rsidR="00D151F9" w:rsidRPr="00133050" w:rsidRDefault="007E2777" w:rsidP="00C01EE5">
      <w:pPr>
        <w:pStyle w:val="ManualNumPar1"/>
        <w:rPr>
          <w:noProof/>
        </w:rPr>
      </w:pPr>
      <w:r>
        <w:rPr>
          <w:noProof/>
        </w:rPr>
        <w:t>1.</w:t>
      </w:r>
      <w:r>
        <w:rPr>
          <w:noProof/>
        </w:rPr>
        <w:tab/>
      </w:r>
      <w:bookmarkStart w:id="24" w:name="_Ref144451708"/>
      <w:bookmarkStart w:id="25" w:name="_Ref144124486"/>
      <w:r w:rsidRPr="00133050">
        <w:rPr>
          <w:noProof/>
        </w:rPr>
        <w:t>Държавите членки гарантират, че информацията, предоставена</w:t>
      </w:r>
      <w:bookmarkEnd w:id="24"/>
      <w:bookmarkEnd w:id="25"/>
      <w:r w:rsidRPr="00133050">
        <w:rPr>
          <w:noProof/>
        </w:rPr>
        <w:t xml:space="preserve"> в уведомлението, посочено в член 5, и в отговор на искането за информация, посочено в член 9, параграф 5, включва: </w:t>
      </w:r>
    </w:p>
    <w:p w14:paraId="33AA635E" w14:textId="77777777" w:rsidR="00D151F9" w:rsidRPr="00133050" w:rsidRDefault="00BA07E4" w:rsidP="00BA07E4">
      <w:pPr>
        <w:pStyle w:val="Point1"/>
        <w:rPr>
          <w:noProof/>
        </w:rPr>
      </w:pPr>
      <w:r>
        <w:rPr>
          <w:noProof/>
        </w:rPr>
        <w:t>а)</w:t>
      </w:r>
      <w:r>
        <w:rPr>
          <w:noProof/>
        </w:rPr>
        <w:tab/>
      </w:r>
      <w:r w:rsidR="00D151F9" w:rsidRPr="00133050">
        <w:rPr>
          <w:noProof/>
        </w:rPr>
        <w:t>наименование на инвеститора, на глобалния краен собственик на инвеститора и на целевото предприятие в Съюза, структурата на собствеността на инвеститора и, когато е приложимо, на корпоративната група, от която той е част;</w:t>
      </w:r>
    </w:p>
    <w:p w14:paraId="2AB2E411" w14:textId="77777777" w:rsidR="00E0321C" w:rsidRPr="00133050" w:rsidRDefault="00BA07E4" w:rsidP="00BA07E4">
      <w:pPr>
        <w:pStyle w:val="Point1"/>
        <w:rPr>
          <w:noProof/>
        </w:rPr>
      </w:pPr>
      <w:r>
        <w:rPr>
          <w:noProof/>
        </w:rPr>
        <w:t>б)</w:t>
      </w:r>
      <w:r>
        <w:rPr>
          <w:noProof/>
        </w:rPr>
        <w:tab/>
      </w:r>
      <w:r w:rsidR="00D151F9" w:rsidRPr="00133050">
        <w:rPr>
          <w:noProof/>
        </w:rPr>
        <w:t xml:space="preserve">изчерпателно описание на инвестицията, нейната стойност, както и информация за собствеността на целевото предприятие в Съюза преди чуждестранната инвестиция и след това, за финансирането на инвестицията и неговия източник, въз основа на най-добрата информация, с която разполага държавата членка; </w:t>
      </w:r>
    </w:p>
    <w:p w14:paraId="2BE42EA1" w14:textId="77777777" w:rsidR="00D151F9" w:rsidRPr="00133050" w:rsidRDefault="00BA07E4" w:rsidP="00BA07E4">
      <w:pPr>
        <w:pStyle w:val="Point1"/>
        <w:rPr>
          <w:noProof/>
        </w:rPr>
      </w:pPr>
      <w:r>
        <w:rPr>
          <w:noProof/>
        </w:rPr>
        <w:t>в)</w:t>
      </w:r>
      <w:r>
        <w:rPr>
          <w:noProof/>
        </w:rPr>
        <w:tab/>
      </w:r>
      <w:r w:rsidR="00D151F9" w:rsidRPr="00133050">
        <w:rPr>
          <w:noProof/>
        </w:rPr>
        <w:t>наименование и адрес на целевото предприятие в Съюза, неговите дейности и алтернативни доставчици, структура на собствеността на целевото предприятие в Съюза и, когато е приложимо, на корпоративната група, от която то е част;</w:t>
      </w:r>
    </w:p>
    <w:p w14:paraId="6BDD90C8" w14:textId="77777777" w:rsidR="00D151F9" w:rsidRPr="00133050" w:rsidRDefault="00BA07E4" w:rsidP="00BA07E4">
      <w:pPr>
        <w:pStyle w:val="Point1"/>
        <w:rPr>
          <w:noProof/>
        </w:rPr>
      </w:pPr>
      <w:r>
        <w:rPr>
          <w:noProof/>
        </w:rPr>
        <w:t>г)</w:t>
      </w:r>
      <w:r>
        <w:rPr>
          <w:noProof/>
        </w:rPr>
        <w:tab/>
      </w:r>
      <w:r w:rsidR="00D151F9" w:rsidRPr="00133050">
        <w:rPr>
          <w:noProof/>
        </w:rPr>
        <w:t>ако е приложимо, информация за другите юридически лица от същата корпоративна група като целевото предприятие в Съюза, които се намират в други държави членки;</w:t>
      </w:r>
    </w:p>
    <w:p w14:paraId="2E082EA3" w14:textId="77777777" w:rsidR="00E251DE" w:rsidRPr="00133050" w:rsidRDefault="00BA07E4" w:rsidP="00BA07E4">
      <w:pPr>
        <w:pStyle w:val="Point1"/>
        <w:rPr>
          <w:noProof/>
        </w:rPr>
      </w:pPr>
      <w:r>
        <w:rPr>
          <w:noProof/>
        </w:rPr>
        <w:t>д)</w:t>
      </w:r>
      <w:r>
        <w:rPr>
          <w:noProof/>
        </w:rPr>
        <w:tab/>
      </w:r>
      <w:r w:rsidR="00D151F9" w:rsidRPr="00133050">
        <w:rPr>
          <w:noProof/>
        </w:rPr>
        <w:t>дейностите на чуждестранния инвеститор, неговото наименование и адрес; и</w:t>
      </w:r>
    </w:p>
    <w:p w14:paraId="0AF1DEF0" w14:textId="77777777" w:rsidR="00D151F9" w:rsidRPr="00133050" w:rsidRDefault="00BA07E4" w:rsidP="00BA07E4">
      <w:pPr>
        <w:pStyle w:val="Point1"/>
        <w:rPr>
          <w:noProof/>
        </w:rPr>
      </w:pPr>
      <w:r>
        <w:rPr>
          <w:noProof/>
        </w:rPr>
        <w:t>е)</w:t>
      </w:r>
      <w:r>
        <w:rPr>
          <w:noProof/>
        </w:rPr>
        <w:tab/>
      </w:r>
      <w:r w:rsidR="00E251DE" w:rsidRPr="00133050">
        <w:rPr>
          <w:noProof/>
        </w:rPr>
        <w:t>датата, на която се планира да бъде направена или вече е осъществена чуждестранната инвестиция.</w:t>
      </w:r>
    </w:p>
    <w:p w14:paraId="7C0247BE" w14:textId="77777777" w:rsidR="007E2777" w:rsidRPr="00133050" w:rsidRDefault="007E2777" w:rsidP="00DF36BB">
      <w:pPr>
        <w:pStyle w:val="ManualNumPar1"/>
        <w:rPr>
          <w:noProof/>
        </w:rPr>
      </w:pPr>
      <w:r>
        <w:rPr>
          <w:noProof/>
        </w:rPr>
        <w:lastRenderedPageBreak/>
        <w:t>2.</w:t>
      </w:r>
      <w:r>
        <w:rPr>
          <w:noProof/>
        </w:rPr>
        <w:tab/>
      </w:r>
      <w:r w:rsidRPr="00133050">
        <w:rPr>
          <w:noProof/>
        </w:rPr>
        <w:t xml:space="preserve">Комисията определя формуляра, който трябва да се използва за предоставяне на вида информация, изисквана съгласно параграф 1, чрез актове за изпълнение съгласно член 21, които трябва да бъдат приети преди датата на прилагане на настоящия регламент, посочена в член 24, параграф 2. </w:t>
      </w:r>
    </w:p>
    <w:p w14:paraId="7E874AD1" w14:textId="77777777" w:rsidR="00A448C5" w:rsidRPr="00133050" w:rsidRDefault="00A448C5" w:rsidP="00A448C5">
      <w:pPr>
        <w:pStyle w:val="ManualNumPar1"/>
        <w:rPr>
          <w:noProof/>
        </w:rPr>
      </w:pPr>
      <w:r>
        <w:rPr>
          <w:noProof/>
        </w:rPr>
        <w:t>3.</w:t>
      </w:r>
      <w:r>
        <w:rPr>
          <w:noProof/>
        </w:rPr>
        <w:tab/>
      </w:r>
      <w:r w:rsidRPr="00133050">
        <w:rPr>
          <w:noProof/>
        </w:rPr>
        <w:t>Когато Комисията или държавите членки поискат допълнителна информация съгласно член 8, параграф 1 или член 9, параграф 5 от държавата членка, в която се планира или вече е осъществена чуждестранната инвестиция, тази държава членка се старае да предостави тази информация, ако разполага с нея, на поискалите я държави членки и на Комисията.</w:t>
      </w:r>
    </w:p>
    <w:p w14:paraId="274E2B70" w14:textId="77777777" w:rsidR="00A448C5" w:rsidRPr="00133050" w:rsidRDefault="00A448C5" w:rsidP="00A448C5">
      <w:pPr>
        <w:pStyle w:val="ManualNumPar1"/>
        <w:rPr>
          <w:noProof/>
        </w:rPr>
      </w:pPr>
      <w:r>
        <w:rPr>
          <w:noProof/>
        </w:rPr>
        <w:t>4.</w:t>
      </w:r>
      <w:r>
        <w:rPr>
          <w:noProof/>
        </w:rPr>
        <w:tab/>
      </w:r>
      <w:r w:rsidRPr="00133050">
        <w:rPr>
          <w:noProof/>
        </w:rPr>
        <w:t>Когато е необходимо, държавата членка, в която се планира или вече е осъществена чуждестранната инвестиция, може да поиска от заявителя, подаващ искане за разрешение, или от всяко друго съответно предприятие да предостави информацията, посочена в параграфи 1 и 3. Искането за информация може да се отнася до информация, която е необходима на държавата членка, за да определи дали е изпълнено някое от условията, посочени в член 5, параграф 1. Съответното предприятие предоставя поисканата информация на държавата членка, в която се планира или вече е осъществена чуждестранната инвестиция, в рамките на 15 календарни дни след искането.</w:t>
      </w:r>
    </w:p>
    <w:p w14:paraId="7CE536BC" w14:textId="77777777" w:rsidR="00A448C5" w:rsidRPr="00133050" w:rsidRDefault="00A448C5" w:rsidP="00A448C5">
      <w:pPr>
        <w:pStyle w:val="ManualNumPar1"/>
        <w:rPr>
          <w:noProof/>
        </w:rPr>
      </w:pPr>
      <w:r>
        <w:rPr>
          <w:noProof/>
        </w:rPr>
        <w:t>5.</w:t>
      </w:r>
      <w:r>
        <w:rPr>
          <w:noProof/>
        </w:rPr>
        <w:tab/>
      </w:r>
      <w:r w:rsidRPr="00133050">
        <w:rPr>
          <w:noProof/>
        </w:rPr>
        <w:t>Държавата членка, в която се планира или вече е осъществена чуждестранната инвестиция, и Комисията може да поискат от други държави членки да потърсят информация от предприятията на тяхна територия, при условие че тази информация е от значение и е строго необходима за оценката на чуждестранната инвестиция съгласно член 13. Държавата членка, получаваща искането за търсене на информация, незабавно изисква от предприятието да предостави тази информация и я съобщава на държавата членка, в която се планира или вече е осъществена чуждестранната инвестиция, и на Комисията, като следва процедурата, предвидена в член 8, параграф 2 и член 9, параграф 6, според случая.</w:t>
      </w:r>
    </w:p>
    <w:p w14:paraId="0071BC58" w14:textId="77777777" w:rsidR="00E0321C" w:rsidRPr="00133050" w:rsidRDefault="00E0321C" w:rsidP="00DA1BBA">
      <w:pPr>
        <w:pStyle w:val="ManualNumPar1"/>
        <w:rPr>
          <w:noProof/>
        </w:rPr>
      </w:pPr>
      <w:r>
        <w:rPr>
          <w:noProof/>
        </w:rPr>
        <w:t>6.</w:t>
      </w:r>
      <w:r>
        <w:rPr>
          <w:noProof/>
        </w:rPr>
        <w:tab/>
      </w:r>
      <w:r w:rsidRPr="00133050">
        <w:rPr>
          <w:noProof/>
        </w:rPr>
        <w:t>Всяка държава членка уведомява Комисията и другите заинтересовани държави членки, ако в изключителни случаи, въпреки всички положени усилия, не е в състояние да предостави информацията, посочена в параграф 3, 4 или 5. Тази държава членка надлежно обяснява причините, поради които не е в състояние да предостави информацията.</w:t>
      </w:r>
    </w:p>
    <w:p w14:paraId="26531AC4" w14:textId="77777777" w:rsidR="00E0321C" w:rsidRPr="00133050" w:rsidRDefault="00E0321C" w:rsidP="00BA3F65">
      <w:pPr>
        <w:pStyle w:val="ManualNumPar1"/>
        <w:rPr>
          <w:noProof/>
        </w:rPr>
      </w:pPr>
      <w:r>
        <w:rPr>
          <w:noProof/>
        </w:rPr>
        <w:t>7.</w:t>
      </w:r>
      <w:r>
        <w:rPr>
          <w:noProof/>
        </w:rPr>
        <w:tab/>
      </w:r>
      <w:r w:rsidRPr="00133050">
        <w:rPr>
          <w:noProof/>
        </w:rPr>
        <w:t>Ако не бъде предоставена никаква или бъде предоставена непълна информация, коментарите, отправени от държави членки, или становището, издадено от Комисията, може да се основават на информацията, с която те разполагат.</w:t>
      </w:r>
    </w:p>
    <w:p w14:paraId="5D369DC8" w14:textId="77777777" w:rsidR="007E2367" w:rsidRPr="00133050" w:rsidRDefault="007E2367" w:rsidP="007E2367">
      <w:pPr>
        <w:pStyle w:val="ManualNumPar1"/>
        <w:rPr>
          <w:noProof/>
        </w:rPr>
      </w:pPr>
      <w:r>
        <w:rPr>
          <w:noProof/>
        </w:rPr>
        <w:t>8.</w:t>
      </w:r>
      <w:r>
        <w:rPr>
          <w:noProof/>
        </w:rPr>
        <w:tab/>
      </w:r>
      <w:r w:rsidRPr="00133050">
        <w:rPr>
          <w:noProof/>
        </w:rPr>
        <w:t xml:space="preserve">Когато информацията, посочена в параграфи 1—6, произхожда от предприятие, държавата членка, която получава информацията от предприятието, проверява пълнотата на информацията и предприема подходящи стъпки, за да гарантира, че информацията е точна, преди да я предостави на Комисията и на другите държави членки. </w:t>
      </w:r>
    </w:p>
    <w:p w14:paraId="134FD910" w14:textId="77777777" w:rsidR="00C63021" w:rsidRPr="00133050" w:rsidRDefault="00C63021" w:rsidP="00C15B13">
      <w:pPr>
        <w:pStyle w:val="Titrearticlef3"/>
        <w:rPr>
          <w:noProof/>
        </w:rPr>
      </w:pPr>
      <w:r w:rsidRPr="00133050">
        <w:rPr>
          <w:noProof/>
        </w:rPr>
        <w:t>Член 11</w:t>
      </w:r>
    </w:p>
    <w:p w14:paraId="7946FD0C" w14:textId="77777777" w:rsidR="00C63021" w:rsidRPr="00133050" w:rsidRDefault="00C63021" w:rsidP="00E04DDE">
      <w:pPr>
        <w:shd w:val="clear" w:color="auto" w:fill="FFFFFF" w:themeFill="background1"/>
        <w:spacing w:before="60"/>
        <w:jc w:val="center"/>
        <w:rPr>
          <w:b/>
          <w:noProof/>
          <w:color w:val="000000" w:themeColor="text1"/>
        </w:rPr>
      </w:pPr>
      <w:r w:rsidRPr="00133050">
        <w:rPr>
          <w:b/>
          <w:noProof/>
          <w:color w:val="000000" w:themeColor="text1"/>
        </w:rPr>
        <w:t>Общи изисквания за механизмите за скрининг с цел осигуряване на ефективен механизъм за сътрудничество</w:t>
      </w:r>
    </w:p>
    <w:p w14:paraId="3366A514" w14:textId="77777777" w:rsidR="00C63021" w:rsidRPr="00133050" w:rsidRDefault="00C63021" w:rsidP="002E476A">
      <w:pPr>
        <w:pStyle w:val="ManualNumPar1"/>
        <w:rPr>
          <w:noProof/>
        </w:rPr>
      </w:pPr>
      <w:r>
        <w:rPr>
          <w:noProof/>
        </w:rPr>
        <w:lastRenderedPageBreak/>
        <w:t>1.</w:t>
      </w:r>
      <w:r>
        <w:rPr>
          <w:noProof/>
        </w:rPr>
        <w:tab/>
      </w:r>
      <w:r w:rsidRPr="00133050">
        <w:rPr>
          <w:noProof/>
        </w:rPr>
        <w:t xml:space="preserve">Държавите членки осигуряват необходимите ресурси, правни и административни средства за своето ефикасно и ефективно участие в механизма за сътрудничество. </w:t>
      </w:r>
    </w:p>
    <w:p w14:paraId="03D7C384" w14:textId="77777777" w:rsidR="007A5059" w:rsidRPr="00133050" w:rsidRDefault="007A5059" w:rsidP="00701DAF">
      <w:pPr>
        <w:pStyle w:val="ManualNumPar1"/>
        <w:rPr>
          <w:noProof/>
        </w:rPr>
      </w:pPr>
      <w:r>
        <w:rPr>
          <w:noProof/>
        </w:rPr>
        <w:t>2.</w:t>
      </w:r>
      <w:r>
        <w:rPr>
          <w:noProof/>
        </w:rPr>
        <w:tab/>
      </w:r>
      <w:r w:rsidRPr="00133050">
        <w:rPr>
          <w:noProof/>
        </w:rPr>
        <w:t>Всяка държава членка и Комисията определят звено за контакт за целите на механизма за сътрудничество.</w:t>
      </w:r>
    </w:p>
    <w:p w14:paraId="07744ADD" w14:textId="77777777" w:rsidR="00C63021" w:rsidRPr="00133050" w:rsidRDefault="00C63021" w:rsidP="00701DAF">
      <w:pPr>
        <w:pStyle w:val="ManualNumPar1"/>
        <w:rPr>
          <w:noProof/>
        </w:rPr>
      </w:pPr>
      <w:r>
        <w:rPr>
          <w:noProof/>
        </w:rPr>
        <w:t>3.</w:t>
      </w:r>
      <w:r>
        <w:rPr>
          <w:noProof/>
        </w:rPr>
        <w:tab/>
      </w:r>
      <w:r w:rsidRPr="00133050">
        <w:rPr>
          <w:noProof/>
        </w:rPr>
        <w:t xml:space="preserve">Държавите членки гарантират, че сроковете и процедурите, определени в техните механизми за скрининг, им позволяват да отговарят пълноценно на исканията за допълнителна информация от страна на Комисията или на други държави членки. </w:t>
      </w:r>
    </w:p>
    <w:p w14:paraId="1368C4B3" w14:textId="77777777" w:rsidR="00C63021" w:rsidRPr="00133050" w:rsidRDefault="00C63021" w:rsidP="00C63021">
      <w:pPr>
        <w:pStyle w:val="ManualNumPar1"/>
        <w:rPr>
          <w:noProof/>
        </w:rPr>
      </w:pPr>
      <w:r>
        <w:rPr>
          <w:noProof/>
        </w:rPr>
        <w:t>4.</w:t>
      </w:r>
      <w:r>
        <w:rPr>
          <w:noProof/>
        </w:rPr>
        <w:tab/>
      </w:r>
      <w:r w:rsidRPr="00133050">
        <w:rPr>
          <w:noProof/>
        </w:rPr>
        <w:t>Държавите членки гарантират, че техните механизми за скрининг им осигуряват достатъчно време и средства за оценка и че  в тях се отделя максимално внимание на коментарите на другите държави членки и на становищата на Комисията, преди да се издаде скринингово решение. Това означава също, че държавите членки разполагат с всички необходими правни средства и правомощия, за да вземат предвид в своите скринингови решения или във всеки друг целесъобразен инструмент на разположение изразените опасения или установените от друга държава членка или от Комисията вероятни въздействия . Когато Комисията и другите държави членки са получили уведомление за чуждестранна инвестиция в съответствие с член 5, механизмите за скрининг не позволяват на държавите членки да вземат своето скринингово решение, докато не изтекат посочените в член 8, параграф 3 срокове за коментари от страна на държавите членки и за становища от страна на Комисията.</w:t>
      </w:r>
    </w:p>
    <w:p w14:paraId="354EB449" w14:textId="77777777" w:rsidR="00EF37C8" w:rsidRPr="00133050" w:rsidRDefault="00C63021" w:rsidP="00EF37C8">
      <w:pPr>
        <w:pStyle w:val="ManualNumPar1"/>
        <w:rPr>
          <w:noProof/>
        </w:rPr>
      </w:pPr>
      <w:r>
        <w:rPr>
          <w:noProof/>
        </w:rPr>
        <w:t>5.</w:t>
      </w:r>
      <w:r>
        <w:rPr>
          <w:noProof/>
        </w:rPr>
        <w:tab/>
      </w:r>
      <w:r w:rsidRPr="00133050">
        <w:rPr>
          <w:noProof/>
        </w:rPr>
        <w:t>Държавите членки гарантират, че тяхното национално законодателство позволява спазването на задълженията, посочени в член 7, параграфи 5—9.</w:t>
      </w:r>
    </w:p>
    <w:p w14:paraId="27672345" w14:textId="77777777" w:rsidR="00EF37C8" w:rsidRPr="00133050" w:rsidRDefault="00EF37C8" w:rsidP="00EF37C8">
      <w:pPr>
        <w:pStyle w:val="ManualNumPar1"/>
        <w:rPr>
          <w:noProof/>
        </w:rPr>
      </w:pPr>
      <w:r>
        <w:rPr>
          <w:noProof/>
        </w:rPr>
        <w:t>6.</w:t>
      </w:r>
      <w:r>
        <w:rPr>
          <w:noProof/>
        </w:rPr>
        <w:tab/>
      </w:r>
      <w:r w:rsidRPr="00133050">
        <w:rPr>
          <w:noProof/>
        </w:rPr>
        <w:t xml:space="preserve">Скрининговите органи са оправомощени да разследват, да оценяват, да вземат решения и да наблюдават чуждестранните инвестиции, за които са уведомени съгласно член 9, параграф 7. </w:t>
      </w:r>
    </w:p>
    <w:p w14:paraId="3AC0E43C" w14:textId="77777777" w:rsidR="00C63021" w:rsidRPr="00133050" w:rsidRDefault="00C63021" w:rsidP="00EF37C8">
      <w:pPr>
        <w:pStyle w:val="ManualNumPar1"/>
        <w:rPr>
          <w:noProof/>
        </w:rPr>
      </w:pPr>
      <w:r>
        <w:rPr>
          <w:noProof/>
        </w:rPr>
        <w:t>7.</w:t>
      </w:r>
      <w:r>
        <w:rPr>
          <w:noProof/>
        </w:rPr>
        <w:tab/>
      </w:r>
      <w:r w:rsidRPr="00133050">
        <w:rPr>
          <w:noProof/>
        </w:rPr>
        <w:t>Когато в смекчаващите мерки, предвидени в скринингово решение, се изисква спазването им от предприятия, установени в други държави членки, държавите членки, които са приели скрининговото решение, си сътрудничат с другата или другите заинтересовани държави членки във връзка с мониторинга и правоприлагането на скрининговото решение. Държавите членки гарантират, че разполагат с всички необходими правни средства и правомощия, за да се справят ефективно с последиците от неспазването на смекчаващите мерки, предвидени в дадено скринингово решение.</w:t>
      </w:r>
    </w:p>
    <w:p w14:paraId="1500A74B" w14:textId="77777777" w:rsidR="00EF37C8" w:rsidRPr="00133050" w:rsidRDefault="00EF37C8" w:rsidP="00EF37C8">
      <w:pPr>
        <w:pStyle w:val="Titrearticlef3"/>
        <w:rPr>
          <w:noProof/>
        </w:rPr>
      </w:pPr>
      <w:r w:rsidRPr="00133050">
        <w:rPr>
          <w:noProof/>
        </w:rPr>
        <w:t>Член 12</w:t>
      </w:r>
    </w:p>
    <w:p w14:paraId="551EA563" w14:textId="77777777" w:rsidR="00EF37C8" w:rsidRPr="00133050" w:rsidRDefault="00C321D4" w:rsidP="00EF37C8">
      <w:pPr>
        <w:shd w:val="clear" w:color="auto" w:fill="FFFFFF" w:themeFill="background1"/>
        <w:spacing w:after="0"/>
        <w:jc w:val="center"/>
        <w:rPr>
          <w:b/>
          <w:noProof/>
        </w:rPr>
      </w:pPr>
      <w:r w:rsidRPr="00133050">
        <w:rPr>
          <w:b/>
          <w:noProof/>
        </w:rPr>
        <w:t xml:space="preserve">Поверителност на обмена на информация в рамките на механизма за сътрудничество </w:t>
      </w:r>
    </w:p>
    <w:p w14:paraId="13BBA933" w14:textId="77777777" w:rsidR="00EF37C8" w:rsidRPr="00133050" w:rsidRDefault="00EF37C8" w:rsidP="002E476A">
      <w:pPr>
        <w:pStyle w:val="ManualNumPar1"/>
        <w:rPr>
          <w:noProof/>
        </w:rPr>
      </w:pPr>
      <w:r>
        <w:rPr>
          <w:noProof/>
        </w:rPr>
        <w:t>1.</w:t>
      </w:r>
      <w:r>
        <w:rPr>
          <w:noProof/>
        </w:rPr>
        <w:tab/>
      </w:r>
      <w:r w:rsidRPr="00133050">
        <w:rPr>
          <w:noProof/>
        </w:rPr>
        <w:t>Информацията, получена в съответствие с процедурите, посочени в членове 5, 7 и 9, се използва само за целта, за която е била поискана, освен ако:</w:t>
      </w:r>
    </w:p>
    <w:p w14:paraId="2156C207" w14:textId="77777777" w:rsidR="00EF37C8" w:rsidRPr="00133050" w:rsidRDefault="00BA07E4" w:rsidP="00BA07E4">
      <w:pPr>
        <w:pStyle w:val="Point1"/>
        <w:rPr>
          <w:noProof/>
        </w:rPr>
      </w:pPr>
      <w:r>
        <w:rPr>
          <w:noProof/>
        </w:rPr>
        <w:t>а)</w:t>
      </w:r>
      <w:r>
        <w:rPr>
          <w:noProof/>
        </w:rPr>
        <w:tab/>
      </w:r>
      <w:r w:rsidR="00EF37C8" w:rsidRPr="00133050">
        <w:rPr>
          <w:noProof/>
        </w:rPr>
        <w:t>първоизточникът на информацията изрично се съгласи с друга употреба; или</w:t>
      </w:r>
    </w:p>
    <w:p w14:paraId="185E385F" w14:textId="77777777" w:rsidR="00EF37C8" w:rsidRPr="00133050" w:rsidRDefault="00BA07E4" w:rsidP="00BA07E4">
      <w:pPr>
        <w:pStyle w:val="Point1"/>
        <w:rPr>
          <w:noProof/>
        </w:rPr>
      </w:pPr>
      <w:r>
        <w:rPr>
          <w:noProof/>
        </w:rPr>
        <w:lastRenderedPageBreak/>
        <w:t>б)</w:t>
      </w:r>
      <w:r>
        <w:rPr>
          <w:noProof/>
        </w:rPr>
        <w:tab/>
      </w:r>
      <w:r w:rsidR="00EF37C8" w:rsidRPr="00133050">
        <w:rPr>
          <w:noProof/>
        </w:rPr>
        <w:t>Съдът на Европейския съюз или съд на държавата членка, в която се планира или вече е осъществена чуждестранната инвестиция, изиска тази информация за целите на съдебно производство.</w:t>
      </w:r>
    </w:p>
    <w:p w14:paraId="71A56655" w14:textId="77777777" w:rsidR="00EF37C8" w:rsidRPr="00133050" w:rsidRDefault="00EF37C8" w:rsidP="002E476A">
      <w:pPr>
        <w:pStyle w:val="ManualNumPar1"/>
        <w:rPr>
          <w:noProof/>
        </w:rPr>
      </w:pPr>
      <w:r>
        <w:rPr>
          <w:noProof/>
        </w:rPr>
        <w:t>2.</w:t>
      </w:r>
      <w:r>
        <w:rPr>
          <w:noProof/>
        </w:rPr>
        <w:tab/>
      </w:r>
      <w:r w:rsidRPr="00133050">
        <w:rPr>
          <w:noProof/>
        </w:rPr>
        <w:t>Държавите членки и Комисията гарантират поверителността на информацията, която предоставят или получават при прилагането на настоящия регламент, в съответствие с националното право и правото на Съюза. При разглеждане на искания за достъп до документи, предоставени или получени в изпълнение на настоящия регламент, държавите членки и Комисията се въздържат от разкриване на всякаква информация, която би навредила на целта на разследванията, провеждани съгласно настоящия регламент.</w:t>
      </w:r>
    </w:p>
    <w:p w14:paraId="7153B234" w14:textId="77777777" w:rsidR="00EF37C8" w:rsidRPr="00133050" w:rsidRDefault="00EF37C8" w:rsidP="00C01EE5">
      <w:pPr>
        <w:pStyle w:val="ManualNumPar1"/>
        <w:rPr>
          <w:noProof/>
        </w:rPr>
      </w:pPr>
      <w:r>
        <w:rPr>
          <w:noProof/>
        </w:rPr>
        <w:t>3.</w:t>
      </w:r>
      <w:r>
        <w:rPr>
          <w:noProof/>
        </w:rPr>
        <w:tab/>
      </w:r>
      <w:r w:rsidRPr="00133050">
        <w:rPr>
          <w:noProof/>
        </w:rPr>
        <w:t>Държавите членки и Комисията гарантират, че не се понижава нивото на класификация и не се декласифицира класифицираната информация, предоставена или обменена съгласно настоящия регламент, без предварителното писмено съгласие на първоизточника на информацията.</w:t>
      </w:r>
    </w:p>
    <w:p w14:paraId="32E86150" w14:textId="77777777" w:rsidR="00EF37C8" w:rsidRPr="00133050" w:rsidRDefault="00EF37C8" w:rsidP="00253A9A">
      <w:pPr>
        <w:pStyle w:val="ManualNumPar1"/>
        <w:spacing w:after="240"/>
        <w:rPr>
          <w:noProof/>
        </w:rPr>
      </w:pPr>
      <w:r>
        <w:rPr>
          <w:noProof/>
        </w:rPr>
        <w:t>4.</w:t>
      </w:r>
      <w:r>
        <w:rPr>
          <w:noProof/>
        </w:rPr>
        <w:tab/>
      </w:r>
      <w:r w:rsidRPr="00133050">
        <w:rPr>
          <w:noProof/>
        </w:rPr>
        <w:t>Комисията осигурява защитена и криптирана система, за да подпомогне обмена на информация между звената за контакт.</w:t>
      </w:r>
    </w:p>
    <w:p w14:paraId="17EA0D9C" w14:textId="77777777" w:rsidR="00CB64B7" w:rsidRPr="00133050" w:rsidRDefault="00C63021" w:rsidP="001F7AD9">
      <w:pPr>
        <w:pStyle w:val="ChapterTitle"/>
        <w:rPr>
          <w:noProof/>
        </w:rPr>
      </w:pPr>
      <w:r w:rsidRPr="00133050">
        <w:rPr>
          <w:noProof/>
        </w:rPr>
        <w:t xml:space="preserve">ГЛАВА 4 </w:t>
      </w:r>
      <w:r w:rsidRPr="00133050">
        <w:rPr>
          <w:noProof/>
        </w:rPr>
        <w:cr/>
      </w:r>
      <w:r w:rsidRPr="00133050">
        <w:rPr>
          <w:noProof/>
        </w:rPr>
        <w:br/>
        <w:t>ЧУЖДЕСТРАННИ ИНВЕСТИЦИИ, КОИТО ИМА ВЕРОЯТНОСТ ДА ПОВЛИЯЯТ ОТРИЦАТЕЛНО НА СИГУРНОСТТА ИЛИ ОБЩЕСТВЕНИЯ РЕД</w:t>
      </w:r>
    </w:p>
    <w:p w14:paraId="0918E175" w14:textId="77777777" w:rsidR="00E0321C" w:rsidRPr="00133050" w:rsidRDefault="00A03209" w:rsidP="007F5347">
      <w:pPr>
        <w:pStyle w:val="Titrearticle0"/>
        <w:rPr>
          <w:noProof/>
        </w:rPr>
      </w:pPr>
      <w:r w:rsidRPr="00133050">
        <w:rPr>
          <w:noProof/>
        </w:rPr>
        <w:t>Член 13</w:t>
      </w:r>
    </w:p>
    <w:p w14:paraId="1A8DF96F" w14:textId="77777777" w:rsidR="00E0321C" w:rsidRPr="00133050" w:rsidRDefault="00814DC4" w:rsidP="3120FE7B">
      <w:pPr>
        <w:shd w:val="clear" w:color="auto" w:fill="FFFFFF" w:themeFill="background1"/>
        <w:spacing w:before="60"/>
        <w:jc w:val="center"/>
        <w:rPr>
          <w:b/>
          <w:noProof/>
          <w:color w:val="000000" w:themeColor="text1"/>
        </w:rPr>
      </w:pPr>
      <w:r w:rsidRPr="00133050">
        <w:rPr>
          <w:b/>
          <w:noProof/>
          <w:color w:val="000000" w:themeColor="text1"/>
        </w:rPr>
        <w:t xml:space="preserve">Определяне на вероятното отрицателно отражение върху сигурността и обществения ред </w:t>
      </w:r>
    </w:p>
    <w:p w14:paraId="53A6C614" w14:textId="77777777" w:rsidR="00FE284C" w:rsidRPr="00133050" w:rsidRDefault="00FE284C" w:rsidP="00C01EE5">
      <w:pPr>
        <w:pStyle w:val="ManualNumPar1"/>
        <w:rPr>
          <w:noProof/>
        </w:rPr>
      </w:pPr>
      <w:r>
        <w:rPr>
          <w:noProof/>
        </w:rPr>
        <w:t>1.</w:t>
      </w:r>
      <w:r>
        <w:rPr>
          <w:noProof/>
        </w:rPr>
        <w:tab/>
      </w:r>
      <w:r w:rsidRPr="00133050">
        <w:rPr>
          <w:noProof/>
        </w:rPr>
        <w:t>За целите на вземането на скринингово решение съгласно член 14 или издаването на надлежно мотивиран коментар съгласно член 7, параграф 1 или член 9, параграф 7 държавите членки определят дали дадена чуждестранна инвестиция има вероятност да повлияе отрицателно на сигурността или обществения ред.</w:t>
      </w:r>
    </w:p>
    <w:p w14:paraId="4009D44B" w14:textId="77777777" w:rsidR="00196DE5" w:rsidRPr="00133050" w:rsidRDefault="00433F30" w:rsidP="00C01EE5">
      <w:pPr>
        <w:pStyle w:val="ManualNumPar1"/>
        <w:rPr>
          <w:noProof/>
        </w:rPr>
      </w:pPr>
      <w:r>
        <w:rPr>
          <w:noProof/>
        </w:rPr>
        <w:t>2.</w:t>
      </w:r>
      <w:r>
        <w:rPr>
          <w:noProof/>
        </w:rPr>
        <w:tab/>
      </w:r>
      <w:r w:rsidRPr="00133050">
        <w:rPr>
          <w:noProof/>
        </w:rPr>
        <w:t>За целите на издаването на надлежно мотивирано становище съгласно член 7, параграф 2 или 3 или член 9, параграф 7 Комисията определя дали счита, че дадена чуждестранна инвестиция има вероятност да повлияе отрицателно на сигурността или обществения ред.</w:t>
      </w:r>
    </w:p>
    <w:p w14:paraId="542211B8" w14:textId="77777777" w:rsidR="00E0321C" w:rsidRPr="00133050" w:rsidRDefault="00F0746C" w:rsidP="00C01EE5">
      <w:pPr>
        <w:pStyle w:val="ManualNumPar1"/>
        <w:rPr>
          <w:noProof/>
        </w:rPr>
      </w:pPr>
      <w:r>
        <w:rPr>
          <w:noProof/>
        </w:rPr>
        <w:t>3.</w:t>
      </w:r>
      <w:r>
        <w:rPr>
          <w:noProof/>
        </w:rPr>
        <w:tab/>
      </w:r>
      <w:r w:rsidRPr="00133050">
        <w:rPr>
          <w:noProof/>
        </w:rPr>
        <w:t>Когато определят дали дадена инвестиция има вероятност да повлияе отрицателно на сигурността или обществения ред, държавите членки или Комисията разглеждат по-специално дали съответната инвестиция има вероятност да повлияе отрицателно:</w:t>
      </w:r>
    </w:p>
    <w:p w14:paraId="3A0E9CD5" w14:textId="77777777" w:rsidR="00E0321C" w:rsidRPr="00133050" w:rsidRDefault="00BA07E4" w:rsidP="00BA07E4">
      <w:pPr>
        <w:pStyle w:val="Point1"/>
        <w:rPr>
          <w:noProof/>
        </w:rPr>
      </w:pPr>
      <w:r>
        <w:rPr>
          <w:noProof/>
        </w:rPr>
        <w:t>а)</w:t>
      </w:r>
      <w:r>
        <w:rPr>
          <w:noProof/>
        </w:rPr>
        <w:tab/>
      </w:r>
      <w:r w:rsidR="004E25C7" w:rsidRPr="00133050">
        <w:rPr>
          <w:noProof/>
        </w:rPr>
        <w:t xml:space="preserve">на сигурността, целостта и функционирането на критичната инфраструктура, независимо дали е физическа или виртуална; в този контекст, въз основа на наличната информация, се преценява също така дали има вероятност чуждестранната инвестиция да повлияе отрицателно на устойчивостта на някой от критичните субекти, които те са определили съгласно Директива (ЕС) 2022/2557 на Европейския парламент и на </w:t>
      </w:r>
      <w:r w:rsidR="004E25C7" w:rsidRPr="00133050">
        <w:rPr>
          <w:noProof/>
        </w:rPr>
        <w:lastRenderedPageBreak/>
        <w:t>Съвета</w:t>
      </w:r>
      <w:r w:rsidR="004E25C7" w:rsidRPr="00133050">
        <w:rPr>
          <w:rStyle w:val="FootnoteReference"/>
          <w:noProof/>
        </w:rPr>
        <w:footnoteReference w:id="46"/>
      </w:r>
      <w:r w:rsidR="004E25C7" w:rsidRPr="00133050">
        <w:rPr>
          <w:noProof/>
        </w:rPr>
        <w:t>, както и на субектите в обхвата на Директива (ЕС) 2022/2555 на Европейския парламент и на Съвета</w:t>
      </w:r>
      <w:r w:rsidR="004E25C7" w:rsidRPr="00133050">
        <w:rPr>
          <w:rStyle w:val="FootnoteReference"/>
          <w:noProof/>
        </w:rPr>
        <w:footnoteReference w:id="47"/>
      </w:r>
      <w:r w:rsidR="004E25C7" w:rsidRPr="00133050">
        <w:rPr>
          <w:noProof/>
        </w:rPr>
        <w:t xml:space="preserve">. </w:t>
      </w:r>
      <w:r w:rsidR="004E25C7" w:rsidRPr="00133050">
        <w:rPr>
          <w:noProof/>
          <w:color w:val="333333"/>
          <w:shd w:val="clear" w:color="auto" w:fill="FFFFFF"/>
        </w:rPr>
        <w:t xml:space="preserve">Вземат се предвид и резултатите от координираните на равнището на Съюза оценки на риска за сигурността на критичните вериги на доставките, извършени в съответствие с член 22, параграф 1 от </w:t>
      </w:r>
      <w:r w:rsidR="004E25C7" w:rsidRPr="00133050">
        <w:rPr>
          <w:noProof/>
        </w:rPr>
        <w:t>Директива (ЕС) 2022/2555 ;</w:t>
      </w:r>
    </w:p>
    <w:p w14:paraId="5DA35AD0" w14:textId="77777777" w:rsidR="00C834C0" w:rsidRPr="00133050" w:rsidRDefault="00BA07E4" w:rsidP="00BA07E4">
      <w:pPr>
        <w:pStyle w:val="Point1"/>
        <w:rPr>
          <w:noProof/>
        </w:rPr>
      </w:pPr>
      <w:r>
        <w:rPr>
          <w:noProof/>
        </w:rPr>
        <w:t>б)</w:t>
      </w:r>
      <w:r>
        <w:rPr>
          <w:noProof/>
        </w:rPr>
        <w:tab/>
      </w:r>
      <w:r w:rsidR="00AA5894" w:rsidRPr="00133050">
        <w:rPr>
          <w:noProof/>
        </w:rPr>
        <w:t>на наличността на критични технологии;</w:t>
      </w:r>
    </w:p>
    <w:p w14:paraId="5EDFC9AF" w14:textId="77777777" w:rsidR="00E41E41" w:rsidRPr="00133050" w:rsidRDefault="00BA07E4" w:rsidP="00BA07E4">
      <w:pPr>
        <w:pStyle w:val="Point1"/>
        <w:rPr>
          <w:noProof/>
        </w:rPr>
      </w:pPr>
      <w:r>
        <w:rPr>
          <w:noProof/>
        </w:rPr>
        <w:t>в)</w:t>
      </w:r>
      <w:r>
        <w:rPr>
          <w:noProof/>
        </w:rPr>
        <w:tab/>
      </w:r>
      <w:r w:rsidR="00AA5894" w:rsidRPr="00133050">
        <w:rPr>
          <w:noProof/>
        </w:rPr>
        <w:t>на непрекъснатостта на доставките на критични ресурси;</w:t>
      </w:r>
    </w:p>
    <w:p w14:paraId="4A491C89" w14:textId="77777777" w:rsidR="00E41E41" w:rsidRPr="00133050" w:rsidRDefault="00BA07E4" w:rsidP="00BA07E4">
      <w:pPr>
        <w:pStyle w:val="Point1"/>
        <w:rPr>
          <w:noProof/>
        </w:rPr>
      </w:pPr>
      <w:r>
        <w:rPr>
          <w:noProof/>
        </w:rPr>
        <w:t>г)</w:t>
      </w:r>
      <w:r>
        <w:rPr>
          <w:noProof/>
        </w:rPr>
        <w:tab/>
      </w:r>
      <w:r w:rsidR="00E41E41" w:rsidRPr="00133050">
        <w:rPr>
          <w:noProof/>
        </w:rPr>
        <w:t xml:space="preserve">на защитата на чувствителна информация, включително лични данни, по-специално по отношение на способността на чуждестранния инвеститор да </w:t>
      </w:r>
      <w:r w:rsidR="00E41E41" w:rsidRPr="00133050">
        <w:rPr>
          <w:noProof/>
          <w:shd w:val="clear" w:color="auto" w:fill="FFFFFF"/>
        </w:rPr>
        <w:t xml:space="preserve">осъществява достъп до такива лични данни, да ги контролира и обработва по друг начин, </w:t>
      </w:r>
      <w:r w:rsidR="00E41E41" w:rsidRPr="00133050">
        <w:rPr>
          <w:noProof/>
        </w:rPr>
        <w:t xml:space="preserve">или </w:t>
      </w:r>
    </w:p>
    <w:p w14:paraId="71D88510" w14:textId="77777777" w:rsidR="00E0321C" w:rsidRPr="00133050" w:rsidRDefault="00BA07E4" w:rsidP="00BA07E4">
      <w:pPr>
        <w:pStyle w:val="Point1"/>
        <w:rPr>
          <w:noProof/>
        </w:rPr>
      </w:pPr>
      <w:r>
        <w:rPr>
          <w:noProof/>
        </w:rPr>
        <w:t>д)</w:t>
      </w:r>
      <w:r>
        <w:rPr>
          <w:noProof/>
        </w:rPr>
        <w:tab/>
      </w:r>
      <w:r w:rsidR="00E0321C" w:rsidRPr="00133050">
        <w:rPr>
          <w:noProof/>
        </w:rPr>
        <w:t>на свободата и плурализма на медиите, включително на онлайн платформите, които могат да бъдат използвани за широкомащабна дезинформация или престъпни дейности.</w:t>
      </w:r>
    </w:p>
    <w:p w14:paraId="1A75BA17" w14:textId="77777777" w:rsidR="00E0321C" w:rsidRPr="00133050" w:rsidRDefault="00F91DD3" w:rsidP="00C01EE5">
      <w:pPr>
        <w:pStyle w:val="ManualNumPar1"/>
        <w:rPr>
          <w:noProof/>
        </w:rPr>
      </w:pPr>
      <w:r>
        <w:rPr>
          <w:noProof/>
        </w:rPr>
        <w:t>4.</w:t>
      </w:r>
      <w:r>
        <w:rPr>
          <w:noProof/>
        </w:rPr>
        <w:tab/>
      </w:r>
      <w:r w:rsidRPr="00133050">
        <w:rPr>
          <w:noProof/>
        </w:rPr>
        <w:t>Когато определят дали дадена инвестиция има вероятност да повлияе отрицателно на сигурността или обществения ред, държавите членки или Комисията вземат предвид и информация, свързана с чуждестранния инвеститор, включително:</w:t>
      </w:r>
    </w:p>
    <w:p w14:paraId="3170C0D3" w14:textId="77777777" w:rsidR="00D04807" w:rsidRPr="00133050" w:rsidRDefault="00BA07E4" w:rsidP="00BA07E4">
      <w:pPr>
        <w:pStyle w:val="Point1"/>
        <w:rPr>
          <w:noProof/>
        </w:rPr>
      </w:pPr>
      <w:r>
        <w:rPr>
          <w:noProof/>
        </w:rPr>
        <w:t>а)</w:t>
      </w:r>
      <w:r>
        <w:rPr>
          <w:noProof/>
        </w:rPr>
        <w:tab/>
      </w:r>
      <w:r w:rsidR="00D04807" w:rsidRPr="00133050">
        <w:rPr>
          <w:noProof/>
        </w:rPr>
        <w:t>дали чуждестранният инвеститор, физическо лице или субект, контролиращ(о) чуждестранния инвеститор, действителният собственик на чуждестранния инвеститор, някое от дъщерните дружества на чуждестранния инвеститор или всяка друга страна, притежавана или контролирана от чуждестранния инвеститор или действаща от негово име или по негово указание, е участвала в чуждестранна инвестиция, която преди това е била подложена на скрининг от държава членка и която не е била разрешена или е била разрешена само при определени условия; за да определят това, държавите членки и Комисията разчитат на информацията, с която разполагат, включително информацията, съдържаща се в защитената база данни, създадена съгласно член 7, параграф 10;</w:t>
      </w:r>
    </w:p>
    <w:p w14:paraId="4DA22888" w14:textId="77777777" w:rsidR="008C2BE9" w:rsidRPr="00133050" w:rsidRDefault="00BA07E4" w:rsidP="00BA07E4">
      <w:pPr>
        <w:pStyle w:val="Point1"/>
        <w:rPr>
          <w:noProof/>
        </w:rPr>
      </w:pPr>
      <w:r>
        <w:rPr>
          <w:noProof/>
        </w:rPr>
        <w:t>б)</w:t>
      </w:r>
      <w:r>
        <w:rPr>
          <w:noProof/>
        </w:rPr>
        <w:tab/>
      </w:r>
      <w:r w:rsidR="00A448C5" w:rsidRPr="00133050">
        <w:rPr>
          <w:noProof/>
        </w:rPr>
        <w:t>когато е приложимо, причините за налагането на ограничителни мерки съгласно член 215 от ДФЕС на чуждестранния инвеститор, на физическо лице или субект, контролиращ(о) чуждестранния инвеститор, на действителния собственик на чуждестранния инвеститор, на някое от дъщерните дружества на чуждестранния инвеститор или на всяка друга страна, притежавана или контролирана от чуждестранния инвеститор или действаща от негово име или по негово указание;</w:t>
      </w:r>
    </w:p>
    <w:p w14:paraId="60F9C6FD" w14:textId="77777777" w:rsidR="00E0321C" w:rsidRPr="00133050" w:rsidRDefault="00BA07E4" w:rsidP="00BA07E4">
      <w:pPr>
        <w:pStyle w:val="Point1"/>
        <w:rPr>
          <w:noProof/>
        </w:rPr>
      </w:pPr>
      <w:r>
        <w:rPr>
          <w:noProof/>
        </w:rPr>
        <w:lastRenderedPageBreak/>
        <w:t>в)</w:t>
      </w:r>
      <w:r>
        <w:rPr>
          <w:noProof/>
        </w:rPr>
        <w:tab/>
      </w:r>
      <w:r w:rsidR="00E0321C" w:rsidRPr="00133050">
        <w:rPr>
          <w:noProof/>
        </w:rPr>
        <w:t xml:space="preserve">дали чуждестранният инвеститор или някое от неговите дъщерни дружества вече е участвал(о) в дейности, влияещи отрицателно на сигурността или обществения ред в дадена държава членка; </w:t>
      </w:r>
    </w:p>
    <w:p w14:paraId="6953D317" w14:textId="77777777" w:rsidR="00E0321C" w:rsidRPr="00133050" w:rsidRDefault="00BA07E4" w:rsidP="00BA07E4">
      <w:pPr>
        <w:pStyle w:val="Point1"/>
        <w:rPr>
          <w:noProof/>
        </w:rPr>
      </w:pPr>
      <w:r>
        <w:rPr>
          <w:noProof/>
        </w:rPr>
        <w:t>г)</w:t>
      </w:r>
      <w:r>
        <w:rPr>
          <w:noProof/>
        </w:rPr>
        <w:tab/>
      </w:r>
      <w:r w:rsidR="00E0321C" w:rsidRPr="00133050">
        <w:rPr>
          <w:noProof/>
        </w:rPr>
        <w:t>дали чуждестранният инвеститор или някое от неговите дъщерни дружества е участвал(о) в незаконни или престъпни дейности, включително заобикаляне на ограничителните мерки на Съюза съгласно член 215 от ДФЕС;</w:t>
      </w:r>
    </w:p>
    <w:p w14:paraId="4FD60ADF" w14:textId="77777777" w:rsidR="00E0321C" w:rsidRPr="00133050" w:rsidRDefault="00BA07E4" w:rsidP="00BA07E4">
      <w:pPr>
        <w:pStyle w:val="Point1"/>
        <w:rPr>
          <w:noProof/>
        </w:rPr>
      </w:pPr>
      <w:r>
        <w:rPr>
          <w:noProof/>
        </w:rPr>
        <w:t>д)</w:t>
      </w:r>
      <w:r>
        <w:rPr>
          <w:noProof/>
        </w:rPr>
        <w:tab/>
      </w:r>
      <w:r w:rsidR="008C2BE9" w:rsidRPr="00133050">
        <w:rPr>
          <w:noProof/>
        </w:rPr>
        <w:t>дали има вероятност чуждестранният инвеститор, физическо или юридическо лице, контролиращо чуждестранния инвеститор, действителният собственик на чуждестранния инвеститор, някое от дъщерните дружества на чуждестранния инвеститор или всяка друга страна, притежавана или контролирана от чуждестранния инвеститор, или действаща от негово име или по негово указание, да преследва политически цели на трета държава или да улеснява развиването на военния капацитет на трета държава.</w:t>
      </w:r>
    </w:p>
    <w:p w14:paraId="616BEDF8" w14:textId="77777777" w:rsidR="004B6FC7" w:rsidRPr="00133050" w:rsidRDefault="004B6FC7" w:rsidP="004B6FC7">
      <w:pPr>
        <w:pStyle w:val="Titrearticle0"/>
        <w:rPr>
          <w:noProof/>
        </w:rPr>
      </w:pPr>
      <w:r w:rsidRPr="00133050">
        <w:rPr>
          <w:noProof/>
        </w:rPr>
        <w:t>Член 14</w:t>
      </w:r>
    </w:p>
    <w:p w14:paraId="04951E96" w14:textId="77777777" w:rsidR="004B6FC7" w:rsidRPr="00133050" w:rsidRDefault="008E2582" w:rsidP="004B6FC7">
      <w:pPr>
        <w:shd w:val="clear" w:color="auto" w:fill="FFFFFF" w:themeFill="background1"/>
        <w:spacing w:before="60"/>
        <w:jc w:val="center"/>
        <w:rPr>
          <w:b/>
          <w:noProof/>
          <w:color w:val="000000" w:themeColor="text1"/>
        </w:rPr>
      </w:pPr>
      <w:r w:rsidRPr="00133050">
        <w:rPr>
          <w:b/>
          <w:noProof/>
          <w:color w:val="000000" w:themeColor="text1"/>
        </w:rPr>
        <w:t xml:space="preserve">Скринингови решения за чуждестранни инвестиции, които има вероятност да повлияят отрицателно на сигурността или обществения ред </w:t>
      </w:r>
    </w:p>
    <w:p w14:paraId="67C30BA6" w14:textId="77777777" w:rsidR="006608AF" w:rsidRPr="00133050" w:rsidRDefault="00A448C5" w:rsidP="002E476A">
      <w:pPr>
        <w:pStyle w:val="ManualNumPar1"/>
        <w:rPr>
          <w:noProof/>
        </w:rPr>
      </w:pPr>
      <w:r>
        <w:rPr>
          <w:noProof/>
        </w:rPr>
        <w:t>1.</w:t>
      </w:r>
      <w:r>
        <w:rPr>
          <w:noProof/>
        </w:rPr>
        <w:tab/>
      </w:r>
      <w:r w:rsidRPr="00133050">
        <w:rPr>
          <w:noProof/>
        </w:rPr>
        <w:t>Когато, след като отчете критериите, посочени в член 13, и според случая — коментарите от други държави членки съгласно член 7, параграф 1 или член 9, параграф 7, или становището на Комисията съгласно член 7, параграфи 2 или 3 или член 9, параграф 7 — държавата членка, в която се планира или вече е осъществена чуждестранната инвестиция, стигне до заключението, че тази чуждестранна инвестиция има вероятност да повлияе отрицателно на сигурността или обществения ред в една или повече държави членки, включително когато е засегнат проект или програма от интерес за Съюза, тя издава скринингово решение:</w:t>
      </w:r>
    </w:p>
    <w:p w14:paraId="40A2D11F" w14:textId="77777777" w:rsidR="008F1B7C" w:rsidRPr="00133050" w:rsidRDefault="00BA07E4" w:rsidP="00BA07E4">
      <w:pPr>
        <w:pStyle w:val="Point1"/>
        <w:rPr>
          <w:noProof/>
        </w:rPr>
      </w:pPr>
      <w:r>
        <w:rPr>
          <w:noProof/>
        </w:rPr>
        <w:t>а)</w:t>
      </w:r>
      <w:r>
        <w:rPr>
          <w:noProof/>
        </w:rPr>
        <w:tab/>
      </w:r>
      <w:r w:rsidR="00C63021" w:rsidRPr="00133050">
        <w:rPr>
          <w:noProof/>
        </w:rPr>
        <w:t>за разрешаване на чуждестранната инвестиция под условие, че са приложени смекчаващи мерки, или</w:t>
      </w:r>
    </w:p>
    <w:p w14:paraId="413D68BB" w14:textId="77777777" w:rsidR="008F1B7C" w:rsidRPr="00133050" w:rsidRDefault="00BA07E4" w:rsidP="00BA07E4">
      <w:pPr>
        <w:pStyle w:val="Point1"/>
        <w:rPr>
          <w:noProof/>
        </w:rPr>
      </w:pPr>
      <w:r>
        <w:rPr>
          <w:noProof/>
        </w:rPr>
        <w:t>б)</w:t>
      </w:r>
      <w:r>
        <w:rPr>
          <w:noProof/>
        </w:rPr>
        <w:tab/>
      </w:r>
      <w:r w:rsidR="00C63021" w:rsidRPr="00133050">
        <w:rPr>
          <w:noProof/>
        </w:rPr>
        <w:t>за забрана на чуждестранната инвестиция.</w:t>
      </w:r>
    </w:p>
    <w:p w14:paraId="6BE798EF" w14:textId="77777777" w:rsidR="00EF37C8" w:rsidRPr="00133050" w:rsidRDefault="00C63021" w:rsidP="004B66F8">
      <w:pPr>
        <w:pStyle w:val="Text1"/>
        <w:rPr>
          <w:noProof/>
        </w:rPr>
      </w:pPr>
      <w:r w:rsidRPr="00133050">
        <w:rPr>
          <w:noProof/>
        </w:rPr>
        <w:t>Скрининговото решение е съобразено с принципа на пропорционалност и отчита всички обстоятелства, свързани с чуждестранната инвестиция.</w:t>
      </w:r>
    </w:p>
    <w:p w14:paraId="2EE30236" w14:textId="77777777" w:rsidR="00B36D5A" w:rsidRPr="00133050" w:rsidRDefault="00C63021" w:rsidP="006C6E60">
      <w:pPr>
        <w:pStyle w:val="ManualNumPar1"/>
        <w:spacing w:after="240"/>
        <w:rPr>
          <w:noProof/>
        </w:rPr>
      </w:pPr>
      <w:r>
        <w:rPr>
          <w:noProof/>
        </w:rPr>
        <w:t>2.</w:t>
      </w:r>
      <w:r>
        <w:rPr>
          <w:noProof/>
        </w:rPr>
        <w:tab/>
      </w:r>
      <w:r w:rsidRPr="00133050">
        <w:rPr>
          <w:noProof/>
        </w:rPr>
        <w:t>Когато държавата членка, в която се планира или вече е осъществена чуждестранната инвестиция, смята, че са налице други мерки съгласно правото на Съюза или националното право, които са подходящи за ефективно противодействие на отражението на чуждестранната инвестиция върху сигурността и обществения ред, чуждестранната инвестиция се разрешава без условия.</w:t>
      </w:r>
    </w:p>
    <w:p w14:paraId="55D88EFC" w14:textId="77777777" w:rsidR="00E0321C" w:rsidRPr="00133050" w:rsidRDefault="0053300B" w:rsidP="001F7AD9">
      <w:pPr>
        <w:pStyle w:val="ChapterTitle"/>
        <w:rPr>
          <w:noProof/>
        </w:rPr>
      </w:pPr>
      <w:r w:rsidRPr="00133050">
        <w:rPr>
          <w:noProof/>
        </w:rPr>
        <w:lastRenderedPageBreak/>
        <w:t xml:space="preserve">ГЛАВА 5 </w:t>
      </w:r>
      <w:r w:rsidRPr="00133050">
        <w:rPr>
          <w:noProof/>
        </w:rPr>
        <w:cr/>
      </w:r>
      <w:r w:rsidRPr="00133050">
        <w:rPr>
          <w:noProof/>
        </w:rPr>
        <w:br/>
        <w:t>ЗАКЛЮЧИТЕЛНИ РАЗПОРЕДБИ</w:t>
      </w:r>
    </w:p>
    <w:p w14:paraId="6FF22A51" w14:textId="77777777" w:rsidR="00C63021" w:rsidRPr="00133050" w:rsidRDefault="00C63021" w:rsidP="00C63021">
      <w:pPr>
        <w:pStyle w:val="Titrearticlef3"/>
        <w:rPr>
          <w:noProof/>
        </w:rPr>
      </w:pPr>
      <w:r w:rsidRPr="00133050">
        <w:rPr>
          <w:noProof/>
        </w:rPr>
        <w:t>Член 15</w:t>
      </w:r>
    </w:p>
    <w:p w14:paraId="384E5E49" w14:textId="77777777" w:rsidR="00C63021" w:rsidRPr="00133050" w:rsidRDefault="00C63021" w:rsidP="00C63021">
      <w:pPr>
        <w:shd w:val="clear" w:color="auto" w:fill="FFFFFF" w:themeFill="background1"/>
        <w:spacing w:before="60"/>
        <w:jc w:val="center"/>
        <w:rPr>
          <w:b/>
          <w:noProof/>
          <w:color w:val="000000" w:themeColor="text1"/>
        </w:rPr>
      </w:pPr>
      <w:r w:rsidRPr="00133050">
        <w:rPr>
          <w:b/>
          <w:noProof/>
          <w:color w:val="000000" w:themeColor="text1"/>
        </w:rPr>
        <w:t>Международно сътрудничество</w:t>
      </w:r>
    </w:p>
    <w:p w14:paraId="3183EFE9" w14:textId="77777777" w:rsidR="00C63021" w:rsidRPr="00133050" w:rsidRDefault="00C63021" w:rsidP="001F7AD9">
      <w:pPr>
        <w:pStyle w:val="Text1"/>
        <w:rPr>
          <w:noProof/>
        </w:rPr>
      </w:pPr>
      <w:r w:rsidRPr="00133050">
        <w:rPr>
          <w:noProof/>
        </w:rPr>
        <w:t>Държавите членки и Комисията може да си сътрудничат с отговорните органи на трети държави по въпроси, които засягат скрининга на инвестиции на основания, свързани със сигурността и обществения ред.</w:t>
      </w:r>
    </w:p>
    <w:p w14:paraId="2D978BDF" w14:textId="77777777" w:rsidR="00E0321C" w:rsidRPr="00133050" w:rsidRDefault="00254CAB" w:rsidP="00A03209">
      <w:pPr>
        <w:pStyle w:val="Titrearticle0"/>
        <w:rPr>
          <w:noProof/>
        </w:rPr>
      </w:pPr>
      <w:r w:rsidRPr="00133050">
        <w:rPr>
          <w:noProof/>
        </w:rPr>
        <w:t>Член 16</w:t>
      </w:r>
    </w:p>
    <w:p w14:paraId="29DDB5C4" w14:textId="77777777" w:rsidR="00E0321C" w:rsidRPr="00133050" w:rsidRDefault="00E0321C" w:rsidP="00DA5E8A">
      <w:pPr>
        <w:shd w:val="clear" w:color="auto" w:fill="FFFFFF" w:themeFill="background1"/>
        <w:spacing w:before="60"/>
        <w:jc w:val="center"/>
        <w:rPr>
          <w:b/>
          <w:noProof/>
          <w:color w:val="000000" w:themeColor="text1"/>
        </w:rPr>
      </w:pPr>
      <w:r w:rsidRPr="00133050">
        <w:rPr>
          <w:b/>
          <w:noProof/>
          <w:color w:val="000000" w:themeColor="text1"/>
        </w:rPr>
        <w:t>Годишно докладване на равнището на Съюза</w:t>
      </w:r>
    </w:p>
    <w:p w14:paraId="3992EC2E" w14:textId="77777777" w:rsidR="00DB4939" w:rsidRPr="00133050" w:rsidRDefault="00E0321C" w:rsidP="002E476A">
      <w:pPr>
        <w:pStyle w:val="ManualNumPar1"/>
        <w:rPr>
          <w:noProof/>
        </w:rPr>
      </w:pPr>
      <w:r>
        <w:rPr>
          <w:noProof/>
        </w:rPr>
        <w:t>1.</w:t>
      </w:r>
      <w:r>
        <w:rPr>
          <w:noProof/>
        </w:rPr>
        <w:tab/>
      </w:r>
      <w:bookmarkStart w:id="26" w:name="_Ref144119479"/>
      <w:r w:rsidRPr="00133050">
        <w:rPr>
          <w:noProof/>
        </w:rPr>
        <w:t>До 31 март на всяка година, като се започне от [добавете дата: първата година на прилагане], държавите членки докладват на Комисията, при условия на поверителност, относно дейностите си за предходната календарна година по своя механизъм за скрининг и по механизма за сътрудничество. Този доклад съдържа информация относно:</w:t>
      </w:r>
    </w:p>
    <w:p w14:paraId="547B8198" w14:textId="77777777" w:rsidR="00DB4939" w:rsidRPr="00133050" w:rsidRDefault="00BA07E4" w:rsidP="00BA07E4">
      <w:pPr>
        <w:pStyle w:val="Point1"/>
        <w:rPr>
          <w:noProof/>
        </w:rPr>
      </w:pPr>
      <w:r>
        <w:rPr>
          <w:noProof/>
        </w:rPr>
        <w:t>а)</w:t>
      </w:r>
      <w:r>
        <w:rPr>
          <w:noProof/>
        </w:rPr>
        <w:tab/>
      </w:r>
      <w:r w:rsidR="0075275F" w:rsidRPr="00133050">
        <w:rPr>
          <w:noProof/>
        </w:rPr>
        <w:t xml:space="preserve">броя на подложените на скрининг чуждестранни инвестиции вследствие на искане за разрешение и вследствие на процедура по собствена инициатива; </w:t>
      </w:r>
    </w:p>
    <w:p w14:paraId="212778BD" w14:textId="77777777" w:rsidR="00DB4939" w:rsidRPr="00133050" w:rsidRDefault="00BA07E4" w:rsidP="00BA07E4">
      <w:pPr>
        <w:pStyle w:val="Point1"/>
        <w:rPr>
          <w:noProof/>
        </w:rPr>
      </w:pPr>
      <w:r>
        <w:rPr>
          <w:noProof/>
        </w:rPr>
        <w:t>б)</w:t>
      </w:r>
      <w:r>
        <w:rPr>
          <w:noProof/>
        </w:rPr>
        <w:tab/>
      </w:r>
      <w:r w:rsidR="0075275F" w:rsidRPr="00133050">
        <w:rPr>
          <w:noProof/>
        </w:rPr>
        <w:t xml:space="preserve">броя на чуждестранните инвестиции, одобрени под условие или без условия; </w:t>
      </w:r>
    </w:p>
    <w:p w14:paraId="024FC04F" w14:textId="77777777" w:rsidR="00DB4939" w:rsidRPr="00133050" w:rsidRDefault="00BA07E4" w:rsidP="00BA07E4">
      <w:pPr>
        <w:pStyle w:val="Point1"/>
        <w:rPr>
          <w:noProof/>
        </w:rPr>
      </w:pPr>
      <w:r>
        <w:rPr>
          <w:noProof/>
        </w:rPr>
        <w:t>в)</w:t>
      </w:r>
      <w:r>
        <w:rPr>
          <w:noProof/>
        </w:rPr>
        <w:tab/>
      </w:r>
      <w:r w:rsidR="0075275F" w:rsidRPr="00133050">
        <w:rPr>
          <w:noProof/>
        </w:rPr>
        <w:t>броя на чуждестранните инвестиции, за които е била наложена забрана, и броя на чуждестранните инвестиции с оттеглени искания за разрешение</w:t>
      </w:r>
      <w:bookmarkEnd w:id="26"/>
      <w:r w:rsidR="0075275F" w:rsidRPr="00133050">
        <w:rPr>
          <w:noProof/>
        </w:rPr>
        <w:t xml:space="preserve">; </w:t>
      </w:r>
    </w:p>
    <w:p w14:paraId="48913B6A" w14:textId="77777777" w:rsidR="00DB4939" w:rsidRPr="00133050" w:rsidRDefault="00BA07E4" w:rsidP="00BA07E4">
      <w:pPr>
        <w:pStyle w:val="Point1"/>
        <w:rPr>
          <w:noProof/>
        </w:rPr>
      </w:pPr>
      <w:r>
        <w:rPr>
          <w:noProof/>
        </w:rPr>
        <w:t>г)</w:t>
      </w:r>
      <w:r>
        <w:rPr>
          <w:noProof/>
        </w:rPr>
        <w:tab/>
      </w:r>
      <w:r w:rsidR="00BB1F42" w:rsidRPr="00133050">
        <w:rPr>
          <w:noProof/>
        </w:rPr>
        <w:t>броя на чуждестранните инвестиции, за които е било подадено уведомление до механизма за сътрудничество, и броя на коментарите, отправени от съответната държава членка;</w:t>
      </w:r>
    </w:p>
    <w:p w14:paraId="06A12B81" w14:textId="77777777" w:rsidR="000F7FFC" w:rsidRPr="00133050" w:rsidRDefault="00BA07E4" w:rsidP="00BA07E4">
      <w:pPr>
        <w:pStyle w:val="Point1"/>
        <w:rPr>
          <w:noProof/>
        </w:rPr>
      </w:pPr>
      <w:r>
        <w:rPr>
          <w:noProof/>
        </w:rPr>
        <w:t>д)</w:t>
      </w:r>
      <w:r>
        <w:rPr>
          <w:noProof/>
        </w:rPr>
        <w:tab/>
      </w:r>
      <w:r w:rsidR="00BB1F42" w:rsidRPr="00133050">
        <w:rPr>
          <w:noProof/>
        </w:rPr>
        <w:t xml:space="preserve">информация за произхода на чуждестранните инвеститори и за сектора на дейност на предприятията, които са целеви за чуждестранните инвестиции, които са били подложени на скрининг, били са разрешени или за които е била издадена забрана; </w:t>
      </w:r>
    </w:p>
    <w:p w14:paraId="700E9DBF" w14:textId="77777777" w:rsidR="00BB1F42" w:rsidRPr="00133050" w:rsidRDefault="00BA07E4" w:rsidP="00BA07E4">
      <w:pPr>
        <w:pStyle w:val="Point1"/>
        <w:rPr>
          <w:noProof/>
        </w:rPr>
      </w:pPr>
      <w:r>
        <w:rPr>
          <w:noProof/>
        </w:rPr>
        <w:t>е)</w:t>
      </w:r>
      <w:r>
        <w:rPr>
          <w:noProof/>
        </w:rPr>
        <w:tab/>
      </w:r>
      <w:r w:rsidR="00BB1F42" w:rsidRPr="00133050">
        <w:rPr>
          <w:noProof/>
        </w:rPr>
        <w:t>обобщено представяне на установените рискове и уязвимости във връзка с чуждестранните инвестиции, довели до скринингово решение.</w:t>
      </w:r>
    </w:p>
    <w:p w14:paraId="7BC696D4" w14:textId="77777777" w:rsidR="00E0321C" w:rsidRPr="00133050" w:rsidRDefault="00E0321C" w:rsidP="007945B6">
      <w:pPr>
        <w:pStyle w:val="ManualNumPar1"/>
        <w:rPr>
          <w:noProof/>
        </w:rPr>
      </w:pPr>
      <w:r>
        <w:rPr>
          <w:noProof/>
        </w:rPr>
        <w:t>2.</w:t>
      </w:r>
      <w:r>
        <w:rPr>
          <w:noProof/>
        </w:rPr>
        <w:tab/>
      </w:r>
      <w:r w:rsidRPr="00133050">
        <w:rPr>
          <w:noProof/>
        </w:rPr>
        <w:t>Въз основа на информацията, получена в съответствие с параграф 1, и въз основа на своята оценка на тенденциите и развитието, Комисията представя на Европейския парламент и на Съвета годишен доклад за прилагането на настоящия регламент. Докладът се оповестява публично.</w:t>
      </w:r>
    </w:p>
    <w:p w14:paraId="0C953955" w14:textId="77777777" w:rsidR="00E0321C" w:rsidRPr="00133050" w:rsidRDefault="00E665F6" w:rsidP="00E0321C">
      <w:pPr>
        <w:pStyle w:val="Titrearticle0"/>
        <w:rPr>
          <w:noProof/>
        </w:rPr>
      </w:pPr>
      <w:r w:rsidRPr="00133050">
        <w:rPr>
          <w:noProof/>
        </w:rPr>
        <w:t>Член 17</w:t>
      </w:r>
    </w:p>
    <w:p w14:paraId="53C51E29" w14:textId="77777777" w:rsidR="00E0321C" w:rsidRPr="00133050" w:rsidRDefault="00E0321C" w:rsidP="00DA5E8A">
      <w:pPr>
        <w:shd w:val="clear" w:color="auto" w:fill="FFFFFF" w:themeFill="background1"/>
        <w:spacing w:before="60"/>
        <w:jc w:val="center"/>
        <w:rPr>
          <w:b/>
          <w:noProof/>
          <w:color w:val="000000" w:themeColor="text1"/>
        </w:rPr>
      </w:pPr>
      <w:r w:rsidRPr="00133050">
        <w:rPr>
          <w:b/>
          <w:noProof/>
          <w:color w:val="000000" w:themeColor="text1"/>
        </w:rPr>
        <w:t>Обработване на личните данни</w:t>
      </w:r>
    </w:p>
    <w:p w14:paraId="4C22F225" w14:textId="77777777" w:rsidR="00E0321C" w:rsidRPr="00133050" w:rsidRDefault="00E0321C" w:rsidP="00C01EE5">
      <w:pPr>
        <w:pStyle w:val="ManualNumPar1"/>
        <w:rPr>
          <w:noProof/>
        </w:rPr>
      </w:pPr>
      <w:r>
        <w:rPr>
          <w:noProof/>
        </w:rPr>
        <w:t>1.</w:t>
      </w:r>
      <w:r>
        <w:rPr>
          <w:noProof/>
        </w:rPr>
        <w:tab/>
      </w:r>
      <w:r w:rsidRPr="00133050">
        <w:rPr>
          <w:noProof/>
        </w:rPr>
        <w:t xml:space="preserve">Всяко обработване на лични данни съгласно настоящия регламент се извършва в съответствие с Регламент (ЕС) 2016/679 и Регламент (ЕС) 2018/1725 и само доколкото е необходимо за скрининга на чуждестранни инвестиции от </w:t>
      </w:r>
      <w:r w:rsidRPr="00133050">
        <w:rPr>
          <w:noProof/>
        </w:rPr>
        <w:lastRenderedPageBreak/>
        <w:t>държавите членки и за гарантиране на ефективността на сътрудничеството, предвидено в настоящия регламент.</w:t>
      </w:r>
    </w:p>
    <w:p w14:paraId="73B05AD1" w14:textId="77777777" w:rsidR="00E0321C" w:rsidRPr="00133050" w:rsidRDefault="00E0321C" w:rsidP="00C01EE5">
      <w:pPr>
        <w:pStyle w:val="ManualNumPar1"/>
        <w:rPr>
          <w:noProof/>
        </w:rPr>
      </w:pPr>
      <w:r>
        <w:rPr>
          <w:noProof/>
        </w:rPr>
        <w:t>2.</w:t>
      </w:r>
      <w:r>
        <w:rPr>
          <w:noProof/>
        </w:rPr>
        <w:tab/>
      </w:r>
      <w:r w:rsidRPr="00133050">
        <w:rPr>
          <w:noProof/>
        </w:rPr>
        <w:t>Личните данни, свързани с прилагането на настоящия регламент, се съхраняват само за времето, необходимо за постигане на целите, за които са били събрани.</w:t>
      </w:r>
    </w:p>
    <w:p w14:paraId="4F98FAE9" w14:textId="77777777" w:rsidR="00E0321C" w:rsidRPr="00133050" w:rsidRDefault="00E665F6" w:rsidP="00E0321C">
      <w:pPr>
        <w:pStyle w:val="Titrearticle0"/>
        <w:rPr>
          <w:noProof/>
        </w:rPr>
      </w:pPr>
      <w:r w:rsidRPr="00133050">
        <w:rPr>
          <w:noProof/>
        </w:rPr>
        <w:t>Член 18</w:t>
      </w:r>
    </w:p>
    <w:p w14:paraId="3ADEA791" w14:textId="77777777" w:rsidR="00E0321C" w:rsidRPr="00133050" w:rsidRDefault="00E0321C" w:rsidP="00DA5E8A">
      <w:pPr>
        <w:shd w:val="clear" w:color="auto" w:fill="FFFFFF" w:themeFill="background1"/>
        <w:spacing w:before="60"/>
        <w:jc w:val="center"/>
        <w:rPr>
          <w:b/>
          <w:noProof/>
          <w:color w:val="000000" w:themeColor="text1"/>
        </w:rPr>
      </w:pPr>
      <w:r w:rsidRPr="00133050">
        <w:rPr>
          <w:b/>
          <w:noProof/>
          <w:color w:val="000000" w:themeColor="text1"/>
        </w:rPr>
        <w:t>Оценка</w:t>
      </w:r>
    </w:p>
    <w:p w14:paraId="0ACF473C" w14:textId="77777777" w:rsidR="00E0321C" w:rsidRPr="00133050" w:rsidRDefault="0017496A" w:rsidP="00C01EE5">
      <w:pPr>
        <w:pStyle w:val="ManualNumPar1"/>
        <w:rPr>
          <w:noProof/>
        </w:rPr>
      </w:pPr>
      <w:r>
        <w:rPr>
          <w:noProof/>
        </w:rPr>
        <w:t>1.</w:t>
      </w:r>
      <w:r>
        <w:rPr>
          <w:noProof/>
        </w:rPr>
        <w:tab/>
      </w:r>
      <w:r w:rsidRPr="00133050">
        <w:rPr>
          <w:noProof/>
        </w:rPr>
        <w:t>Пет години след датата на прилагане на настоящия регламент и на всеки пет години след това Комисията прави оценка на функционирането и ефективността на настоящия регламент и представя доклад на Европейския парламент и на Съвета. Държавите членки вземат участие в извършването на оценката и, ако е необходимо, предоставят на Комисията допълнителна информация за изготвянето на доклада.</w:t>
      </w:r>
    </w:p>
    <w:p w14:paraId="4CEC8F4E" w14:textId="77777777" w:rsidR="00E0321C" w:rsidRPr="00133050" w:rsidRDefault="00E0321C" w:rsidP="00C01EE5">
      <w:pPr>
        <w:pStyle w:val="ManualNumPar1"/>
        <w:rPr>
          <w:noProof/>
        </w:rPr>
      </w:pPr>
      <w:r>
        <w:rPr>
          <w:noProof/>
        </w:rPr>
        <w:t>2.</w:t>
      </w:r>
      <w:r>
        <w:rPr>
          <w:noProof/>
        </w:rPr>
        <w:tab/>
      </w:r>
      <w:r w:rsidRPr="00133050">
        <w:rPr>
          <w:noProof/>
        </w:rPr>
        <w:t>Когато в доклада на Комисията се препоръчват изменения на настоящия регламент, той може да е придружен от законодателно предложение.</w:t>
      </w:r>
    </w:p>
    <w:p w14:paraId="2A427A41" w14:textId="77777777" w:rsidR="00A86BC6" w:rsidRPr="00133050" w:rsidRDefault="00E665F6" w:rsidP="00E0321C">
      <w:pPr>
        <w:pStyle w:val="Titrearticle0"/>
        <w:rPr>
          <w:noProof/>
        </w:rPr>
      </w:pPr>
      <w:r w:rsidRPr="00133050">
        <w:rPr>
          <w:noProof/>
        </w:rPr>
        <w:t>Член 19</w:t>
      </w:r>
    </w:p>
    <w:p w14:paraId="5358DE10" w14:textId="77777777" w:rsidR="00A86BC6" w:rsidRPr="00133050" w:rsidRDefault="00A86BC6" w:rsidP="00DA5E8A">
      <w:pPr>
        <w:shd w:val="clear" w:color="auto" w:fill="FFFFFF" w:themeFill="background1"/>
        <w:spacing w:before="60"/>
        <w:jc w:val="center"/>
        <w:rPr>
          <w:b/>
          <w:noProof/>
          <w:color w:val="000000" w:themeColor="text1"/>
        </w:rPr>
      </w:pPr>
      <w:r w:rsidRPr="00133050">
        <w:rPr>
          <w:b/>
          <w:noProof/>
          <w:color w:val="000000" w:themeColor="text1"/>
        </w:rPr>
        <w:t>Делегирани актове</w:t>
      </w:r>
    </w:p>
    <w:p w14:paraId="134BEC79" w14:textId="77777777" w:rsidR="00BD655B" w:rsidRPr="00133050" w:rsidRDefault="00A86BC6" w:rsidP="00C01EE5">
      <w:pPr>
        <w:pStyle w:val="ManualNumPar1"/>
        <w:rPr>
          <w:noProof/>
        </w:rPr>
      </w:pPr>
      <w:r>
        <w:rPr>
          <w:noProof/>
        </w:rPr>
        <w:t>1.</w:t>
      </w:r>
      <w:r>
        <w:rPr>
          <w:noProof/>
        </w:rPr>
        <w:tab/>
      </w:r>
      <w:r w:rsidRPr="00133050">
        <w:rPr>
          <w:noProof/>
          <w:color w:val="333333"/>
          <w:shd w:val="clear" w:color="auto" w:fill="FFFFFF"/>
        </w:rPr>
        <w:t xml:space="preserve">На Комисията се предоставя правомощието да приема делегирани актове в съответствие с член 20 за целите на изменянето, когато е необходимо, на </w:t>
      </w:r>
      <w:r w:rsidRPr="00133050">
        <w:rPr>
          <w:noProof/>
          <w:color w:val="333333"/>
        </w:rPr>
        <w:t>списъка с проекти и програми от интерес за Съюза, представен в приложение I, за да бъде отчетено приемането и изменянето на законодателни актове на Съюза, свързани с проекти или програми от интерес за Съюза с отношение към сигурността или обществения ред</w:t>
      </w:r>
      <w:r w:rsidRPr="00133050">
        <w:rPr>
          <w:noProof/>
        </w:rPr>
        <w:t>.</w:t>
      </w:r>
    </w:p>
    <w:p w14:paraId="62BB9D92" w14:textId="77777777" w:rsidR="00A86BC6" w:rsidRPr="00133050" w:rsidRDefault="00BD655B" w:rsidP="00C01EE5">
      <w:pPr>
        <w:pStyle w:val="ManualNumPar1"/>
        <w:rPr>
          <w:noProof/>
          <w:color w:val="333333"/>
        </w:rPr>
      </w:pPr>
      <w:r>
        <w:rPr>
          <w:noProof/>
        </w:rPr>
        <w:t>2.</w:t>
      </w:r>
      <w:r>
        <w:rPr>
          <w:noProof/>
        </w:rPr>
        <w:tab/>
      </w:r>
      <w:r w:rsidRPr="00133050">
        <w:rPr>
          <w:noProof/>
          <w:color w:val="333333"/>
        </w:rPr>
        <w:t xml:space="preserve">На Комисията се предоставя правомощието да приема делегирани актове в съответствие с член 20 </w:t>
      </w:r>
      <w:r w:rsidRPr="00133050">
        <w:rPr>
          <w:noProof/>
          <w:color w:val="333333"/>
          <w:shd w:val="clear" w:color="auto" w:fill="FFFFFF"/>
        </w:rPr>
        <w:t xml:space="preserve">за целите на изменянето, когато е необходимо, на </w:t>
      </w:r>
      <w:r w:rsidRPr="00133050">
        <w:rPr>
          <w:noProof/>
          <w:color w:val="333333"/>
        </w:rPr>
        <w:t>списъка</w:t>
      </w:r>
      <w:r w:rsidRPr="00133050">
        <w:rPr>
          <w:noProof/>
        </w:rPr>
        <w:t xml:space="preserve"> с технологиите, активите, съоръженията, оборудването, мрежите, системите, услугите и стопанските дейности </w:t>
      </w:r>
      <w:r w:rsidRPr="00133050">
        <w:rPr>
          <w:noProof/>
          <w:color w:val="333333"/>
        </w:rPr>
        <w:t>от особена важност за свързаните със сигурността или обществения ред интереси на Съюза, представен в приложение II, за да бъдат отчетени промените в обстоятелствата, засягащи свързаните със сигурността или обществения ред интереси на Съюза. Ето някои някои конкретни елементи, които Комисията взема предвид:</w:t>
      </w:r>
    </w:p>
    <w:p w14:paraId="5298CC0B" w14:textId="77777777" w:rsidR="00F6298F" w:rsidRPr="00133050" w:rsidRDefault="00BA07E4" w:rsidP="00BA07E4">
      <w:pPr>
        <w:pStyle w:val="Point1"/>
        <w:rPr>
          <w:noProof/>
        </w:rPr>
      </w:pPr>
      <w:r>
        <w:rPr>
          <w:noProof/>
        </w:rPr>
        <w:t>а)</w:t>
      </w:r>
      <w:r>
        <w:rPr>
          <w:noProof/>
        </w:rPr>
        <w:tab/>
      </w:r>
      <w:r w:rsidR="00F6298F" w:rsidRPr="00133050">
        <w:rPr>
          <w:noProof/>
        </w:rPr>
        <w:t>устойчивостта на веригите на доставките, които са от особена важност за свързаните със сигурността или обществения ред интереси на Съюза;</w:t>
      </w:r>
    </w:p>
    <w:p w14:paraId="4AD8B250" w14:textId="77777777" w:rsidR="00F6298F" w:rsidRPr="00133050" w:rsidRDefault="00BA07E4" w:rsidP="00BA07E4">
      <w:pPr>
        <w:pStyle w:val="Point1"/>
        <w:rPr>
          <w:noProof/>
        </w:rPr>
      </w:pPr>
      <w:r>
        <w:rPr>
          <w:noProof/>
        </w:rPr>
        <w:t>б)</w:t>
      </w:r>
      <w:r>
        <w:rPr>
          <w:noProof/>
        </w:rPr>
        <w:tab/>
      </w:r>
      <w:r w:rsidR="00F6298F" w:rsidRPr="00133050">
        <w:rPr>
          <w:noProof/>
        </w:rPr>
        <w:t xml:space="preserve">устойчивостта на инфраструктурите, които са от особена важност за свързаните със сигурността или обществения ред интереси на Съюза; </w:t>
      </w:r>
    </w:p>
    <w:p w14:paraId="763D8B9D" w14:textId="77777777" w:rsidR="00F6298F" w:rsidRPr="00133050" w:rsidRDefault="00BA07E4" w:rsidP="00BA07E4">
      <w:pPr>
        <w:pStyle w:val="Point1"/>
        <w:rPr>
          <w:noProof/>
        </w:rPr>
      </w:pPr>
      <w:r>
        <w:rPr>
          <w:noProof/>
        </w:rPr>
        <w:t>в)</w:t>
      </w:r>
      <w:r>
        <w:rPr>
          <w:noProof/>
        </w:rPr>
        <w:tab/>
      </w:r>
      <w:r w:rsidR="00F6298F" w:rsidRPr="00133050">
        <w:rPr>
          <w:noProof/>
        </w:rPr>
        <w:t xml:space="preserve">напредъка при технологиите, които са от особена важност за свързаните със сигурността или обществения ред интереси на Съюза; </w:t>
      </w:r>
    </w:p>
    <w:p w14:paraId="3221FD19" w14:textId="77777777" w:rsidR="00A86BC6" w:rsidRPr="00133050" w:rsidRDefault="00BA07E4" w:rsidP="00BA07E4">
      <w:pPr>
        <w:pStyle w:val="Point1"/>
        <w:rPr>
          <w:noProof/>
        </w:rPr>
      </w:pPr>
      <w:r>
        <w:rPr>
          <w:noProof/>
        </w:rPr>
        <w:t>г)</w:t>
      </w:r>
      <w:r>
        <w:rPr>
          <w:noProof/>
        </w:rPr>
        <w:tab/>
      </w:r>
      <w:r w:rsidR="00F6298F" w:rsidRPr="00133050">
        <w:rPr>
          <w:noProof/>
        </w:rPr>
        <w:t>появата на уязвимости във връзка с достъпа до чувствителна информация или други форми на обработване на чувствителна информация, включително лични данни, доколкото има вероятност тези уязвимости да засегнат отрицателно свързаните със сигурността или обществения ред интереси на Съюза; както и</w:t>
      </w:r>
    </w:p>
    <w:p w14:paraId="5CF773AF" w14:textId="77777777" w:rsidR="00E251DE" w:rsidRPr="00133050" w:rsidRDefault="00BA07E4" w:rsidP="00BA07E4">
      <w:pPr>
        <w:pStyle w:val="Point1"/>
        <w:rPr>
          <w:noProof/>
        </w:rPr>
      </w:pPr>
      <w:r>
        <w:rPr>
          <w:noProof/>
        </w:rPr>
        <w:lastRenderedPageBreak/>
        <w:t>д)</w:t>
      </w:r>
      <w:r>
        <w:rPr>
          <w:noProof/>
        </w:rPr>
        <w:tab/>
      </w:r>
      <w:r w:rsidR="00E251DE" w:rsidRPr="00133050">
        <w:rPr>
          <w:noProof/>
        </w:rPr>
        <w:t>възникването на ситуация от геополитическо естество, която е от особена важност за свързаните със сигурността или обществения ред интереси на Съюза.</w:t>
      </w:r>
    </w:p>
    <w:p w14:paraId="1C1DE4FB" w14:textId="77777777" w:rsidR="00E0321C" w:rsidRPr="00133050" w:rsidRDefault="00A86BC6" w:rsidP="00E0321C">
      <w:pPr>
        <w:pStyle w:val="Titrearticle0"/>
        <w:rPr>
          <w:noProof/>
        </w:rPr>
      </w:pPr>
      <w:r w:rsidRPr="00133050">
        <w:rPr>
          <w:noProof/>
        </w:rPr>
        <w:t>Член 20</w:t>
      </w:r>
    </w:p>
    <w:p w14:paraId="41E633F2" w14:textId="77777777" w:rsidR="00E0321C" w:rsidRPr="00133050" w:rsidRDefault="00E0321C" w:rsidP="00DA5E8A">
      <w:pPr>
        <w:shd w:val="clear" w:color="auto" w:fill="FFFFFF" w:themeFill="background1"/>
        <w:spacing w:before="60"/>
        <w:jc w:val="center"/>
        <w:rPr>
          <w:b/>
          <w:noProof/>
          <w:color w:val="000000" w:themeColor="text1"/>
        </w:rPr>
      </w:pPr>
      <w:r w:rsidRPr="00133050">
        <w:rPr>
          <w:b/>
          <w:noProof/>
          <w:color w:val="000000" w:themeColor="text1"/>
        </w:rPr>
        <w:t>Упражняване на делегирането</w:t>
      </w:r>
    </w:p>
    <w:p w14:paraId="37639EAF" w14:textId="77777777" w:rsidR="00E0321C" w:rsidRPr="00133050" w:rsidRDefault="00E0321C" w:rsidP="00C01EE5">
      <w:pPr>
        <w:pStyle w:val="ManualNumPar1"/>
        <w:rPr>
          <w:noProof/>
        </w:rPr>
      </w:pPr>
      <w:r>
        <w:rPr>
          <w:noProof/>
        </w:rPr>
        <w:t>1.</w:t>
      </w:r>
      <w:r>
        <w:rPr>
          <w:noProof/>
        </w:rPr>
        <w:tab/>
      </w:r>
      <w:r w:rsidRPr="00133050">
        <w:rPr>
          <w:noProof/>
        </w:rPr>
        <w:t>Правомощието да приема делегирани актове се предоставя на Комисията при спазване на условията, предвидени в настоящия член.</w:t>
      </w:r>
    </w:p>
    <w:p w14:paraId="03CB7C44" w14:textId="77777777" w:rsidR="00E0321C" w:rsidRPr="00133050" w:rsidRDefault="00E0321C" w:rsidP="00C01EE5">
      <w:pPr>
        <w:pStyle w:val="ManualNumPar1"/>
        <w:rPr>
          <w:noProof/>
        </w:rPr>
      </w:pPr>
      <w:r>
        <w:rPr>
          <w:noProof/>
        </w:rPr>
        <w:t>2.</w:t>
      </w:r>
      <w:r>
        <w:rPr>
          <w:noProof/>
        </w:rPr>
        <w:tab/>
      </w:r>
      <w:r w:rsidRPr="00133050">
        <w:rPr>
          <w:noProof/>
        </w:rPr>
        <w:t>Правомощието да приема делегирани актове се предоставя на Комисията за неопределен срок, считано от [датата на влизане в сила на основния законодателен акт].</w:t>
      </w:r>
    </w:p>
    <w:p w14:paraId="306AE444" w14:textId="77777777" w:rsidR="00E0321C" w:rsidRPr="00133050" w:rsidRDefault="00E0321C" w:rsidP="00C01EE5">
      <w:pPr>
        <w:pStyle w:val="ManualNumPar1"/>
        <w:rPr>
          <w:noProof/>
        </w:rPr>
      </w:pPr>
      <w:r>
        <w:rPr>
          <w:noProof/>
        </w:rPr>
        <w:t>3.</w:t>
      </w:r>
      <w:r>
        <w:rPr>
          <w:noProof/>
        </w:rPr>
        <w:tab/>
      </w:r>
      <w:r w:rsidRPr="00133050">
        <w:rPr>
          <w:noProof/>
        </w:rPr>
        <w:t xml:space="preserve">Европейският парламент или Съветът могат да отменят делегираните правомощия по всяко време. С решението за оттегляне се прекратява посоченото в него делегиране на правомощия. Оттеглянето поражда действие в деня след публикуването на решението в </w:t>
      </w:r>
      <w:r w:rsidRPr="00133050">
        <w:rPr>
          <w:i/>
          <w:noProof/>
        </w:rPr>
        <w:t>Официален вестник на Европейския съюз</w:t>
      </w:r>
      <w:r w:rsidRPr="00133050">
        <w:rPr>
          <w:noProof/>
        </w:rPr>
        <w:t xml:space="preserve"> или на по-късна дата, посочена в решението. То не засяга действителността на делегираните актове, които вече са в сила.</w:t>
      </w:r>
    </w:p>
    <w:p w14:paraId="0FC3DAF3" w14:textId="77777777" w:rsidR="00E0321C" w:rsidRPr="00133050" w:rsidRDefault="00E0321C" w:rsidP="00C01EE5">
      <w:pPr>
        <w:pStyle w:val="ManualNumPar1"/>
        <w:rPr>
          <w:noProof/>
        </w:rPr>
      </w:pPr>
      <w:r>
        <w:rPr>
          <w:noProof/>
        </w:rPr>
        <w:t>4.</w:t>
      </w:r>
      <w:r>
        <w:rPr>
          <w:noProof/>
        </w:rPr>
        <w:tab/>
      </w:r>
      <w:r w:rsidRPr="00133050">
        <w:rPr>
          <w:noProof/>
        </w:rPr>
        <w:t>Преди приемането на делегиран акт Комисията се консултира с експерти, определени от всяка държава членка в съответствие с принципите, залегнали в Междуинституционалното споразумение за по-добро законотворчество от 13 април 2016 г.</w:t>
      </w:r>
    </w:p>
    <w:p w14:paraId="67B35260" w14:textId="77777777" w:rsidR="00E0321C" w:rsidRPr="00133050" w:rsidRDefault="00E0321C" w:rsidP="00C01EE5">
      <w:pPr>
        <w:pStyle w:val="ManualNumPar1"/>
        <w:rPr>
          <w:noProof/>
        </w:rPr>
      </w:pPr>
      <w:r>
        <w:rPr>
          <w:noProof/>
        </w:rPr>
        <w:t>5.</w:t>
      </w:r>
      <w:r>
        <w:rPr>
          <w:noProof/>
        </w:rPr>
        <w:tab/>
      </w:r>
      <w:r w:rsidRPr="00133050">
        <w:rPr>
          <w:noProof/>
        </w:rPr>
        <w:t>Веднага след като приеме делегиран акт, Комисията нотифицира акта едновременно на Европейския парламент и на Съвета.</w:t>
      </w:r>
    </w:p>
    <w:p w14:paraId="656C0C42" w14:textId="77777777" w:rsidR="00E0321C" w:rsidRPr="00133050" w:rsidRDefault="00E0321C" w:rsidP="00C01EE5">
      <w:pPr>
        <w:pStyle w:val="ManualNumPar1"/>
        <w:rPr>
          <w:noProof/>
        </w:rPr>
      </w:pPr>
      <w:r>
        <w:rPr>
          <w:noProof/>
        </w:rPr>
        <w:t>6.</w:t>
      </w:r>
      <w:r>
        <w:rPr>
          <w:noProof/>
        </w:rPr>
        <w:tab/>
      </w:r>
      <w:r w:rsidRPr="00133050">
        <w:rPr>
          <w:noProof/>
        </w:rPr>
        <w:t>Делегиран акт, приет съгласно член 19, влиза в сила единствено ако нито Европейският парламент, нито Съветът не са представили възражения в срок от 2 месеца след нотифицирането на същия акт на Европейския парламент и на Съвета или ако преди изтичането на този срок и Европейският парламент, и Съветът са уведомили Комисията, че няма да представят възражения. Посоченият срок се удължава с 2 месеца по инициатива на Европейския парламент или на Съвета.</w:t>
      </w:r>
    </w:p>
    <w:p w14:paraId="7D1F2294" w14:textId="77777777" w:rsidR="00124B39" w:rsidRPr="00133050" w:rsidRDefault="00124B39" w:rsidP="00124B39">
      <w:pPr>
        <w:pStyle w:val="Titrearticle0"/>
        <w:rPr>
          <w:noProof/>
        </w:rPr>
      </w:pPr>
      <w:r w:rsidRPr="00133050">
        <w:rPr>
          <w:noProof/>
        </w:rPr>
        <w:t>Член 21</w:t>
      </w:r>
    </w:p>
    <w:p w14:paraId="2E7E8978" w14:textId="77777777" w:rsidR="00124B39" w:rsidRPr="00133050" w:rsidRDefault="00124B39" w:rsidP="00DA5E8A">
      <w:pPr>
        <w:shd w:val="clear" w:color="auto" w:fill="FFFFFF" w:themeFill="background1"/>
        <w:spacing w:before="60"/>
        <w:jc w:val="center"/>
        <w:rPr>
          <w:b/>
          <w:noProof/>
          <w:color w:val="000000" w:themeColor="text1"/>
        </w:rPr>
      </w:pPr>
      <w:r w:rsidRPr="00133050">
        <w:rPr>
          <w:b/>
          <w:noProof/>
          <w:color w:val="000000" w:themeColor="text1"/>
        </w:rPr>
        <w:t>Процедура на комитет за актове за изпълнение</w:t>
      </w:r>
    </w:p>
    <w:p w14:paraId="476C8441" w14:textId="77777777" w:rsidR="00124B39" w:rsidRPr="00133050" w:rsidRDefault="00124B39" w:rsidP="00C01EE5">
      <w:pPr>
        <w:pStyle w:val="ManualNumPar1"/>
        <w:rPr>
          <w:noProof/>
        </w:rPr>
      </w:pPr>
      <w:r>
        <w:rPr>
          <w:noProof/>
        </w:rPr>
        <w:t>1.</w:t>
      </w:r>
      <w:r>
        <w:rPr>
          <w:noProof/>
        </w:rPr>
        <w:tab/>
      </w:r>
      <w:r w:rsidRPr="00133050">
        <w:rPr>
          <w:noProof/>
        </w:rPr>
        <w:t>На Комисията се предоставя правомощието да приема актове за изпълнение, с които да определи формулярите, които трябва да се използват за предоставяне на информацията, посочена в член 10, параграф 1.</w:t>
      </w:r>
    </w:p>
    <w:p w14:paraId="291A8C47" w14:textId="77777777" w:rsidR="00124B39" w:rsidRPr="00133050" w:rsidRDefault="00124B39" w:rsidP="00C01EE5">
      <w:pPr>
        <w:pStyle w:val="ManualNumPar1"/>
        <w:rPr>
          <w:noProof/>
        </w:rPr>
      </w:pPr>
      <w:r>
        <w:rPr>
          <w:noProof/>
        </w:rPr>
        <w:t>2.</w:t>
      </w:r>
      <w:r>
        <w:rPr>
          <w:noProof/>
        </w:rPr>
        <w:tab/>
      </w:r>
      <w:r w:rsidRPr="00133050">
        <w:rPr>
          <w:noProof/>
        </w:rPr>
        <w:t>Актовете за изпълнение по параграф 1 се приемат в съответствие с процедурата по консултиране, посочена в член 22, параграф 2.</w:t>
      </w:r>
    </w:p>
    <w:p w14:paraId="7A845163" w14:textId="77777777" w:rsidR="00124B39" w:rsidRPr="00133050" w:rsidRDefault="00124B39" w:rsidP="00124B39">
      <w:pPr>
        <w:pStyle w:val="Titrearticle0"/>
        <w:rPr>
          <w:noProof/>
        </w:rPr>
      </w:pPr>
      <w:r w:rsidRPr="00133050">
        <w:rPr>
          <w:noProof/>
        </w:rPr>
        <w:t>Член 22</w:t>
      </w:r>
    </w:p>
    <w:p w14:paraId="41333BC0" w14:textId="77777777" w:rsidR="00124B39" w:rsidRPr="00133050" w:rsidRDefault="00124B39" w:rsidP="00DA5E8A">
      <w:pPr>
        <w:shd w:val="clear" w:color="auto" w:fill="FFFFFF" w:themeFill="background1"/>
        <w:spacing w:before="60"/>
        <w:jc w:val="center"/>
        <w:rPr>
          <w:b/>
          <w:noProof/>
          <w:color w:val="000000" w:themeColor="text1"/>
        </w:rPr>
      </w:pPr>
      <w:r w:rsidRPr="00133050">
        <w:rPr>
          <w:b/>
          <w:noProof/>
          <w:color w:val="000000" w:themeColor="text1"/>
        </w:rPr>
        <w:t>Комитет</w:t>
      </w:r>
    </w:p>
    <w:p w14:paraId="65880718" w14:textId="77777777" w:rsidR="00124B39" w:rsidRPr="00133050" w:rsidRDefault="00124B39" w:rsidP="002E476A">
      <w:pPr>
        <w:pStyle w:val="ManualNumPar1"/>
        <w:rPr>
          <w:rStyle w:val="num"/>
          <w:noProof/>
        </w:rPr>
      </w:pPr>
      <w:r>
        <w:rPr>
          <w:noProof/>
        </w:rPr>
        <w:t>1.</w:t>
      </w:r>
      <w:r>
        <w:rPr>
          <w:noProof/>
        </w:rPr>
        <w:tab/>
      </w:r>
      <w:r w:rsidRPr="00133050">
        <w:rPr>
          <w:rStyle w:val="num"/>
          <w:noProof/>
        </w:rPr>
        <w:t>Комисията се подпомага от комитет. Този комитет е комитет по смисъла на Регламент (ЕС) № 182/2011.</w:t>
      </w:r>
    </w:p>
    <w:p w14:paraId="2E851576" w14:textId="77777777" w:rsidR="00124B39" w:rsidRPr="00133050" w:rsidRDefault="00124B39" w:rsidP="0082042D">
      <w:pPr>
        <w:pStyle w:val="ManualNumPar1"/>
        <w:rPr>
          <w:rStyle w:val="num"/>
          <w:noProof/>
        </w:rPr>
      </w:pPr>
      <w:r>
        <w:rPr>
          <w:noProof/>
        </w:rPr>
        <w:lastRenderedPageBreak/>
        <w:t>2.</w:t>
      </w:r>
      <w:r>
        <w:rPr>
          <w:noProof/>
        </w:rPr>
        <w:tab/>
      </w:r>
      <w:r w:rsidRPr="00133050">
        <w:rPr>
          <w:rStyle w:val="num"/>
          <w:noProof/>
        </w:rPr>
        <w:t>При позоваване на настоящия параграф се прилага член 4 от Регламент (ЕС) № 182/2011.</w:t>
      </w:r>
    </w:p>
    <w:p w14:paraId="42951F5E" w14:textId="77777777" w:rsidR="00E0321C" w:rsidRPr="00133050" w:rsidRDefault="00E665F6" w:rsidP="00E0321C">
      <w:pPr>
        <w:pStyle w:val="Titrearticle0"/>
        <w:rPr>
          <w:noProof/>
        </w:rPr>
      </w:pPr>
      <w:r w:rsidRPr="00133050">
        <w:rPr>
          <w:noProof/>
        </w:rPr>
        <w:t>Член 23</w:t>
      </w:r>
    </w:p>
    <w:p w14:paraId="6DE12845" w14:textId="77777777" w:rsidR="00E0321C" w:rsidRPr="00133050" w:rsidRDefault="00E0321C" w:rsidP="00DA5E8A">
      <w:pPr>
        <w:shd w:val="clear" w:color="auto" w:fill="FFFFFF" w:themeFill="background1"/>
        <w:spacing w:before="60"/>
        <w:jc w:val="center"/>
        <w:rPr>
          <w:b/>
          <w:noProof/>
          <w:color w:val="000000" w:themeColor="text1"/>
        </w:rPr>
      </w:pPr>
      <w:r w:rsidRPr="00133050">
        <w:rPr>
          <w:b/>
          <w:noProof/>
          <w:color w:val="000000" w:themeColor="text1"/>
        </w:rPr>
        <w:t>Отмяна</w:t>
      </w:r>
    </w:p>
    <w:p w14:paraId="71D2D813" w14:textId="77777777" w:rsidR="00E0321C" w:rsidRPr="00133050" w:rsidRDefault="00E0321C" w:rsidP="00DA5E8A">
      <w:pPr>
        <w:rPr>
          <w:noProof/>
        </w:rPr>
      </w:pPr>
      <w:r w:rsidRPr="00133050">
        <w:rPr>
          <w:noProof/>
        </w:rPr>
        <w:t>Регламент (ЕС) № 2019/452 се отменя, считано от [дата: 15 месеца след влизането в сила].</w:t>
      </w:r>
    </w:p>
    <w:p w14:paraId="40B8383B" w14:textId="77777777" w:rsidR="00E0321C" w:rsidRPr="00133050" w:rsidRDefault="00E0321C" w:rsidP="00DA5E8A">
      <w:pPr>
        <w:rPr>
          <w:noProof/>
        </w:rPr>
      </w:pPr>
      <w:r w:rsidRPr="00133050">
        <w:rPr>
          <w:noProof/>
        </w:rPr>
        <w:t>Позоваванията на отменения регламент се считат за позовавания на настоящия регламент.</w:t>
      </w:r>
    </w:p>
    <w:p w14:paraId="7651F57D" w14:textId="77777777" w:rsidR="00E0321C" w:rsidRPr="00133050" w:rsidRDefault="00E665F6" w:rsidP="00E0321C">
      <w:pPr>
        <w:pStyle w:val="Titrearticle0"/>
        <w:rPr>
          <w:noProof/>
        </w:rPr>
      </w:pPr>
      <w:r w:rsidRPr="00133050">
        <w:rPr>
          <w:noProof/>
        </w:rPr>
        <w:t>Член 24</w:t>
      </w:r>
    </w:p>
    <w:p w14:paraId="4143B63E" w14:textId="77777777" w:rsidR="00E0321C" w:rsidRPr="00133050" w:rsidRDefault="00E0321C" w:rsidP="00DA5E8A">
      <w:pPr>
        <w:shd w:val="clear" w:color="auto" w:fill="FFFFFF" w:themeFill="background1"/>
        <w:spacing w:before="60"/>
        <w:jc w:val="center"/>
        <w:rPr>
          <w:b/>
          <w:noProof/>
          <w:color w:val="000000" w:themeColor="text1"/>
        </w:rPr>
      </w:pPr>
      <w:r w:rsidRPr="00133050">
        <w:rPr>
          <w:b/>
          <w:noProof/>
          <w:color w:val="000000" w:themeColor="text1"/>
        </w:rPr>
        <w:t>Влизане в сила и прилагане</w:t>
      </w:r>
    </w:p>
    <w:p w14:paraId="5DB34FD9" w14:textId="77777777" w:rsidR="00E0321C" w:rsidRPr="00133050" w:rsidRDefault="00E0321C" w:rsidP="00DA5E8A">
      <w:pPr>
        <w:rPr>
          <w:noProof/>
        </w:rPr>
      </w:pPr>
      <w:r w:rsidRPr="00133050">
        <w:rPr>
          <w:noProof/>
        </w:rPr>
        <w:t xml:space="preserve">Настоящият регламент влиза в сила на двадесетия ден след деня на публикуването му в </w:t>
      </w:r>
      <w:r w:rsidRPr="00133050">
        <w:rPr>
          <w:i/>
          <w:noProof/>
        </w:rPr>
        <w:t>Официален вестник на Европейския съюз</w:t>
      </w:r>
      <w:r w:rsidRPr="00133050">
        <w:rPr>
          <w:noProof/>
        </w:rPr>
        <w:t>.</w:t>
      </w:r>
    </w:p>
    <w:p w14:paraId="430B242E" w14:textId="77777777" w:rsidR="00E0321C" w:rsidRPr="00133050" w:rsidRDefault="00E0321C" w:rsidP="00DA5E8A">
      <w:pPr>
        <w:rPr>
          <w:noProof/>
        </w:rPr>
      </w:pPr>
      <w:r w:rsidRPr="00133050">
        <w:rPr>
          <w:noProof/>
        </w:rPr>
        <w:t>Той се прилага от [дата: 15 месеца след влизането в сила].</w:t>
      </w:r>
    </w:p>
    <w:p w14:paraId="1D77C537" w14:textId="77777777" w:rsidR="00F67093" w:rsidRPr="00133050" w:rsidRDefault="00F67093" w:rsidP="00774854">
      <w:pPr>
        <w:pStyle w:val="Applicationdirecte"/>
        <w:rPr>
          <w:noProof/>
        </w:rPr>
      </w:pPr>
      <w:r w:rsidRPr="00133050">
        <w:rPr>
          <w:noProof/>
        </w:rPr>
        <w:t>Настоящият регламент е задължителен в своята цялост и се прилага пряко във всички държави членки.</w:t>
      </w:r>
    </w:p>
    <w:p w14:paraId="16D593EB" w14:textId="77777777" w:rsidR="00F67093" w:rsidRPr="00133050" w:rsidRDefault="002F34BA" w:rsidP="001B045E">
      <w:pPr>
        <w:pStyle w:val="Fait"/>
        <w:rPr>
          <w:noProof/>
        </w:rPr>
      </w:pPr>
      <w:r>
        <w:rPr>
          <w:noProof/>
        </w:rPr>
        <w:t xml:space="preserve">Съставено в Брюксел на </w:t>
      </w:r>
      <w:r>
        <w:rPr>
          <w:rStyle w:val="Marker"/>
          <w:noProof/>
        </w:rPr>
        <w:t>[…]</w:t>
      </w:r>
      <w:r>
        <w:rPr>
          <w:noProof/>
        </w:rPr>
        <w:t xml:space="preserve"> година.</w:t>
      </w:r>
    </w:p>
    <w:p w14:paraId="1A98560C" w14:textId="77777777" w:rsidR="00F67093" w:rsidRPr="00133050" w:rsidRDefault="00F67093" w:rsidP="001B045E">
      <w:pPr>
        <w:pStyle w:val="Institutionquisigne"/>
        <w:rPr>
          <w:noProof/>
        </w:rPr>
      </w:pPr>
      <w:r w:rsidRPr="00133050">
        <w:rPr>
          <w:noProof/>
        </w:rPr>
        <w:t>За Европейския парламент</w:t>
      </w:r>
      <w:r w:rsidRPr="00133050">
        <w:rPr>
          <w:noProof/>
        </w:rPr>
        <w:tab/>
        <w:t>За Съвета</w:t>
      </w:r>
    </w:p>
    <w:p w14:paraId="6129BC43" w14:textId="77777777" w:rsidR="004311EE" w:rsidRPr="00133050" w:rsidRDefault="00F67093" w:rsidP="00253A9A">
      <w:pPr>
        <w:pStyle w:val="Personnequisigne"/>
        <w:rPr>
          <w:noProof/>
        </w:rPr>
        <w:sectPr w:rsidR="004311EE" w:rsidRPr="00133050" w:rsidSect="00272311">
          <w:footnotePr>
            <w:numRestart w:val="eachSect"/>
          </w:footnotePr>
          <w:pgSz w:w="11907" w:h="16840" w:code="9"/>
          <w:pgMar w:top="1134" w:right="1418" w:bottom="1134" w:left="1418" w:header="709" w:footer="709" w:gutter="0"/>
          <w:cols w:space="708"/>
          <w:docGrid w:linePitch="360"/>
        </w:sectPr>
      </w:pPr>
      <w:r w:rsidRPr="00133050">
        <w:rPr>
          <w:noProof/>
        </w:rPr>
        <w:t>Председател</w:t>
      </w:r>
      <w:r w:rsidRPr="00133050">
        <w:rPr>
          <w:noProof/>
        </w:rPr>
        <w:tab/>
        <w:t>Председател</w:t>
      </w:r>
      <w:bookmarkEnd w:id="0"/>
    </w:p>
    <w:bookmarkEnd w:id="1"/>
    <w:p w14:paraId="19282F22" w14:textId="77777777" w:rsidR="002337F9" w:rsidRPr="00133050" w:rsidRDefault="002337F9" w:rsidP="002337F9">
      <w:pPr>
        <w:pStyle w:val="Fichefinanciretitre"/>
        <w:keepNext/>
        <w:rPr>
          <w:noProof/>
        </w:rPr>
      </w:pPr>
      <w:r w:rsidRPr="00133050">
        <w:rPr>
          <w:noProof/>
        </w:rPr>
        <w:lastRenderedPageBreak/>
        <w:t>ЗАКОНОДАТЕЛНА ФИНАНСОВА ОБОСНОВКА</w:t>
      </w:r>
    </w:p>
    <w:p w14:paraId="35A4E832" w14:textId="77777777" w:rsidR="002337F9" w:rsidRPr="00133050" w:rsidRDefault="002337F9" w:rsidP="00B51586">
      <w:pPr>
        <w:pStyle w:val="ManualHeading1"/>
        <w:rPr>
          <w:noProof/>
        </w:rPr>
      </w:pPr>
      <w:r>
        <w:rPr>
          <w:noProof/>
        </w:rPr>
        <w:t>1.</w:t>
      </w:r>
      <w:r>
        <w:rPr>
          <w:noProof/>
        </w:rPr>
        <w:tab/>
      </w:r>
      <w:r w:rsidRPr="00133050">
        <w:rPr>
          <w:noProof/>
        </w:rPr>
        <w:t>РАМКА НА ПРЕДЛОЖЕНИЕТО/ИНИЦИАТИВАТА</w:t>
      </w:r>
    </w:p>
    <w:p w14:paraId="126C8C86" w14:textId="77777777" w:rsidR="002337F9" w:rsidRPr="00133050" w:rsidRDefault="002337F9" w:rsidP="00070956">
      <w:pPr>
        <w:pStyle w:val="ManualHeading2"/>
        <w:rPr>
          <w:noProof/>
        </w:rPr>
      </w:pPr>
      <w:r>
        <w:rPr>
          <w:noProof/>
        </w:rPr>
        <w:t>1.1.</w:t>
      </w:r>
      <w:r>
        <w:rPr>
          <w:noProof/>
        </w:rPr>
        <w:tab/>
      </w:r>
      <w:r w:rsidRPr="00133050">
        <w:rPr>
          <w:noProof/>
        </w:rPr>
        <w:t>Наименование на предложението/инициативата</w:t>
      </w:r>
    </w:p>
    <w:p w14:paraId="6957B9A8" w14:textId="77777777" w:rsidR="002337F9" w:rsidRPr="00133050" w:rsidRDefault="002337F9" w:rsidP="00070956">
      <w:pPr>
        <w:pStyle w:val="ManualHeading2"/>
        <w:rPr>
          <w:noProof/>
        </w:rPr>
      </w:pPr>
      <w:r>
        <w:rPr>
          <w:noProof/>
        </w:rPr>
        <w:t>1.2.</w:t>
      </w:r>
      <w:r>
        <w:rPr>
          <w:noProof/>
        </w:rPr>
        <w:tab/>
      </w:r>
      <w:r w:rsidRPr="00133050">
        <w:rPr>
          <w:noProof/>
        </w:rPr>
        <w:t>Съответни области на политиката</w:t>
      </w:r>
    </w:p>
    <w:p w14:paraId="657A5F16" w14:textId="77777777" w:rsidR="002337F9" w:rsidRPr="00133050" w:rsidRDefault="002337F9" w:rsidP="00070956">
      <w:pPr>
        <w:pStyle w:val="ManualHeading2"/>
        <w:rPr>
          <w:noProof/>
        </w:rPr>
      </w:pPr>
      <w:r>
        <w:rPr>
          <w:noProof/>
        </w:rPr>
        <w:t>1.3.</w:t>
      </w:r>
      <w:r>
        <w:rPr>
          <w:noProof/>
        </w:rPr>
        <w:tab/>
      </w:r>
      <w:r w:rsidRPr="00133050">
        <w:rPr>
          <w:noProof/>
        </w:rPr>
        <w:t>Предложението/инициативата е във връзка с:</w:t>
      </w:r>
    </w:p>
    <w:p w14:paraId="229EAEE7" w14:textId="77777777" w:rsidR="002337F9" w:rsidRPr="00133050" w:rsidRDefault="002337F9" w:rsidP="00070956">
      <w:pPr>
        <w:pStyle w:val="ManualHeading2"/>
        <w:rPr>
          <w:noProof/>
        </w:rPr>
      </w:pPr>
      <w:r>
        <w:rPr>
          <w:noProof/>
        </w:rPr>
        <w:t>1.4.</w:t>
      </w:r>
      <w:r>
        <w:rPr>
          <w:noProof/>
        </w:rPr>
        <w:tab/>
      </w:r>
      <w:r w:rsidRPr="00133050">
        <w:rPr>
          <w:noProof/>
        </w:rPr>
        <w:t>Цели</w:t>
      </w:r>
    </w:p>
    <w:p w14:paraId="3CA89A93" w14:textId="77777777" w:rsidR="002337F9" w:rsidRPr="00133050" w:rsidRDefault="002337F9" w:rsidP="00070956">
      <w:pPr>
        <w:pStyle w:val="ManualHeading3"/>
        <w:rPr>
          <w:noProof/>
        </w:rPr>
      </w:pPr>
      <w:r>
        <w:rPr>
          <w:noProof/>
        </w:rPr>
        <w:t>1.4.1.</w:t>
      </w:r>
      <w:r>
        <w:rPr>
          <w:noProof/>
        </w:rPr>
        <w:tab/>
      </w:r>
      <w:r w:rsidRPr="00133050">
        <w:rPr>
          <w:noProof/>
        </w:rPr>
        <w:t>Общи цели</w:t>
      </w:r>
    </w:p>
    <w:p w14:paraId="2B3EDE42" w14:textId="77777777" w:rsidR="002337F9" w:rsidRPr="00133050" w:rsidRDefault="002337F9" w:rsidP="00070956">
      <w:pPr>
        <w:pStyle w:val="ManualHeading3"/>
        <w:rPr>
          <w:noProof/>
        </w:rPr>
      </w:pPr>
      <w:r>
        <w:rPr>
          <w:noProof/>
        </w:rPr>
        <w:t>1.4.2.</w:t>
      </w:r>
      <w:r>
        <w:rPr>
          <w:noProof/>
        </w:rPr>
        <w:tab/>
      </w:r>
      <w:r w:rsidRPr="00133050">
        <w:rPr>
          <w:noProof/>
        </w:rPr>
        <w:t>Конкретни цели</w:t>
      </w:r>
    </w:p>
    <w:p w14:paraId="25E15030" w14:textId="77777777" w:rsidR="002337F9" w:rsidRPr="00133050" w:rsidRDefault="002337F9" w:rsidP="00070956">
      <w:pPr>
        <w:pStyle w:val="ManualHeading3"/>
        <w:rPr>
          <w:noProof/>
        </w:rPr>
      </w:pPr>
      <w:r>
        <w:rPr>
          <w:noProof/>
        </w:rPr>
        <w:t>1.4.3.</w:t>
      </w:r>
      <w:r>
        <w:rPr>
          <w:noProof/>
        </w:rPr>
        <w:tab/>
      </w:r>
      <w:r w:rsidRPr="00133050">
        <w:rPr>
          <w:noProof/>
        </w:rPr>
        <w:t>Очаквани резултати и отражение</w:t>
      </w:r>
    </w:p>
    <w:p w14:paraId="4FCDFC7B" w14:textId="77777777" w:rsidR="002337F9" w:rsidRPr="00133050" w:rsidRDefault="002337F9" w:rsidP="00070956">
      <w:pPr>
        <w:pStyle w:val="ManualHeading3"/>
        <w:rPr>
          <w:noProof/>
        </w:rPr>
      </w:pPr>
      <w:r>
        <w:rPr>
          <w:noProof/>
        </w:rPr>
        <w:t>1.4.4.</w:t>
      </w:r>
      <w:r>
        <w:rPr>
          <w:noProof/>
        </w:rPr>
        <w:tab/>
      </w:r>
      <w:r w:rsidRPr="00133050">
        <w:rPr>
          <w:noProof/>
        </w:rPr>
        <w:t>Показатели за изпълнението</w:t>
      </w:r>
    </w:p>
    <w:p w14:paraId="2C5BD99F" w14:textId="77777777" w:rsidR="002337F9" w:rsidRPr="00133050" w:rsidRDefault="002337F9" w:rsidP="00070956">
      <w:pPr>
        <w:pStyle w:val="ManualHeading2"/>
        <w:rPr>
          <w:noProof/>
        </w:rPr>
      </w:pPr>
      <w:r>
        <w:rPr>
          <w:noProof/>
        </w:rPr>
        <w:t>1.5.</w:t>
      </w:r>
      <w:r>
        <w:rPr>
          <w:noProof/>
        </w:rPr>
        <w:tab/>
      </w:r>
      <w:r w:rsidRPr="00133050">
        <w:rPr>
          <w:noProof/>
        </w:rPr>
        <w:t>Мотиви за предложението/инициативата</w:t>
      </w:r>
    </w:p>
    <w:p w14:paraId="5AB8618E" w14:textId="77777777" w:rsidR="002337F9" w:rsidRPr="00133050" w:rsidRDefault="002337F9" w:rsidP="00070956">
      <w:pPr>
        <w:pStyle w:val="ManualHeading3"/>
        <w:rPr>
          <w:noProof/>
        </w:rPr>
      </w:pPr>
      <w:r>
        <w:rPr>
          <w:noProof/>
        </w:rPr>
        <w:t>1.5.1.</w:t>
      </w:r>
      <w:r>
        <w:rPr>
          <w:noProof/>
        </w:rPr>
        <w:tab/>
      </w:r>
      <w:r w:rsidRPr="00133050">
        <w:rPr>
          <w:noProof/>
        </w:rPr>
        <w:t>Изисквания, които трябва да бъдат изпълнени в краткосрочна или дългосрочна перспектива, включително подробен график за изпълнението на инициативата</w:t>
      </w:r>
    </w:p>
    <w:p w14:paraId="6E8378A6" w14:textId="77777777" w:rsidR="002337F9" w:rsidRPr="00133050" w:rsidRDefault="002337F9" w:rsidP="00070956">
      <w:pPr>
        <w:pStyle w:val="ManualHeading3"/>
        <w:rPr>
          <w:noProof/>
        </w:rPr>
      </w:pPr>
      <w:r>
        <w:rPr>
          <w:noProof/>
        </w:rPr>
        <w:t>1.5.2.</w:t>
      </w:r>
      <w:r>
        <w:rPr>
          <w:noProof/>
        </w:rPr>
        <w:tab/>
      </w:r>
      <w:r w:rsidRPr="00133050">
        <w:rPr>
          <w:noProof/>
        </w:rPr>
        <w:t>Добавена стойност от участието на Съюза (може да е в резултат от различни фактори, например ползи по отношение на координацията, правна сигурност, по-добра ефективност или взаимно допълване). За целите на тази точка „добавена стойност от участието на Съюза“ е стойността, която е резултат от намесата на ЕС и е допълнителна спрямо стойността, която би била създадена само от отделните държави членки.</w:t>
      </w:r>
    </w:p>
    <w:p w14:paraId="44B86001" w14:textId="77777777" w:rsidR="002337F9" w:rsidRPr="00133050" w:rsidRDefault="002337F9" w:rsidP="00070956">
      <w:pPr>
        <w:pStyle w:val="ManualHeading3"/>
        <w:rPr>
          <w:noProof/>
        </w:rPr>
      </w:pPr>
      <w:r>
        <w:rPr>
          <w:noProof/>
        </w:rPr>
        <w:t>1.5.3.</w:t>
      </w:r>
      <w:r>
        <w:rPr>
          <w:noProof/>
        </w:rPr>
        <w:tab/>
      </w:r>
      <w:r w:rsidRPr="00133050">
        <w:rPr>
          <w:noProof/>
        </w:rPr>
        <w:t>Изводи от подобен опит в миналото</w:t>
      </w:r>
    </w:p>
    <w:p w14:paraId="7047EF2F" w14:textId="77777777" w:rsidR="002337F9" w:rsidRPr="00133050" w:rsidRDefault="002337F9" w:rsidP="00070956">
      <w:pPr>
        <w:pStyle w:val="ManualHeading3"/>
        <w:rPr>
          <w:noProof/>
        </w:rPr>
      </w:pPr>
      <w:r>
        <w:rPr>
          <w:noProof/>
        </w:rPr>
        <w:t>1.5.4.</w:t>
      </w:r>
      <w:r>
        <w:rPr>
          <w:noProof/>
        </w:rPr>
        <w:tab/>
      </w:r>
      <w:r w:rsidRPr="00133050">
        <w:rPr>
          <w:noProof/>
        </w:rPr>
        <w:t>Съвместимост с многогодишната финансова рамка и евентуални синергии с други подходящи инструменти</w:t>
      </w:r>
    </w:p>
    <w:p w14:paraId="12AFE2B3" w14:textId="77777777" w:rsidR="002337F9" w:rsidRPr="00133050" w:rsidRDefault="002337F9" w:rsidP="00070956">
      <w:pPr>
        <w:pStyle w:val="ManualHeading3"/>
        <w:rPr>
          <w:noProof/>
        </w:rPr>
      </w:pPr>
      <w:r>
        <w:rPr>
          <w:noProof/>
        </w:rPr>
        <w:t>1.5.5.</w:t>
      </w:r>
      <w:r>
        <w:rPr>
          <w:noProof/>
        </w:rPr>
        <w:tab/>
      </w:r>
      <w:r w:rsidRPr="00133050">
        <w:rPr>
          <w:noProof/>
        </w:rPr>
        <w:t>Оценка на различните налични варианти за финансиране, включително възможностите за преразпределяне на средства</w:t>
      </w:r>
    </w:p>
    <w:p w14:paraId="0098B3FD" w14:textId="77777777" w:rsidR="002337F9" w:rsidRPr="00133050" w:rsidRDefault="002337F9" w:rsidP="00070956">
      <w:pPr>
        <w:pStyle w:val="ManualHeading2"/>
        <w:rPr>
          <w:noProof/>
        </w:rPr>
      </w:pPr>
      <w:r>
        <w:rPr>
          <w:noProof/>
        </w:rPr>
        <w:t>1.6.</w:t>
      </w:r>
      <w:r>
        <w:rPr>
          <w:noProof/>
        </w:rPr>
        <w:tab/>
      </w:r>
      <w:r w:rsidRPr="00133050">
        <w:rPr>
          <w:noProof/>
        </w:rPr>
        <w:t>Продължителност и финансово отражение на предложението/инициативата</w:t>
      </w:r>
    </w:p>
    <w:p w14:paraId="7D3DA4E8" w14:textId="77777777" w:rsidR="002337F9" w:rsidRPr="00133050" w:rsidRDefault="002337F9" w:rsidP="00070956">
      <w:pPr>
        <w:pStyle w:val="ManualHeading2"/>
        <w:rPr>
          <w:noProof/>
        </w:rPr>
      </w:pPr>
      <w:r>
        <w:rPr>
          <w:noProof/>
        </w:rPr>
        <w:t>1.7.</w:t>
      </w:r>
      <w:r>
        <w:rPr>
          <w:noProof/>
        </w:rPr>
        <w:tab/>
      </w:r>
      <w:r w:rsidRPr="00133050">
        <w:rPr>
          <w:noProof/>
        </w:rPr>
        <w:t>Планирани методи на управление</w:t>
      </w:r>
    </w:p>
    <w:p w14:paraId="40EC5ABC" w14:textId="77777777" w:rsidR="002337F9" w:rsidRPr="00133050" w:rsidRDefault="002337F9" w:rsidP="00B51586">
      <w:pPr>
        <w:pStyle w:val="ManualHeading1"/>
        <w:rPr>
          <w:noProof/>
        </w:rPr>
      </w:pPr>
      <w:r>
        <w:rPr>
          <w:noProof/>
        </w:rPr>
        <w:t>2.</w:t>
      </w:r>
      <w:r>
        <w:rPr>
          <w:noProof/>
        </w:rPr>
        <w:tab/>
      </w:r>
      <w:r w:rsidRPr="00133050">
        <w:rPr>
          <w:noProof/>
        </w:rPr>
        <w:t>МЕРКИ ЗА УПРАВЛЕНИЕ</w:t>
      </w:r>
    </w:p>
    <w:p w14:paraId="4661A674" w14:textId="77777777" w:rsidR="002337F9" w:rsidRPr="00133050" w:rsidRDefault="002337F9" w:rsidP="00070956">
      <w:pPr>
        <w:pStyle w:val="ManualHeading2"/>
        <w:rPr>
          <w:noProof/>
        </w:rPr>
      </w:pPr>
      <w:r>
        <w:rPr>
          <w:noProof/>
        </w:rPr>
        <w:t>2.1.</w:t>
      </w:r>
      <w:r>
        <w:rPr>
          <w:noProof/>
        </w:rPr>
        <w:tab/>
      </w:r>
      <w:r w:rsidRPr="00133050">
        <w:rPr>
          <w:noProof/>
        </w:rPr>
        <w:t>Правила за мониторинг и докладване</w:t>
      </w:r>
    </w:p>
    <w:p w14:paraId="2B3B86E9" w14:textId="77777777" w:rsidR="002337F9" w:rsidRPr="00133050" w:rsidRDefault="002337F9" w:rsidP="00070956">
      <w:pPr>
        <w:pStyle w:val="ManualHeading2"/>
        <w:rPr>
          <w:noProof/>
        </w:rPr>
      </w:pPr>
      <w:r>
        <w:rPr>
          <w:noProof/>
        </w:rPr>
        <w:t>2.2.</w:t>
      </w:r>
      <w:r>
        <w:rPr>
          <w:noProof/>
        </w:rPr>
        <w:tab/>
      </w:r>
      <w:r w:rsidRPr="00133050">
        <w:rPr>
          <w:noProof/>
        </w:rPr>
        <w:t>Системи за управление и контрол</w:t>
      </w:r>
    </w:p>
    <w:p w14:paraId="25B35929" w14:textId="77777777" w:rsidR="002337F9" w:rsidRPr="00133050" w:rsidRDefault="002337F9" w:rsidP="00070956">
      <w:pPr>
        <w:pStyle w:val="ManualHeading3"/>
        <w:rPr>
          <w:noProof/>
        </w:rPr>
      </w:pPr>
      <w:r>
        <w:rPr>
          <w:noProof/>
        </w:rPr>
        <w:t>2.2.1.</w:t>
      </w:r>
      <w:r>
        <w:rPr>
          <w:noProof/>
        </w:rPr>
        <w:tab/>
      </w:r>
      <w:r w:rsidRPr="00133050">
        <w:rPr>
          <w:noProof/>
        </w:rPr>
        <w:t>Обосновка на предложените методи на управление, механизми за осъществяване на финансирането, начини за плащане и стратегия за контрол</w:t>
      </w:r>
    </w:p>
    <w:p w14:paraId="6C703C6E" w14:textId="77777777" w:rsidR="002337F9" w:rsidRPr="00133050" w:rsidRDefault="002337F9" w:rsidP="00070956">
      <w:pPr>
        <w:pStyle w:val="ManualHeading3"/>
        <w:rPr>
          <w:noProof/>
        </w:rPr>
      </w:pPr>
      <w:r>
        <w:rPr>
          <w:noProof/>
        </w:rPr>
        <w:t>2.2.2.</w:t>
      </w:r>
      <w:r>
        <w:rPr>
          <w:noProof/>
        </w:rPr>
        <w:tab/>
      </w:r>
      <w:r w:rsidRPr="00133050">
        <w:rPr>
          <w:noProof/>
        </w:rPr>
        <w:t>Информация относно установените рискове и системите за вътрешен контрол, създадени с цел намаляването им</w:t>
      </w:r>
    </w:p>
    <w:p w14:paraId="28CB2D31" w14:textId="77777777" w:rsidR="002337F9" w:rsidRPr="00133050" w:rsidRDefault="002337F9" w:rsidP="00070956">
      <w:pPr>
        <w:pStyle w:val="ManualHeading3"/>
        <w:rPr>
          <w:noProof/>
        </w:rPr>
      </w:pPr>
      <w:r>
        <w:rPr>
          <w:noProof/>
        </w:rPr>
        <w:t>2.2.3.</w:t>
      </w:r>
      <w:r>
        <w:rPr>
          <w:noProof/>
        </w:rPr>
        <w:tab/>
      </w:r>
      <w:r w:rsidRPr="00133050">
        <w:rPr>
          <w:noProof/>
        </w:rPr>
        <w:t>Оценка и обосновка на разходната ефективност на проверките (съотношение „разходи за контрол ÷ стойност на съответните управлявани фондове“) и оценка на очакваната степен на риска от грешки (при плащане и при приключване)</w:t>
      </w:r>
    </w:p>
    <w:p w14:paraId="15917391" w14:textId="77777777" w:rsidR="002337F9" w:rsidRPr="00133050" w:rsidRDefault="002337F9" w:rsidP="00070956">
      <w:pPr>
        <w:pStyle w:val="ManualHeading2"/>
        <w:rPr>
          <w:noProof/>
        </w:rPr>
      </w:pPr>
      <w:r>
        <w:rPr>
          <w:noProof/>
        </w:rPr>
        <w:t>2.3.</w:t>
      </w:r>
      <w:r>
        <w:rPr>
          <w:noProof/>
        </w:rPr>
        <w:tab/>
      </w:r>
      <w:r w:rsidRPr="00133050">
        <w:rPr>
          <w:noProof/>
        </w:rPr>
        <w:t>Мерки за предотвратяване на измами и нередности</w:t>
      </w:r>
    </w:p>
    <w:p w14:paraId="080B2F16" w14:textId="77777777" w:rsidR="002337F9" w:rsidRPr="00133050" w:rsidRDefault="002337F9" w:rsidP="00B51586">
      <w:pPr>
        <w:pStyle w:val="ManualHeading1"/>
        <w:rPr>
          <w:noProof/>
        </w:rPr>
      </w:pPr>
      <w:r>
        <w:rPr>
          <w:noProof/>
        </w:rPr>
        <w:t>3.</w:t>
      </w:r>
      <w:r>
        <w:rPr>
          <w:noProof/>
        </w:rPr>
        <w:tab/>
      </w:r>
      <w:r w:rsidRPr="00133050">
        <w:rPr>
          <w:noProof/>
        </w:rPr>
        <w:t>ОЧАКВАНО ФИНАНСОВО ОТРАЖЕНИЕ НА ПРЕДЛОЖЕНИЕТО/ИНИЦИАТИВАТА</w:t>
      </w:r>
    </w:p>
    <w:p w14:paraId="301A1551" w14:textId="77777777" w:rsidR="002337F9" w:rsidRPr="00133050" w:rsidRDefault="002337F9" w:rsidP="00070956">
      <w:pPr>
        <w:pStyle w:val="ManualHeading2"/>
        <w:rPr>
          <w:noProof/>
        </w:rPr>
      </w:pPr>
      <w:r>
        <w:rPr>
          <w:noProof/>
        </w:rPr>
        <w:t>3.1.</w:t>
      </w:r>
      <w:r>
        <w:rPr>
          <w:noProof/>
        </w:rPr>
        <w:tab/>
      </w:r>
      <w:r w:rsidRPr="00133050">
        <w:rPr>
          <w:noProof/>
        </w:rPr>
        <w:t>Съответни функции от многогодишната финансова рамка и разходни бюджетни редове</w:t>
      </w:r>
    </w:p>
    <w:p w14:paraId="73B09259" w14:textId="77777777" w:rsidR="002337F9" w:rsidRPr="00133050" w:rsidRDefault="002337F9" w:rsidP="00070956">
      <w:pPr>
        <w:pStyle w:val="ManualHeading2"/>
        <w:rPr>
          <w:noProof/>
        </w:rPr>
      </w:pPr>
      <w:r>
        <w:rPr>
          <w:noProof/>
        </w:rPr>
        <w:t>3.2.</w:t>
      </w:r>
      <w:r>
        <w:rPr>
          <w:noProof/>
        </w:rPr>
        <w:tab/>
      </w:r>
      <w:r w:rsidRPr="00133050">
        <w:rPr>
          <w:noProof/>
        </w:rPr>
        <w:t>Очаквано финансово отражение на предложението върху бюджетните кредити</w:t>
      </w:r>
    </w:p>
    <w:p w14:paraId="57EB5CF0" w14:textId="77777777" w:rsidR="002337F9" w:rsidRPr="00133050" w:rsidRDefault="002337F9" w:rsidP="00070956">
      <w:pPr>
        <w:pStyle w:val="ManualHeading3"/>
        <w:rPr>
          <w:noProof/>
        </w:rPr>
      </w:pPr>
      <w:r>
        <w:rPr>
          <w:noProof/>
        </w:rPr>
        <w:t>3.2.1.</w:t>
      </w:r>
      <w:r>
        <w:rPr>
          <w:noProof/>
        </w:rPr>
        <w:tab/>
      </w:r>
      <w:r w:rsidRPr="00133050">
        <w:rPr>
          <w:noProof/>
        </w:rPr>
        <w:t>Обобщение на очакваното отражение върху бюджетните кредити за оперативни разходи</w:t>
      </w:r>
    </w:p>
    <w:p w14:paraId="7B593FB8" w14:textId="77777777" w:rsidR="002337F9" w:rsidRPr="00133050" w:rsidRDefault="002337F9" w:rsidP="00070956">
      <w:pPr>
        <w:pStyle w:val="ManualHeading3"/>
        <w:rPr>
          <w:noProof/>
        </w:rPr>
      </w:pPr>
      <w:r>
        <w:rPr>
          <w:noProof/>
        </w:rPr>
        <w:t>3.2.2.</w:t>
      </w:r>
      <w:r>
        <w:rPr>
          <w:noProof/>
        </w:rPr>
        <w:tab/>
      </w:r>
      <w:r w:rsidRPr="00133050">
        <w:rPr>
          <w:noProof/>
        </w:rPr>
        <w:t>Очакван резултат, финансиран с бюджетни кредити за оперативни разходи</w:t>
      </w:r>
    </w:p>
    <w:p w14:paraId="29EE8290" w14:textId="77777777" w:rsidR="002337F9" w:rsidRPr="00133050" w:rsidRDefault="002337F9" w:rsidP="00070956">
      <w:pPr>
        <w:pStyle w:val="ManualHeading3"/>
        <w:rPr>
          <w:noProof/>
        </w:rPr>
      </w:pPr>
      <w:r>
        <w:rPr>
          <w:noProof/>
        </w:rPr>
        <w:t>3.2.3.</w:t>
      </w:r>
      <w:r>
        <w:rPr>
          <w:noProof/>
        </w:rPr>
        <w:tab/>
      </w:r>
      <w:r w:rsidRPr="00133050">
        <w:rPr>
          <w:noProof/>
        </w:rPr>
        <w:t>Обобщение на очакваното отражение върху бюджетните кредити за административни разходи</w:t>
      </w:r>
    </w:p>
    <w:p w14:paraId="3E138696" w14:textId="77777777" w:rsidR="002337F9" w:rsidRPr="00133050" w:rsidRDefault="002337F9" w:rsidP="00070956">
      <w:pPr>
        <w:pStyle w:val="ManualHeading4"/>
        <w:rPr>
          <w:noProof/>
        </w:rPr>
      </w:pPr>
      <w:r>
        <w:rPr>
          <w:noProof/>
        </w:rPr>
        <w:t>3.2.3.1.</w:t>
      </w:r>
      <w:r>
        <w:rPr>
          <w:noProof/>
        </w:rPr>
        <w:tab/>
      </w:r>
      <w:r w:rsidRPr="00133050">
        <w:rPr>
          <w:noProof/>
        </w:rPr>
        <w:t>Очаквани нужди от човешки ресурси</w:t>
      </w:r>
    </w:p>
    <w:p w14:paraId="0E1EEBC8" w14:textId="77777777" w:rsidR="002337F9" w:rsidRPr="00133050" w:rsidRDefault="002337F9" w:rsidP="00070956">
      <w:pPr>
        <w:pStyle w:val="ManualHeading3"/>
        <w:rPr>
          <w:noProof/>
        </w:rPr>
      </w:pPr>
      <w:r>
        <w:rPr>
          <w:noProof/>
        </w:rPr>
        <w:t>3.2.4.</w:t>
      </w:r>
      <w:r>
        <w:rPr>
          <w:noProof/>
        </w:rPr>
        <w:tab/>
      </w:r>
      <w:r w:rsidRPr="00133050">
        <w:rPr>
          <w:noProof/>
        </w:rPr>
        <w:t>Съвместимост с настоящата многогодишна финансова рамка</w:t>
      </w:r>
    </w:p>
    <w:p w14:paraId="53480F7A" w14:textId="77777777" w:rsidR="002337F9" w:rsidRPr="00133050" w:rsidRDefault="002337F9" w:rsidP="00070956">
      <w:pPr>
        <w:pStyle w:val="ManualHeading3"/>
        <w:rPr>
          <w:noProof/>
        </w:rPr>
      </w:pPr>
      <w:r>
        <w:rPr>
          <w:noProof/>
        </w:rPr>
        <w:t>3.2.5.</w:t>
      </w:r>
      <w:r>
        <w:rPr>
          <w:noProof/>
        </w:rPr>
        <w:tab/>
      </w:r>
      <w:r w:rsidRPr="00133050">
        <w:rPr>
          <w:noProof/>
        </w:rPr>
        <w:t>Финансов принос от трети страни</w:t>
      </w:r>
    </w:p>
    <w:p w14:paraId="0E86A187" w14:textId="77777777" w:rsidR="002337F9" w:rsidRPr="00133050" w:rsidRDefault="002337F9" w:rsidP="00070956">
      <w:pPr>
        <w:pStyle w:val="ManualHeading2"/>
        <w:rPr>
          <w:noProof/>
        </w:rPr>
      </w:pPr>
      <w:r>
        <w:rPr>
          <w:noProof/>
        </w:rPr>
        <w:t>3.3.</w:t>
      </w:r>
      <w:r>
        <w:rPr>
          <w:noProof/>
        </w:rPr>
        <w:tab/>
      </w:r>
      <w:r w:rsidRPr="00133050">
        <w:rPr>
          <w:noProof/>
        </w:rPr>
        <w:t>Очаквано отражение върху приходите</w:t>
      </w:r>
    </w:p>
    <w:p w14:paraId="5DEF623A" w14:textId="77777777" w:rsidR="002337F9" w:rsidRPr="00133050" w:rsidRDefault="002337F9" w:rsidP="00B51586">
      <w:pPr>
        <w:pStyle w:val="ManualHeading1"/>
        <w:rPr>
          <w:noProof/>
        </w:rPr>
      </w:pPr>
      <w:r>
        <w:rPr>
          <w:noProof/>
        </w:rPr>
        <w:t>1.</w:t>
      </w:r>
      <w:r>
        <w:rPr>
          <w:noProof/>
        </w:rPr>
        <w:tab/>
      </w:r>
      <w:r w:rsidRPr="00133050">
        <w:rPr>
          <w:noProof/>
        </w:rPr>
        <w:br w:type="page"/>
        <w:t xml:space="preserve">РАМКА НА ПРЕДЛОЖЕНИЕТО/ИНИЦИАТИВАТА </w:t>
      </w:r>
    </w:p>
    <w:p w14:paraId="43982F06" w14:textId="77777777" w:rsidR="002337F9" w:rsidRPr="00133050" w:rsidRDefault="002337F9" w:rsidP="00070956">
      <w:pPr>
        <w:pStyle w:val="ManualHeading2"/>
        <w:rPr>
          <w:noProof/>
        </w:rPr>
      </w:pPr>
      <w:r>
        <w:rPr>
          <w:noProof/>
        </w:rPr>
        <w:t>1.1.</w:t>
      </w:r>
      <w:r>
        <w:rPr>
          <w:noProof/>
        </w:rPr>
        <w:tab/>
      </w:r>
      <w:r w:rsidRPr="00133050">
        <w:rPr>
          <w:noProof/>
        </w:rPr>
        <w:t>Наименование на предложението/инициативата</w:t>
      </w:r>
    </w:p>
    <w:p w14:paraId="4050DEDC" w14:textId="77777777" w:rsidR="002337F9" w:rsidRPr="00133050" w:rsidRDefault="002337F9" w:rsidP="002337F9">
      <w:pPr>
        <w:pStyle w:val="Text1"/>
        <w:pBdr>
          <w:top w:val="single" w:sz="4" w:space="1" w:color="auto"/>
          <w:left w:val="single" w:sz="4" w:space="4" w:color="auto"/>
          <w:bottom w:val="single" w:sz="4" w:space="1" w:color="auto"/>
          <w:right w:val="single" w:sz="4" w:space="4" w:color="auto"/>
        </w:pBdr>
        <w:rPr>
          <w:noProof/>
        </w:rPr>
      </w:pPr>
      <w:r w:rsidRPr="00133050">
        <w:rPr>
          <w:noProof/>
        </w:rPr>
        <w:t>Предложение за регламент на Европейския парламент и на Съвета относно скрининга на чуждестранни инвестиции в Съюза и за отмяна на Регламент (ЕС) 2019/452.</w:t>
      </w:r>
    </w:p>
    <w:p w14:paraId="7982640D" w14:textId="77777777" w:rsidR="002337F9" w:rsidRPr="00133050" w:rsidRDefault="002337F9" w:rsidP="00070956">
      <w:pPr>
        <w:pStyle w:val="ManualHeading2"/>
        <w:rPr>
          <w:noProof/>
        </w:rPr>
      </w:pPr>
      <w:r>
        <w:rPr>
          <w:noProof/>
        </w:rPr>
        <w:t>1.2.</w:t>
      </w:r>
      <w:r>
        <w:rPr>
          <w:noProof/>
        </w:rPr>
        <w:tab/>
      </w:r>
      <w:r w:rsidRPr="00133050">
        <w:rPr>
          <w:noProof/>
        </w:rPr>
        <w:t xml:space="preserve">Съответни области на политиката </w:t>
      </w:r>
    </w:p>
    <w:p w14:paraId="1A454787" w14:textId="77777777" w:rsidR="002337F9" w:rsidRPr="00133050" w:rsidRDefault="002337F9" w:rsidP="002337F9">
      <w:pPr>
        <w:pStyle w:val="Text1"/>
        <w:pBdr>
          <w:top w:val="single" w:sz="4" w:space="1" w:color="auto"/>
          <w:left w:val="single" w:sz="4" w:space="4" w:color="auto"/>
          <w:bottom w:val="single" w:sz="4" w:space="1" w:color="auto"/>
          <w:right w:val="single" w:sz="4" w:space="4" w:color="auto"/>
        </w:pBdr>
        <w:rPr>
          <w:noProof/>
        </w:rPr>
      </w:pPr>
      <w:r w:rsidRPr="00133050">
        <w:rPr>
          <w:noProof/>
        </w:rPr>
        <w:t>Обща търговска политика/единен пазар</w:t>
      </w:r>
    </w:p>
    <w:p w14:paraId="6ED5C2CF" w14:textId="77777777" w:rsidR="002337F9" w:rsidRPr="00133050" w:rsidRDefault="002337F9" w:rsidP="00070956">
      <w:pPr>
        <w:pStyle w:val="ManualHeading2"/>
        <w:rPr>
          <w:noProof/>
        </w:rPr>
      </w:pPr>
      <w:r>
        <w:rPr>
          <w:noProof/>
        </w:rPr>
        <w:t>1.3.</w:t>
      </w:r>
      <w:r>
        <w:rPr>
          <w:noProof/>
        </w:rPr>
        <w:tab/>
      </w:r>
      <w:r w:rsidRPr="00133050">
        <w:rPr>
          <w:noProof/>
        </w:rPr>
        <w:t xml:space="preserve">Предложението/инициативата е във връзка с: </w:t>
      </w:r>
    </w:p>
    <w:p w14:paraId="199F64F4" w14:textId="77777777" w:rsidR="002337F9" w:rsidRPr="00133050" w:rsidRDefault="002337F9" w:rsidP="002337F9">
      <w:pPr>
        <w:pStyle w:val="Text1"/>
        <w:rPr>
          <w:b/>
          <w:noProof/>
          <w:sz w:val="22"/>
        </w:rPr>
      </w:pPr>
      <w:r w:rsidRPr="00133050">
        <w:rPr>
          <w:noProof/>
          <w:sz w:val="22"/>
        </w:rPr>
        <w:sym w:font="Wingdings" w:char="F0A8"/>
      </w:r>
      <w:r w:rsidRPr="00133050">
        <w:rPr>
          <w:b/>
          <w:i/>
          <w:noProof/>
          <w:sz w:val="22"/>
        </w:rPr>
        <w:t xml:space="preserve"> </w:t>
      </w:r>
      <w:r w:rsidRPr="00133050">
        <w:rPr>
          <w:b/>
          <w:noProof/>
        </w:rPr>
        <w:t>ново действие</w:t>
      </w:r>
      <w:r w:rsidRPr="00133050">
        <w:rPr>
          <w:b/>
          <w:noProof/>
          <w:sz w:val="22"/>
        </w:rPr>
        <w:t xml:space="preserve"> </w:t>
      </w:r>
    </w:p>
    <w:p w14:paraId="12F0B1E5" w14:textId="77777777" w:rsidR="002337F9" w:rsidRPr="00133050" w:rsidRDefault="002337F9" w:rsidP="002337F9">
      <w:pPr>
        <w:pStyle w:val="Text1"/>
        <w:rPr>
          <w:noProof/>
          <w:sz w:val="22"/>
        </w:rPr>
      </w:pPr>
      <w:r w:rsidRPr="00133050">
        <w:rPr>
          <w:noProof/>
          <w:sz w:val="22"/>
        </w:rPr>
        <w:sym w:font="Wingdings" w:char="F0A8"/>
      </w:r>
      <w:r w:rsidRPr="00133050">
        <w:rPr>
          <w:i/>
          <w:noProof/>
          <w:sz w:val="22"/>
        </w:rPr>
        <w:t xml:space="preserve"> </w:t>
      </w:r>
      <w:r w:rsidRPr="00133050">
        <w:rPr>
          <w:b/>
          <w:noProof/>
        </w:rPr>
        <w:t>ново действие след пилотен проект/подготвително действие</w:t>
      </w:r>
      <w:r w:rsidRPr="00133050">
        <w:rPr>
          <w:rStyle w:val="FootnoteReference"/>
          <w:noProof/>
        </w:rPr>
        <w:footnoteReference w:id="48"/>
      </w:r>
      <w:r w:rsidRPr="00133050">
        <w:rPr>
          <w:noProof/>
          <w:sz w:val="22"/>
        </w:rPr>
        <w:t xml:space="preserve"> </w:t>
      </w:r>
    </w:p>
    <w:p w14:paraId="36E55C15" w14:textId="77777777" w:rsidR="002337F9" w:rsidRPr="00133050" w:rsidRDefault="002337F9" w:rsidP="002337F9">
      <w:pPr>
        <w:pStyle w:val="Text1"/>
        <w:rPr>
          <w:noProof/>
          <w:sz w:val="22"/>
        </w:rPr>
      </w:pPr>
      <w:r w:rsidRPr="00133050">
        <w:rPr>
          <w:noProof/>
          <w:sz w:val="22"/>
        </w:rPr>
        <w:sym w:font="Wingdings" w:char="F0FD"/>
      </w:r>
      <w:r w:rsidRPr="00133050">
        <w:rPr>
          <w:i/>
          <w:noProof/>
          <w:sz w:val="22"/>
        </w:rPr>
        <w:t xml:space="preserve"> </w:t>
      </w:r>
      <w:r w:rsidRPr="00133050">
        <w:rPr>
          <w:b/>
          <w:noProof/>
        </w:rPr>
        <w:t>продължаване на съществуващо действие</w:t>
      </w:r>
      <w:r w:rsidRPr="00133050">
        <w:rPr>
          <w:noProof/>
          <w:sz w:val="22"/>
        </w:rPr>
        <w:t xml:space="preserve"> </w:t>
      </w:r>
    </w:p>
    <w:p w14:paraId="180A6CD2" w14:textId="77777777" w:rsidR="002337F9" w:rsidRPr="00133050" w:rsidRDefault="002337F9" w:rsidP="002337F9">
      <w:pPr>
        <w:pStyle w:val="Text1"/>
        <w:rPr>
          <w:noProof/>
        </w:rPr>
      </w:pPr>
      <w:r w:rsidRPr="00133050">
        <w:rPr>
          <w:noProof/>
          <w:sz w:val="22"/>
        </w:rPr>
        <w:sym w:font="Wingdings" w:char="F0A8"/>
      </w:r>
      <w:r w:rsidRPr="00133050">
        <w:rPr>
          <w:i/>
          <w:noProof/>
          <w:sz w:val="22"/>
        </w:rPr>
        <w:t xml:space="preserve"> </w:t>
      </w:r>
      <w:r w:rsidRPr="00133050">
        <w:rPr>
          <w:b/>
          <w:noProof/>
        </w:rPr>
        <w:t>сливане или пренасочване на едно или няколко действия към друго/ново действие</w:t>
      </w:r>
      <w:r w:rsidRPr="00133050">
        <w:rPr>
          <w:noProof/>
        </w:rPr>
        <w:t xml:space="preserve"> </w:t>
      </w:r>
    </w:p>
    <w:p w14:paraId="62FD69F0" w14:textId="77777777" w:rsidR="002337F9" w:rsidRPr="00133050" w:rsidRDefault="002337F9" w:rsidP="00070956">
      <w:pPr>
        <w:pStyle w:val="ManualHeading2"/>
        <w:rPr>
          <w:noProof/>
        </w:rPr>
      </w:pPr>
      <w:r>
        <w:rPr>
          <w:noProof/>
        </w:rPr>
        <w:t>1.4.</w:t>
      </w:r>
      <w:r>
        <w:rPr>
          <w:noProof/>
        </w:rPr>
        <w:tab/>
      </w:r>
      <w:r w:rsidRPr="00133050">
        <w:rPr>
          <w:noProof/>
        </w:rPr>
        <w:t>Цели</w:t>
      </w:r>
    </w:p>
    <w:p w14:paraId="2ED5F820" w14:textId="77777777" w:rsidR="002337F9" w:rsidRPr="00133050" w:rsidRDefault="002337F9" w:rsidP="00070956">
      <w:pPr>
        <w:pStyle w:val="ManualHeading3"/>
        <w:rPr>
          <w:noProof/>
        </w:rPr>
      </w:pPr>
      <w:r>
        <w:rPr>
          <w:noProof/>
        </w:rPr>
        <w:t>1.4.1.</w:t>
      </w:r>
      <w:r>
        <w:rPr>
          <w:noProof/>
        </w:rPr>
        <w:tab/>
      </w:r>
      <w:r w:rsidRPr="00133050">
        <w:rPr>
          <w:noProof/>
        </w:rPr>
        <w:t>Общи цели</w:t>
      </w:r>
    </w:p>
    <w:p w14:paraId="619CB898" w14:textId="77777777" w:rsidR="002337F9" w:rsidRPr="00133050" w:rsidRDefault="002337F9" w:rsidP="002337F9">
      <w:pPr>
        <w:pStyle w:val="Text1"/>
        <w:pBdr>
          <w:top w:val="single" w:sz="4" w:space="1" w:color="auto"/>
          <w:left w:val="single" w:sz="4" w:space="4" w:color="auto"/>
          <w:bottom w:val="single" w:sz="4" w:space="1" w:color="auto"/>
          <w:right w:val="single" w:sz="4" w:space="4" w:color="auto"/>
        </w:pBdr>
        <w:rPr>
          <w:noProof/>
        </w:rPr>
      </w:pPr>
      <w:r w:rsidRPr="00133050">
        <w:rPr>
          <w:noProof/>
        </w:rPr>
        <w:t>Общата цел на предложения регламент е подобряване на сигурността и обществения ред на ЕС в контекста на преките чуждестранни инвестиции и инвестициите, направени от чуждестранни инвеститори чрез установено в ЕС предприятие („чуждестранни инвестиции“).</w:t>
      </w:r>
    </w:p>
    <w:p w14:paraId="5462784F" w14:textId="77777777" w:rsidR="002337F9" w:rsidRPr="00133050" w:rsidRDefault="002337F9" w:rsidP="00070956">
      <w:pPr>
        <w:pStyle w:val="ManualHeading3"/>
        <w:rPr>
          <w:noProof/>
        </w:rPr>
      </w:pPr>
      <w:r>
        <w:rPr>
          <w:noProof/>
        </w:rPr>
        <w:t>1.4.2.</w:t>
      </w:r>
      <w:r>
        <w:rPr>
          <w:noProof/>
        </w:rPr>
        <w:tab/>
      </w:r>
      <w:r w:rsidRPr="00133050">
        <w:rPr>
          <w:noProof/>
        </w:rPr>
        <w:t>Конкретни цели</w:t>
      </w:r>
    </w:p>
    <w:p w14:paraId="60AE476A" w14:textId="77777777" w:rsidR="002337F9" w:rsidRPr="00133050" w:rsidRDefault="002337F9" w:rsidP="002337F9">
      <w:pPr>
        <w:pStyle w:val="Text1"/>
        <w:pBdr>
          <w:top w:val="single" w:sz="4" w:space="1" w:color="auto"/>
          <w:left w:val="single" w:sz="4" w:space="4" w:color="auto"/>
          <w:bottom w:val="single" w:sz="4" w:space="1" w:color="auto"/>
          <w:right w:val="single" w:sz="4" w:space="4" w:color="auto"/>
        </w:pBdr>
        <w:rPr>
          <w:noProof/>
        </w:rPr>
      </w:pPr>
      <w:r w:rsidRPr="00133050">
        <w:rPr>
          <w:noProof/>
        </w:rPr>
        <w:t xml:space="preserve">1. Да се осигури правна сигурност за националните механизми за скрининг на основания, свързани със сигурността и обществения ред, доколкото те засягат чуждестранни инвестиции, както е определено в предложения регламент. </w:t>
      </w:r>
    </w:p>
    <w:p w14:paraId="18F689BF" w14:textId="77777777" w:rsidR="002337F9" w:rsidRPr="00133050" w:rsidRDefault="002337F9" w:rsidP="002337F9">
      <w:pPr>
        <w:pStyle w:val="Text1"/>
        <w:pBdr>
          <w:top w:val="single" w:sz="4" w:space="1" w:color="auto"/>
          <w:left w:val="single" w:sz="4" w:space="4" w:color="auto"/>
          <w:bottom w:val="single" w:sz="4" w:space="1" w:color="auto"/>
          <w:right w:val="single" w:sz="4" w:space="4" w:color="auto"/>
        </w:pBdr>
        <w:rPr>
          <w:noProof/>
        </w:rPr>
      </w:pPr>
      <w:r w:rsidRPr="00133050">
        <w:rPr>
          <w:noProof/>
        </w:rPr>
        <w:t>2. Да се подобри съгласуваността между националните механизми за скрининг, като се предостави възможност за по-ефикасен и ефективен скрининг на сделките в целия ЕС и се предотврати разпокъсаността на вътрешния пазар поради значителните разлики между националните механизми за скрининг.</w:t>
      </w:r>
    </w:p>
    <w:p w14:paraId="450F2EDE" w14:textId="77777777" w:rsidR="002337F9" w:rsidRPr="00133050" w:rsidRDefault="002337F9" w:rsidP="002337F9">
      <w:pPr>
        <w:pStyle w:val="Text1"/>
        <w:pBdr>
          <w:top w:val="single" w:sz="4" w:space="1" w:color="auto"/>
          <w:left w:val="single" w:sz="4" w:space="4" w:color="auto"/>
          <w:bottom w:val="single" w:sz="4" w:space="1" w:color="auto"/>
          <w:right w:val="single" w:sz="4" w:space="4" w:color="auto"/>
        </w:pBdr>
        <w:rPr>
          <w:noProof/>
        </w:rPr>
      </w:pPr>
      <w:r w:rsidRPr="00133050">
        <w:rPr>
          <w:noProof/>
        </w:rPr>
        <w:t>3. Да се наложи на всички държави членки да приемат и поддържат механизъм, който им позволява да извършват ефективен скрининг на чуждестранни инвестиции на основания, свързани с обществения ред или сигурността.</w:t>
      </w:r>
    </w:p>
    <w:p w14:paraId="7285C340" w14:textId="77777777" w:rsidR="002337F9" w:rsidRPr="00133050" w:rsidRDefault="002337F9" w:rsidP="002337F9">
      <w:pPr>
        <w:pStyle w:val="Text1"/>
        <w:pBdr>
          <w:top w:val="single" w:sz="4" w:space="1" w:color="auto"/>
          <w:left w:val="single" w:sz="4" w:space="4" w:color="auto"/>
          <w:bottom w:val="single" w:sz="4" w:space="1" w:color="auto"/>
          <w:right w:val="single" w:sz="4" w:space="4" w:color="auto"/>
        </w:pBdr>
        <w:rPr>
          <w:noProof/>
        </w:rPr>
      </w:pPr>
      <w:r w:rsidRPr="00133050">
        <w:rPr>
          <w:noProof/>
        </w:rPr>
        <w:t>4. Да се подобри ефикасността и ефективността на механизма за сътрудничество между държавите членки и Комисията по отношение на инвестициите, които попадат в обхвата на предложения регламент.</w:t>
      </w:r>
    </w:p>
    <w:p w14:paraId="10A06ED5" w14:textId="77777777" w:rsidR="002337F9" w:rsidRPr="00133050" w:rsidRDefault="002337F9" w:rsidP="00070956">
      <w:pPr>
        <w:pStyle w:val="ManualHeading3"/>
        <w:rPr>
          <w:noProof/>
        </w:rPr>
      </w:pPr>
      <w:r>
        <w:rPr>
          <w:noProof/>
        </w:rPr>
        <w:t>1.4.3.</w:t>
      </w:r>
      <w:r>
        <w:rPr>
          <w:noProof/>
        </w:rPr>
        <w:tab/>
      </w:r>
      <w:r w:rsidRPr="00133050">
        <w:rPr>
          <w:noProof/>
        </w:rPr>
        <w:t>Очаквани резултати и отражение</w:t>
      </w:r>
    </w:p>
    <w:p w14:paraId="75C8892A" w14:textId="77777777" w:rsidR="002337F9" w:rsidRPr="00133050" w:rsidRDefault="002337F9" w:rsidP="002337F9">
      <w:pPr>
        <w:pStyle w:val="Text1"/>
        <w:rPr>
          <w:i/>
          <w:noProof/>
          <w:sz w:val="20"/>
        </w:rPr>
      </w:pPr>
      <w:r w:rsidRPr="00133050">
        <w:rPr>
          <w:i/>
          <w:noProof/>
          <w:sz w:val="20"/>
        </w:rPr>
        <w:t>Да се посочи въздействието, което предложението/инициативата следва да окаже по отношение на бенефициерите/целевите групи.</w:t>
      </w:r>
    </w:p>
    <w:p w14:paraId="2942FB68" w14:textId="77777777" w:rsidR="002337F9" w:rsidRPr="00133050" w:rsidRDefault="002337F9" w:rsidP="002337F9">
      <w:pPr>
        <w:pStyle w:val="Text1"/>
        <w:pBdr>
          <w:top w:val="single" w:sz="4" w:space="1" w:color="auto"/>
          <w:left w:val="single" w:sz="4" w:space="4" w:color="auto"/>
          <w:bottom w:val="single" w:sz="4" w:space="1" w:color="auto"/>
          <w:right w:val="single" w:sz="4" w:space="4" w:color="auto"/>
        </w:pBdr>
        <w:rPr>
          <w:noProof/>
        </w:rPr>
      </w:pPr>
      <w:r w:rsidRPr="00133050">
        <w:rPr>
          <w:noProof/>
        </w:rPr>
        <w:t>С предложения регламент се преразглежда и се подобрява механизмът за сътрудничество между държавите членки и Комисията, създаден с Регламент (ЕС) 2019/452. С новите правила се цели подобряване на способността на ЕС да засича чуждестранни инвестиции, които има вероятност да повлияят отрицателно на сигурността или обществения ред. Очаква се също така предложеният регламент да осигури по-ефикасна и ефективна процедура за оценяване на сделки, които изискват разрешение за скрининг в повече от една държава членка.</w:t>
      </w:r>
    </w:p>
    <w:p w14:paraId="09B39508" w14:textId="77777777" w:rsidR="002337F9" w:rsidRPr="00133050" w:rsidRDefault="002337F9" w:rsidP="002337F9">
      <w:pPr>
        <w:pStyle w:val="Text1"/>
        <w:pBdr>
          <w:top w:val="single" w:sz="4" w:space="1" w:color="auto"/>
          <w:left w:val="single" w:sz="4" w:space="4" w:color="auto"/>
          <w:bottom w:val="single" w:sz="4" w:space="1" w:color="auto"/>
          <w:right w:val="single" w:sz="4" w:space="4" w:color="auto"/>
        </w:pBdr>
        <w:rPr>
          <w:noProof/>
        </w:rPr>
      </w:pPr>
      <w:r w:rsidRPr="00133050">
        <w:rPr>
          <w:noProof/>
        </w:rPr>
        <w:t>С предложения регламент на всички държави членки ще се наложи да поддържат механизъм за скрининг, който им позволява да извършват ефективен скрининг на чуждестранни инвестиции на основания, свързани с обществения ред или сигурността. С тези механизми за скрининг ще трябва да се подпомага участието на държавите членки в механизма за сътрудничество, включително тяхната способност да вземат предвид в скриниговите си решения свързаните със сигурността опасения на други държави членки и на Комисията.</w:t>
      </w:r>
    </w:p>
    <w:p w14:paraId="49691BFD" w14:textId="77777777" w:rsidR="002337F9" w:rsidRPr="00133050" w:rsidRDefault="002337F9" w:rsidP="002337F9">
      <w:pPr>
        <w:pStyle w:val="Text1"/>
        <w:pBdr>
          <w:top w:val="single" w:sz="4" w:space="1" w:color="auto"/>
          <w:left w:val="single" w:sz="4" w:space="4" w:color="auto"/>
          <w:bottom w:val="single" w:sz="4" w:space="1" w:color="auto"/>
          <w:right w:val="single" w:sz="4" w:space="4" w:color="auto"/>
        </w:pBdr>
        <w:rPr>
          <w:noProof/>
        </w:rPr>
      </w:pPr>
      <w:r w:rsidRPr="00133050">
        <w:rPr>
          <w:noProof/>
        </w:rPr>
        <w:t>С предложения регламент следва да продължи да се улеснява обмена на добри практики между държавите членки, включително по време на срещите на експертната група на Комисията по въпросите на скрининга на ПЧИ в ЕС. Това следва да доведе до по-нататъшно привеждане в съответствие на националните правила за скрининг и тяхното прилагане.</w:t>
      </w:r>
    </w:p>
    <w:p w14:paraId="606388B5" w14:textId="77777777" w:rsidR="002337F9" w:rsidRPr="00133050" w:rsidRDefault="002337F9" w:rsidP="002337F9">
      <w:pPr>
        <w:pStyle w:val="Text1"/>
        <w:pBdr>
          <w:top w:val="single" w:sz="4" w:space="1" w:color="auto"/>
          <w:left w:val="single" w:sz="4" w:space="4" w:color="auto"/>
          <w:bottom w:val="single" w:sz="4" w:space="1" w:color="auto"/>
          <w:right w:val="single" w:sz="4" w:space="4" w:color="auto"/>
        </w:pBdr>
        <w:rPr>
          <w:noProof/>
        </w:rPr>
      </w:pPr>
      <w:r w:rsidRPr="00133050">
        <w:rPr>
          <w:noProof/>
        </w:rPr>
        <w:t xml:space="preserve">С предложения регламент следва да продължи да се подкрепя международното сътрудничество с трети държави по въпроси, свързани със скрининга на ПЧИ, при надлежно зачитане на поверителността на сделките и свързаните с тях скринингови проучвания. </w:t>
      </w:r>
    </w:p>
    <w:p w14:paraId="658072C0" w14:textId="77777777" w:rsidR="002337F9" w:rsidRPr="00133050" w:rsidRDefault="002337F9" w:rsidP="002337F9">
      <w:pPr>
        <w:pStyle w:val="Text1"/>
        <w:pBdr>
          <w:top w:val="single" w:sz="4" w:space="1" w:color="auto"/>
          <w:left w:val="single" w:sz="4" w:space="4" w:color="auto"/>
          <w:bottom w:val="single" w:sz="4" w:space="1" w:color="auto"/>
          <w:right w:val="single" w:sz="4" w:space="4" w:color="auto"/>
        </w:pBdr>
        <w:rPr>
          <w:noProof/>
        </w:rPr>
      </w:pPr>
      <w:r w:rsidRPr="00133050">
        <w:rPr>
          <w:noProof/>
        </w:rPr>
        <w:t>Като цяло се очаква с предложения регламент да се подобри сигурността и обществения ред, без да се възпират чуждестранните инвестиции в ЕС.</w:t>
      </w:r>
    </w:p>
    <w:p w14:paraId="0BBF1847" w14:textId="77777777" w:rsidR="002337F9" w:rsidRPr="00133050" w:rsidRDefault="002337F9" w:rsidP="00070956">
      <w:pPr>
        <w:pStyle w:val="ManualHeading3"/>
        <w:rPr>
          <w:noProof/>
        </w:rPr>
      </w:pPr>
      <w:r>
        <w:rPr>
          <w:noProof/>
        </w:rPr>
        <w:t>1.4.4.</w:t>
      </w:r>
      <w:r>
        <w:rPr>
          <w:noProof/>
        </w:rPr>
        <w:tab/>
      </w:r>
      <w:r w:rsidRPr="00133050">
        <w:rPr>
          <w:noProof/>
        </w:rPr>
        <w:t>Показатели за изпълнението</w:t>
      </w:r>
    </w:p>
    <w:p w14:paraId="3D131E2E" w14:textId="77777777" w:rsidR="002337F9" w:rsidRPr="00133050" w:rsidRDefault="002337F9" w:rsidP="002337F9">
      <w:pPr>
        <w:pStyle w:val="Text1"/>
        <w:rPr>
          <w:i/>
          <w:noProof/>
          <w:sz w:val="20"/>
        </w:rPr>
      </w:pPr>
      <w:r w:rsidRPr="00133050">
        <w:rPr>
          <w:i/>
          <w:noProof/>
          <w:sz w:val="20"/>
        </w:rPr>
        <w:t>Посочете показателите за проследяване на напредъка и на постиженията.</w:t>
      </w:r>
    </w:p>
    <w:p w14:paraId="2179A201" w14:textId="77777777" w:rsidR="002337F9" w:rsidRPr="00133050" w:rsidRDefault="002337F9" w:rsidP="002337F9">
      <w:pPr>
        <w:pStyle w:val="Text1"/>
        <w:pBdr>
          <w:top w:val="single" w:sz="4" w:space="1" w:color="auto"/>
          <w:left w:val="single" w:sz="4" w:space="4" w:color="auto"/>
          <w:bottom w:val="single" w:sz="4" w:space="1" w:color="auto"/>
          <w:right w:val="single" w:sz="4" w:space="4" w:color="auto"/>
        </w:pBdr>
        <w:rPr>
          <w:noProof/>
        </w:rPr>
      </w:pPr>
      <w:r w:rsidRPr="00133050">
        <w:rPr>
          <w:noProof/>
        </w:rPr>
        <w:t xml:space="preserve">Броят на държавите членки, разполагащи с механизъм за скрининг, който отговаря на определените в предложения регламент изисквания. </w:t>
      </w:r>
    </w:p>
    <w:p w14:paraId="5248CB4A" w14:textId="77777777" w:rsidR="002337F9" w:rsidRPr="00133050" w:rsidRDefault="002337F9" w:rsidP="002337F9">
      <w:pPr>
        <w:pStyle w:val="Text1"/>
        <w:pBdr>
          <w:top w:val="single" w:sz="4" w:space="1" w:color="auto"/>
          <w:left w:val="single" w:sz="4" w:space="4" w:color="auto"/>
          <w:bottom w:val="single" w:sz="4" w:space="1" w:color="auto"/>
          <w:right w:val="single" w:sz="4" w:space="4" w:color="auto"/>
        </w:pBdr>
        <w:rPr>
          <w:noProof/>
        </w:rPr>
      </w:pPr>
      <w:r w:rsidRPr="00133050">
        <w:rPr>
          <w:noProof/>
        </w:rPr>
        <w:t>Броят на оценените с механизма за сътрудничество сделки на година.</w:t>
      </w:r>
    </w:p>
    <w:p w14:paraId="4DABC84C" w14:textId="77777777" w:rsidR="002337F9" w:rsidRPr="00133050" w:rsidRDefault="002337F9" w:rsidP="002337F9">
      <w:pPr>
        <w:pStyle w:val="Text1"/>
        <w:pBdr>
          <w:top w:val="single" w:sz="4" w:space="1" w:color="auto"/>
          <w:left w:val="single" w:sz="4" w:space="4" w:color="auto"/>
          <w:bottom w:val="single" w:sz="4" w:space="1" w:color="auto"/>
          <w:right w:val="single" w:sz="4" w:space="4" w:color="auto"/>
        </w:pBdr>
        <w:rPr>
          <w:noProof/>
        </w:rPr>
      </w:pPr>
      <w:r w:rsidRPr="00133050">
        <w:rPr>
          <w:noProof/>
        </w:rPr>
        <w:t>Делът на сделките по отношение на които държавите членки са публикували коментари и/или Комисията е предоставила становище на държавата членка, в която се планира или вече е осъществена инвестицията („приемащата държава членка“).</w:t>
      </w:r>
    </w:p>
    <w:p w14:paraId="522FF376" w14:textId="77777777" w:rsidR="002337F9" w:rsidRPr="00133050" w:rsidRDefault="002337F9" w:rsidP="002337F9">
      <w:pPr>
        <w:pStyle w:val="Text1"/>
        <w:pBdr>
          <w:top w:val="single" w:sz="4" w:space="1" w:color="auto"/>
          <w:left w:val="single" w:sz="4" w:space="4" w:color="auto"/>
          <w:bottom w:val="single" w:sz="4" w:space="1" w:color="auto"/>
          <w:right w:val="single" w:sz="4" w:space="4" w:color="auto"/>
        </w:pBdr>
        <w:rPr>
          <w:noProof/>
        </w:rPr>
      </w:pPr>
      <w:r w:rsidRPr="00133050">
        <w:rPr>
          <w:noProof/>
        </w:rPr>
        <w:t>Броят и видът на предприетите от държавите членки действия във връзка със сделки, за които съществува вероятност да повлияят отрицателно на сигурността или обществения ред на приемащата държава членка или на други държави членки, или на проекти или програми от интерес за ЕС на основания, свързани със сигурността или обществения ред.</w:t>
      </w:r>
    </w:p>
    <w:p w14:paraId="149BC645" w14:textId="77777777" w:rsidR="002337F9" w:rsidRPr="00133050" w:rsidRDefault="002337F9" w:rsidP="002337F9">
      <w:pPr>
        <w:pStyle w:val="Text1"/>
        <w:pBdr>
          <w:top w:val="single" w:sz="4" w:space="1" w:color="auto"/>
          <w:left w:val="single" w:sz="4" w:space="4" w:color="auto"/>
          <w:bottom w:val="single" w:sz="4" w:space="1" w:color="auto"/>
          <w:right w:val="single" w:sz="4" w:space="4" w:color="auto"/>
        </w:pBdr>
        <w:rPr>
          <w:noProof/>
        </w:rPr>
      </w:pPr>
      <w:r w:rsidRPr="00133050">
        <w:rPr>
          <w:noProof/>
        </w:rPr>
        <w:t>Поради липсата на подходящи методики или макроикономически модели не е възможно да се измери въздействието на предложения регламент (или скрининга на ПЧИ като цяло) върху притока на инвестиции към ЕС.</w:t>
      </w:r>
    </w:p>
    <w:p w14:paraId="3711F4B9" w14:textId="77777777" w:rsidR="002337F9" w:rsidRPr="00133050" w:rsidRDefault="002337F9" w:rsidP="002337F9">
      <w:pPr>
        <w:pStyle w:val="Text1"/>
        <w:pBdr>
          <w:top w:val="single" w:sz="4" w:space="1" w:color="auto"/>
          <w:left w:val="single" w:sz="4" w:space="4" w:color="auto"/>
          <w:bottom w:val="single" w:sz="4" w:space="1" w:color="auto"/>
          <w:right w:val="single" w:sz="4" w:space="4" w:color="auto"/>
        </w:pBdr>
        <w:rPr>
          <w:noProof/>
        </w:rPr>
      </w:pPr>
      <w:r w:rsidRPr="00133050">
        <w:rPr>
          <w:noProof/>
        </w:rPr>
        <w:t>В предложения регламент се предвижда изготвянето на годишен доклад от страна на Комисията до Европейския парламент и Съвета относно изпълнението на регламента.</w:t>
      </w:r>
    </w:p>
    <w:p w14:paraId="46E624C3" w14:textId="77777777" w:rsidR="002337F9" w:rsidRPr="00133050" w:rsidRDefault="002337F9" w:rsidP="00070956">
      <w:pPr>
        <w:pStyle w:val="ManualHeading2"/>
        <w:rPr>
          <w:noProof/>
        </w:rPr>
      </w:pPr>
      <w:r>
        <w:rPr>
          <w:noProof/>
        </w:rPr>
        <w:t>1.5.</w:t>
      </w:r>
      <w:r>
        <w:rPr>
          <w:noProof/>
        </w:rPr>
        <w:tab/>
      </w:r>
      <w:r w:rsidRPr="00133050">
        <w:rPr>
          <w:noProof/>
        </w:rPr>
        <w:t xml:space="preserve">Мотиви за предложението/инициативата </w:t>
      </w:r>
    </w:p>
    <w:p w14:paraId="061D3897" w14:textId="77777777" w:rsidR="002337F9" w:rsidRPr="00133050" w:rsidRDefault="002337F9" w:rsidP="00070956">
      <w:pPr>
        <w:pStyle w:val="ManualHeading3"/>
        <w:rPr>
          <w:noProof/>
        </w:rPr>
      </w:pPr>
      <w:r>
        <w:rPr>
          <w:noProof/>
        </w:rPr>
        <w:t>1.5.1.</w:t>
      </w:r>
      <w:r>
        <w:rPr>
          <w:noProof/>
        </w:rPr>
        <w:tab/>
      </w:r>
      <w:r w:rsidRPr="00133050">
        <w:rPr>
          <w:noProof/>
        </w:rPr>
        <w:t>Изисквания, които трябва да бъдат изпълнени в краткосрочна или дългосрочна перспектива, включително подробен график за изпълнението на инициативата</w:t>
      </w:r>
    </w:p>
    <w:p w14:paraId="2A10B3FA" w14:textId="77777777" w:rsidR="002337F9" w:rsidRPr="00133050" w:rsidRDefault="002337F9" w:rsidP="002337F9">
      <w:pPr>
        <w:pStyle w:val="Text1"/>
        <w:pBdr>
          <w:top w:val="single" w:sz="4" w:space="1" w:color="auto"/>
          <w:left w:val="single" w:sz="4" w:space="4" w:color="auto"/>
          <w:bottom w:val="single" w:sz="4" w:space="1" w:color="auto"/>
          <w:right w:val="single" w:sz="4" w:space="4" w:color="auto"/>
        </w:pBdr>
        <w:rPr>
          <w:noProof/>
        </w:rPr>
      </w:pPr>
      <w:r w:rsidRPr="00133050">
        <w:rPr>
          <w:noProof/>
        </w:rPr>
        <w:t>Предложеният регламент ще бъде пряко приложим, но се очаква да са необходими и законодателни действия на национално равнище. До момента, в който предложеният регламент стане напълно приложим (т.е. 15 месеца след влизането му в сила), всички държави членки ще трябва да въведат ефективни процедури за неговото прилагане, по-специално за скрининга на чуждестранните инвестиции на тяхна територия и за участието им в механизма за сътрудничество. Освен това всички държави членки следва да имат правно основание да вземат предвид свързаните със сигурността опасения на други държави членки и на Комисията и, когато това е необходимо, да предприемат мерки за преодоляването на тези опасения.</w:t>
      </w:r>
    </w:p>
    <w:p w14:paraId="5DD53D5C" w14:textId="77777777" w:rsidR="002337F9" w:rsidRPr="00133050" w:rsidRDefault="002337F9" w:rsidP="002337F9">
      <w:pPr>
        <w:pStyle w:val="Text1"/>
        <w:pBdr>
          <w:top w:val="single" w:sz="4" w:space="1" w:color="auto"/>
          <w:left w:val="single" w:sz="4" w:space="4" w:color="auto"/>
          <w:bottom w:val="single" w:sz="4" w:space="1" w:color="auto"/>
          <w:right w:val="single" w:sz="4" w:space="4" w:color="auto"/>
        </w:pBdr>
        <w:rPr>
          <w:noProof/>
        </w:rPr>
      </w:pPr>
      <w:r w:rsidRPr="00133050">
        <w:rPr>
          <w:noProof/>
        </w:rPr>
        <w:t>Предложеният регламент ще бъде подложен на оценка в срок от 5 години след влизането му в сила. В оценката ще се разглежда по-специално дали и до каква степен предложеният регламент е допринесъл за защитата на сигурността и обществения ред на ЕС.</w:t>
      </w:r>
    </w:p>
    <w:p w14:paraId="589FCD75" w14:textId="77777777" w:rsidR="002337F9" w:rsidRPr="00133050" w:rsidRDefault="002337F9" w:rsidP="00070956">
      <w:pPr>
        <w:pStyle w:val="ManualHeading3"/>
        <w:rPr>
          <w:noProof/>
        </w:rPr>
      </w:pPr>
      <w:r>
        <w:rPr>
          <w:noProof/>
        </w:rPr>
        <w:t>1.5.2.</w:t>
      </w:r>
      <w:r>
        <w:rPr>
          <w:noProof/>
        </w:rPr>
        <w:tab/>
      </w:r>
      <w:r w:rsidRPr="00133050">
        <w:rPr>
          <w:noProof/>
        </w:rPr>
        <w:t>Добавена стойност от участието на Съюза (може да е в резултат от различни фактори, например ползи по отношение на координацията, правна сигурност, по-добра ефективност или взаимно допълване). За целите на тази точка „добавена стойност от участието на Съюза“ е стойността, която е резултат от намесата на ЕС и е допълнителна спрямо стойността, която би била създадена само от отделните държави членки.</w:t>
      </w:r>
    </w:p>
    <w:p w14:paraId="0599F5F2" w14:textId="77777777" w:rsidR="002337F9" w:rsidRPr="00133050" w:rsidRDefault="002337F9" w:rsidP="00070956">
      <w:pPr>
        <w:pStyle w:val="Text1"/>
        <w:pBdr>
          <w:top w:val="single" w:sz="4" w:space="1" w:color="auto"/>
          <w:left w:val="single" w:sz="4" w:space="4" w:color="auto"/>
          <w:bottom w:val="single" w:sz="4" w:space="1" w:color="auto"/>
          <w:right w:val="single" w:sz="4" w:space="4" w:color="auto"/>
        </w:pBdr>
        <w:rPr>
          <w:noProof/>
          <w:u w:val="single"/>
        </w:rPr>
      </w:pPr>
      <w:r w:rsidRPr="00133050">
        <w:rPr>
          <w:noProof/>
          <w:u w:val="single"/>
        </w:rPr>
        <w:t>Основания за действие на равнището на ЕС (</w:t>
      </w:r>
      <w:r w:rsidRPr="00133050">
        <w:rPr>
          <w:i/>
          <w:noProof/>
          <w:u w:val="single"/>
        </w:rPr>
        <w:t>ex ante</w:t>
      </w:r>
      <w:r w:rsidRPr="00133050">
        <w:rPr>
          <w:noProof/>
          <w:u w:val="single"/>
        </w:rPr>
        <w:t>):</w:t>
      </w:r>
    </w:p>
    <w:p w14:paraId="7E7D02BA" w14:textId="77777777" w:rsidR="002337F9" w:rsidRPr="00133050" w:rsidRDefault="002337F9" w:rsidP="00070956">
      <w:pPr>
        <w:pStyle w:val="Text1"/>
        <w:pBdr>
          <w:top w:val="single" w:sz="4" w:space="1" w:color="auto"/>
          <w:left w:val="single" w:sz="4" w:space="4" w:color="auto"/>
          <w:bottom w:val="single" w:sz="4" w:space="1" w:color="auto"/>
          <w:right w:val="single" w:sz="4" w:space="4" w:color="auto"/>
        </w:pBdr>
        <w:rPr>
          <w:noProof/>
        </w:rPr>
      </w:pPr>
      <w:r w:rsidRPr="00133050">
        <w:rPr>
          <w:noProof/>
        </w:rPr>
        <w:t>Очаква се с предложения регламент:</w:t>
      </w:r>
    </w:p>
    <w:p w14:paraId="1CDE9428" w14:textId="77777777" w:rsidR="002337F9" w:rsidRPr="00133050" w:rsidRDefault="002337F9" w:rsidP="00B51586">
      <w:pPr>
        <w:pStyle w:val="Tiret1"/>
        <w:numPr>
          <w:ilvl w:val="0"/>
          <w:numId w:val="51"/>
        </w:numPr>
        <w:pBdr>
          <w:top w:val="single" w:sz="4" w:space="1" w:color="auto"/>
          <w:left w:val="single" w:sz="4" w:space="4" w:color="auto"/>
          <w:bottom w:val="single" w:sz="4" w:space="1" w:color="auto"/>
          <w:right w:val="single" w:sz="4" w:space="4" w:color="auto"/>
        </w:pBdr>
        <w:rPr>
          <w:noProof/>
        </w:rPr>
      </w:pPr>
      <w:r w:rsidRPr="00133050">
        <w:rPr>
          <w:noProof/>
        </w:rPr>
        <w:t>да се създаде повече добавена стойност, отколкото може да бъде създадена от държавите членки поотделно;</w:t>
      </w:r>
    </w:p>
    <w:p w14:paraId="21E67C4E" w14:textId="77777777" w:rsidR="002337F9" w:rsidRPr="00133050" w:rsidRDefault="002337F9" w:rsidP="00070956">
      <w:pPr>
        <w:pStyle w:val="Tiret1"/>
        <w:pBdr>
          <w:top w:val="single" w:sz="4" w:space="1" w:color="auto"/>
          <w:left w:val="single" w:sz="4" w:space="4" w:color="auto"/>
          <w:bottom w:val="single" w:sz="4" w:space="1" w:color="auto"/>
          <w:right w:val="single" w:sz="4" w:space="4" w:color="auto"/>
        </w:pBdr>
        <w:rPr>
          <w:noProof/>
        </w:rPr>
      </w:pPr>
      <w:r w:rsidRPr="00133050">
        <w:rPr>
          <w:noProof/>
        </w:rPr>
        <w:t>ефективната защита на сигурността и обществения ред от породените от някои ПЧИ рискове да се увеличи в по-голяма степен, отколкото може да бъде увеличена от държавите членки поотделно;</w:t>
      </w:r>
    </w:p>
    <w:p w14:paraId="223B718A" w14:textId="77777777" w:rsidR="002337F9" w:rsidRPr="00133050" w:rsidRDefault="002337F9" w:rsidP="00070956">
      <w:pPr>
        <w:pStyle w:val="Tiret1"/>
        <w:pBdr>
          <w:top w:val="single" w:sz="4" w:space="1" w:color="auto"/>
          <w:left w:val="single" w:sz="4" w:space="4" w:color="auto"/>
          <w:bottom w:val="single" w:sz="4" w:space="1" w:color="auto"/>
          <w:right w:val="single" w:sz="4" w:space="4" w:color="auto"/>
        </w:pBdr>
        <w:rPr>
          <w:noProof/>
        </w:rPr>
      </w:pPr>
      <w:r w:rsidRPr="00133050">
        <w:rPr>
          <w:noProof/>
        </w:rPr>
        <w:t>да се наложи на всички държави членки да създадат механизъм за скрининг и да осигурят привеждането в съответствие на своите национални механизми за скрининг. Това не може да се осъществи без рамка на равнището на ЕС.</w:t>
      </w:r>
    </w:p>
    <w:p w14:paraId="5D7F6D42" w14:textId="77777777" w:rsidR="002337F9" w:rsidRPr="00133050" w:rsidRDefault="002337F9" w:rsidP="00070956">
      <w:pPr>
        <w:pStyle w:val="Text1"/>
        <w:pBdr>
          <w:top w:val="single" w:sz="4" w:space="1" w:color="auto"/>
          <w:left w:val="single" w:sz="4" w:space="4" w:color="auto"/>
          <w:bottom w:val="single" w:sz="4" w:space="1" w:color="auto"/>
          <w:right w:val="single" w:sz="4" w:space="4" w:color="auto"/>
        </w:pBdr>
        <w:rPr>
          <w:noProof/>
          <w:u w:val="single"/>
        </w:rPr>
      </w:pPr>
      <w:r w:rsidRPr="00133050">
        <w:rPr>
          <w:noProof/>
          <w:u w:val="single"/>
        </w:rPr>
        <w:t>Очаквана генерирана добавена стойност от ЕС (</w:t>
      </w:r>
      <w:r w:rsidRPr="00133050">
        <w:rPr>
          <w:i/>
          <w:noProof/>
          <w:u w:val="single"/>
        </w:rPr>
        <w:t>ex post</w:t>
      </w:r>
      <w:r w:rsidRPr="00133050">
        <w:rPr>
          <w:noProof/>
          <w:u w:val="single"/>
        </w:rPr>
        <w:t xml:space="preserve">): </w:t>
      </w:r>
    </w:p>
    <w:p w14:paraId="7C8F6AAB" w14:textId="77777777" w:rsidR="002337F9" w:rsidRPr="00133050" w:rsidRDefault="002337F9" w:rsidP="00070956">
      <w:pPr>
        <w:pStyle w:val="Text1"/>
        <w:pBdr>
          <w:top w:val="single" w:sz="4" w:space="1" w:color="auto"/>
          <w:left w:val="single" w:sz="4" w:space="4" w:color="auto"/>
          <w:bottom w:val="single" w:sz="4" w:space="1" w:color="auto"/>
          <w:right w:val="single" w:sz="4" w:space="4" w:color="auto"/>
        </w:pBdr>
        <w:rPr>
          <w:noProof/>
        </w:rPr>
      </w:pPr>
      <w:r w:rsidRPr="00133050">
        <w:rPr>
          <w:noProof/>
        </w:rPr>
        <w:t>насърчаване на приемането и модернизирането на национални механизми за скрининг на основания, свързани със сигурността и обществения ред.</w:t>
      </w:r>
    </w:p>
    <w:p w14:paraId="24FC1F54" w14:textId="77777777" w:rsidR="002337F9" w:rsidRPr="00133050" w:rsidRDefault="002337F9" w:rsidP="00070956">
      <w:pPr>
        <w:pStyle w:val="Text1"/>
        <w:pBdr>
          <w:top w:val="single" w:sz="4" w:space="1" w:color="auto"/>
          <w:left w:val="single" w:sz="4" w:space="4" w:color="auto"/>
          <w:bottom w:val="single" w:sz="4" w:space="1" w:color="auto"/>
          <w:right w:val="single" w:sz="4" w:space="4" w:color="auto"/>
        </w:pBdr>
        <w:rPr>
          <w:noProof/>
        </w:rPr>
      </w:pPr>
      <w:r w:rsidRPr="00133050">
        <w:rPr>
          <w:noProof/>
        </w:rPr>
        <w:t>предоставяне на държавите членки на свързана със сигурността информация, която не биха притежавали без механизма за сътрудничество.</w:t>
      </w:r>
    </w:p>
    <w:p w14:paraId="774AA112" w14:textId="77777777" w:rsidR="002337F9" w:rsidRPr="00133050" w:rsidRDefault="002337F9" w:rsidP="00070956">
      <w:pPr>
        <w:pStyle w:val="Text1"/>
        <w:pBdr>
          <w:top w:val="single" w:sz="4" w:space="1" w:color="auto"/>
          <w:left w:val="single" w:sz="4" w:space="4" w:color="auto"/>
          <w:bottom w:val="single" w:sz="4" w:space="1" w:color="auto"/>
          <w:right w:val="single" w:sz="4" w:space="4" w:color="auto"/>
        </w:pBdr>
        <w:rPr>
          <w:noProof/>
        </w:rPr>
      </w:pPr>
      <w:r w:rsidRPr="00133050">
        <w:rPr>
          <w:noProof/>
        </w:rPr>
        <w:t>оказване на въздействие върху решението, взето от държавата членка, осъществяваща скрининга на сделката.</w:t>
      </w:r>
    </w:p>
    <w:p w14:paraId="05121B4A" w14:textId="77777777" w:rsidR="002337F9" w:rsidRPr="00133050" w:rsidRDefault="002337F9" w:rsidP="00070956">
      <w:pPr>
        <w:pStyle w:val="Text1"/>
        <w:pBdr>
          <w:top w:val="single" w:sz="4" w:space="1" w:color="auto"/>
          <w:left w:val="single" w:sz="4" w:space="4" w:color="auto"/>
          <w:bottom w:val="single" w:sz="4" w:space="1" w:color="auto"/>
          <w:right w:val="single" w:sz="4" w:space="4" w:color="auto"/>
        </w:pBdr>
        <w:rPr>
          <w:noProof/>
        </w:rPr>
      </w:pPr>
      <w:r w:rsidRPr="00133050">
        <w:rPr>
          <w:noProof/>
        </w:rPr>
        <w:t>насърчаване на сближаването между държавите членки относно това какво може да представлява риск за сигурността или обществения ред и как се оценяват рисковете за сигурността или обществения ред.</w:t>
      </w:r>
    </w:p>
    <w:p w14:paraId="22ADA127" w14:textId="77777777" w:rsidR="002337F9" w:rsidRPr="00133050" w:rsidRDefault="002337F9" w:rsidP="00070956">
      <w:pPr>
        <w:pStyle w:val="Text1"/>
        <w:pBdr>
          <w:top w:val="single" w:sz="4" w:space="1" w:color="auto"/>
          <w:left w:val="single" w:sz="4" w:space="4" w:color="auto"/>
          <w:bottom w:val="single" w:sz="4" w:space="1" w:color="auto"/>
          <w:right w:val="single" w:sz="4" w:space="4" w:color="auto"/>
        </w:pBdr>
        <w:rPr>
          <w:noProof/>
        </w:rPr>
      </w:pPr>
      <w:r w:rsidRPr="00133050">
        <w:rPr>
          <w:noProof/>
        </w:rPr>
        <w:t>предоставяне на възможност за ефективно разглеждане на сделки, за които се изисква разрешение в повече от една държава членка. Поради това следва да се намали административната тежест за предприятията, свързана с процедурите по разрешаване на скрининга, и следа да бъдат съгласувани по-добре сроковете за съответните решения на национално равнище. Това следва да увеличи предвидимостта и правната сигурност за чуждестранните инвеститори и дружествата, получаващи чуждестранни инвестиции.</w:t>
      </w:r>
    </w:p>
    <w:p w14:paraId="7A0C22A4" w14:textId="77777777" w:rsidR="002337F9" w:rsidRPr="00133050" w:rsidRDefault="002337F9" w:rsidP="00070956">
      <w:pPr>
        <w:pStyle w:val="ManualHeading3"/>
        <w:rPr>
          <w:noProof/>
        </w:rPr>
      </w:pPr>
      <w:r>
        <w:rPr>
          <w:noProof/>
        </w:rPr>
        <w:t>1.5.3.</w:t>
      </w:r>
      <w:r>
        <w:rPr>
          <w:noProof/>
        </w:rPr>
        <w:tab/>
      </w:r>
      <w:r w:rsidRPr="00133050">
        <w:rPr>
          <w:noProof/>
        </w:rPr>
        <w:t>Изводи от подобен опит в миналото</w:t>
      </w:r>
    </w:p>
    <w:p w14:paraId="3E99E6BD" w14:textId="77777777" w:rsidR="002337F9" w:rsidRPr="00133050" w:rsidRDefault="002337F9" w:rsidP="002337F9">
      <w:pPr>
        <w:pStyle w:val="Text1"/>
        <w:pBdr>
          <w:top w:val="single" w:sz="4" w:space="1" w:color="auto"/>
          <w:left w:val="single" w:sz="4" w:space="4" w:color="auto"/>
          <w:bottom w:val="single" w:sz="4" w:space="1" w:color="auto"/>
          <w:right w:val="single" w:sz="4" w:space="4" w:color="auto"/>
        </w:pBdr>
        <w:rPr>
          <w:noProof/>
        </w:rPr>
      </w:pPr>
      <w:r w:rsidRPr="00133050">
        <w:rPr>
          <w:noProof/>
        </w:rPr>
        <w:t xml:space="preserve">Предложеният регламент ще отмени и замени настоящия Регламент (ЕС) 2019/452. Той е придружен от доклад за оценка, в който се обобщават изводите от прилагането на настоящия регламент. </w:t>
      </w:r>
    </w:p>
    <w:p w14:paraId="3135AF90" w14:textId="77777777" w:rsidR="002337F9" w:rsidRPr="00133050" w:rsidRDefault="002337F9" w:rsidP="00070956">
      <w:pPr>
        <w:pStyle w:val="ManualHeading3"/>
        <w:rPr>
          <w:noProof/>
        </w:rPr>
      </w:pPr>
      <w:r>
        <w:rPr>
          <w:noProof/>
        </w:rPr>
        <w:t>1.5.4.</w:t>
      </w:r>
      <w:r>
        <w:rPr>
          <w:noProof/>
        </w:rPr>
        <w:tab/>
      </w:r>
      <w:r w:rsidRPr="00133050">
        <w:rPr>
          <w:noProof/>
        </w:rPr>
        <w:t>Съвместимост с многогодишната финансова рамка и евентуални синергии с други подходящи инструменти</w:t>
      </w:r>
    </w:p>
    <w:p w14:paraId="739CE50D" w14:textId="77777777" w:rsidR="002337F9" w:rsidRPr="00133050" w:rsidRDefault="002337F9" w:rsidP="002337F9">
      <w:pPr>
        <w:pStyle w:val="Text1"/>
        <w:pBdr>
          <w:top w:val="single" w:sz="4" w:space="1" w:color="auto"/>
          <w:left w:val="single" w:sz="4" w:space="4" w:color="auto"/>
          <w:bottom w:val="single" w:sz="4" w:space="1" w:color="auto"/>
          <w:right w:val="single" w:sz="4" w:space="4" w:color="auto"/>
        </w:pBdr>
        <w:rPr>
          <w:noProof/>
        </w:rPr>
      </w:pPr>
      <w:r w:rsidRPr="00133050">
        <w:rPr>
          <w:noProof/>
        </w:rPr>
        <w:t>Инициативата може да се финансира изцяло чрез преразпределяне на средства в рамките на съответните функции от многогодишната финансова рамка (МФР) за периода 2021—2027 г. Финансовото отражение върху бюджетните кредити ще бъде изцяло покрито от отпуснатите средства, предвидени в МФР за периода 2021—2027 г. за прилагането на Регламент (ЕС) 2019/452.</w:t>
      </w:r>
    </w:p>
    <w:p w14:paraId="650C1756" w14:textId="77777777" w:rsidR="002337F9" w:rsidRPr="00133050" w:rsidRDefault="002337F9" w:rsidP="002337F9">
      <w:pPr>
        <w:pStyle w:val="Text1"/>
        <w:pBdr>
          <w:top w:val="single" w:sz="4" w:space="1" w:color="auto"/>
          <w:left w:val="single" w:sz="4" w:space="4" w:color="auto"/>
          <w:bottom w:val="single" w:sz="4" w:space="1" w:color="auto"/>
          <w:right w:val="single" w:sz="4" w:space="4" w:color="auto"/>
        </w:pBdr>
        <w:rPr>
          <w:noProof/>
        </w:rPr>
      </w:pPr>
      <w:r w:rsidRPr="00133050">
        <w:rPr>
          <w:noProof/>
        </w:rPr>
        <w:t xml:space="preserve">Прилагането на предложения регламент ще бъде в съответствие с други определени в правото на ЕС процедури за уведомяване или разрешаване и няма да ги засяга. Регламентът е в съответствие с ограничителните мерки (санкции) на ЕС, които въз основа на член 215 от ДФЕС имат предимство пред други регламенти на ЕС и с тях може да се забрани или да се попречи на разрешаването на ПЧИ от </w:t>
      </w:r>
      <w:r w:rsidRPr="00133050">
        <w:rPr>
          <w:noProof/>
          <w:color w:val="333333"/>
        </w:rPr>
        <w:t>някои трети държави или граждани на трети държави.</w:t>
      </w:r>
    </w:p>
    <w:p w14:paraId="1BE82293" w14:textId="77777777" w:rsidR="002337F9" w:rsidRPr="00133050" w:rsidRDefault="002337F9" w:rsidP="002337F9">
      <w:pPr>
        <w:pStyle w:val="Text1"/>
        <w:pBdr>
          <w:top w:val="single" w:sz="4" w:space="1" w:color="auto"/>
          <w:left w:val="single" w:sz="4" w:space="4" w:color="auto"/>
          <w:bottom w:val="single" w:sz="4" w:space="1" w:color="auto"/>
          <w:right w:val="single" w:sz="4" w:space="4" w:color="auto"/>
        </w:pBdr>
        <w:rPr>
          <w:noProof/>
        </w:rPr>
      </w:pPr>
      <w:r w:rsidRPr="00133050">
        <w:rPr>
          <w:noProof/>
        </w:rPr>
        <w:t>По време на оценката на сделките Комисията ще продължи да се ползва от съществуващия експертен опит при своите услуги, свързани с обхванатите от регламента сектори.</w:t>
      </w:r>
    </w:p>
    <w:p w14:paraId="33831D32" w14:textId="77777777" w:rsidR="002337F9" w:rsidRPr="00133050" w:rsidRDefault="002337F9" w:rsidP="00070956">
      <w:pPr>
        <w:pStyle w:val="ManualHeading3"/>
        <w:rPr>
          <w:noProof/>
        </w:rPr>
      </w:pPr>
      <w:r>
        <w:rPr>
          <w:noProof/>
        </w:rPr>
        <w:t>1.5.5.</w:t>
      </w:r>
      <w:r>
        <w:rPr>
          <w:noProof/>
        </w:rPr>
        <w:tab/>
      </w:r>
      <w:r w:rsidRPr="00133050">
        <w:rPr>
          <w:noProof/>
        </w:rPr>
        <w:t>Оценка на различните налични варианти за финансиране, включително възможностите за преразпределяне на средства</w:t>
      </w:r>
    </w:p>
    <w:p w14:paraId="4803DF0E" w14:textId="77777777" w:rsidR="002337F9" w:rsidRPr="00133050" w:rsidRDefault="002337F9" w:rsidP="002337F9">
      <w:pPr>
        <w:pStyle w:val="Text1"/>
        <w:pBdr>
          <w:top w:val="single" w:sz="4" w:space="1" w:color="auto"/>
          <w:left w:val="single" w:sz="4" w:space="4" w:color="auto"/>
          <w:bottom w:val="single" w:sz="4" w:space="1" w:color="auto"/>
          <w:right w:val="single" w:sz="4" w:space="4" w:color="auto"/>
        </w:pBdr>
        <w:rPr>
          <w:noProof/>
        </w:rPr>
      </w:pPr>
      <w:r w:rsidRPr="00133050">
        <w:rPr>
          <w:noProof/>
        </w:rPr>
        <w:t>Не се прилага.</w:t>
      </w:r>
    </w:p>
    <w:p w14:paraId="5790F865" w14:textId="77777777" w:rsidR="002337F9" w:rsidRPr="00133050" w:rsidRDefault="002337F9" w:rsidP="00070956">
      <w:pPr>
        <w:pStyle w:val="ManualHeading2"/>
        <w:rPr>
          <w:noProof/>
        </w:rPr>
      </w:pPr>
      <w:r>
        <w:rPr>
          <w:noProof/>
        </w:rPr>
        <w:t>1.6.</w:t>
      </w:r>
      <w:r>
        <w:rPr>
          <w:noProof/>
        </w:rPr>
        <w:tab/>
      </w:r>
      <w:r w:rsidRPr="00133050">
        <w:rPr>
          <w:noProof/>
        </w:rPr>
        <w:t>Продължителност и финансово отражение на предложението/инициативата</w:t>
      </w:r>
    </w:p>
    <w:p w14:paraId="6F963280" w14:textId="77777777" w:rsidR="002337F9" w:rsidRPr="00133050" w:rsidRDefault="002337F9" w:rsidP="002337F9">
      <w:pPr>
        <w:pStyle w:val="Text1"/>
        <w:rPr>
          <w:noProof/>
        </w:rPr>
      </w:pPr>
      <w:r w:rsidRPr="00133050">
        <w:rPr>
          <w:noProof/>
        </w:rPr>
        <w:sym w:font="Wingdings" w:char="F0A8"/>
      </w:r>
      <w:r w:rsidRPr="00133050">
        <w:rPr>
          <w:b/>
          <w:i/>
          <w:noProof/>
        </w:rPr>
        <w:t xml:space="preserve"> </w:t>
      </w:r>
      <w:r w:rsidRPr="00133050">
        <w:rPr>
          <w:b/>
          <w:noProof/>
        </w:rPr>
        <w:t xml:space="preserve">ограничен срок на действие </w:t>
      </w:r>
    </w:p>
    <w:p w14:paraId="701C4358" w14:textId="77777777" w:rsidR="002337F9" w:rsidRPr="00133050" w:rsidRDefault="002337F9" w:rsidP="002337F9">
      <w:pPr>
        <w:pStyle w:val="ListDash2"/>
        <w:rPr>
          <w:noProof/>
        </w:rPr>
      </w:pPr>
      <w:r w:rsidRPr="00133050">
        <w:rPr>
          <w:noProof/>
        </w:rPr>
        <w:sym w:font="Wingdings" w:char="F0A8"/>
      </w:r>
      <w:r w:rsidRPr="00133050">
        <w:rPr>
          <w:noProof/>
        </w:rPr>
        <w:tab/>
        <w:t xml:space="preserve">в сила от [ДД/ММ]ГГГГ до [ДД/ММ]ГГГГ </w:t>
      </w:r>
    </w:p>
    <w:p w14:paraId="07508813" w14:textId="77777777" w:rsidR="002337F9" w:rsidRPr="00133050" w:rsidRDefault="002337F9" w:rsidP="002337F9">
      <w:pPr>
        <w:pStyle w:val="ListDash2"/>
        <w:rPr>
          <w:noProof/>
        </w:rPr>
      </w:pPr>
      <w:r w:rsidRPr="00133050">
        <w:rPr>
          <w:noProof/>
        </w:rPr>
        <w:sym w:font="Wingdings" w:char="F0A8"/>
      </w:r>
      <w:r w:rsidRPr="00133050">
        <w:rPr>
          <w:noProof/>
        </w:rPr>
        <w:tab/>
        <w:t xml:space="preserve">финансово отражение от ГГГГ до ГГГГ за бюджетни кредити за поети задължения и от ГГГГ до ГГГГ за бюджетни кредити за плащания. </w:t>
      </w:r>
    </w:p>
    <w:p w14:paraId="3780F32E" w14:textId="77777777" w:rsidR="002337F9" w:rsidRPr="00133050" w:rsidRDefault="002337F9" w:rsidP="002337F9">
      <w:pPr>
        <w:pStyle w:val="Text1"/>
        <w:rPr>
          <w:noProof/>
        </w:rPr>
      </w:pPr>
      <w:r w:rsidRPr="00133050">
        <w:rPr>
          <w:noProof/>
        </w:rPr>
        <w:sym w:font="Wingdings" w:char="F0FD"/>
      </w:r>
      <w:r w:rsidRPr="00133050">
        <w:rPr>
          <w:b/>
          <w:i/>
          <w:noProof/>
        </w:rPr>
        <w:t xml:space="preserve"> </w:t>
      </w:r>
      <w:r w:rsidRPr="00133050">
        <w:rPr>
          <w:b/>
          <w:noProof/>
        </w:rPr>
        <w:t>неограничен срок на действие</w:t>
      </w:r>
    </w:p>
    <w:p w14:paraId="68FE00FA" w14:textId="77777777" w:rsidR="002337F9" w:rsidRPr="00133050" w:rsidRDefault="002337F9" w:rsidP="002337F9">
      <w:pPr>
        <w:pStyle w:val="ListDash1"/>
        <w:rPr>
          <w:noProof/>
        </w:rPr>
      </w:pPr>
      <w:r w:rsidRPr="00133050">
        <w:rPr>
          <w:noProof/>
        </w:rPr>
        <w:t>изпълнение с период на започване на дейност от 2026 г.,</w:t>
      </w:r>
    </w:p>
    <w:p w14:paraId="73786BC8" w14:textId="77777777" w:rsidR="002337F9" w:rsidRPr="00133050" w:rsidRDefault="002337F9" w:rsidP="002337F9">
      <w:pPr>
        <w:pStyle w:val="ListDash1"/>
        <w:rPr>
          <w:noProof/>
        </w:rPr>
      </w:pPr>
      <w:r w:rsidRPr="00133050">
        <w:rPr>
          <w:noProof/>
        </w:rPr>
        <w:t>последван от функциониране с пълен капацитет.</w:t>
      </w:r>
    </w:p>
    <w:p w14:paraId="6DCBC63F" w14:textId="77777777" w:rsidR="002337F9" w:rsidRPr="00133050" w:rsidRDefault="002337F9" w:rsidP="00070956">
      <w:pPr>
        <w:pStyle w:val="ManualHeading2"/>
        <w:rPr>
          <w:noProof/>
        </w:rPr>
      </w:pPr>
      <w:r>
        <w:rPr>
          <w:noProof/>
        </w:rPr>
        <w:t>1.7.</w:t>
      </w:r>
      <w:r>
        <w:rPr>
          <w:noProof/>
        </w:rPr>
        <w:tab/>
      </w:r>
      <w:r w:rsidRPr="00133050">
        <w:rPr>
          <w:noProof/>
        </w:rPr>
        <w:t>Планирани методи на изпълнение на бюджета</w:t>
      </w:r>
      <w:r w:rsidRPr="00133050">
        <w:rPr>
          <w:noProof/>
          <w:vertAlign w:val="superscript"/>
        </w:rPr>
        <w:t xml:space="preserve"> </w:t>
      </w:r>
    </w:p>
    <w:p w14:paraId="3D8162FC" w14:textId="77777777" w:rsidR="002337F9" w:rsidRPr="00133050" w:rsidRDefault="002337F9" w:rsidP="002337F9">
      <w:pPr>
        <w:pStyle w:val="Text1"/>
        <w:rPr>
          <w:noProof/>
        </w:rPr>
      </w:pPr>
      <w:r w:rsidRPr="00133050">
        <w:rPr>
          <w:noProof/>
        </w:rPr>
        <w:sym w:font="Wingdings" w:char="F0FD"/>
      </w:r>
      <w:r w:rsidRPr="00133050">
        <w:rPr>
          <w:i/>
          <w:noProof/>
        </w:rPr>
        <w:t xml:space="preserve"> </w:t>
      </w:r>
      <w:r w:rsidRPr="00133050">
        <w:rPr>
          <w:b/>
          <w:noProof/>
        </w:rPr>
        <w:t>Пряко управление</w:t>
      </w:r>
      <w:r w:rsidRPr="00133050">
        <w:rPr>
          <w:noProof/>
        </w:rPr>
        <w:t xml:space="preserve"> от Комисията</w:t>
      </w:r>
    </w:p>
    <w:p w14:paraId="27BF4061" w14:textId="77777777" w:rsidR="002337F9" w:rsidRPr="00133050" w:rsidRDefault="002337F9" w:rsidP="002337F9">
      <w:pPr>
        <w:pStyle w:val="ListDash2"/>
        <w:rPr>
          <w:rFonts w:cs="EUAlbertina"/>
          <w:noProof/>
        </w:rPr>
      </w:pPr>
      <w:r w:rsidRPr="00133050">
        <w:rPr>
          <w:noProof/>
        </w:rPr>
        <w:sym w:font="Wingdings" w:char="F0FD"/>
      </w:r>
      <w:r w:rsidRPr="00133050">
        <w:rPr>
          <w:noProof/>
        </w:rPr>
        <w:t xml:space="preserve"> от нейните служби, включително от нейния персонал в делегациите на Съюза; </w:t>
      </w:r>
    </w:p>
    <w:p w14:paraId="6F15931D" w14:textId="77777777" w:rsidR="002337F9" w:rsidRPr="00133050" w:rsidRDefault="002337F9" w:rsidP="002337F9">
      <w:pPr>
        <w:pStyle w:val="ListDash2"/>
        <w:rPr>
          <w:noProof/>
        </w:rPr>
      </w:pPr>
      <w:r w:rsidRPr="00133050">
        <w:rPr>
          <w:noProof/>
        </w:rPr>
        <w:sym w:font="Wingdings" w:char="F0A8"/>
      </w:r>
      <w:r w:rsidRPr="00133050">
        <w:rPr>
          <w:noProof/>
        </w:rPr>
        <w:tab/>
        <w:t xml:space="preserve">от изпълнителните агенции </w:t>
      </w:r>
    </w:p>
    <w:p w14:paraId="29B9C37C" w14:textId="77777777" w:rsidR="002337F9" w:rsidRPr="00133050" w:rsidRDefault="002337F9" w:rsidP="002337F9">
      <w:pPr>
        <w:pStyle w:val="Text1"/>
        <w:rPr>
          <w:noProof/>
        </w:rPr>
      </w:pPr>
      <w:r w:rsidRPr="00133050">
        <w:rPr>
          <w:noProof/>
        </w:rPr>
        <w:sym w:font="Wingdings" w:char="F0A8"/>
      </w:r>
      <w:r w:rsidRPr="00133050">
        <w:rPr>
          <w:b/>
          <w:i/>
          <w:noProof/>
        </w:rPr>
        <w:t xml:space="preserve"> </w:t>
      </w:r>
      <w:r w:rsidRPr="00133050">
        <w:rPr>
          <w:b/>
          <w:noProof/>
        </w:rPr>
        <w:t>Споделено управление</w:t>
      </w:r>
      <w:r w:rsidRPr="00133050">
        <w:rPr>
          <w:noProof/>
        </w:rPr>
        <w:t xml:space="preserve"> с държавите членки </w:t>
      </w:r>
    </w:p>
    <w:p w14:paraId="568D40F1" w14:textId="77777777" w:rsidR="002337F9" w:rsidRPr="00133050" w:rsidRDefault="002337F9" w:rsidP="002337F9">
      <w:pPr>
        <w:pStyle w:val="Text1"/>
        <w:rPr>
          <w:noProof/>
        </w:rPr>
      </w:pPr>
      <w:r w:rsidRPr="00133050">
        <w:rPr>
          <w:noProof/>
        </w:rPr>
        <w:sym w:font="Wingdings" w:char="F0A8"/>
      </w:r>
      <w:r w:rsidRPr="00133050">
        <w:rPr>
          <w:i/>
          <w:noProof/>
        </w:rPr>
        <w:t xml:space="preserve"> </w:t>
      </w:r>
      <w:r w:rsidRPr="00133050">
        <w:rPr>
          <w:b/>
          <w:noProof/>
        </w:rPr>
        <w:t>Непряко управление</w:t>
      </w:r>
      <w:r w:rsidRPr="00133050">
        <w:rPr>
          <w:noProof/>
        </w:rPr>
        <w:t xml:space="preserve"> чрез възлагане на задачи по изпълнението на бюджета на:</w:t>
      </w:r>
    </w:p>
    <w:p w14:paraId="04012FAD" w14:textId="77777777" w:rsidR="002337F9" w:rsidRPr="00133050" w:rsidRDefault="002337F9" w:rsidP="002337F9">
      <w:pPr>
        <w:pStyle w:val="ListDash2"/>
        <w:rPr>
          <w:noProof/>
        </w:rPr>
      </w:pPr>
      <w:r w:rsidRPr="00133050">
        <w:rPr>
          <w:noProof/>
        </w:rPr>
        <w:sym w:font="Wingdings" w:char="F0A8"/>
      </w:r>
      <w:r w:rsidRPr="00133050">
        <w:rPr>
          <w:noProof/>
        </w:rPr>
        <w:t xml:space="preserve"> трети държави или на органите, определени от тях;</w:t>
      </w:r>
    </w:p>
    <w:p w14:paraId="3C8EB652" w14:textId="77777777" w:rsidR="002337F9" w:rsidRPr="00133050" w:rsidRDefault="002337F9" w:rsidP="002337F9">
      <w:pPr>
        <w:pStyle w:val="ListDash2"/>
        <w:rPr>
          <w:noProof/>
        </w:rPr>
      </w:pPr>
      <w:r w:rsidRPr="00133050">
        <w:rPr>
          <w:noProof/>
        </w:rPr>
        <w:sym w:font="Wingdings" w:char="F0A8"/>
      </w:r>
      <w:r w:rsidRPr="00133050">
        <w:rPr>
          <w:noProof/>
        </w:rPr>
        <w:t xml:space="preserve"> международни организации и техните агенции (да се уточни);</w:t>
      </w:r>
    </w:p>
    <w:p w14:paraId="49F543A7" w14:textId="77777777" w:rsidR="002337F9" w:rsidRPr="00133050" w:rsidRDefault="002337F9" w:rsidP="002337F9">
      <w:pPr>
        <w:pStyle w:val="ListDash2"/>
        <w:rPr>
          <w:noProof/>
        </w:rPr>
      </w:pPr>
      <w:r w:rsidRPr="00133050">
        <w:rPr>
          <w:noProof/>
        </w:rPr>
        <w:sym w:font="Wingdings" w:char="F0A8"/>
      </w:r>
      <w:r w:rsidRPr="00133050">
        <w:rPr>
          <w:noProof/>
        </w:rPr>
        <w:t xml:space="preserve"> ЕИБ и Европейския инвестиционен фонд;</w:t>
      </w:r>
    </w:p>
    <w:p w14:paraId="61312BAB" w14:textId="77777777" w:rsidR="002337F9" w:rsidRPr="00133050" w:rsidRDefault="002337F9" w:rsidP="002337F9">
      <w:pPr>
        <w:pStyle w:val="ListDash2"/>
        <w:rPr>
          <w:noProof/>
        </w:rPr>
      </w:pPr>
      <w:r w:rsidRPr="00133050">
        <w:rPr>
          <w:noProof/>
        </w:rPr>
        <w:sym w:font="Wingdings" w:char="F0A8"/>
      </w:r>
      <w:r w:rsidRPr="00133050">
        <w:rPr>
          <w:noProof/>
        </w:rPr>
        <w:t xml:space="preserve"> органите, посочени в членове 70 и 71 от Финансовия регламент;</w:t>
      </w:r>
    </w:p>
    <w:p w14:paraId="36651C55" w14:textId="77777777" w:rsidR="002337F9" w:rsidRPr="00133050" w:rsidRDefault="002337F9" w:rsidP="002337F9">
      <w:pPr>
        <w:pStyle w:val="ListDash2"/>
        <w:rPr>
          <w:noProof/>
        </w:rPr>
      </w:pPr>
      <w:r w:rsidRPr="00133050">
        <w:rPr>
          <w:noProof/>
        </w:rPr>
        <w:sym w:font="Wingdings" w:char="F0A8"/>
      </w:r>
      <w:r w:rsidRPr="00133050">
        <w:rPr>
          <w:noProof/>
        </w:rPr>
        <w:t xml:space="preserve"> публичноправни органи;</w:t>
      </w:r>
    </w:p>
    <w:p w14:paraId="5FFCC138" w14:textId="77777777" w:rsidR="002337F9" w:rsidRPr="00133050" w:rsidRDefault="002337F9" w:rsidP="002337F9">
      <w:pPr>
        <w:pStyle w:val="ListDash2"/>
        <w:rPr>
          <w:noProof/>
        </w:rPr>
      </w:pPr>
      <w:r w:rsidRPr="00133050">
        <w:rPr>
          <w:noProof/>
        </w:rPr>
        <w:sym w:font="Wingdings" w:char="F0A8"/>
      </w:r>
      <w:r w:rsidRPr="00133050">
        <w:rPr>
          <w:noProof/>
        </w:rPr>
        <w:t xml:space="preserve"> частноправни органи със задължение за обществена услуга, доколкото са им предоставени подходящи финансови гаранции;</w:t>
      </w:r>
    </w:p>
    <w:p w14:paraId="7E8D6119" w14:textId="77777777" w:rsidR="002337F9" w:rsidRPr="00133050" w:rsidRDefault="002337F9" w:rsidP="002337F9">
      <w:pPr>
        <w:pStyle w:val="ListDash2"/>
        <w:rPr>
          <w:noProof/>
        </w:rPr>
      </w:pPr>
      <w:r w:rsidRPr="00133050">
        <w:rPr>
          <w:noProof/>
        </w:rPr>
        <w:sym w:font="Wingdings" w:char="F0A8"/>
      </w:r>
      <w:r w:rsidRPr="00133050">
        <w:rPr>
          <w:noProof/>
        </w:rPr>
        <w:t xml:space="preserve"> органи, уредени в частното право на държава членка, на които е възложено осъществяването на публично-частно партньорство и на които са предоставени подходящи финансови гаранции;</w:t>
      </w:r>
    </w:p>
    <w:p w14:paraId="10D30188" w14:textId="77777777" w:rsidR="002337F9" w:rsidRPr="00133050" w:rsidRDefault="002337F9" w:rsidP="002337F9">
      <w:pPr>
        <w:pStyle w:val="ListDash2"/>
        <w:rPr>
          <w:noProof/>
        </w:rPr>
      </w:pPr>
      <w:r w:rsidRPr="00133050">
        <w:rPr>
          <w:noProof/>
        </w:rPr>
        <w:sym w:font="Wingdings" w:char="F0A8"/>
      </w:r>
      <w:r w:rsidRPr="00133050">
        <w:rPr>
          <w:noProof/>
        </w:rPr>
        <w:t xml:space="preserve"> органи или лица, на които е възложено изпълнението на специфични дейности в областта на ОВППС съгласно дял V от ДЕС и които са посочени в съответния основен акт.</w:t>
      </w:r>
    </w:p>
    <w:p w14:paraId="09EE8538" w14:textId="77777777" w:rsidR="002337F9" w:rsidRPr="00133050" w:rsidRDefault="002337F9" w:rsidP="002337F9">
      <w:pPr>
        <w:pStyle w:val="ListDash2"/>
        <w:rPr>
          <w:i/>
          <w:noProof/>
          <w:sz w:val="18"/>
          <w:u w:val="single"/>
        </w:rPr>
      </w:pPr>
      <w:r w:rsidRPr="00133050">
        <w:rPr>
          <w:i/>
          <w:noProof/>
          <w:sz w:val="18"/>
        </w:rPr>
        <w:t>Ако е посочен повече от един метод на управление, пояснете в частта „Забележки“.</w:t>
      </w:r>
    </w:p>
    <w:p w14:paraId="1E795B69" w14:textId="77777777" w:rsidR="002337F9" w:rsidRPr="00133050" w:rsidRDefault="002337F9" w:rsidP="002337F9">
      <w:pPr>
        <w:rPr>
          <w:noProof/>
        </w:rPr>
      </w:pPr>
      <w:r w:rsidRPr="00133050">
        <w:rPr>
          <w:noProof/>
        </w:rPr>
        <w:t>Забележки</w:t>
      </w:r>
    </w:p>
    <w:p w14:paraId="30B4891D" w14:textId="77777777" w:rsidR="002337F9" w:rsidRPr="00133050" w:rsidRDefault="002337F9" w:rsidP="002337F9">
      <w:pPr>
        <w:pBdr>
          <w:top w:val="single" w:sz="4" w:space="1" w:color="auto"/>
          <w:left w:val="single" w:sz="4" w:space="4" w:color="auto"/>
          <w:bottom w:val="single" w:sz="4" w:space="1" w:color="auto"/>
          <w:right w:val="single" w:sz="4" w:space="4" w:color="auto"/>
        </w:pBdr>
        <w:rPr>
          <w:noProof/>
        </w:rPr>
      </w:pPr>
      <w:r w:rsidRPr="00133050">
        <w:rPr>
          <w:noProof/>
        </w:rPr>
        <w:t>Отговорността за окончателното решение по отношение на всяка чуждестранна инвестиция ще продължи да се носи от държавата членка, в която се планира или вече е осъществена инвестицията. Поради това Комисията ще трябва да гарантира, че държавите членки спазват предложения регламент, но държавата членка, в която се планира или вече е осъществена инвестицията, ще продължи да носи отговорност за това да уведомява за сделките по линия на механизма за сътрудничество и да поддържа връзка с участващите в процедурата по скрининг уведомяващи страни (включително за това да получи информацията, която е необходима на други държави членки и на Комисията, за да оценят дадена сделка). Освен това държавите членки ще продължат да носят отговорност за решението относно индивидуални чуждестранни инвестиции (разрешение, разрешение при определени условия или забрана) и за мониторинга и правоприлагането на техните скринингови решения.</w:t>
      </w:r>
    </w:p>
    <w:p w14:paraId="18FCD955" w14:textId="77777777" w:rsidR="002337F9" w:rsidRPr="00133050" w:rsidRDefault="002337F9" w:rsidP="00070956">
      <w:pPr>
        <w:pStyle w:val="ManualHeading1"/>
        <w:rPr>
          <w:noProof/>
        </w:rPr>
      </w:pPr>
      <w:r>
        <w:rPr>
          <w:noProof/>
        </w:rPr>
        <w:t>2.</w:t>
      </w:r>
      <w:r>
        <w:rPr>
          <w:noProof/>
        </w:rPr>
        <w:tab/>
      </w:r>
      <w:r w:rsidRPr="00133050">
        <w:rPr>
          <w:noProof/>
        </w:rPr>
        <w:t xml:space="preserve">МЕРКИ ЗА УПРАВЛЕНИЕ </w:t>
      </w:r>
    </w:p>
    <w:p w14:paraId="372A4368" w14:textId="77777777" w:rsidR="002337F9" w:rsidRPr="00133050" w:rsidRDefault="002337F9" w:rsidP="00070956">
      <w:pPr>
        <w:pStyle w:val="ManualHeading2"/>
        <w:rPr>
          <w:noProof/>
        </w:rPr>
      </w:pPr>
      <w:r>
        <w:rPr>
          <w:noProof/>
        </w:rPr>
        <w:t>2.1.</w:t>
      </w:r>
      <w:r>
        <w:rPr>
          <w:noProof/>
        </w:rPr>
        <w:tab/>
      </w:r>
      <w:r w:rsidRPr="00133050">
        <w:rPr>
          <w:noProof/>
        </w:rPr>
        <w:t xml:space="preserve">Правила за мониторинг и докладване </w:t>
      </w:r>
    </w:p>
    <w:p w14:paraId="6B68C917" w14:textId="77777777" w:rsidR="002337F9" w:rsidRPr="00133050" w:rsidRDefault="002337F9" w:rsidP="002337F9">
      <w:pPr>
        <w:pStyle w:val="Text1"/>
        <w:rPr>
          <w:i/>
          <w:noProof/>
          <w:sz w:val="20"/>
        </w:rPr>
      </w:pPr>
      <w:r w:rsidRPr="00133050">
        <w:rPr>
          <w:i/>
          <w:noProof/>
          <w:sz w:val="20"/>
        </w:rPr>
        <w:t>Да се посочат честотата и условията.</w:t>
      </w:r>
    </w:p>
    <w:p w14:paraId="2DF76F2B" w14:textId="77777777" w:rsidR="002337F9" w:rsidRPr="00133050" w:rsidRDefault="002337F9" w:rsidP="002337F9">
      <w:pPr>
        <w:pStyle w:val="Text1"/>
        <w:pBdr>
          <w:top w:val="single" w:sz="4" w:space="1" w:color="auto"/>
          <w:left w:val="single" w:sz="4" w:space="4" w:color="auto"/>
          <w:bottom w:val="single" w:sz="4" w:space="1" w:color="auto"/>
          <w:right w:val="single" w:sz="4" w:space="4" w:color="auto"/>
        </w:pBdr>
        <w:rPr>
          <w:noProof/>
        </w:rPr>
      </w:pPr>
      <w:r w:rsidRPr="00133050">
        <w:rPr>
          <w:noProof/>
        </w:rPr>
        <w:t>Съгласно регламента Комисията трябва да докладва на годишна база на Европейския парламент и на Съвета относно изпълнението на регламента.</w:t>
      </w:r>
    </w:p>
    <w:p w14:paraId="0870892F" w14:textId="77777777" w:rsidR="002337F9" w:rsidRPr="00133050" w:rsidRDefault="002337F9" w:rsidP="002337F9">
      <w:pPr>
        <w:pStyle w:val="Text1"/>
        <w:pBdr>
          <w:top w:val="single" w:sz="4" w:space="1" w:color="auto"/>
          <w:left w:val="single" w:sz="4" w:space="4" w:color="auto"/>
          <w:bottom w:val="single" w:sz="4" w:space="1" w:color="auto"/>
          <w:right w:val="single" w:sz="4" w:space="4" w:color="auto"/>
        </w:pBdr>
        <w:rPr>
          <w:noProof/>
        </w:rPr>
      </w:pPr>
      <w:r w:rsidRPr="00133050">
        <w:rPr>
          <w:noProof/>
        </w:rPr>
        <w:t>Регламентът ще бъде подложен на оценка и преглед 5 години след влизането му в сила. В оценката ще се разглежда по-специално дали и до каква степен конкретните цели са допринесли за защитата на сигурността и обществения ред в ЕС. Комисията ще докладва за направените констатации на Европейския парламент и на Съвета. В случай че в доклада се препоръчват изменения на регламента, той може да е придружен от съответното законодателно предложение.</w:t>
      </w:r>
    </w:p>
    <w:p w14:paraId="604B8B44" w14:textId="77777777" w:rsidR="002337F9" w:rsidRPr="00133050" w:rsidRDefault="002337F9" w:rsidP="00070956">
      <w:pPr>
        <w:pStyle w:val="ManualHeading2"/>
        <w:rPr>
          <w:noProof/>
        </w:rPr>
      </w:pPr>
      <w:r>
        <w:rPr>
          <w:noProof/>
        </w:rPr>
        <w:t>2.2.</w:t>
      </w:r>
      <w:r>
        <w:rPr>
          <w:noProof/>
        </w:rPr>
        <w:tab/>
      </w:r>
      <w:r w:rsidRPr="00133050">
        <w:rPr>
          <w:noProof/>
        </w:rPr>
        <w:t xml:space="preserve">Системи за управление и контрол </w:t>
      </w:r>
    </w:p>
    <w:p w14:paraId="4D2A9C93" w14:textId="77777777" w:rsidR="002337F9" w:rsidRPr="00133050" w:rsidRDefault="002337F9" w:rsidP="00070956">
      <w:pPr>
        <w:pStyle w:val="ManualHeading3"/>
        <w:rPr>
          <w:noProof/>
        </w:rPr>
      </w:pPr>
      <w:r>
        <w:rPr>
          <w:noProof/>
        </w:rPr>
        <w:t>2.2.1.</w:t>
      </w:r>
      <w:r>
        <w:rPr>
          <w:noProof/>
        </w:rPr>
        <w:tab/>
      </w:r>
      <w:r w:rsidRPr="00133050">
        <w:rPr>
          <w:noProof/>
        </w:rPr>
        <w:t>Обосновка на предложените методи на управление, механизми за осъществяване на финансирането, начини за плащане и стратегия за контрол</w:t>
      </w:r>
    </w:p>
    <w:p w14:paraId="76C58A51" w14:textId="77777777" w:rsidR="002337F9" w:rsidRPr="00133050" w:rsidRDefault="002337F9" w:rsidP="002337F9">
      <w:pPr>
        <w:pStyle w:val="Text1"/>
        <w:pBdr>
          <w:top w:val="single" w:sz="4" w:space="1" w:color="auto"/>
          <w:left w:val="single" w:sz="4" w:space="4" w:color="auto"/>
          <w:bottom w:val="single" w:sz="4" w:space="1" w:color="auto"/>
          <w:right w:val="single" w:sz="4" w:space="4" w:color="auto"/>
        </w:pBdr>
        <w:rPr>
          <w:noProof/>
        </w:rPr>
      </w:pPr>
      <w:r w:rsidRPr="00133050">
        <w:rPr>
          <w:noProof/>
        </w:rPr>
        <w:t>Не се прилага.</w:t>
      </w:r>
    </w:p>
    <w:p w14:paraId="13583A3E" w14:textId="77777777" w:rsidR="002337F9" w:rsidRPr="00133050" w:rsidRDefault="002337F9" w:rsidP="00070956">
      <w:pPr>
        <w:pStyle w:val="ManualHeading3"/>
        <w:rPr>
          <w:noProof/>
        </w:rPr>
      </w:pPr>
      <w:r>
        <w:rPr>
          <w:noProof/>
        </w:rPr>
        <w:t>2.2.2.</w:t>
      </w:r>
      <w:r>
        <w:rPr>
          <w:noProof/>
        </w:rPr>
        <w:tab/>
      </w:r>
      <w:r w:rsidRPr="00133050">
        <w:rPr>
          <w:noProof/>
        </w:rPr>
        <w:t>Информация относно установените рискове и системите за вътрешен контрол, създадени с цел намаляването им</w:t>
      </w:r>
    </w:p>
    <w:p w14:paraId="3ABF16E5" w14:textId="77777777" w:rsidR="002337F9" w:rsidRPr="00133050" w:rsidRDefault="002337F9" w:rsidP="002337F9">
      <w:pPr>
        <w:pStyle w:val="Text1"/>
        <w:pBdr>
          <w:top w:val="single" w:sz="4" w:space="1" w:color="auto"/>
          <w:left w:val="single" w:sz="4" w:space="4" w:color="auto"/>
          <w:bottom w:val="single" w:sz="4" w:space="1" w:color="auto"/>
          <w:right w:val="single" w:sz="4" w:space="4" w:color="auto"/>
        </w:pBdr>
        <w:rPr>
          <w:noProof/>
        </w:rPr>
      </w:pPr>
      <w:r w:rsidRPr="00133050">
        <w:rPr>
          <w:noProof/>
        </w:rPr>
        <w:t>Не се прилага.</w:t>
      </w:r>
    </w:p>
    <w:p w14:paraId="4FDE15C6" w14:textId="77777777" w:rsidR="002337F9" w:rsidRPr="00133050" w:rsidRDefault="002337F9" w:rsidP="00070956">
      <w:pPr>
        <w:pStyle w:val="ManualHeading3"/>
        <w:rPr>
          <w:noProof/>
        </w:rPr>
      </w:pPr>
      <w:r>
        <w:rPr>
          <w:noProof/>
        </w:rPr>
        <w:t>2.2.3.</w:t>
      </w:r>
      <w:r>
        <w:rPr>
          <w:noProof/>
        </w:rPr>
        <w:tab/>
      </w:r>
      <w:r w:rsidRPr="00133050">
        <w:rPr>
          <w:noProof/>
        </w:rPr>
        <w:t xml:space="preserve">Оценка и обосновка на разходната ефективност на проверките (съотношение „разходи за контрол ÷ стойност на съответните управлявани фондове“) и оценка на очакваната степен на риска от грешки (при плащане и при приключване) </w:t>
      </w:r>
    </w:p>
    <w:p w14:paraId="15F62AD1" w14:textId="77777777" w:rsidR="002337F9" w:rsidRPr="00133050" w:rsidRDefault="002337F9" w:rsidP="002337F9">
      <w:pPr>
        <w:pStyle w:val="Text1"/>
        <w:pBdr>
          <w:top w:val="single" w:sz="4" w:space="1" w:color="auto"/>
          <w:left w:val="single" w:sz="4" w:space="4" w:color="auto"/>
          <w:bottom w:val="single" w:sz="4" w:space="1" w:color="auto"/>
          <w:right w:val="single" w:sz="4" w:space="4" w:color="auto"/>
        </w:pBdr>
        <w:rPr>
          <w:noProof/>
        </w:rPr>
      </w:pPr>
      <w:r w:rsidRPr="00133050">
        <w:rPr>
          <w:noProof/>
        </w:rPr>
        <w:t>Не се прилага.</w:t>
      </w:r>
    </w:p>
    <w:p w14:paraId="1FD55E42" w14:textId="77777777" w:rsidR="002337F9" w:rsidRPr="00133050" w:rsidRDefault="002337F9" w:rsidP="00070956">
      <w:pPr>
        <w:pStyle w:val="ManualHeading2"/>
        <w:rPr>
          <w:noProof/>
        </w:rPr>
      </w:pPr>
      <w:r>
        <w:rPr>
          <w:noProof/>
        </w:rPr>
        <w:t>2.3.</w:t>
      </w:r>
      <w:r>
        <w:rPr>
          <w:noProof/>
        </w:rPr>
        <w:tab/>
      </w:r>
      <w:r w:rsidRPr="00133050">
        <w:rPr>
          <w:noProof/>
        </w:rPr>
        <w:t xml:space="preserve">Мерки за предотвратяване на измами и нередности </w:t>
      </w:r>
    </w:p>
    <w:p w14:paraId="578DC4A5" w14:textId="77777777" w:rsidR="002337F9" w:rsidRPr="00133050" w:rsidRDefault="002337F9" w:rsidP="002337F9">
      <w:pPr>
        <w:pStyle w:val="Text1"/>
        <w:rPr>
          <w:i/>
          <w:noProof/>
          <w:sz w:val="20"/>
        </w:rPr>
      </w:pPr>
      <w:r w:rsidRPr="00133050">
        <w:rPr>
          <w:i/>
          <w:noProof/>
          <w:sz w:val="20"/>
        </w:rPr>
        <w:t>Да се посочат съществуващите или планираните мерки за превенция и защита, например от стратегията за борба с измамите.</w:t>
      </w:r>
    </w:p>
    <w:p w14:paraId="74BDD065" w14:textId="77777777" w:rsidR="002337F9" w:rsidRPr="00133050" w:rsidRDefault="002337F9" w:rsidP="002337F9">
      <w:pPr>
        <w:pStyle w:val="Text1"/>
        <w:pBdr>
          <w:top w:val="single" w:sz="4" w:space="1" w:color="auto"/>
          <w:left w:val="single" w:sz="4" w:space="4" w:color="auto"/>
          <w:bottom w:val="single" w:sz="4" w:space="1" w:color="auto"/>
          <w:right w:val="single" w:sz="4" w:space="4" w:color="auto"/>
        </w:pBdr>
        <w:rPr>
          <w:noProof/>
        </w:rPr>
      </w:pPr>
      <w:r w:rsidRPr="00133050">
        <w:rPr>
          <w:noProof/>
        </w:rPr>
        <w:t>Не се прилага.</w:t>
      </w:r>
    </w:p>
    <w:p w14:paraId="30F0A675" w14:textId="77777777" w:rsidR="002337F9" w:rsidRPr="00133050" w:rsidRDefault="002337F9" w:rsidP="002337F9">
      <w:pPr>
        <w:rPr>
          <w:noProof/>
        </w:rPr>
        <w:sectPr w:rsidR="002337F9" w:rsidRPr="00133050" w:rsidSect="00272311">
          <w:footnotePr>
            <w:numRestart w:val="eachSect"/>
          </w:footnotePr>
          <w:pgSz w:w="11907" w:h="16840" w:code="9"/>
          <w:pgMar w:top="1134" w:right="1418" w:bottom="1134" w:left="1418" w:header="709" w:footer="709" w:gutter="0"/>
          <w:cols w:space="708"/>
          <w:docGrid w:linePitch="360"/>
        </w:sectPr>
      </w:pPr>
    </w:p>
    <w:p w14:paraId="1B2EA269" w14:textId="77777777" w:rsidR="002337F9" w:rsidRPr="00133050" w:rsidRDefault="002337F9" w:rsidP="00070956">
      <w:pPr>
        <w:pStyle w:val="ManualHeading1"/>
        <w:rPr>
          <w:noProof/>
        </w:rPr>
      </w:pPr>
      <w:r>
        <w:rPr>
          <w:noProof/>
        </w:rPr>
        <w:t>3.</w:t>
      </w:r>
      <w:r>
        <w:rPr>
          <w:noProof/>
        </w:rPr>
        <w:tab/>
      </w:r>
      <w:r w:rsidRPr="00133050">
        <w:rPr>
          <w:noProof/>
        </w:rPr>
        <w:t xml:space="preserve">ОЧАКВАНО ФИНАНСОВО ОТРАЖЕНИЕ НА ПРЕДЛОЖЕНИЕТО/ИНИЦИАТИВАТА </w:t>
      </w:r>
    </w:p>
    <w:p w14:paraId="671949B1" w14:textId="77777777" w:rsidR="002337F9" w:rsidRPr="00133050" w:rsidRDefault="002337F9" w:rsidP="00070956">
      <w:pPr>
        <w:pStyle w:val="ManualHeading2"/>
        <w:rPr>
          <w:noProof/>
        </w:rPr>
      </w:pPr>
      <w:r>
        <w:rPr>
          <w:noProof/>
        </w:rPr>
        <w:t>3.1.</w:t>
      </w:r>
      <w:r>
        <w:rPr>
          <w:noProof/>
        </w:rPr>
        <w:tab/>
      </w:r>
      <w:r w:rsidRPr="00133050">
        <w:rPr>
          <w:noProof/>
        </w:rPr>
        <w:t xml:space="preserve">Съответни функции от многогодишната финансова рамка и разходни бюджетни редове </w:t>
      </w:r>
    </w:p>
    <w:p w14:paraId="502D0A4E" w14:textId="77777777" w:rsidR="002337F9" w:rsidRPr="00133050" w:rsidRDefault="002337F9" w:rsidP="00B51586">
      <w:pPr>
        <w:pStyle w:val="Bullet1"/>
        <w:numPr>
          <w:ilvl w:val="0"/>
          <w:numId w:val="48"/>
        </w:numPr>
        <w:rPr>
          <w:noProof/>
        </w:rPr>
      </w:pPr>
      <w:r w:rsidRPr="00133050">
        <w:rPr>
          <w:noProof/>
        </w:rPr>
        <w:t xml:space="preserve">Съществуващи бюджетни редове </w:t>
      </w:r>
    </w:p>
    <w:p w14:paraId="6AF1279A" w14:textId="77777777" w:rsidR="002337F9" w:rsidRPr="00133050" w:rsidRDefault="002337F9" w:rsidP="002337F9">
      <w:pPr>
        <w:pStyle w:val="Text1"/>
        <w:rPr>
          <w:i/>
          <w:noProof/>
        </w:rPr>
      </w:pPr>
      <w:r w:rsidRPr="00133050">
        <w:rPr>
          <w:i/>
          <w:noProof/>
          <w:u w:val="single"/>
        </w:rPr>
        <w:t>По реда</w:t>
      </w:r>
      <w:r w:rsidRPr="00133050">
        <w:rPr>
          <w:i/>
          <w:noProof/>
        </w:rPr>
        <w:t xml:space="preserve"> на функциите от многогодишната финансова рамка и на бюджетните редове.</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4440"/>
      </w:tblGrid>
      <w:tr w:rsidR="002337F9" w:rsidRPr="00133050" w14:paraId="31974593" w14:textId="77777777" w:rsidTr="0026218C">
        <w:tc>
          <w:tcPr>
            <w:tcW w:w="1080" w:type="dxa"/>
            <w:vAlign w:val="center"/>
          </w:tcPr>
          <w:p w14:paraId="408933E9" w14:textId="77777777" w:rsidR="002337F9" w:rsidRPr="00133050" w:rsidRDefault="002337F9" w:rsidP="0026218C">
            <w:pPr>
              <w:spacing w:before="60" w:after="60"/>
              <w:jc w:val="center"/>
              <w:rPr>
                <w:noProof/>
              </w:rPr>
            </w:pPr>
            <w:r w:rsidRPr="00133050">
              <w:rPr>
                <w:noProof/>
                <w:sz w:val="18"/>
              </w:rPr>
              <w:t>Функция от многогодишната финансова рамка</w:t>
            </w:r>
          </w:p>
        </w:tc>
        <w:tc>
          <w:tcPr>
            <w:tcW w:w="3960" w:type="dxa"/>
            <w:vAlign w:val="center"/>
          </w:tcPr>
          <w:p w14:paraId="6A9939F3" w14:textId="77777777" w:rsidR="002337F9" w:rsidRPr="00133050" w:rsidRDefault="002337F9" w:rsidP="0026218C">
            <w:pPr>
              <w:spacing w:before="60" w:after="60"/>
              <w:jc w:val="center"/>
              <w:rPr>
                <w:noProof/>
              </w:rPr>
            </w:pPr>
            <w:r w:rsidRPr="00133050">
              <w:rPr>
                <w:noProof/>
                <w:sz w:val="20"/>
              </w:rPr>
              <w:t>Бюджетен ред</w:t>
            </w:r>
          </w:p>
        </w:tc>
        <w:tc>
          <w:tcPr>
            <w:tcW w:w="1080" w:type="dxa"/>
            <w:vAlign w:val="center"/>
          </w:tcPr>
          <w:p w14:paraId="135103FC" w14:textId="77777777" w:rsidR="002337F9" w:rsidRPr="00133050" w:rsidRDefault="002337F9" w:rsidP="0026218C">
            <w:pPr>
              <w:spacing w:before="60" w:after="60"/>
              <w:jc w:val="center"/>
              <w:rPr>
                <w:noProof/>
              </w:rPr>
            </w:pPr>
            <w:r w:rsidRPr="00133050">
              <w:rPr>
                <w:noProof/>
                <w:sz w:val="18"/>
              </w:rPr>
              <w:t xml:space="preserve">Вид </w:t>
            </w:r>
            <w:r w:rsidRPr="00133050">
              <w:rPr>
                <w:noProof/>
              </w:rPr>
              <w:t xml:space="preserve"> </w:t>
            </w:r>
            <w:r w:rsidRPr="00133050">
              <w:rPr>
                <w:noProof/>
              </w:rPr>
              <w:cr/>
            </w:r>
            <w:r w:rsidRPr="00133050">
              <w:rPr>
                <w:noProof/>
              </w:rPr>
              <w:br/>
            </w:r>
            <w:r w:rsidRPr="00133050">
              <w:rPr>
                <w:noProof/>
                <w:sz w:val="18"/>
              </w:rPr>
              <w:t>разход</w:t>
            </w:r>
          </w:p>
        </w:tc>
        <w:tc>
          <w:tcPr>
            <w:tcW w:w="4440" w:type="dxa"/>
            <w:vAlign w:val="center"/>
          </w:tcPr>
          <w:p w14:paraId="261292D2" w14:textId="77777777" w:rsidR="002337F9" w:rsidRPr="00133050" w:rsidRDefault="002337F9" w:rsidP="0026218C">
            <w:pPr>
              <w:spacing w:before="60" w:after="60"/>
              <w:jc w:val="center"/>
              <w:rPr>
                <w:noProof/>
              </w:rPr>
            </w:pPr>
            <w:r w:rsidRPr="00133050">
              <w:rPr>
                <w:noProof/>
                <w:sz w:val="20"/>
              </w:rPr>
              <w:t xml:space="preserve">Финансов принос </w:t>
            </w:r>
          </w:p>
        </w:tc>
      </w:tr>
    </w:tbl>
    <w:p w14:paraId="1354F697" w14:textId="77777777" w:rsidR="005339EC" w:rsidRPr="00133050" w:rsidRDefault="005339EC" w:rsidP="0026218C">
      <w:pPr>
        <w:jc w:val="center"/>
        <w:rPr>
          <w:noProof/>
        </w:rPr>
      </w:pP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2337F9" w:rsidRPr="00133050" w14:paraId="01785D91" w14:textId="77777777" w:rsidTr="0026218C">
        <w:tc>
          <w:tcPr>
            <w:tcW w:w="1080" w:type="dxa"/>
            <w:vAlign w:val="center"/>
          </w:tcPr>
          <w:p w14:paraId="3D84BEB2" w14:textId="77777777" w:rsidR="002337F9" w:rsidRPr="00133050" w:rsidRDefault="002337F9" w:rsidP="0026218C">
            <w:pPr>
              <w:jc w:val="center"/>
              <w:rPr>
                <w:noProof/>
              </w:rPr>
            </w:pPr>
          </w:p>
        </w:tc>
        <w:tc>
          <w:tcPr>
            <w:tcW w:w="3960" w:type="dxa"/>
            <w:vAlign w:val="center"/>
          </w:tcPr>
          <w:p w14:paraId="28948337" w14:textId="77777777" w:rsidR="002337F9" w:rsidRPr="00133050" w:rsidRDefault="002337F9" w:rsidP="0026218C">
            <w:pPr>
              <w:rPr>
                <w:noProof/>
              </w:rPr>
            </w:pPr>
            <w:r w:rsidRPr="00133050">
              <w:rPr>
                <w:noProof/>
                <w:sz w:val="20"/>
              </w:rPr>
              <w:t xml:space="preserve">Номер </w:t>
            </w:r>
            <w:r w:rsidRPr="00133050">
              <w:rPr>
                <w:noProof/>
              </w:rPr>
              <w:t xml:space="preserve"> </w:t>
            </w:r>
            <w:r w:rsidRPr="00133050">
              <w:rPr>
                <w:noProof/>
              </w:rPr>
              <w:cr/>
            </w:r>
            <w:r w:rsidRPr="00133050">
              <w:rPr>
                <w:noProof/>
              </w:rPr>
              <w:br/>
            </w:r>
          </w:p>
        </w:tc>
        <w:tc>
          <w:tcPr>
            <w:tcW w:w="1080" w:type="dxa"/>
            <w:vAlign w:val="center"/>
          </w:tcPr>
          <w:p w14:paraId="647A9292" w14:textId="77777777" w:rsidR="002337F9" w:rsidRPr="00133050" w:rsidRDefault="002337F9" w:rsidP="0026218C">
            <w:pPr>
              <w:jc w:val="center"/>
              <w:rPr>
                <w:noProof/>
              </w:rPr>
            </w:pPr>
            <w:r w:rsidRPr="00133050">
              <w:rPr>
                <w:noProof/>
                <w:sz w:val="18"/>
              </w:rPr>
              <w:t>Многогод./едногод.</w:t>
            </w:r>
            <w:r w:rsidRPr="00133050">
              <w:rPr>
                <w:rStyle w:val="FootnoteReference"/>
                <w:noProof/>
                <w:sz w:val="18"/>
              </w:rPr>
              <w:footnoteReference w:id="49"/>
            </w:r>
          </w:p>
        </w:tc>
        <w:tc>
          <w:tcPr>
            <w:tcW w:w="956" w:type="dxa"/>
            <w:vAlign w:val="center"/>
          </w:tcPr>
          <w:p w14:paraId="4D55D0B7" w14:textId="77777777" w:rsidR="002337F9" w:rsidRPr="00133050" w:rsidRDefault="002337F9" w:rsidP="0026218C">
            <w:pPr>
              <w:jc w:val="center"/>
              <w:rPr>
                <w:b/>
                <w:noProof/>
                <w:sz w:val="18"/>
              </w:rPr>
            </w:pPr>
            <w:r w:rsidRPr="00133050">
              <w:rPr>
                <w:noProof/>
                <w:sz w:val="18"/>
              </w:rPr>
              <w:t>от държави от ЕАСТ</w:t>
            </w:r>
            <w:r w:rsidRPr="00133050">
              <w:rPr>
                <w:rStyle w:val="FootnoteReference"/>
                <w:noProof/>
                <w:sz w:val="18"/>
              </w:rPr>
              <w:footnoteReference w:id="50"/>
            </w:r>
          </w:p>
        </w:tc>
        <w:tc>
          <w:tcPr>
            <w:tcW w:w="1080" w:type="dxa"/>
            <w:vAlign w:val="center"/>
          </w:tcPr>
          <w:p w14:paraId="7034E8F9" w14:textId="77777777" w:rsidR="002337F9" w:rsidRPr="00133050" w:rsidRDefault="002337F9" w:rsidP="0026218C">
            <w:pPr>
              <w:jc w:val="center"/>
              <w:rPr>
                <w:noProof/>
                <w:sz w:val="18"/>
              </w:rPr>
            </w:pPr>
            <w:r w:rsidRPr="00133050">
              <w:rPr>
                <w:noProof/>
                <w:sz w:val="18"/>
              </w:rPr>
              <w:t>от държави кандидатки и потенциални кандидати</w:t>
            </w:r>
            <w:r w:rsidRPr="00133050">
              <w:rPr>
                <w:rStyle w:val="FootnoteReference"/>
                <w:noProof/>
                <w:sz w:val="18"/>
              </w:rPr>
              <w:footnoteReference w:id="51"/>
            </w:r>
          </w:p>
        </w:tc>
        <w:tc>
          <w:tcPr>
            <w:tcW w:w="956" w:type="dxa"/>
            <w:vAlign w:val="center"/>
          </w:tcPr>
          <w:p w14:paraId="38DA9942" w14:textId="77777777" w:rsidR="002337F9" w:rsidRPr="00133050" w:rsidRDefault="002337F9" w:rsidP="0026218C">
            <w:pPr>
              <w:jc w:val="center"/>
              <w:rPr>
                <w:noProof/>
                <w:sz w:val="18"/>
              </w:rPr>
            </w:pPr>
            <w:r w:rsidRPr="00133050">
              <w:rPr>
                <w:noProof/>
                <w:sz w:val="18"/>
              </w:rPr>
              <w:t>от други трети държави</w:t>
            </w:r>
          </w:p>
        </w:tc>
        <w:tc>
          <w:tcPr>
            <w:tcW w:w="1448" w:type="dxa"/>
            <w:vAlign w:val="center"/>
          </w:tcPr>
          <w:p w14:paraId="35365C1C" w14:textId="77777777" w:rsidR="002337F9" w:rsidRPr="00133050" w:rsidRDefault="002337F9" w:rsidP="0026218C">
            <w:pPr>
              <w:jc w:val="center"/>
              <w:rPr>
                <w:noProof/>
              </w:rPr>
            </w:pPr>
            <w:r w:rsidRPr="00133050">
              <w:rPr>
                <w:noProof/>
                <w:sz w:val="18"/>
              </w:rPr>
              <w:t>други целеви приходи</w:t>
            </w:r>
          </w:p>
        </w:tc>
      </w:tr>
      <w:tr w:rsidR="002337F9" w:rsidRPr="00133050" w14:paraId="6954E576" w14:textId="77777777" w:rsidTr="0026218C">
        <w:tc>
          <w:tcPr>
            <w:tcW w:w="1080" w:type="dxa"/>
            <w:vAlign w:val="center"/>
          </w:tcPr>
          <w:p w14:paraId="01AA2A6B" w14:textId="77777777" w:rsidR="002337F9" w:rsidRPr="00133050" w:rsidRDefault="002337F9" w:rsidP="0026218C">
            <w:pPr>
              <w:jc w:val="center"/>
              <w:rPr>
                <w:noProof/>
                <w:color w:val="0000FF"/>
              </w:rPr>
            </w:pPr>
            <w:r w:rsidRPr="00133050">
              <w:rPr>
                <w:noProof/>
              </w:rPr>
              <w:t>6</w:t>
            </w:r>
          </w:p>
        </w:tc>
        <w:tc>
          <w:tcPr>
            <w:tcW w:w="3960" w:type="dxa"/>
            <w:vAlign w:val="center"/>
          </w:tcPr>
          <w:p w14:paraId="7829FAD3" w14:textId="77777777" w:rsidR="002337F9" w:rsidRPr="00133050" w:rsidRDefault="002337F9" w:rsidP="0026218C">
            <w:pPr>
              <w:spacing w:after="60"/>
              <w:rPr>
                <w:noProof/>
              </w:rPr>
            </w:pPr>
            <w:r w:rsidRPr="00133050">
              <w:rPr>
                <w:noProof/>
              </w:rPr>
              <w:t xml:space="preserve">14.20.04.02. </w:t>
            </w:r>
          </w:p>
        </w:tc>
        <w:tc>
          <w:tcPr>
            <w:tcW w:w="1080" w:type="dxa"/>
            <w:vAlign w:val="center"/>
          </w:tcPr>
          <w:p w14:paraId="7D885F94" w14:textId="77777777" w:rsidR="002337F9" w:rsidRPr="00133050" w:rsidRDefault="002337F9" w:rsidP="0026218C">
            <w:pPr>
              <w:jc w:val="center"/>
              <w:rPr>
                <w:noProof/>
                <w:color w:val="0000FF"/>
              </w:rPr>
            </w:pPr>
            <w:r w:rsidRPr="00133050">
              <w:rPr>
                <w:noProof/>
              </w:rPr>
              <w:t>Многогод.</w:t>
            </w:r>
          </w:p>
        </w:tc>
        <w:tc>
          <w:tcPr>
            <w:tcW w:w="956" w:type="dxa"/>
            <w:vAlign w:val="center"/>
          </w:tcPr>
          <w:p w14:paraId="73C7AA12" w14:textId="77777777" w:rsidR="002337F9" w:rsidRPr="00133050" w:rsidRDefault="002337F9" w:rsidP="0026218C">
            <w:pPr>
              <w:jc w:val="center"/>
              <w:rPr>
                <w:noProof/>
                <w:sz w:val="20"/>
              </w:rPr>
            </w:pPr>
            <w:r w:rsidRPr="00133050">
              <w:rPr>
                <w:noProof/>
                <w:sz w:val="20"/>
              </w:rPr>
              <w:t>НЕ</w:t>
            </w:r>
          </w:p>
        </w:tc>
        <w:tc>
          <w:tcPr>
            <w:tcW w:w="1080" w:type="dxa"/>
            <w:vAlign w:val="center"/>
          </w:tcPr>
          <w:p w14:paraId="4DD477BD" w14:textId="77777777" w:rsidR="002337F9" w:rsidRPr="00133050" w:rsidRDefault="002337F9" w:rsidP="0026218C">
            <w:pPr>
              <w:jc w:val="center"/>
              <w:rPr>
                <w:noProof/>
                <w:sz w:val="20"/>
              </w:rPr>
            </w:pPr>
            <w:r w:rsidRPr="00133050">
              <w:rPr>
                <w:noProof/>
                <w:sz w:val="20"/>
              </w:rPr>
              <w:t>НЕ</w:t>
            </w:r>
          </w:p>
        </w:tc>
        <w:tc>
          <w:tcPr>
            <w:tcW w:w="956" w:type="dxa"/>
            <w:vAlign w:val="center"/>
          </w:tcPr>
          <w:p w14:paraId="6B026998" w14:textId="77777777" w:rsidR="002337F9" w:rsidRPr="00133050" w:rsidRDefault="002337F9" w:rsidP="0026218C">
            <w:pPr>
              <w:jc w:val="center"/>
              <w:rPr>
                <w:noProof/>
                <w:sz w:val="20"/>
              </w:rPr>
            </w:pPr>
            <w:r w:rsidRPr="00133050">
              <w:rPr>
                <w:noProof/>
                <w:sz w:val="20"/>
              </w:rPr>
              <w:t>НЕ</w:t>
            </w:r>
          </w:p>
        </w:tc>
        <w:tc>
          <w:tcPr>
            <w:tcW w:w="1448" w:type="dxa"/>
            <w:vAlign w:val="center"/>
          </w:tcPr>
          <w:p w14:paraId="5699E78D" w14:textId="77777777" w:rsidR="002337F9" w:rsidRPr="00133050" w:rsidRDefault="002337F9" w:rsidP="0026218C">
            <w:pPr>
              <w:jc w:val="center"/>
              <w:rPr>
                <w:noProof/>
                <w:sz w:val="20"/>
              </w:rPr>
            </w:pPr>
            <w:r w:rsidRPr="00133050">
              <w:rPr>
                <w:noProof/>
                <w:sz w:val="20"/>
              </w:rPr>
              <w:t>НЕ</w:t>
            </w:r>
          </w:p>
        </w:tc>
      </w:tr>
    </w:tbl>
    <w:p w14:paraId="78F3C684" w14:textId="77777777" w:rsidR="002337F9" w:rsidRPr="00133050" w:rsidRDefault="002337F9" w:rsidP="002337F9">
      <w:pPr>
        <w:pStyle w:val="Bullet1"/>
        <w:rPr>
          <w:noProof/>
        </w:rPr>
      </w:pPr>
      <w:r w:rsidRPr="00133050">
        <w:rPr>
          <w:noProof/>
        </w:rPr>
        <w:t xml:space="preserve">Поискани нови бюджетни редове </w:t>
      </w:r>
    </w:p>
    <w:p w14:paraId="3B13B050" w14:textId="77777777" w:rsidR="002337F9" w:rsidRPr="00133050" w:rsidRDefault="002337F9" w:rsidP="002337F9">
      <w:pPr>
        <w:pStyle w:val="Text1"/>
        <w:rPr>
          <w:i/>
          <w:noProof/>
          <w:sz w:val="20"/>
        </w:rPr>
      </w:pPr>
      <w:r w:rsidRPr="00133050">
        <w:rPr>
          <w:i/>
          <w:noProof/>
          <w:u w:val="single"/>
        </w:rPr>
        <w:t>По реда</w:t>
      </w:r>
      <w:r w:rsidRPr="00133050">
        <w:rPr>
          <w:i/>
          <w:noProof/>
        </w:rPr>
        <w:t xml:space="preserve"> на функциите от многогодишната финансова рамка и на бюджетните редове.</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2337F9" w:rsidRPr="00133050" w14:paraId="77096CB3" w14:textId="77777777" w:rsidTr="0026218C">
        <w:tc>
          <w:tcPr>
            <w:tcW w:w="1080" w:type="dxa"/>
            <w:vMerge w:val="restart"/>
            <w:vAlign w:val="center"/>
          </w:tcPr>
          <w:p w14:paraId="7D5FB85D" w14:textId="77777777" w:rsidR="002337F9" w:rsidRPr="00133050" w:rsidRDefault="002337F9" w:rsidP="0026218C">
            <w:pPr>
              <w:spacing w:before="60" w:after="60"/>
              <w:jc w:val="center"/>
              <w:rPr>
                <w:noProof/>
                <w:sz w:val="18"/>
              </w:rPr>
            </w:pPr>
            <w:r w:rsidRPr="00133050">
              <w:rPr>
                <w:noProof/>
                <w:sz w:val="18"/>
              </w:rPr>
              <w:t>Функция от многогодишната финансова рамка</w:t>
            </w:r>
          </w:p>
        </w:tc>
        <w:tc>
          <w:tcPr>
            <w:tcW w:w="3960" w:type="dxa"/>
            <w:vAlign w:val="center"/>
          </w:tcPr>
          <w:p w14:paraId="5C30B6AD" w14:textId="77777777" w:rsidR="002337F9" w:rsidRPr="00133050" w:rsidRDefault="002337F9" w:rsidP="0026218C">
            <w:pPr>
              <w:spacing w:before="60" w:after="60"/>
              <w:jc w:val="center"/>
              <w:rPr>
                <w:noProof/>
              </w:rPr>
            </w:pPr>
            <w:r w:rsidRPr="00133050">
              <w:rPr>
                <w:noProof/>
                <w:sz w:val="20"/>
              </w:rPr>
              <w:t>Бюджетен ред</w:t>
            </w:r>
          </w:p>
        </w:tc>
        <w:tc>
          <w:tcPr>
            <w:tcW w:w="1080" w:type="dxa"/>
            <w:vAlign w:val="center"/>
          </w:tcPr>
          <w:p w14:paraId="53DD0475" w14:textId="77777777" w:rsidR="002337F9" w:rsidRPr="00133050" w:rsidRDefault="002337F9" w:rsidP="0026218C">
            <w:pPr>
              <w:spacing w:before="60" w:after="60"/>
              <w:jc w:val="center"/>
              <w:rPr>
                <w:noProof/>
              </w:rPr>
            </w:pPr>
            <w:r w:rsidRPr="00133050">
              <w:rPr>
                <w:noProof/>
                <w:sz w:val="18"/>
              </w:rPr>
              <w:t>Вид</w:t>
            </w:r>
            <w:r w:rsidRPr="00133050">
              <w:rPr>
                <w:noProof/>
              </w:rPr>
              <w:t xml:space="preserve"> </w:t>
            </w:r>
            <w:r w:rsidRPr="00133050">
              <w:rPr>
                <w:noProof/>
              </w:rPr>
              <w:cr/>
            </w:r>
            <w:r w:rsidRPr="00133050">
              <w:rPr>
                <w:noProof/>
              </w:rPr>
              <w:br/>
            </w:r>
            <w:r w:rsidRPr="00133050">
              <w:rPr>
                <w:noProof/>
                <w:sz w:val="18"/>
              </w:rPr>
              <w:t>разход</w:t>
            </w:r>
          </w:p>
        </w:tc>
        <w:tc>
          <w:tcPr>
            <w:tcW w:w="4440" w:type="dxa"/>
            <w:gridSpan w:val="4"/>
            <w:vAlign w:val="center"/>
          </w:tcPr>
          <w:p w14:paraId="6100CEC6" w14:textId="77777777" w:rsidR="002337F9" w:rsidRPr="00133050" w:rsidRDefault="002337F9" w:rsidP="0026218C">
            <w:pPr>
              <w:spacing w:before="60" w:after="60"/>
              <w:jc w:val="center"/>
              <w:rPr>
                <w:noProof/>
              </w:rPr>
            </w:pPr>
            <w:r w:rsidRPr="00133050">
              <w:rPr>
                <w:noProof/>
                <w:sz w:val="20"/>
              </w:rPr>
              <w:t xml:space="preserve">Финансов принос </w:t>
            </w:r>
          </w:p>
        </w:tc>
      </w:tr>
      <w:tr w:rsidR="002337F9" w:rsidRPr="00133050" w14:paraId="74DB91A0" w14:textId="77777777" w:rsidTr="0026218C">
        <w:tc>
          <w:tcPr>
            <w:tcW w:w="1080" w:type="dxa"/>
            <w:vMerge/>
            <w:vAlign w:val="center"/>
          </w:tcPr>
          <w:p w14:paraId="3F9C0903" w14:textId="77777777" w:rsidR="002337F9" w:rsidRPr="00133050" w:rsidRDefault="002337F9" w:rsidP="0026218C">
            <w:pPr>
              <w:jc w:val="center"/>
              <w:rPr>
                <w:noProof/>
              </w:rPr>
            </w:pPr>
          </w:p>
        </w:tc>
        <w:tc>
          <w:tcPr>
            <w:tcW w:w="3960" w:type="dxa"/>
            <w:vAlign w:val="center"/>
          </w:tcPr>
          <w:p w14:paraId="601286D6" w14:textId="77777777" w:rsidR="002337F9" w:rsidRPr="00133050" w:rsidRDefault="002337F9" w:rsidP="0026218C">
            <w:pPr>
              <w:rPr>
                <w:noProof/>
              </w:rPr>
            </w:pPr>
            <w:r w:rsidRPr="00133050">
              <w:rPr>
                <w:noProof/>
                <w:sz w:val="20"/>
              </w:rPr>
              <w:t xml:space="preserve">Номер </w:t>
            </w:r>
            <w:r w:rsidRPr="00133050">
              <w:rPr>
                <w:noProof/>
              </w:rPr>
              <w:t xml:space="preserve"> </w:t>
            </w:r>
            <w:r w:rsidRPr="00133050">
              <w:rPr>
                <w:noProof/>
              </w:rPr>
              <w:cr/>
            </w:r>
            <w:r w:rsidRPr="00133050">
              <w:rPr>
                <w:noProof/>
              </w:rPr>
              <w:br/>
            </w:r>
          </w:p>
        </w:tc>
        <w:tc>
          <w:tcPr>
            <w:tcW w:w="1080" w:type="dxa"/>
            <w:vAlign w:val="center"/>
          </w:tcPr>
          <w:p w14:paraId="41CBBC46" w14:textId="77777777" w:rsidR="002337F9" w:rsidRPr="00133050" w:rsidRDefault="002337F9" w:rsidP="0026218C">
            <w:pPr>
              <w:jc w:val="center"/>
              <w:rPr>
                <w:noProof/>
              </w:rPr>
            </w:pPr>
            <w:r w:rsidRPr="00133050">
              <w:rPr>
                <w:noProof/>
                <w:sz w:val="18"/>
              </w:rPr>
              <w:t>Многогод./едногод.</w:t>
            </w:r>
          </w:p>
        </w:tc>
        <w:tc>
          <w:tcPr>
            <w:tcW w:w="956" w:type="dxa"/>
            <w:vAlign w:val="center"/>
          </w:tcPr>
          <w:p w14:paraId="40029EEC" w14:textId="77777777" w:rsidR="002337F9" w:rsidRPr="00133050" w:rsidRDefault="002337F9" w:rsidP="0026218C">
            <w:pPr>
              <w:jc w:val="center"/>
              <w:rPr>
                <w:noProof/>
                <w:sz w:val="18"/>
              </w:rPr>
            </w:pPr>
            <w:r w:rsidRPr="00133050">
              <w:rPr>
                <w:noProof/>
                <w:sz w:val="18"/>
              </w:rPr>
              <w:t>от държави от ЕАСТ</w:t>
            </w:r>
          </w:p>
        </w:tc>
        <w:tc>
          <w:tcPr>
            <w:tcW w:w="1080" w:type="dxa"/>
            <w:vAlign w:val="center"/>
          </w:tcPr>
          <w:p w14:paraId="3F97A73D" w14:textId="77777777" w:rsidR="002337F9" w:rsidRPr="00133050" w:rsidRDefault="002337F9" w:rsidP="0026218C">
            <w:pPr>
              <w:jc w:val="center"/>
              <w:rPr>
                <w:noProof/>
                <w:sz w:val="18"/>
              </w:rPr>
            </w:pPr>
            <w:r w:rsidRPr="00133050">
              <w:rPr>
                <w:noProof/>
                <w:sz w:val="18"/>
              </w:rPr>
              <w:t>от държави кандидатки и потенциални кандидати</w:t>
            </w:r>
          </w:p>
        </w:tc>
        <w:tc>
          <w:tcPr>
            <w:tcW w:w="956" w:type="dxa"/>
            <w:vAlign w:val="center"/>
          </w:tcPr>
          <w:p w14:paraId="37F7B164" w14:textId="77777777" w:rsidR="002337F9" w:rsidRPr="00133050" w:rsidRDefault="002337F9" w:rsidP="0026218C">
            <w:pPr>
              <w:jc w:val="center"/>
              <w:rPr>
                <w:noProof/>
                <w:sz w:val="18"/>
              </w:rPr>
            </w:pPr>
            <w:r w:rsidRPr="00133050">
              <w:rPr>
                <w:noProof/>
                <w:sz w:val="18"/>
              </w:rPr>
              <w:t>от други трети държави</w:t>
            </w:r>
          </w:p>
        </w:tc>
        <w:tc>
          <w:tcPr>
            <w:tcW w:w="1448" w:type="dxa"/>
            <w:vAlign w:val="center"/>
          </w:tcPr>
          <w:p w14:paraId="345D2830" w14:textId="77777777" w:rsidR="002337F9" w:rsidRPr="00133050" w:rsidRDefault="002337F9" w:rsidP="0026218C">
            <w:pPr>
              <w:jc w:val="center"/>
              <w:rPr>
                <w:noProof/>
              </w:rPr>
            </w:pPr>
            <w:r w:rsidRPr="00133050">
              <w:rPr>
                <w:noProof/>
                <w:sz w:val="18"/>
              </w:rPr>
              <w:t xml:space="preserve">други целеви приходи </w:t>
            </w:r>
          </w:p>
        </w:tc>
      </w:tr>
      <w:tr w:rsidR="002337F9" w:rsidRPr="00133050" w14:paraId="6F6E5621" w14:textId="77777777" w:rsidTr="0026218C">
        <w:tc>
          <w:tcPr>
            <w:tcW w:w="1080" w:type="dxa"/>
            <w:vAlign w:val="center"/>
          </w:tcPr>
          <w:p w14:paraId="266E9F50" w14:textId="77777777" w:rsidR="002337F9" w:rsidRPr="00133050" w:rsidRDefault="002337F9" w:rsidP="0026218C">
            <w:pPr>
              <w:jc w:val="center"/>
              <w:rPr>
                <w:noProof/>
                <w:color w:val="0000FF"/>
              </w:rPr>
            </w:pPr>
          </w:p>
        </w:tc>
        <w:tc>
          <w:tcPr>
            <w:tcW w:w="3960" w:type="dxa"/>
            <w:vAlign w:val="center"/>
          </w:tcPr>
          <w:p w14:paraId="7CE28106" w14:textId="77777777" w:rsidR="002337F9" w:rsidRPr="00133050" w:rsidRDefault="002337F9" w:rsidP="0026218C">
            <w:pPr>
              <w:spacing w:before="60"/>
              <w:rPr>
                <w:noProof/>
              </w:rPr>
            </w:pPr>
            <w:r w:rsidRPr="00133050">
              <w:rPr>
                <w:noProof/>
              </w:rPr>
              <w:t>Не се прилага.</w:t>
            </w:r>
          </w:p>
          <w:p w14:paraId="187CAF87" w14:textId="77777777" w:rsidR="002337F9" w:rsidRPr="00133050" w:rsidRDefault="002337F9" w:rsidP="0026218C">
            <w:pPr>
              <w:spacing w:after="60"/>
              <w:rPr>
                <w:noProof/>
                <w:color w:val="0000FF"/>
              </w:rPr>
            </w:pPr>
          </w:p>
        </w:tc>
        <w:tc>
          <w:tcPr>
            <w:tcW w:w="1080" w:type="dxa"/>
            <w:vAlign w:val="center"/>
          </w:tcPr>
          <w:p w14:paraId="02669AB3" w14:textId="77777777" w:rsidR="002337F9" w:rsidRPr="00133050" w:rsidRDefault="002337F9" w:rsidP="0026218C">
            <w:pPr>
              <w:jc w:val="center"/>
              <w:rPr>
                <w:noProof/>
                <w:color w:val="0000FF"/>
              </w:rPr>
            </w:pPr>
          </w:p>
        </w:tc>
        <w:tc>
          <w:tcPr>
            <w:tcW w:w="956" w:type="dxa"/>
            <w:vAlign w:val="center"/>
          </w:tcPr>
          <w:p w14:paraId="35497189" w14:textId="77777777" w:rsidR="002337F9" w:rsidRPr="00133050" w:rsidRDefault="002337F9" w:rsidP="0026218C">
            <w:pPr>
              <w:jc w:val="center"/>
              <w:rPr>
                <w:noProof/>
                <w:sz w:val="20"/>
              </w:rPr>
            </w:pPr>
            <w:r w:rsidRPr="00133050">
              <w:rPr>
                <w:noProof/>
                <w:sz w:val="20"/>
              </w:rPr>
              <w:t>ДА/НЕ</w:t>
            </w:r>
          </w:p>
        </w:tc>
        <w:tc>
          <w:tcPr>
            <w:tcW w:w="1080" w:type="dxa"/>
            <w:vAlign w:val="center"/>
          </w:tcPr>
          <w:p w14:paraId="5D956A90" w14:textId="77777777" w:rsidR="002337F9" w:rsidRPr="00133050" w:rsidRDefault="002337F9" w:rsidP="0026218C">
            <w:pPr>
              <w:jc w:val="center"/>
              <w:rPr>
                <w:noProof/>
                <w:color w:val="0000FF"/>
                <w:sz w:val="20"/>
              </w:rPr>
            </w:pPr>
            <w:r w:rsidRPr="00133050">
              <w:rPr>
                <w:noProof/>
                <w:sz w:val="20"/>
              </w:rPr>
              <w:t>ДА/НЕ</w:t>
            </w:r>
          </w:p>
        </w:tc>
        <w:tc>
          <w:tcPr>
            <w:tcW w:w="956" w:type="dxa"/>
            <w:vAlign w:val="center"/>
          </w:tcPr>
          <w:p w14:paraId="48260655" w14:textId="77777777" w:rsidR="002337F9" w:rsidRPr="00133050" w:rsidRDefault="002337F9" w:rsidP="0026218C">
            <w:pPr>
              <w:jc w:val="center"/>
              <w:rPr>
                <w:noProof/>
                <w:color w:val="0000FF"/>
                <w:sz w:val="20"/>
              </w:rPr>
            </w:pPr>
            <w:r w:rsidRPr="00133050">
              <w:rPr>
                <w:noProof/>
                <w:sz w:val="20"/>
              </w:rPr>
              <w:t>ДА/НЕ</w:t>
            </w:r>
          </w:p>
        </w:tc>
        <w:tc>
          <w:tcPr>
            <w:tcW w:w="1448" w:type="dxa"/>
            <w:vAlign w:val="center"/>
          </w:tcPr>
          <w:p w14:paraId="75CDB38E" w14:textId="77777777" w:rsidR="002337F9" w:rsidRPr="00133050" w:rsidRDefault="002337F9" w:rsidP="0026218C">
            <w:pPr>
              <w:jc w:val="center"/>
              <w:rPr>
                <w:noProof/>
                <w:sz w:val="20"/>
              </w:rPr>
            </w:pPr>
            <w:r w:rsidRPr="00133050">
              <w:rPr>
                <w:noProof/>
                <w:sz w:val="20"/>
              </w:rPr>
              <w:t>ДА/НЕ</w:t>
            </w:r>
          </w:p>
        </w:tc>
      </w:tr>
    </w:tbl>
    <w:p w14:paraId="76EB2074" w14:textId="77777777" w:rsidR="002337F9" w:rsidRPr="00133050" w:rsidRDefault="002337F9" w:rsidP="002337F9">
      <w:pPr>
        <w:rPr>
          <w:noProof/>
        </w:rPr>
        <w:sectPr w:rsidR="002337F9" w:rsidRPr="00133050" w:rsidSect="00272311">
          <w:footnotePr>
            <w:numRestart w:val="eachSect"/>
          </w:footnotePr>
          <w:pgSz w:w="11907" w:h="16840" w:code="1"/>
          <w:pgMar w:top="1134" w:right="1418" w:bottom="1134" w:left="1418" w:header="709" w:footer="709" w:gutter="0"/>
          <w:cols w:space="708"/>
          <w:docGrid w:linePitch="360"/>
        </w:sectPr>
      </w:pPr>
    </w:p>
    <w:p w14:paraId="3548F4B5" w14:textId="77777777" w:rsidR="002337F9" w:rsidRPr="00133050" w:rsidRDefault="002337F9" w:rsidP="00070956">
      <w:pPr>
        <w:pStyle w:val="ManualHeading2"/>
        <w:rPr>
          <w:noProof/>
        </w:rPr>
      </w:pPr>
      <w:r>
        <w:rPr>
          <w:noProof/>
        </w:rPr>
        <w:t>3.2.</w:t>
      </w:r>
      <w:r>
        <w:rPr>
          <w:noProof/>
        </w:rPr>
        <w:tab/>
      </w:r>
      <w:r w:rsidRPr="00133050">
        <w:rPr>
          <w:noProof/>
        </w:rPr>
        <w:t xml:space="preserve">Очаквано финансово отражение на предложението върху бюджетните кредити </w:t>
      </w:r>
    </w:p>
    <w:p w14:paraId="4AE09341" w14:textId="77777777" w:rsidR="002337F9" w:rsidRPr="00133050" w:rsidRDefault="002337F9" w:rsidP="00070956">
      <w:pPr>
        <w:pStyle w:val="ManualHeading3"/>
        <w:rPr>
          <w:noProof/>
        </w:rPr>
      </w:pPr>
      <w:r>
        <w:rPr>
          <w:noProof/>
        </w:rPr>
        <w:t>3.2.1.</w:t>
      </w:r>
      <w:r>
        <w:rPr>
          <w:noProof/>
        </w:rPr>
        <w:tab/>
      </w:r>
      <w:r w:rsidRPr="00133050">
        <w:rPr>
          <w:noProof/>
        </w:rPr>
        <w:t xml:space="preserve">Обобщение на очакваното отражение върху бюджетните кредити за оперативни разходи </w:t>
      </w:r>
    </w:p>
    <w:p w14:paraId="247DF3BD" w14:textId="77777777" w:rsidR="002337F9" w:rsidRPr="00133050" w:rsidRDefault="002337F9" w:rsidP="00B51586">
      <w:pPr>
        <w:pStyle w:val="Tiret1"/>
        <w:numPr>
          <w:ilvl w:val="0"/>
          <w:numId w:val="49"/>
        </w:numPr>
        <w:rPr>
          <w:noProof/>
        </w:rPr>
      </w:pPr>
      <w:r w:rsidRPr="00133050">
        <w:rPr>
          <w:noProof/>
        </w:rPr>
        <w:sym w:font="Wingdings" w:char="F0A8"/>
      </w:r>
      <w:r w:rsidRPr="00133050">
        <w:rPr>
          <w:noProof/>
        </w:rPr>
        <w:tab/>
        <w:t xml:space="preserve">Предложението/инициативата не налага използване на бюджетни кредити за оперативни разходи </w:t>
      </w:r>
    </w:p>
    <w:p w14:paraId="0EFC6C4F" w14:textId="77777777" w:rsidR="002337F9" w:rsidRPr="00133050" w:rsidRDefault="002337F9" w:rsidP="002337F9">
      <w:pPr>
        <w:pStyle w:val="Tiret1"/>
        <w:rPr>
          <w:noProof/>
        </w:rPr>
      </w:pPr>
      <w:r w:rsidRPr="00133050">
        <w:rPr>
          <w:noProof/>
        </w:rPr>
        <w:sym w:font="Wingdings" w:char="F0FD"/>
      </w:r>
      <w:r w:rsidRPr="00133050">
        <w:rPr>
          <w:noProof/>
        </w:rPr>
        <w:tab/>
        <w:t>Предложението/инициативата налага използване на бюджетни кредити за оперативни разходи съгласно обяснението по-долу:</w:t>
      </w:r>
    </w:p>
    <w:p w14:paraId="04D3D397" w14:textId="77777777" w:rsidR="002337F9" w:rsidRPr="00133050" w:rsidRDefault="002337F9" w:rsidP="002337F9">
      <w:pPr>
        <w:jc w:val="right"/>
        <w:rPr>
          <w:noProof/>
          <w:sz w:val="18"/>
        </w:rPr>
      </w:pPr>
      <w:r w:rsidRPr="00133050">
        <w:rPr>
          <w:noProof/>
          <w:sz w:val="18"/>
        </w:rPr>
        <w:t>млн. евро (до 3-тия знак след десетичната запетая)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2337F9" w:rsidRPr="00133050" w14:paraId="7C8BCB7C" w14:textId="77777777" w:rsidTr="0026218C">
        <w:trPr>
          <w:jc w:val="center"/>
        </w:trPr>
        <w:tc>
          <w:tcPr>
            <w:tcW w:w="4744" w:type="dxa"/>
            <w:shd w:val="thinDiagStripe" w:color="C0C0C0" w:fill="auto"/>
            <w:vAlign w:val="center"/>
          </w:tcPr>
          <w:p w14:paraId="4D6906DF" w14:textId="77777777" w:rsidR="002337F9" w:rsidRPr="00133050" w:rsidRDefault="002337F9" w:rsidP="0026218C">
            <w:pPr>
              <w:spacing w:before="60" w:after="60"/>
              <w:jc w:val="center"/>
              <w:rPr>
                <w:b/>
                <w:noProof/>
              </w:rPr>
            </w:pPr>
            <w:r w:rsidRPr="00133050">
              <w:rPr>
                <w:b/>
                <w:noProof/>
              </w:rPr>
              <w:t xml:space="preserve">Функция от многогодишната финансова </w:t>
            </w:r>
            <w:r w:rsidRPr="00133050">
              <w:rPr>
                <w:noProof/>
              </w:rPr>
              <w:t xml:space="preserve"> </w:t>
            </w:r>
            <w:r w:rsidRPr="00133050">
              <w:rPr>
                <w:noProof/>
              </w:rPr>
              <w:cr/>
            </w:r>
            <w:r w:rsidRPr="00133050">
              <w:rPr>
                <w:noProof/>
              </w:rPr>
              <w:br/>
            </w:r>
            <w:r w:rsidRPr="00133050">
              <w:rPr>
                <w:b/>
                <w:noProof/>
              </w:rPr>
              <w:t xml:space="preserve">рамка </w:t>
            </w:r>
          </w:p>
        </w:tc>
        <w:tc>
          <w:tcPr>
            <w:tcW w:w="1080" w:type="dxa"/>
            <w:vAlign w:val="center"/>
          </w:tcPr>
          <w:p w14:paraId="513969A2" w14:textId="77777777" w:rsidR="002337F9" w:rsidRPr="00133050" w:rsidRDefault="002337F9" w:rsidP="0026218C">
            <w:pPr>
              <w:spacing w:before="60" w:after="60"/>
              <w:jc w:val="center"/>
              <w:rPr>
                <w:noProof/>
              </w:rPr>
            </w:pPr>
            <w:r w:rsidRPr="00133050">
              <w:rPr>
                <w:noProof/>
              </w:rPr>
              <w:t>Номер</w:t>
            </w:r>
          </w:p>
        </w:tc>
        <w:tc>
          <w:tcPr>
            <w:tcW w:w="7817" w:type="dxa"/>
            <w:vAlign w:val="center"/>
          </w:tcPr>
          <w:p w14:paraId="229656C7" w14:textId="77777777" w:rsidR="002337F9" w:rsidRPr="00133050" w:rsidRDefault="002337F9" w:rsidP="0026218C">
            <w:pPr>
              <w:spacing w:before="60" w:after="60"/>
              <w:rPr>
                <w:noProof/>
              </w:rPr>
            </w:pPr>
            <w:r w:rsidRPr="00133050">
              <w:rPr>
                <w:noProof/>
              </w:rPr>
              <w:t>6: Съседните региони и светът</w:t>
            </w:r>
          </w:p>
        </w:tc>
      </w:tr>
    </w:tbl>
    <w:p w14:paraId="1A0A40EC" w14:textId="77777777" w:rsidR="002337F9" w:rsidRPr="00133050" w:rsidRDefault="002337F9" w:rsidP="002337F9">
      <w:pPr>
        <w:rPr>
          <w:noProof/>
          <w:sz w:val="16"/>
        </w:rPr>
      </w:pPr>
    </w:p>
    <w:tbl>
      <w:tblPr>
        <w:tblW w:w="1354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120"/>
        <w:gridCol w:w="534"/>
        <w:gridCol w:w="868"/>
        <w:gridCol w:w="868"/>
        <w:gridCol w:w="868"/>
        <w:gridCol w:w="868"/>
        <w:gridCol w:w="868"/>
        <w:gridCol w:w="868"/>
        <w:gridCol w:w="868"/>
        <w:gridCol w:w="1418"/>
      </w:tblGrid>
      <w:tr w:rsidR="002337F9" w:rsidRPr="00133050" w14:paraId="416EF9F2" w14:textId="77777777" w:rsidTr="0026218C">
        <w:tc>
          <w:tcPr>
            <w:tcW w:w="3960" w:type="dxa"/>
            <w:vAlign w:val="center"/>
          </w:tcPr>
          <w:p w14:paraId="16694E5E" w14:textId="77777777" w:rsidR="002337F9" w:rsidRPr="00133050" w:rsidRDefault="002337F9" w:rsidP="0026218C">
            <w:pPr>
              <w:jc w:val="center"/>
              <w:rPr>
                <w:noProof/>
              </w:rPr>
            </w:pPr>
            <w:r w:rsidRPr="00133050">
              <w:rPr>
                <w:noProof/>
              </w:rPr>
              <w:t>ГД „Търговия“</w:t>
            </w:r>
          </w:p>
        </w:tc>
        <w:tc>
          <w:tcPr>
            <w:tcW w:w="1560" w:type="dxa"/>
            <w:gridSpan w:val="2"/>
          </w:tcPr>
          <w:p w14:paraId="60F01B34" w14:textId="77777777" w:rsidR="002337F9" w:rsidRPr="00133050" w:rsidRDefault="002337F9" w:rsidP="0026218C">
            <w:pPr>
              <w:rPr>
                <w:noProof/>
                <w:sz w:val="20"/>
              </w:rPr>
            </w:pPr>
          </w:p>
        </w:tc>
        <w:tc>
          <w:tcPr>
            <w:tcW w:w="534" w:type="dxa"/>
          </w:tcPr>
          <w:p w14:paraId="7650766D" w14:textId="77777777" w:rsidR="002337F9" w:rsidRPr="00133050" w:rsidRDefault="002337F9" w:rsidP="0026218C">
            <w:pPr>
              <w:jc w:val="center"/>
              <w:rPr>
                <w:noProof/>
                <w:sz w:val="20"/>
              </w:rPr>
            </w:pPr>
          </w:p>
        </w:tc>
        <w:tc>
          <w:tcPr>
            <w:tcW w:w="868" w:type="dxa"/>
            <w:vAlign w:val="center"/>
          </w:tcPr>
          <w:p w14:paraId="07DC19F4" w14:textId="77777777" w:rsidR="002337F9" w:rsidRPr="00133050" w:rsidRDefault="002337F9" w:rsidP="0026218C">
            <w:pPr>
              <w:jc w:val="center"/>
              <w:rPr>
                <w:noProof/>
                <w:sz w:val="20"/>
              </w:rPr>
            </w:pPr>
            <w:r w:rsidRPr="00133050">
              <w:rPr>
                <w:rFonts w:ascii="Arial Narrow" w:hAnsi="Arial Narrow"/>
                <w:b/>
                <w:noProof/>
                <w:sz w:val="20"/>
              </w:rPr>
              <w:t>2026 г.</w:t>
            </w:r>
          </w:p>
        </w:tc>
        <w:tc>
          <w:tcPr>
            <w:tcW w:w="868" w:type="dxa"/>
            <w:vAlign w:val="center"/>
          </w:tcPr>
          <w:p w14:paraId="21DC5DEA" w14:textId="77777777" w:rsidR="002337F9" w:rsidRPr="00133050" w:rsidRDefault="002337F9" w:rsidP="0026218C">
            <w:pPr>
              <w:jc w:val="center"/>
              <w:rPr>
                <w:noProof/>
                <w:sz w:val="20"/>
              </w:rPr>
            </w:pPr>
            <w:r w:rsidRPr="00133050">
              <w:rPr>
                <w:rFonts w:ascii="Arial Narrow" w:hAnsi="Arial Narrow"/>
                <w:b/>
                <w:noProof/>
                <w:sz w:val="20"/>
              </w:rPr>
              <w:t>2027 г.</w:t>
            </w:r>
          </w:p>
        </w:tc>
        <w:tc>
          <w:tcPr>
            <w:tcW w:w="868" w:type="dxa"/>
            <w:vAlign w:val="center"/>
          </w:tcPr>
          <w:p w14:paraId="1E0B9D4C" w14:textId="77777777" w:rsidR="002337F9" w:rsidRPr="00133050" w:rsidRDefault="002337F9" w:rsidP="0026218C">
            <w:pPr>
              <w:jc w:val="center"/>
              <w:rPr>
                <w:noProof/>
                <w:sz w:val="20"/>
              </w:rPr>
            </w:pPr>
          </w:p>
        </w:tc>
        <w:tc>
          <w:tcPr>
            <w:tcW w:w="868" w:type="dxa"/>
            <w:vAlign w:val="center"/>
          </w:tcPr>
          <w:p w14:paraId="3E9E246E" w14:textId="77777777" w:rsidR="002337F9" w:rsidRPr="00133050" w:rsidRDefault="002337F9" w:rsidP="0026218C">
            <w:pPr>
              <w:jc w:val="center"/>
              <w:rPr>
                <w:noProof/>
                <w:sz w:val="20"/>
              </w:rPr>
            </w:pPr>
          </w:p>
        </w:tc>
        <w:tc>
          <w:tcPr>
            <w:tcW w:w="868" w:type="dxa"/>
            <w:vAlign w:val="center"/>
          </w:tcPr>
          <w:p w14:paraId="53E8762A" w14:textId="77777777" w:rsidR="002337F9" w:rsidRPr="00133050" w:rsidRDefault="002337F9" w:rsidP="0026218C">
            <w:pPr>
              <w:jc w:val="center"/>
              <w:rPr>
                <w:b/>
                <w:noProof/>
                <w:sz w:val="18"/>
              </w:rPr>
            </w:pPr>
          </w:p>
        </w:tc>
        <w:tc>
          <w:tcPr>
            <w:tcW w:w="868" w:type="dxa"/>
            <w:vAlign w:val="center"/>
          </w:tcPr>
          <w:p w14:paraId="1809F9CF" w14:textId="77777777" w:rsidR="002337F9" w:rsidRPr="00133050" w:rsidRDefault="002337F9" w:rsidP="0026218C">
            <w:pPr>
              <w:jc w:val="center"/>
              <w:rPr>
                <w:b/>
                <w:noProof/>
                <w:sz w:val="18"/>
              </w:rPr>
            </w:pPr>
          </w:p>
        </w:tc>
        <w:tc>
          <w:tcPr>
            <w:tcW w:w="868" w:type="dxa"/>
            <w:vAlign w:val="center"/>
          </w:tcPr>
          <w:p w14:paraId="51C137CA" w14:textId="77777777" w:rsidR="002337F9" w:rsidRPr="00133050" w:rsidRDefault="002337F9" w:rsidP="0026218C">
            <w:pPr>
              <w:jc w:val="center"/>
              <w:rPr>
                <w:b/>
                <w:noProof/>
                <w:sz w:val="18"/>
              </w:rPr>
            </w:pPr>
          </w:p>
        </w:tc>
        <w:tc>
          <w:tcPr>
            <w:tcW w:w="1418" w:type="dxa"/>
            <w:vAlign w:val="center"/>
          </w:tcPr>
          <w:p w14:paraId="7C86260F" w14:textId="77777777" w:rsidR="002337F9" w:rsidRPr="00133050" w:rsidRDefault="002337F9" w:rsidP="0026218C">
            <w:pPr>
              <w:jc w:val="center"/>
              <w:rPr>
                <w:b/>
                <w:noProof/>
                <w:sz w:val="20"/>
              </w:rPr>
            </w:pPr>
            <w:r w:rsidRPr="00133050">
              <w:rPr>
                <w:b/>
                <w:noProof/>
                <w:sz w:val="20"/>
              </w:rPr>
              <w:t>ОБЩО</w:t>
            </w:r>
          </w:p>
        </w:tc>
      </w:tr>
      <w:tr w:rsidR="002337F9" w:rsidRPr="00133050" w14:paraId="538CF8B7" w14:textId="77777777" w:rsidTr="0026218C">
        <w:trPr>
          <w:trHeight w:val="213"/>
        </w:trPr>
        <w:tc>
          <w:tcPr>
            <w:tcW w:w="6054" w:type="dxa"/>
            <w:gridSpan w:val="4"/>
            <w:vAlign w:val="center"/>
          </w:tcPr>
          <w:p w14:paraId="5977935A" w14:textId="77777777" w:rsidR="002337F9" w:rsidRPr="00133050" w:rsidRDefault="002337F9" w:rsidP="0026218C">
            <w:pPr>
              <w:spacing w:before="20" w:after="20"/>
              <w:rPr>
                <w:noProof/>
                <w:sz w:val="21"/>
              </w:rPr>
            </w:pPr>
            <w:r w:rsidRPr="00133050">
              <w:rPr>
                <w:noProof/>
                <w:sz w:val="21"/>
              </w:rPr>
              <w:sym w:font="Wingdings" w:char="F09F"/>
            </w:r>
            <w:r w:rsidRPr="00133050">
              <w:rPr>
                <w:noProof/>
                <w:sz w:val="21"/>
              </w:rPr>
              <w:t xml:space="preserve"> Бюджетни кредити за оперативни разходи </w:t>
            </w:r>
          </w:p>
        </w:tc>
        <w:tc>
          <w:tcPr>
            <w:tcW w:w="868" w:type="dxa"/>
            <w:vAlign w:val="center"/>
          </w:tcPr>
          <w:p w14:paraId="5B5CC6C0" w14:textId="77777777" w:rsidR="002337F9" w:rsidRPr="00133050" w:rsidRDefault="002337F9" w:rsidP="0026218C">
            <w:pPr>
              <w:rPr>
                <w:noProof/>
                <w:sz w:val="20"/>
              </w:rPr>
            </w:pPr>
          </w:p>
        </w:tc>
        <w:tc>
          <w:tcPr>
            <w:tcW w:w="868" w:type="dxa"/>
            <w:vAlign w:val="center"/>
          </w:tcPr>
          <w:p w14:paraId="1141928A" w14:textId="77777777" w:rsidR="002337F9" w:rsidRPr="00133050" w:rsidRDefault="002337F9" w:rsidP="0026218C">
            <w:pPr>
              <w:rPr>
                <w:noProof/>
                <w:sz w:val="20"/>
              </w:rPr>
            </w:pPr>
          </w:p>
        </w:tc>
        <w:tc>
          <w:tcPr>
            <w:tcW w:w="868" w:type="dxa"/>
            <w:vAlign w:val="center"/>
          </w:tcPr>
          <w:p w14:paraId="1B9F62FF" w14:textId="77777777" w:rsidR="002337F9" w:rsidRPr="00133050" w:rsidRDefault="002337F9" w:rsidP="0026218C">
            <w:pPr>
              <w:rPr>
                <w:noProof/>
                <w:sz w:val="20"/>
              </w:rPr>
            </w:pPr>
          </w:p>
        </w:tc>
        <w:tc>
          <w:tcPr>
            <w:tcW w:w="868" w:type="dxa"/>
            <w:vAlign w:val="center"/>
          </w:tcPr>
          <w:p w14:paraId="4CA58037" w14:textId="77777777" w:rsidR="002337F9" w:rsidRPr="00133050" w:rsidRDefault="002337F9" w:rsidP="0026218C">
            <w:pPr>
              <w:rPr>
                <w:noProof/>
                <w:sz w:val="20"/>
              </w:rPr>
            </w:pPr>
          </w:p>
        </w:tc>
        <w:tc>
          <w:tcPr>
            <w:tcW w:w="868" w:type="dxa"/>
            <w:vAlign w:val="center"/>
          </w:tcPr>
          <w:p w14:paraId="0434A4F0" w14:textId="77777777" w:rsidR="002337F9" w:rsidRPr="00133050" w:rsidRDefault="002337F9" w:rsidP="0026218C">
            <w:pPr>
              <w:rPr>
                <w:noProof/>
                <w:sz w:val="20"/>
              </w:rPr>
            </w:pPr>
          </w:p>
        </w:tc>
        <w:tc>
          <w:tcPr>
            <w:tcW w:w="868" w:type="dxa"/>
            <w:vAlign w:val="center"/>
          </w:tcPr>
          <w:p w14:paraId="72A82E53" w14:textId="77777777" w:rsidR="002337F9" w:rsidRPr="00133050" w:rsidRDefault="002337F9" w:rsidP="0026218C">
            <w:pPr>
              <w:rPr>
                <w:noProof/>
                <w:sz w:val="20"/>
              </w:rPr>
            </w:pPr>
          </w:p>
        </w:tc>
        <w:tc>
          <w:tcPr>
            <w:tcW w:w="868" w:type="dxa"/>
            <w:vAlign w:val="center"/>
          </w:tcPr>
          <w:p w14:paraId="39062DA0" w14:textId="77777777" w:rsidR="002337F9" w:rsidRPr="00133050" w:rsidRDefault="002337F9" w:rsidP="0026218C">
            <w:pPr>
              <w:rPr>
                <w:b/>
                <w:noProof/>
                <w:sz w:val="20"/>
              </w:rPr>
            </w:pPr>
          </w:p>
        </w:tc>
        <w:tc>
          <w:tcPr>
            <w:tcW w:w="1418" w:type="dxa"/>
            <w:vAlign w:val="center"/>
          </w:tcPr>
          <w:p w14:paraId="3D111630" w14:textId="77777777" w:rsidR="002337F9" w:rsidRPr="00133050" w:rsidRDefault="002337F9" w:rsidP="0026218C">
            <w:pPr>
              <w:rPr>
                <w:b/>
                <w:noProof/>
                <w:sz w:val="20"/>
              </w:rPr>
            </w:pPr>
          </w:p>
        </w:tc>
      </w:tr>
      <w:tr w:rsidR="002337F9" w:rsidRPr="00133050" w14:paraId="38891E20" w14:textId="77777777" w:rsidTr="0026218C">
        <w:trPr>
          <w:trHeight w:val="277"/>
        </w:trPr>
        <w:tc>
          <w:tcPr>
            <w:tcW w:w="3960" w:type="dxa"/>
            <w:vMerge w:val="restart"/>
            <w:vAlign w:val="center"/>
          </w:tcPr>
          <w:p w14:paraId="622E770B" w14:textId="77777777" w:rsidR="002337F9" w:rsidRPr="00133050" w:rsidRDefault="002337F9" w:rsidP="0026218C">
            <w:pPr>
              <w:rPr>
                <w:noProof/>
              </w:rPr>
            </w:pPr>
            <w:r w:rsidRPr="00133050">
              <w:rPr>
                <w:noProof/>
                <w:sz w:val="20"/>
              </w:rPr>
              <w:t xml:space="preserve">14.200402 — Външнотърговски отношения и помощ за търговията </w:t>
            </w:r>
          </w:p>
        </w:tc>
        <w:tc>
          <w:tcPr>
            <w:tcW w:w="1440" w:type="dxa"/>
            <w:vAlign w:val="center"/>
          </w:tcPr>
          <w:p w14:paraId="2B99D6C9" w14:textId="77777777" w:rsidR="002337F9" w:rsidRPr="00133050" w:rsidRDefault="002337F9" w:rsidP="0026218C">
            <w:pPr>
              <w:spacing w:before="20" w:after="20"/>
              <w:rPr>
                <w:noProof/>
                <w:sz w:val="18"/>
              </w:rPr>
            </w:pPr>
            <w:r w:rsidRPr="00133050">
              <w:rPr>
                <w:noProof/>
                <w:sz w:val="18"/>
              </w:rPr>
              <w:t>Поети задължения</w:t>
            </w:r>
          </w:p>
        </w:tc>
        <w:tc>
          <w:tcPr>
            <w:tcW w:w="654" w:type="dxa"/>
            <w:gridSpan w:val="2"/>
            <w:vAlign w:val="center"/>
          </w:tcPr>
          <w:p w14:paraId="47D1A52D" w14:textId="77777777" w:rsidR="002337F9" w:rsidRPr="00133050" w:rsidRDefault="002337F9" w:rsidP="0026218C">
            <w:pPr>
              <w:spacing w:before="20" w:after="20"/>
              <w:jc w:val="center"/>
              <w:rPr>
                <w:noProof/>
                <w:sz w:val="14"/>
              </w:rPr>
            </w:pPr>
            <w:r w:rsidRPr="00133050">
              <w:rPr>
                <w:noProof/>
                <w:sz w:val="14"/>
              </w:rPr>
              <w:t>(1а)</w:t>
            </w:r>
          </w:p>
        </w:tc>
        <w:tc>
          <w:tcPr>
            <w:tcW w:w="868" w:type="dxa"/>
            <w:vAlign w:val="center"/>
          </w:tcPr>
          <w:p w14:paraId="50BA861D" w14:textId="77777777" w:rsidR="002337F9" w:rsidRPr="00133050" w:rsidRDefault="002337F9" w:rsidP="0026218C">
            <w:pPr>
              <w:spacing w:before="20" w:after="20"/>
              <w:jc w:val="right"/>
              <w:rPr>
                <w:noProof/>
                <w:sz w:val="20"/>
              </w:rPr>
            </w:pPr>
            <w:r w:rsidRPr="00133050">
              <w:rPr>
                <w:noProof/>
                <w:sz w:val="20"/>
              </w:rPr>
              <w:t>0,493</w:t>
            </w:r>
          </w:p>
        </w:tc>
        <w:tc>
          <w:tcPr>
            <w:tcW w:w="868" w:type="dxa"/>
            <w:vAlign w:val="center"/>
          </w:tcPr>
          <w:p w14:paraId="1EB7ED6A" w14:textId="77777777" w:rsidR="002337F9" w:rsidRPr="00133050" w:rsidRDefault="002337F9" w:rsidP="0026218C">
            <w:pPr>
              <w:spacing w:before="20" w:after="20"/>
              <w:jc w:val="right"/>
              <w:rPr>
                <w:noProof/>
                <w:sz w:val="20"/>
              </w:rPr>
            </w:pPr>
            <w:r w:rsidRPr="00133050">
              <w:rPr>
                <w:noProof/>
                <w:sz w:val="20"/>
              </w:rPr>
              <w:t>0,250</w:t>
            </w:r>
          </w:p>
        </w:tc>
        <w:tc>
          <w:tcPr>
            <w:tcW w:w="868" w:type="dxa"/>
            <w:vAlign w:val="center"/>
          </w:tcPr>
          <w:p w14:paraId="111BBE0C" w14:textId="77777777" w:rsidR="002337F9" w:rsidRPr="00133050" w:rsidRDefault="002337F9" w:rsidP="0026218C">
            <w:pPr>
              <w:spacing w:before="20" w:after="20"/>
              <w:jc w:val="right"/>
              <w:rPr>
                <w:noProof/>
                <w:sz w:val="20"/>
              </w:rPr>
            </w:pPr>
          </w:p>
        </w:tc>
        <w:tc>
          <w:tcPr>
            <w:tcW w:w="868" w:type="dxa"/>
            <w:vAlign w:val="center"/>
          </w:tcPr>
          <w:p w14:paraId="70569139" w14:textId="77777777" w:rsidR="002337F9" w:rsidRPr="00133050" w:rsidRDefault="002337F9" w:rsidP="0026218C">
            <w:pPr>
              <w:spacing w:before="20" w:after="20"/>
              <w:jc w:val="right"/>
              <w:rPr>
                <w:noProof/>
                <w:sz w:val="20"/>
              </w:rPr>
            </w:pPr>
          </w:p>
        </w:tc>
        <w:tc>
          <w:tcPr>
            <w:tcW w:w="868" w:type="dxa"/>
            <w:vAlign w:val="center"/>
          </w:tcPr>
          <w:p w14:paraId="440E20C2" w14:textId="77777777" w:rsidR="002337F9" w:rsidRPr="00133050" w:rsidRDefault="002337F9" w:rsidP="0026218C">
            <w:pPr>
              <w:spacing w:before="20" w:after="20"/>
              <w:jc w:val="right"/>
              <w:rPr>
                <w:noProof/>
                <w:sz w:val="20"/>
              </w:rPr>
            </w:pPr>
          </w:p>
        </w:tc>
        <w:tc>
          <w:tcPr>
            <w:tcW w:w="868" w:type="dxa"/>
            <w:vAlign w:val="center"/>
          </w:tcPr>
          <w:p w14:paraId="6D0B7F6D" w14:textId="77777777" w:rsidR="002337F9" w:rsidRPr="00133050" w:rsidRDefault="002337F9" w:rsidP="0026218C">
            <w:pPr>
              <w:spacing w:before="20" w:after="20"/>
              <w:jc w:val="right"/>
              <w:rPr>
                <w:noProof/>
                <w:sz w:val="20"/>
              </w:rPr>
            </w:pPr>
          </w:p>
        </w:tc>
        <w:tc>
          <w:tcPr>
            <w:tcW w:w="868" w:type="dxa"/>
            <w:vAlign w:val="center"/>
          </w:tcPr>
          <w:p w14:paraId="6D246757" w14:textId="77777777" w:rsidR="002337F9" w:rsidRPr="00133050" w:rsidRDefault="002337F9" w:rsidP="0026218C">
            <w:pPr>
              <w:spacing w:before="20" w:after="20"/>
              <w:jc w:val="right"/>
              <w:rPr>
                <w:noProof/>
                <w:sz w:val="20"/>
              </w:rPr>
            </w:pPr>
          </w:p>
        </w:tc>
        <w:tc>
          <w:tcPr>
            <w:tcW w:w="1418" w:type="dxa"/>
            <w:vAlign w:val="center"/>
          </w:tcPr>
          <w:p w14:paraId="289D606E" w14:textId="77777777" w:rsidR="002337F9" w:rsidRPr="00133050" w:rsidRDefault="002337F9" w:rsidP="0026218C">
            <w:pPr>
              <w:spacing w:before="20" w:after="20"/>
              <w:jc w:val="right"/>
              <w:rPr>
                <w:b/>
                <w:noProof/>
                <w:sz w:val="20"/>
              </w:rPr>
            </w:pPr>
            <w:r w:rsidRPr="00133050">
              <w:rPr>
                <w:b/>
                <w:noProof/>
                <w:sz w:val="20"/>
              </w:rPr>
              <w:t>0,743</w:t>
            </w:r>
          </w:p>
        </w:tc>
      </w:tr>
      <w:tr w:rsidR="002337F9" w:rsidRPr="00133050" w14:paraId="5173EA9C" w14:textId="77777777" w:rsidTr="0026218C">
        <w:tc>
          <w:tcPr>
            <w:tcW w:w="3960" w:type="dxa"/>
            <w:vMerge/>
          </w:tcPr>
          <w:p w14:paraId="7F557402" w14:textId="77777777" w:rsidR="002337F9" w:rsidRPr="00133050" w:rsidRDefault="002337F9" w:rsidP="0026218C">
            <w:pPr>
              <w:jc w:val="center"/>
              <w:rPr>
                <w:noProof/>
                <w:sz w:val="20"/>
              </w:rPr>
            </w:pPr>
          </w:p>
        </w:tc>
        <w:tc>
          <w:tcPr>
            <w:tcW w:w="1440" w:type="dxa"/>
            <w:vAlign w:val="center"/>
          </w:tcPr>
          <w:p w14:paraId="0C506E63" w14:textId="77777777" w:rsidR="002337F9" w:rsidRPr="00133050" w:rsidRDefault="002337F9" w:rsidP="0026218C">
            <w:pPr>
              <w:spacing w:before="20" w:after="20"/>
              <w:rPr>
                <w:noProof/>
                <w:sz w:val="18"/>
              </w:rPr>
            </w:pPr>
            <w:r w:rsidRPr="00133050">
              <w:rPr>
                <w:noProof/>
                <w:sz w:val="18"/>
              </w:rPr>
              <w:t>Плащания</w:t>
            </w:r>
          </w:p>
        </w:tc>
        <w:tc>
          <w:tcPr>
            <w:tcW w:w="654" w:type="dxa"/>
            <w:gridSpan w:val="2"/>
            <w:vAlign w:val="center"/>
          </w:tcPr>
          <w:p w14:paraId="04A7709C" w14:textId="77777777" w:rsidR="002337F9" w:rsidRPr="00133050" w:rsidRDefault="002337F9" w:rsidP="0026218C">
            <w:pPr>
              <w:spacing w:before="20" w:after="20"/>
              <w:jc w:val="center"/>
              <w:rPr>
                <w:noProof/>
                <w:sz w:val="14"/>
              </w:rPr>
            </w:pPr>
            <w:r w:rsidRPr="00133050">
              <w:rPr>
                <w:noProof/>
                <w:sz w:val="14"/>
              </w:rPr>
              <w:t>(2а)</w:t>
            </w:r>
          </w:p>
        </w:tc>
        <w:tc>
          <w:tcPr>
            <w:tcW w:w="868" w:type="dxa"/>
          </w:tcPr>
          <w:p w14:paraId="2697BD55" w14:textId="77777777" w:rsidR="002337F9" w:rsidRPr="00133050" w:rsidRDefault="002337F9" w:rsidP="0026218C">
            <w:pPr>
              <w:spacing w:before="20" w:after="20"/>
              <w:jc w:val="right"/>
              <w:rPr>
                <w:noProof/>
                <w:sz w:val="20"/>
              </w:rPr>
            </w:pPr>
            <w:r w:rsidRPr="00133050">
              <w:rPr>
                <w:noProof/>
                <w:sz w:val="20"/>
              </w:rPr>
              <w:t>0,247</w:t>
            </w:r>
          </w:p>
        </w:tc>
        <w:tc>
          <w:tcPr>
            <w:tcW w:w="868" w:type="dxa"/>
          </w:tcPr>
          <w:p w14:paraId="2647233F" w14:textId="77777777" w:rsidR="002337F9" w:rsidRPr="00133050" w:rsidRDefault="002337F9" w:rsidP="0026218C">
            <w:pPr>
              <w:spacing w:before="20" w:after="20"/>
              <w:jc w:val="right"/>
              <w:rPr>
                <w:noProof/>
                <w:sz w:val="20"/>
              </w:rPr>
            </w:pPr>
            <w:r w:rsidRPr="00133050">
              <w:rPr>
                <w:noProof/>
                <w:sz w:val="20"/>
              </w:rPr>
              <w:t>0,372</w:t>
            </w:r>
          </w:p>
        </w:tc>
        <w:tc>
          <w:tcPr>
            <w:tcW w:w="868" w:type="dxa"/>
          </w:tcPr>
          <w:p w14:paraId="121FF8AA" w14:textId="77777777" w:rsidR="002337F9" w:rsidRPr="00133050" w:rsidRDefault="002337F9" w:rsidP="0026218C">
            <w:pPr>
              <w:spacing w:before="20" w:after="20"/>
              <w:jc w:val="right"/>
              <w:rPr>
                <w:noProof/>
                <w:sz w:val="20"/>
              </w:rPr>
            </w:pPr>
          </w:p>
        </w:tc>
        <w:tc>
          <w:tcPr>
            <w:tcW w:w="868" w:type="dxa"/>
          </w:tcPr>
          <w:p w14:paraId="6F933DE3" w14:textId="77777777" w:rsidR="002337F9" w:rsidRPr="00133050" w:rsidRDefault="002337F9" w:rsidP="0026218C">
            <w:pPr>
              <w:spacing w:before="20" w:after="20"/>
              <w:jc w:val="right"/>
              <w:rPr>
                <w:noProof/>
                <w:sz w:val="20"/>
              </w:rPr>
            </w:pPr>
          </w:p>
        </w:tc>
        <w:tc>
          <w:tcPr>
            <w:tcW w:w="868" w:type="dxa"/>
          </w:tcPr>
          <w:p w14:paraId="7EBA2D24" w14:textId="77777777" w:rsidR="002337F9" w:rsidRPr="00133050" w:rsidRDefault="002337F9" w:rsidP="0026218C">
            <w:pPr>
              <w:spacing w:before="20" w:after="20"/>
              <w:jc w:val="right"/>
              <w:rPr>
                <w:noProof/>
                <w:sz w:val="20"/>
              </w:rPr>
            </w:pPr>
          </w:p>
        </w:tc>
        <w:tc>
          <w:tcPr>
            <w:tcW w:w="868" w:type="dxa"/>
          </w:tcPr>
          <w:p w14:paraId="4762ABB3" w14:textId="77777777" w:rsidR="002337F9" w:rsidRPr="00133050" w:rsidRDefault="002337F9" w:rsidP="0026218C">
            <w:pPr>
              <w:spacing w:before="20" w:after="20"/>
              <w:jc w:val="right"/>
              <w:rPr>
                <w:noProof/>
                <w:sz w:val="20"/>
              </w:rPr>
            </w:pPr>
          </w:p>
        </w:tc>
        <w:tc>
          <w:tcPr>
            <w:tcW w:w="868" w:type="dxa"/>
          </w:tcPr>
          <w:p w14:paraId="2F61C1FA" w14:textId="77777777" w:rsidR="002337F9" w:rsidRPr="00133050" w:rsidRDefault="002337F9" w:rsidP="0026218C">
            <w:pPr>
              <w:spacing w:before="20" w:after="20"/>
              <w:jc w:val="right"/>
              <w:rPr>
                <w:noProof/>
                <w:sz w:val="20"/>
              </w:rPr>
            </w:pPr>
          </w:p>
        </w:tc>
        <w:tc>
          <w:tcPr>
            <w:tcW w:w="1418" w:type="dxa"/>
          </w:tcPr>
          <w:p w14:paraId="545B6664" w14:textId="77777777" w:rsidR="002337F9" w:rsidRPr="00133050" w:rsidRDefault="002337F9" w:rsidP="0026218C">
            <w:pPr>
              <w:spacing w:before="20" w:after="20"/>
              <w:jc w:val="right"/>
              <w:rPr>
                <w:noProof/>
                <w:sz w:val="20"/>
              </w:rPr>
            </w:pPr>
            <w:r w:rsidRPr="00133050">
              <w:rPr>
                <w:noProof/>
                <w:sz w:val="20"/>
              </w:rPr>
              <w:t xml:space="preserve">0,619 </w:t>
            </w:r>
          </w:p>
        </w:tc>
      </w:tr>
      <w:tr w:rsidR="002337F9" w:rsidRPr="00133050" w14:paraId="5BC9869F" w14:textId="77777777" w:rsidTr="0026218C">
        <w:tc>
          <w:tcPr>
            <w:tcW w:w="3960" w:type="dxa"/>
            <w:vMerge w:val="restart"/>
            <w:vAlign w:val="center"/>
          </w:tcPr>
          <w:p w14:paraId="66FC4C2B" w14:textId="77777777" w:rsidR="002337F9" w:rsidRPr="00133050" w:rsidRDefault="002337F9" w:rsidP="0026218C">
            <w:pPr>
              <w:rPr>
                <w:noProof/>
              </w:rPr>
            </w:pPr>
            <w:r w:rsidRPr="00133050">
              <w:rPr>
                <w:noProof/>
                <w:sz w:val="20"/>
              </w:rPr>
              <w:t>Не се прилага.</w:t>
            </w:r>
          </w:p>
        </w:tc>
        <w:tc>
          <w:tcPr>
            <w:tcW w:w="1440" w:type="dxa"/>
            <w:vAlign w:val="center"/>
          </w:tcPr>
          <w:p w14:paraId="7803043B" w14:textId="77777777" w:rsidR="002337F9" w:rsidRPr="00133050" w:rsidRDefault="002337F9" w:rsidP="0026218C">
            <w:pPr>
              <w:spacing w:before="20" w:after="20"/>
              <w:rPr>
                <w:noProof/>
                <w:sz w:val="18"/>
              </w:rPr>
            </w:pPr>
            <w:r w:rsidRPr="00133050">
              <w:rPr>
                <w:noProof/>
                <w:sz w:val="18"/>
              </w:rPr>
              <w:t>Поети задължения</w:t>
            </w:r>
          </w:p>
        </w:tc>
        <w:tc>
          <w:tcPr>
            <w:tcW w:w="654" w:type="dxa"/>
            <w:gridSpan w:val="2"/>
            <w:vAlign w:val="center"/>
          </w:tcPr>
          <w:p w14:paraId="26C639E1" w14:textId="77777777" w:rsidR="002337F9" w:rsidRPr="00133050" w:rsidRDefault="002337F9" w:rsidP="0026218C">
            <w:pPr>
              <w:spacing w:before="20" w:after="20"/>
              <w:jc w:val="center"/>
              <w:rPr>
                <w:noProof/>
                <w:sz w:val="14"/>
              </w:rPr>
            </w:pPr>
            <w:r w:rsidRPr="00133050">
              <w:rPr>
                <w:noProof/>
                <w:sz w:val="14"/>
              </w:rPr>
              <w:t>(1б)</w:t>
            </w:r>
          </w:p>
        </w:tc>
        <w:tc>
          <w:tcPr>
            <w:tcW w:w="868" w:type="dxa"/>
            <w:vAlign w:val="center"/>
          </w:tcPr>
          <w:p w14:paraId="1DA73CB0" w14:textId="77777777" w:rsidR="002337F9" w:rsidRPr="00133050" w:rsidRDefault="002337F9" w:rsidP="0026218C">
            <w:pPr>
              <w:spacing w:before="20" w:after="20"/>
              <w:jc w:val="right"/>
              <w:rPr>
                <w:noProof/>
                <w:sz w:val="20"/>
              </w:rPr>
            </w:pPr>
          </w:p>
        </w:tc>
        <w:tc>
          <w:tcPr>
            <w:tcW w:w="868" w:type="dxa"/>
            <w:vAlign w:val="center"/>
          </w:tcPr>
          <w:p w14:paraId="33CFFE82" w14:textId="77777777" w:rsidR="002337F9" w:rsidRPr="00133050" w:rsidRDefault="002337F9" w:rsidP="0026218C">
            <w:pPr>
              <w:spacing w:before="20" w:after="20"/>
              <w:jc w:val="right"/>
              <w:rPr>
                <w:noProof/>
                <w:sz w:val="20"/>
              </w:rPr>
            </w:pPr>
          </w:p>
        </w:tc>
        <w:tc>
          <w:tcPr>
            <w:tcW w:w="868" w:type="dxa"/>
            <w:vAlign w:val="center"/>
          </w:tcPr>
          <w:p w14:paraId="4D63A182" w14:textId="77777777" w:rsidR="002337F9" w:rsidRPr="00133050" w:rsidRDefault="002337F9" w:rsidP="0026218C">
            <w:pPr>
              <w:spacing w:before="20" w:after="20"/>
              <w:jc w:val="right"/>
              <w:rPr>
                <w:noProof/>
                <w:sz w:val="20"/>
              </w:rPr>
            </w:pPr>
          </w:p>
        </w:tc>
        <w:tc>
          <w:tcPr>
            <w:tcW w:w="868" w:type="dxa"/>
            <w:vAlign w:val="center"/>
          </w:tcPr>
          <w:p w14:paraId="0237E1BB" w14:textId="77777777" w:rsidR="002337F9" w:rsidRPr="00133050" w:rsidRDefault="002337F9" w:rsidP="0026218C">
            <w:pPr>
              <w:spacing w:before="20" w:after="20"/>
              <w:jc w:val="right"/>
              <w:rPr>
                <w:noProof/>
                <w:sz w:val="20"/>
              </w:rPr>
            </w:pPr>
          </w:p>
        </w:tc>
        <w:tc>
          <w:tcPr>
            <w:tcW w:w="868" w:type="dxa"/>
            <w:vAlign w:val="center"/>
          </w:tcPr>
          <w:p w14:paraId="34DB6CD2" w14:textId="77777777" w:rsidR="002337F9" w:rsidRPr="00133050" w:rsidRDefault="002337F9" w:rsidP="0026218C">
            <w:pPr>
              <w:spacing w:before="20" w:after="20"/>
              <w:jc w:val="right"/>
              <w:rPr>
                <w:noProof/>
                <w:sz w:val="20"/>
              </w:rPr>
            </w:pPr>
          </w:p>
        </w:tc>
        <w:tc>
          <w:tcPr>
            <w:tcW w:w="868" w:type="dxa"/>
            <w:vAlign w:val="center"/>
          </w:tcPr>
          <w:p w14:paraId="60EA7C5F" w14:textId="77777777" w:rsidR="002337F9" w:rsidRPr="00133050" w:rsidRDefault="002337F9" w:rsidP="0026218C">
            <w:pPr>
              <w:spacing w:before="20" w:after="20"/>
              <w:jc w:val="right"/>
              <w:rPr>
                <w:noProof/>
                <w:sz w:val="20"/>
              </w:rPr>
            </w:pPr>
          </w:p>
        </w:tc>
        <w:tc>
          <w:tcPr>
            <w:tcW w:w="868" w:type="dxa"/>
            <w:vAlign w:val="center"/>
          </w:tcPr>
          <w:p w14:paraId="1EB22F51" w14:textId="77777777" w:rsidR="002337F9" w:rsidRPr="00133050" w:rsidRDefault="002337F9" w:rsidP="0026218C">
            <w:pPr>
              <w:spacing w:before="20" w:after="20"/>
              <w:jc w:val="right"/>
              <w:rPr>
                <w:b/>
                <w:noProof/>
                <w:sz w:val="20"/>
              </w:rPr>
            </w:pPr>
          </w:p>
        </w:tc>
        <w:tc>
          <w:tcPr>
            <w:tcW w:w="1418" w:type="dxa"/>
            <w:vAlign w:val="center"/>
          </w:tcPr>
          <w:p w14:paraId="34CDF1FF" w14:textId="77777777" w:rsidR="002337F9" w:rsidRPr="00133050" w:rsidRDefault="002337F9" w:rsidP="0026218C">
            <w:pPr>
              <w:spacing w:before="20" w:after="20"/>
              <w:jc w:val="right"/>
              <w:rPr>
                <w:b/>
                <w:noProof/>
                <w:sz w:val="20"/>
              </w:rPr>
            </w:pPr>
          </w:p>
        </w:tc>
      </w:tr>
      <w:tr w:rsidR="002337F9" w:rsidRPr="00133050" w14:paraId="1B9BE3D6" w14:textId="77777777" w:rsidTr="0026218C">
        <w:tc>
          <w:tcPr>
            <w:tcW w:w="3960" w:type="dxa"/>
            <w:vMerge/>
          </w:tcPr>
          <w:p w14:paraId="5D3E6A6F" w14:textId="77777777" w:rsidR="002337F9" w:rsidRPr="00133050" w:rsidRDefault="002337F9" w:rsidP="0026218C">
            <w:pPr>
              <w:jc w:val="center"/>
              <w:rPr>
                <w:noProof/>
                <w:sz w:val="20"/>
              </w:rPr>
            </w:pPr>
          </w:p>
        </w:tc>
        <w:tc>
          <w:tcPr>
            <w:tcW w:w="1440" w:type="dxa"/>
            <w:vAlign w:val="center"/>
          </w:tcPr>
          <w:p w14:paraId="3E861B03" w14:textId="77777777" w:rsidR="002337F9" w:rsidRPr="00133050" w:rsidRDefault="002337F9" w:rsidP="0026218C">
            <w:pPr>
              <w:spacing w:before="20" w:after="20"/>
              <w:rPr>
                <w:noProof/>
                <w:sz w:val="18"/>
              </w:rPr>
            </w:pPr>
            <w:r w:rsidRPr="00133050">
              <w:rPr>
                <w:noProof/>
                <w:sz w:val="18"/>
              </w:rPr>
              <w:t>Плащания</w:t>
            </w:r>
          </w:p>
        </w:tc>
        <w:tc>
          <w:tcPr>
            <w:tcW w:w="654" w:type="dxa"/>
            <w:gridSpan w:val="2"/>
            <w:vAlign w:val="center"/>
          </w:tcPr>
          <w:p w14:paraId="39C71124" w14:textId="77777777" w:rsidR="002337F9" w:rsidRPr="00133050" w:rsidRDefault="002337F9" w:rsidP="0026218C">
            <w:pPr>
              <w:spacing w:before="20" w:after="20"/>
              <w:jc w:val="center"/>
              <w:rPr>
                <w:noProof/>
                <w:sz w:val="14"/>
              </w:rPr>
            </w:pPr>
            <w:r w:rsidRPr="00133050">
              <w:rPr>
                <w:noProof/>
                <w:sz w:val="14"/>
              </w:rPr>
              <w:t>(2б)</w:t>
            </w:r>
          </w:p>
        </w:tc>
        <w:tc>
          <w:tcPr>
            <w:tcW w:w="868" w:type="dxa"/>
            <w:vAlign w:val="center"/>
          </w:tcPr>
          <w:p w14:paraId="24E95DC2" w14:textId="77777777" w:rsidR="002337F9" w:rsidRPr="00133050" w:rsidRDefault="002337F9" w:rsidP="0026218C">
            <w:pPr>
              <w:spacing w:before="20" w:after="20"/>
              <w:jc w:val="right"/>
              <w:rPr>
                <w:noProof/>
                <w:sz w:val="20"/>
              </w:rPr>
            </w:pPr>
          </w:p>
        </w:tc>
        <w:tc>
          <w:tcPr>
            <w:tcW w:w="868" w:type="dxa"/>
            <w:vAlign w:val="center"/>
          </w:tcPr>
          <w:p w14:paraId="27BEA07D" w14:textId="77777777" w:rsidR="002337F9" w:rsidRPr="00133050" w:rsidRDefault="002337F9" w:rsidP="0026218C">
            <w:pPr>
              <w:spacing w:before="20" w:after="20"/>
              <w:jc w:val="right"/>
              <w:rPr>
                <w:noProof/>
                <w:sz w:val="20"/>
              </w:rPr>
            </w:pPr>
          </w:p>
        </w:tc>
        <w:tc>
          <w:tcPr>
            <w:tcW w:w="868" w:type="dxa"/>
            <w:vAlign w:val="center"/>
          </w:tcPr>
          <w:p w14:paraId="571F9A0D" w14:textId="77777777" w:rsidR="002337F9" w:rsidRPr="00133050" w:rsidRDefault="002337F9" w:rsidP="0026218C">
            <w:pPr>
              <w:spacing w:before="20" w:after="20"/>
              <w:jc w:val="right"/>
              <w:rPr>
                <w:noProof/>
                <w:sz w:val="20"/>
              </w:rPr>
            </w:pPr>
          </w:p>
        </w:tc>
        <w:tc>
          <w:tcPr>
            <w:tcW w:w="868" w:type="dxa"/>
            <w:vAlign w:val="center"/>
          </w:tcPr>
          <w:p w14:paraId="7265B8DD" w14:textId="77777777" w:rsidR="002337F9" w:rsidRPr="00133050" w:rsidRDefault="002337F9" w:rsidP="0026218C">
            <w:pPr>
              <w:spacing w:before="20" w:after="20"/>
              <w:jc w:val="right"/>
              <w:rPr>
                <w:noProof/>
                <w:sz w:val="20"/>
              </w:rPr>
            </w:pPr>
          </w:p>
        </w:tc>
        <w:tc>
          <w:tcPr>
            <w:tcW w:w="868" w:type="dxa"/>
            <w:vAlign w:val="center"/>
          </w:tcPr>
          <w:p w14:paraId="4371F5D0" w14:textId="77777777" w:rsidR="002337F9" w:rsidRPr="00133050" w:rsidRDefault="002337F9" w:rsidP="0026218C">
            <w:pPr>
              <w:spacing w:before="20" w:after="20"/>
              <w:jc w:val="right"/>
              <w:rPr>
                <w:noProof/>
                <w:sz w:val="20"/>
              </w:rPr>
            </w:pPr>
          </w:p>
        </w:tc>
        <w:tc>
          <w:tcPr>
            <w:tcW w:w="868" w:type="dxa"/>
            <w:vAlign w:val="center"/>
          </w:tcPr>
          <w:p w14:paraId="05F00C66" w14:textId="77777777" w:rsidR="002337F9" w:rsidRPr="00133050" w:rsidRDefault="002337F9" w:rsidP="0026218C">
            <w:pPr>
              <w:spacing w:before="20" w:after="20"/>
              <w:jc w:val="right"/>
              <w:rPr>
                <w:noProof/>
                <w:sz w:val="20"/>
              </w:rPr>
            </w:pPr>
          </w:p>
        </w:tc>
        <w:tc>
          <w:tcPr>
            <w:tcW w:w="868" w:type="dxa"/>
            <w:vAlign w:val="center"/>
          </w:tcPr>
          <w:p w14:paraId="651864BE" w14:textId="77777777" w:rsidR="002337F9" w:rsidRPr="00133050" w:rsidRDefault="002337F9" w:rsidP="0026218C">
            <w:pPr>
              <w:spacing w:before="20" w:after="20"/>
              <w:jc w:val="right"/>
              <w:rPr>
                <w:b/>
                <w:noProof/>
                <w:sz w:val="20"/>
              </w:rPr>
            </w:pPr>
          </w:p>
        </w:tc>
        <w:tc>
          <w:tcPr>
            <w:tcW w:w="1418" w:type="dxa"/>
            <w:vAlign w:val="center"/>
          </w:tcPr>
          <w:p w14:paraId="73DDB5FF" w14:textId="77777777" w:rsidR="002337F9" w:rsidRPr="00133050" w:rsidRDefault="002337F9" w:rsidP="0026218C">
            <w:pPr>
              <w:spacing w:before="20" w:after="20"/>
              <w:jc w:val="right"/>
              <w:rPr>
                <w:b/>
                <w:noProof/>
                <w:sz w:val="20"/>
              </w:rPr>
            </w:pPr>
          </w:p>
        </w:tc>
      </w:tr>
      <w:tr w:rsidR="002337F9" w:rsidRPr="00133050" w14:paraId="00964975" w14:textId="77777777" w:rsidTr="0026218C">
        <w:trPr>
          <w:trHeight w:val="231"/>
        </w:trPr>
        <w:tc>
          <w:tcPr>
            <w:tcW w:w="6054" w:type="dxa"/>
            <w:gridSpan w:val="4"/>
            <w:vAlign w:val="center"/>
          </w:tcPr>
          <w:p w14:paraId="4680474F" w14:textId="77777777" w:rsidR="002337F9" w:rsidRPr="00133050" w:rsidRDefault="002337F9" w:rsidP="0026218C">
            <w:pPr>
              <w:spacing w:before="20" w:after="20"/>
              <w:rPr>
                <w:noProof/>
              </w:rPr>
            </w:pPr>
            <w:r w:rsidRPr="00133050">
              <w:rPr>
                <w:noProof/>
                <w:sz w:val="21"/>
              </w:rPr>
              <w:t xml:space="preserve">Бюджетни кредити за административни разходи, финансирани от пакета за определени програми </w:t>
            </w:r>
            <w:r w:rsidRPr="00133050">
              <w:rPr>
                <w:rStyle w:val="FootnoteReference"/>
                <w:noProof/>
                <w:sz w:val="21"/>
              </w:rPr>
              <w:footnoteReference w:id="52"/>
            </w:r>
            <w:r w:rsidRPr="00133050">
              <w:rPr>
                <w:noProof/>
                <w:sz w:val="21"/>
              </w:rPr>
              <w:t xml:space="preserve"> </w:t>
            </w:r>
          </w:p>
          <w:p w14:paraId="423C6EE0" w14:textId="77777777" w:rsidR="002337F9" w:rsidRPr="00133050" w:rsidRDefault="002337F9" w:rsidP="0026218C">
            <w:pPr>
              <w:spacing w:before="0" w:after="0"/>
              <w:rPr>
                <w:noProof/>
              </w:rPr>
            </w:pPr>
          </w:p>
        </w:tc>
        <w:tc>
          <w:tcPr>
            <w:tcW w:w="868" w:type="dxa"/>
            <w:vAlign w:val="center"/>
          </w:tcPr>
          <w:p w14:paraId="237664AA" w14:textId="77777777" w:rsidR="002337F9" w:rsidRPr="00133050" w:rsidRDefault="002337F9" w:rsidP="0026218C">
            <w:pPr>
              <w:rPr>
                <w:b/>
                <w:noProof/>
                <w:sz w:val="20"/>
              </w:rPr>
            </w:pPr>
          </w:p>
        </w:tc>
        <w:tc>
          <w:tcPr>
            <w:tcW w:w="868" w:type="dxa"/>
            <w:vAlign w:val="center"/>
          </w:tcPr>
          <w:p w14:paraId="100086B5" w14:textId="77777777" w:rsidR="002337F9" w:rsidRPr="00133050" w:rsidRDefault="002337F9" w:rsidP="0026218C">
            <w:pPr>
              <w:rPr>
                <w:b/>
                <w:noProof/>
                <w:sz w:val="20"/>
              </w:rPr>
            </w:pPr>
          </w:p>
        </w:tc>
        <w:tc>
          <w:tcPr>
            <w:tcW w:w="868" w:type="dxa"/>
            <w:vAlign w:val="center"/>
          </w:tcPr>
          <w:p w14:paraId="7F3C8306" w14:textId="77777777" w:rsidR="002337F9" w:rsidRPr="00133050" w:rsidRDefault="002337F9" w:rsidP="0026218C">
            <w:pPr>
              <w:rPr>
                <w:b/>
                <w:noProof/>
                <w:sz w:val="20"/>
              </w:rPr>
            </w:pPr>
          </w:p>
        </w:tc>
        <w:tc>
          <w:tcPr>
            <w:tcW w:w="868" w:type="dxa"/>
            <w:vAlign w:val="center"/>
          </w:tcPr>
          <w:p w14:paraId="4F7B8300" w14:textId="77777777" w:rsidR="002337F9" w:rsidRPr="00133050" w:rsidRDefault="002337F9" w:rsidP="0026218C">
            <w:pPr>
              <w:rPr>
                <w:b/>
                <w:noProof/>
                <w:sz w:val="20"/>
              </w:rPr>
            </w:pPr>
          </w:p>
        </w:tc>
        <w:tc>
          <w:tcPr>
            <w:tcW w:w="868" w:type="dxa"/>
            <w:vAlign w:val="center"/>
          </w:tcPr>
          <w:p w14:paraId="505D80B9" w14:textId="77777777" w:rsidR="002337F9" w:rsidRPr="00133050" w:rsidRDefault="002337F9" w:rsidP="0026218C">
            <w:pPr>
              <w:rPr>
                <w:b/>
                <w:noProof/>
                <w:sz w:val="20"/>
              </w:rPr>
            </w:pPr>
          </w:p>
        </w:tc>
        <w:tc>
          <w:tcPr>
            <w:tcW w:w="868" w:type="dxa"/>
            <w:vAlign w:val="center"/>
          </w:tcPr>
          <w:p w14:paraId="2E201E5D" w14:textId="77777777" w:rsidR="002337F9" w:rsidRPr="00133050" w:rsidRDefault="002337F9" w:rsidP="0026218C">
            <w:pPr>
              <w:rPr>
                <w:b/>
                <w:noProof/>
                <w:sz w:val="20"/>
              </w:rPr>
            </w:pPr>
          </w:p>
        </w:tc>
        <w:tc>
          <w:tcPr>
            <w:tcW w:w="868" w:type="dxa"/>
            <w:vAlign w:val="center"/>
          </w:tcPr>
          <w:p w14:paraId="21399181" w14:textId="77777777" w:rsidR="002337F9" w:rsidRPr="00133050" w:rsidRDefault="002337F9" w:rsidP="0026218C">
            <w:pPr>
              <w:rPr>
                <w:b/>
                <w:noProof/>
                <w:sz w:val="20"/>
              </w:rPr>
            </w:pPr>
          </w:p>
        </w:tc>
        <w:tc>
          <w:tcPr>
            <w:tcW w:w="1418" w:type="dxa"/>
            <w:vAlign w:val="center"/>
          </w:tcPr>
          <w:p w14:paraId="388FD2C9" w14:textId="77777777" w:rsidR="002337F9" w:rsidRPr="00133050" w:rsidRDefault="002337F9" w:rsidP="0026218C">
            <w:pPr>
              <w:rPr>
                <w:b/>
                <w:noProof/>
                <w:sz w:val="20"/>
              </w:rPr>
            </w:pPr>
          </w:p>
        </w:tc>
      </w:tr>
      <w:tr w:rsidR="002337F9" w:rsidRPr="00133050" w14:paraId="540D86FD" w14:textId="77777777" w:rsidTr="0026218C">
        <w:trPr>
          <w:trHeight w:val="319"/>
        </w:trPr>
        <w:tc>
          <w:tcPr>
            <w:tcW w:w="3960" w:type="dxa"/>
            <w:vAlign w:val="center"/>
          </w:tcPr>
          <w:p w14:paraId="208CB837" w14:textId="77777777" w:rsidR="002337F9" w:rsidRPr="00133050" w:rsidRDefault="002337F9" w:rsidP="0026218C">
            <w:pPr>
              <w:spacing w:before="60" w:after="60"/>
              <w:rPr>
                <w:noProof/>
              </w:rPr>
            </w:pPr>
            <w:r w:rsidRPr="00133050">
              <w:rPr>
                <w:noProof/>
                <w:sz w:val="20"/>
              </w:rPr>
              <w:t>Не се прилага.</w:t>
            </w:r>
          </w:p>
        </w:tc>
        <w:tc>
          <w:tcPr>
            <w:tcW w:w="1440" w:type="dxa"/>
            <w:vAlign w:val="center"/>
          </w:tcPr>
          <w:p w14:paraId="5183DDFD" w14:textId="77777777" w:rsidR="002337F9" w:rsidRPr="00133050" w:rsidRDefault="002337F9" w:rsidP="0026218C">
            <w:pPr>
              <w:spacing w:before="40" w:after="40"/>
              <w:jc w:val="right"/>
              <w:rPr>
                <w:noProof/>
                <w:sz w:val="18"/>
              </w:rPr>
            </w:pPr>
          </w:p>
        </w:tc>
        <w:tc>
          <w:tcPr>
            <w:tcW w:w="654" w:type="dxa"/>
            <w:gridSpan w:val="2"/>
            <w:vAlign w:val="center"/>
          </w:tcPr>
          <w:p w14:paraId="4AE8073E" w14:textId="77777777" w:rsidR="002337F9" w:rsidRPr="00133050" w:rsidRDefault="002337F9" w:rsidP="0026218C">
            <w:pPr>
              <w:spacing w:before="40" w:after="40"/>
              <w:jc w:val="center"/>
              <w:rPr>
                <w:noProof/>
                <w:sz w:val="14"/>
              </w:rPr>
            </w:pPr>
            <w:r w:rsidRPr="00133050">
              <w:rPr>
                <w:noProof/>
                <w:sz w:val="14"/>
              </w:rPr>
              <w:t>3)</w:t>
            </w:r>
          </w:p>
        </w:tc>
        <w:tc>
          <w:tcPr>
            <w:tcW w:w="868" w:type="dxa"/>
            <w:vAlign w:val="center"/>
          </w:tcPr>
          <w:p w14:paraId="426AACE4" w14:textId="77777777" w:rsidR="002337F9" w:rsidRPr="00133050" w:rsidRDefault="002337F9" w:rsidP="0026218C">
            <w:pPr>
              <w:spacing w:before="40" w:after="40"/>
              <w:jc w:val="right"/>
              <w:rPr>
                <w:b/>
                <w:noProof/>
                <w:sz w:val="20"/>
              </w:rPr>
            </w:pPr>
          </w:p>
        </w:tc>
        <w:tc>
          <w:tcPr>
            <w:tcW w:w="868" w:type="dxa"/>
            <w:vAlign w:val="center"/>
          </w:tcPr>
          <w:p w14:paraId="117778BA" w14:textId="77777777" w:rsidR="002337F9" w:rsidRPr="00133050" w:rsidRDefault="002337F9" w:rsidP="0026218C">
            <w:pPr>
              <w:spacing w:before="40" w:after="40"/>
              <w:jc w:val="right"/>
              <w:rPr>
                <w:b/>
                <w:noProof/>
                <w:sz w:val="20"/>
              </w:rPr>
            </w:pPr>
          </w:p>
        </w:tc>
        <w:tc>
          <w:tcPr>
            <w:tcW w:w="868" w:type="dxa"/>
            <w:vAlign w:val="center"/>
          </w:tcPr>
          <w:p w14:paraId="2F5F3F81" w14:textId="77777777" w:rsidR="002337F9" w:rsidRPr="00133050" w:rsidRDefault="002337F9" w:rsidP="0026218C">
            <w:pPr>
              <w:spacing w:before="40" w:after="40"/>
              <w:jc w:val="right"/>
              <w:rPr>
                <w:b/>
                <w:noProof/>
                <w:sz w:val="20"/>
              </w:rPr>
            </w:pPr>
          </w:p>
        </w:tc>
        <w:tc>
          <w:tcPr>
            <w:tcW w:w="868" w:type="dxa"/>
            <w:vAlign w:val="center"/>
          </w:tcPr>
          <w:p w14:paraId="7413F9B9" w14:textId="77777777" w:rsidR="002337F9" w:rsidRPr="00133050" w:rsidRDefault="002337F9" w:rsidP="0026218C">
            <w:pPr>
              <w:spacing w:before="40" w:after="40"/>
              <w:jc w:val="right"/>
              <w:rPr>
                <w:b/>
                <w:noProof/>
                <w:sz w:val="20"/>
              </w:rPr>
            </w:pPr>
          </w:p>
        </w:tc>
        <w:tc>
          <w:tcPr>
            <w:tcW w:w="868" w:type="dxa"/>
            <w:vAlign w:val="center"/>
          </w:tcPr>
          <w:p w14:paraId="3D602172" w14:textId="77777777" w:rsidR="002337F9" w:rsidRPr="00133050" w:rsidRDefault="002337F9" w:rsidP="0026218C">
            <w:pPr>
              <w:spacing w:before="40" w:after="40"/>
              <w:jc w:val="right"/>
              <w:rPr>
                <w:b/>
                <w:noProof/>
                <w:sz w:val="20"/>
              </w:rPr>
            </w:pPr>
          </w:p>
        </w:tc>
        <w:tc>
          <w:tcPr>
            <w:tcW w:w="868" w:type="dxa"/>
            <w:vAlign w:val="center"/>
          </w:tcPr>
          <w:p w14:paraId="2BEFFA57" w14:textId="77777777" w:rsidR="002337F9" w:rsidRPr="00133050" w:rsidRDefault="002337F9" w:rsidP="0026218C">
            <w:pPr>
              <w:spacing w:before="40" w:after="40"/>
              <w:jc w:val="right"/>
              <w:rPr>
                <w:b/>
                <w:noProof/>
                <w:sz w:val="20"/>
              </w:rPr>
            </w:pPr>
          </w:p>
        </w:tc>
        <w:tc>
          <w:tcPr>
            <w:tcW w:w="868" w:type="dxa"/>
            <w:vAlign w:val="center"/>
          </w:tcPr>
          <w:p w14:paraId="3063B2F9" w14:textId="77777777" w:rsidR="002337F9" w:rsidRPr="00133050" w:rsidRDefault="002337F9" w:rsidP="0026218C">
            <w:pPr>
              <w:spacing w:before="40" w:after="40"/>
              <w:jc w:val="right"/>
              <w:rPr>
                <w:b/>
                <w:noProof/>
                <w:sz w:val="20"/>
              </w:rPr>
            </w:pPr>
          </w:p>
        </w:tc>
        <w:tc>
          <w:tcPr>
            <w:tcW w:w="1418" w:type="dxa"/>
            <w:vAlign w:val="center"/>
          </w:tcPr>
          <w:p w14:paraId="7BD5CC5A" w14:textId="77777777" w:rsidR="002337F9" w:rsidRPr="00133050" w:rsidRDefault="002337F9" w:rsidP="0026218C">
            <w:pPr>
              <w:spacing w:before="40" w:after="40"/>
              <w:jc w:val="right"/>
              <w:rPr>
                <w:b/>
                <w:noProof/>
                <w:sz w:val="20"/>
              </w:rPr>
            </w:pPr>
          </w:p>
        </w:tc>
      </w:tr>
      <w:tr w:rsidR="002337F9" w:rsidRPr="00133050" w14:paraId="54EA66D0" w14:textId="77777777" w:rsidTr="0026218C">
        <w:tc>
          <w:tcPr>
            <w:tcW w:w="3960" w:type="dxa"/>
            <w:vMerge w:val="restart"/>
            <w:vAlign w:val="center"/>
          </w:tcPr>
          <w:p w14:paraId="26008023" w14:textId="77777777" w:rsidR="002337F9" w:rsidRPr="00133050" w:rsidRDefault="002337F9" w:rsidP="0026218C">
            <w:pPr>
              <w:jc w:val="center"/>
              <w:rPr>
                <w:b/>
                <w:noProof/>
              </w:rPr>
            </w:pPr>
            <w:r w:rsidRPr="00133050">
              <w:rPr>
                <w:b/>
                <w:noProof/>
              </w:rPr>
              <w:t>ОБЩО бюджетни кредити</w:t>
            </w:r>
            <w:r w:rsidRPr="00133050">
              <w:rPr>
                <w:noProof/>
              </w:rPr>
              <w:t xml:space="preserve"> </w:t>
            </w:r>
            <w:r w:rsidRPr="00133050">
              <w:rPr>
                <w:noProof/>
              </w:rPr>
              <w:cr/>
            </w:r>
            <w:r w:rsidRPr="00133050">
              <w:rPr>
                <w:noProof/>
              </w:rPr>
              <w:br/>
            </w:r>
            <w:r w:rsidRPr="00133050">
              <w:rPr>
                <w:b/>
                <w:noProof/>
              </w:rPr>
              <w:t>за ГД „Търговия“</w:t>
            </w:r>
          </w:p>
        </w:tc>
        <w:tc>
          <w:tcPr>
            <w:tcW w:w="1440" w:type="dxa"/>
            <w:vAlign w:val="center"/>
          </w:tcPr>
          <w:p w14:paraId="7C408B97" w14:textId="77777777" w:rsidR="002337F9" w:rsidRPr="00133050" w:rsidRDefault="002337F9" w:rsidP="0026218C">
            <w:pPr>
              <w:rPr>
                <w:noProof/>
                <w:sz w:val="18"/>
              </w:rPr>
            </w:pPr>
            <w:r w:rsidRPr="00133050">
              <w:rPr>
                <w:noProof/>
                <w:sz w:val="18"/>
              </w:rPr>
              <w:t>Поети задължения</w:t>
            </w:r>
          </w:p>
        </w:tc>
        <w:tc>
          <w:tcPr>
            <w:tcW w:w="654" w:type="dxa"/>
            <w:gridSpan w:val="2"/>
            <w:vAlign w:val="center"/>
          </w:tcPr>
          <w:p w14:paraId="533807A1" w14:textId="77777777" w:rsidR="002337F9" w:rsidRPr="00133050" w:rsidRDefault="002337F9" w:rsidP="0026218C">
            <w:pPr>
              <w:jc w:val="center"/>
              <w:rPr>
                <w:noProof/>
                <w:sz w:val="14"/>
              </w:rPr>
            </w:pPr>
            <w:r w:rsidRPr="00133050">
              <w:rPr>
                <w:noProof/>
                <w:sz w:val="14"/>
              </w:rPr>
              <w:t>=1а +1б + 3</w:t>
            </w:r>
          </w:p>
        </w:tc>
        <w:tc>
          <w:tcPr>
            <w:tcW w:w="868" w:type="dxa"/>
            <w:vAlign w:val="center"/>
          </w:tcPr>
          <w:p w14:paraId="27899B5C" w14:textId="77777777" w:rsidR="002337F9" w:rsidRPr="00133050" w:rsidRDefault="002337F9" w:rsidP="0026218C">
            <w:pPr>
              <w:spacing w:before="20" w:after="20"/>
              <w:jc w:val="right"/>
              <w:rPr>
                <w:noProof/>
                <w:sz w:val="20"/>
              </w:rPr>
            </w:pPr>
            <w:r w:rsidRPr="00133050">
              <w:rPr>
                <w:noProof/>
                <w:sz w:val="20"/>
              </w:rPr>
              <w:t>0,493</w:t>
            </w:r>
          </w:p>
        </w:tc>
        <w:tc>
          <w:tcPr>
            <w:tcW w:w="868" w:type="dxa"/>
            <w:vAlign w:val="center"/>
          </w:tcPr>
          <w:p w14:paraId="6519D32A" w14:textId="77777777" w:rsidR="002337F9" w:rsidRPr="00133050" w:rsidRDefault="002337F9" w:rsidP="0026218C">
            <w:pPr>
              <w:spacing w:before="20" w:after="20"/>
              <w:jc w:val="right"/>
              <w:rPr>
                <w:noProof/>
                <w:sz w:val="20"/>
              </w:rPr>
            </w:pPr>
            <w:r w:rsidRPr="00133050">
              <w:rPr>
                <w:noProof/>
                <w:sz w:val="20"/>
              </w:rPr>
              <w:t>0,250</w:t>
            </w:r>
          </w:p>
        </w:tc>
        <w:tc>
          <w:tcPr>
            <w:tcW w:w="868" w:type="dxa"/>
            <w:vAlign w:val="center"/>
          </w:tcPr>
          <w:p w14:paraId="2AC6DBAF" w14:textId="77777777" w:rsidR="002337F9" w:rsidRPr="00133050" w:rsidRDefault="002337F9" w:rsidP="0026218C">
            <w:pPr>
              <w:spacing w:before="20" w:after="20"/>
              <w:jc w:val="right"/>
              <w:rPr>
                <w:noProof/>
                <w:sz w:val="20"/>
              </w:rPr>
            </w:pPr>
          </w:p>
        </w:tc>
        <w:tc>
          <w:tcPr>
            <w:tcW w:w="868" w:type="dxa"/>
            <w:vAlign w:val="center"/>
          </w:tcPr>
          <w:p w14:paraId="29E691DB" w14:textId="77777777" w:rsidR="002337F9" w:rsidRPr="00133050" w:rsidRDefault="002337F9" w:rsidP="0026218C">
            <w:pPr>
              <w:spacing w:before="20" w:after="20"/>
              <w:jc w:val="right"/>
              <w:rPr>
                <w:noProof/>
                <w:sz w:val="20"/>
              </w:rPr>
            </w:pPr>
          </w:p>
        </w:tc>
        <w:tc>
          <w:tcPr>
            <w:tcW w:w="868" w:type="dxa"/>
            <w:vAlign w:val="center"/>
          </w:tcPr>
          <w:p w14:paraId="0D764AC4" w14:textId="77777777" w:rsidR="002337F9" w:rsidRPr="00133050" w:rsidRDefault="002337F9" w:rsidP="0026218C">
            <w:pPr>
              <w:spacing w:before="20" w:after="20"/>
              <w:jc w:val="right"/>
              <w:rPr>
                <w:noProof/>
                <w:sz w:val="20"/>
              </w:rPr>
            </w:pPr>
          </w:p>
        </w:tc>
        <w:tc>
          <w:tcPr>
            <w:tcW w:w="868" w:type="dxa"/>
            <w:vAlign w:val="center"/>
          </w:tcPr>
          <w:p w14:paraId="0E1EEA44" w14:textId="77777777" w:rsidR="002337F9" w:rsidRPr="00133050" w:rsidRDefault="002337F9" w:rsidP="0026218C">
            <w:pPr>
              <w:spacing w:before="20" w:after="20"/>
              <w:jc w:val="right"/>
              <w:rPr>
                <w:noProof/>
                <w:sz w:val="20"/>
              </w:rPr>
            </w:pPr>
          </w:p>
        </w:tc>
        <w:tc>
          <w:tcPr>
            <w:tcW w:w="868" w:type="dxa"/>
            <w:vAlign w:val="center"/>
          </w:tcPr>
          <w:p w14:paraId="530DFADC" w14:textId="77777777" w:rsidR="002337F9" w:rsidRPr="00133050" w:rsidRDefault="002337F9" w:rsidP="0026218C">
            <w:pPr>
              <w:spacing w:before="20" w:after="20"/>
              <w:jc w:val="right"/>
              <w:rPr>
                <w:b/>
                <w:noProof/>
                <w:sz w:val="20"/>
              </w:rPr>
            </w:pPr>
          </w:p>
        </w:tc>
        <w:tc>
          <w:tcPr>
            <w:tcW w:w="1418" w:type="dxa"/>
            <w:vAlign w:val="center"/>
          </w:tcPr>
          <w:p w14:paraId="5A5DA0B0" w14:textId="77777777" w:rsidR="002337F9" w:rsidRPr="00133050" w:rsidRDefault="002337F9" w:rsidP="0026218C">
            <w:pPr>
              <w:spacing w:before="20" w:after="20"/>
              <w:jc w:val="right"/>
              <w:rPr>
                <w:b/>
                <w:noProof/>
                <w:sz w:val="20"/>
              </w:rPr>
            </w:pPr>
            <w:r w:rsidRPr="00133050">
              <w:rPr>
                <w:b/>
                <w:noProof/>
                <w:sz w:val="20"/>
              </w:rPr>
              <w:t>0,743</w:t>
            </w:r>
          </w:p>
        </w:tc>
      </w:tr>
      <w:tr w:rsidR="002337F9" w:rsidRPr="00133050" w14:paraId="0100FEBD" w14:textId="77777777" w:rsidTr="0026218C">
        <w:tc>
          <w:tcPr>
            <w:tcW w:w="3960" w:type="dxa"/>
            <w:vMerge/>
          </w:tcPr>
          <w:p w14:paraId="3F772276" w14:textId="77777777" w:rsidR="002337F9" w:rsidRPr="00133050" w:rsidRDefault="002337F9" w:rsidP="0026218C">
            <w:pPr>
              <w:rPr>
                <w:noProof/>
                <w:sz w:val="20"/>
              </w:rPr>
            </w:pPr>
          </w:p>
        </w:tc>
        <w:tc>
          <w:tcPr>
            <w:tcW w:w="1440" w:type="dxa"/>
            <w:vAlign w:val="center"/>
          </w:tcPr>
          <w:p w14:paraId="5871EE18" w14:textId="77777777" w:rsidR="002337F9" w:rsidRPr="00133050" w:rsidRDefault="002337F9" w:rsidP="0026218C">
            <w:pPr>
              <w:rPr>
                <w:noProof/>
                <w:sz w:val="18"/>
              </w:rPr>
            </w:pPr>
            <w:r w:rsidRPr="00133050">
              <w:rPr>
                <w:noProof/>
                <w:sz w:val="18"/>
              </w:rPr>
              <w:t>Плащания</w:t>
            </w:r>
          </w:p>
        </w:tc>
        <w:tc>
          <w:tcPr>
            <w:tcW w:w="654" w:type="dxa"/>
            <w:gridSpan w:val="2"/>
            <w:vAlign w:val="center"/>
          </w:tcPr>
          <w:p w14:paraId="25C7F7C5" w14:textId="77777777" w:rsidR="002337F9" w:rsidRPr="00133050" w:rsidRDefault="002337F9" w:rsidP="0026218C">
            <w:pPr>
              <w:jc w:val="center"/>
              <w:rPr>
                <w:noProof/>
                <w:sz w:val="14"/>
              </w:rPr>
            </w:pPr>
            <w:r w:rsidRPr="00133050">
              <w:rPr>
                <w:noProof/>
                <w:sz w:val="14"/>
              </w:rPr>
              <w:t>= 2а + 2б</w:t>
            </w:r>
          </w:p>
          <w:p w14:paraId="03790D5F" w14:textId="77777777" w:rsidR="002337F9" w:rsidRPr="00133050" w:rsidRDefault="002337F9" w:rsidP="0026218C">
            <w:pPr>
              <w:jc w:val="center"/>
              <w:rPr>
                <w:noProof/>
                <w:sz w:val="14"/>
              </w:rPr>
            </w:pPr>
            <w:r w:rsidRPr="00133050">
              <w:rPr>
                <w:noProof/>
                <w:sz w:val="14"/>
              </w:rPr>
              <w:t>+ 3</w:t>
            </w:r>
          </w:p>
        </w:tc>
        <w:tc>
          <w:tcPr>
            <w:tcW w:w="868" w:type="dxa"/>
          </w:tcPr>
          <w:p w14:paraId="5602AFF4" w14:textId="77777777" w:rsidR="002337F9" w:rsidRPr="00133050" w:rsidRDefault="002337F9" w:rsidP="0026218C">
            <w:pPr>
              <w:spacing w:before="20" w:after="20"/>
              <w:jc w:val="right"/>
              <w:rPr>
                <w:noProof/>
                <w:sz w:val="20"/>
              </w:rPr>
            </w:pPr>
            <w:r w:rsidRPr="00133050">
              <w:rPr>
                <w:noProof/>
                <w:sz w:val="20"/>
              </w:rPr>
              <w:t>0,247</w:t>
            </w:r>
          </w:p>
        </w:tc>
        <w:tc>
          <w:tcPr>
            <w:tcW w:w="868" w:type="dxa"/>
          </w:tcPr>
          <w:p w14:paraId="4025178E" w14:textId="77777777" w:rsidR="002337F9" w:rsidRPr="00133050" w:rsidRDefault="002337F9" w:rsidP="0026218C">
            <w:pPr>
              <w:spacing w:before="20" w:after="20"/>
              <w:jc w:val="right"/>
              <w:rPr>
                <w:noProof/>
                <w:sz w:val="20"/>
              </w:rPr>
            </w:pPr>
            <w:r w:rsidRPr="00133050">
              <w:rPr>
                <w:noProof/>
                <w:sz w:val="20"/>
              </w:rPr>
              <w:t>0,372</w:t>
            </w:r>
          </w:p>
        </w:tc>
        <w:tc>
          <w:tcPr>
            <w:tcW w:w="868" w:type="dxa"/>
          </w:tcPr>
          <w:p w14:paraId="6A057C59" w14:textId="77777777" w:rsidR="002337F9" w:rsidRPr="00133050" w:rsidRDefault="002337F9" w:rsidP="0026218C">
            <w:pPr>
              <w:spacing w:before="20" w:after="20"/>
              <w:jc w:val="right"/>
              <w:rPr>
                <w:noProof/>
                <w:sz w:val="20"/>
              </w:rPr>
            </w:pPr>
          </w:p>
        </w:tc>
        <w:tc>
          <w:tcPr>
            <w:tcW w:w="868" w:type="dxa"/>
          </w:tcPr>
          <w:p w14:paraId="6F805365" w14:textId="77777777" w:rsidR="002337F9" w:rsidRPr="00133050" w:rsidRDefault="002337F9" w:rsidP="0026218C">
            <w:pPr>
              <w:spacing w:before="20" w:after="20"/>
              <w:jc w:val="right"/>
              <w:rPr>
                <w:noProof/>
                <w:sz w:val="20"/>
              </w:rPr>
            </w:pPr>
          </w:p>
        </w:tc>
        <w:tc>
          <w:tcPr>
            <w:tcW w:w="868" w:type="dxa"/>
          </w:tcPr>
          <w:p w14:paraId="290C4D91" w14:textId="77777777" w:rsidR="002337F9" w:rsidRPr="00133050" w:rsidRDefault="002337F9" w:rsidP="0026218C">
            <w:pPr>
              <w:spacing w:before="20" w:after="20"/>
              <w:jc w:val="right"/>
              <w:rPr>
                <w:noProof/>
                <w:sz w:val="20"/>
              </w:rPr>
            </w:pPr>
          </w:p>
        </w:tc>
        <w:tc>
          <w:tcPr>
            <w:tcW w:w="868" w:type="dxa"/>
          </w:tcPr>
          <w:p w14:paraId="58088186" w14:textId="77777777" w:rsidR="002337F9" w:rsidRPr="00133050" w:rsidRDefault="002337F9" w:rsidP="0026218C">
            <w:pPr>
              <w:spacing w:before="20" w:after="20"/>
              <w:jc w:val="right"/>
              <w:rPr>
                <w:noProof/>
                <w:sz w:val="20"/>
              </w:rPr>
            </w:pPr>
          </w:p>
        </w:tc>
        <w:tc>
          <w:tcPr>
            <w:tcW w:w="868" w:type="dxa"/>
          </w:tcPr>
          <w:p w14:paraId="595DE751" w14:textId="77777777" w:rsidR="002337F9" w:rsidRPr="00133050" w:rsidRDefault="002337F9" w:rsidP="0026218C">
            <w:pPr>
              <w:spacing w:before="20" w:after="20"/>
              <w:jc w:val="right"/>
              <w:rPr>
                <w:b/>
                <w:noProof/>
                <w:sz w:val="20"/>
              </w:rPr>
            </w:pPr>
          </w:p>
        </w:tc>
        <w:tc>
          <w:tcPr>
            <w:tcW w:w="1418" w:type="dxa"/>
          </w:tcPr>
          <w:p w14:paraId="027FEF03" w14:textId="77777777" w:rsidR="002337F9" w:rsidRPr="00133050" w:rsidRDefault="002337F9" w:rsidP="0026218C">
            <w:pPr>
              <w:spacing w:before="20" w:after="20"/>
              <w:jc w:val="right"/>
              <w:rPr>
                <w:b/>
                <w:noProof/>
                <w:sz w:val="20"/>
              </w:rPr>
            </w:pPr>
            <w:r w:rsidRPr="00133050">
              <w:rPr>
                <w:noProof/>
                <w:sz w:val="20"/>
              </w:rPr>
              <w:t xml:space="preserve">0,619 </w:t>
            </w:r>
          </w:p>
        </w:tc>
      </w:tr>
    </w:tbl>
    <w:p w14:paraId="1E39586E" w14:textId="77777777" w:rsidR="002337F9" w:rsidRPr="00133050" w:rsidRDefault="002337F9" w:rsidP="002337F9">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868"/>
        <w:gridCol w:w="868"/>
        <w:gridCol w:w="868"/>
        <w:gridCol w:w="1777"/>
      </w:tblGrid>
      <w:tr w:rsidR="002337F9" w:rsidRPr="00133050" w14:paraId="415E1A14" w14:textId="77777777" w:rsidTr="0026218C">
        <w:trPr>
          <w:trHeight w:val="277"/>
        </w:trPr>
        <w:tc>
          <w:tcPr>
            <w:tcW w:w="3960" w:type="dxa"/>
            <w:vMerge w:val="restart"/>
            <w:vAlign w:val="center"/>
          </w:tcPr>
          <w:p w14:paraId="19022E2D" w14:textId="77777777" w:rsidR="002337F9" w:rsidRPr="00133050" w:rsidRDefault="002337F9" w:rsidP="0026218C">
            <w:pPr>
              <w:spacing w:before="20" w:after="20"/>
              <w:rPr>
                <w:noProof/>
              </w:rPr>
            </w:pPr>
            <w:r w:rsidRPr="00133050">
              <w:rPr>
                <w:noProof/>
              </w:rPr>
              <w:br w:type="page"/>
            </w:r>
            <w:r w:rsidRPr="00133050">
              <w:rPr>
                <w:noProof/>
                <w:sz w:val="21"/>
              </w:rPr>
              <w:sym w:font="Wingdings" w:char="F09F"/>
            </w:r>
            <w:r w:rsidRPr="00133050">
              <w:rPr>
                <w:noProof/>
                <w:sz w:val="21"/>
              </w:rPr>
              <w:t xml:space="preserve"> ОБЩО бюджетни кредити за оперативни разходи </w:t>
            </w:r>
          </w:p>
        </w:tc>
        <w:tc>
          <w:tcPr>
            <w:tcW w:w="1440" w:type="dxa"/>
            <w:vAlign w:val="center"/>
          </w:tcPr>
          <w:p w14:paraId="03B24037" w14:textId="77777777" w:rsidR="002337F9" w:rsidRPr="00133050" w:rsidRDefault="002337F9" w:rsidP="0026218C">
            <w:pPr>
              <w:spacing w:beforeLines="20" w:before="48" w:afterLines="20" w:after="48"/>
              <w:rPr>
                <w:noProof/>
                <w:sz w:val="18"/>
              </w:rPr>
            </w:pPr>
            <w:r w:rsidRPr="00133050">
              <w:rPr>
                <w:noProof/>
                <w:sz w:val="18"/>
              </w:rPr>
              <w:t>Поети задължения</w:t>
            </w:r>
          </w:p>
        </w:tc>
        <w:tc>
          <w:tcPr>
            <w:tcW w:w="654" w:type="dxa"/>
            <w:vAlign w:val="center"/>
          </w:tcPr>
          <w:p w14:paraId="6856413A" w14:textId="77777777" w:rsidR="002337F9" w:rsidRPr="00133050" w:rsidRDefault="002337F9" w:rsidP="0026218C">
            <w:pPr>
              <w:spacing w:beforeLines="20" w:before="48" w:afterLines="20" w:after="48"/>
              <w:jc w:val="center"/>
              <w:rPr>
                <w:noProof/>
                <w:sz w:val="14"/>
              </w:rPr>
            </w:pPr>
            <w:r w:rsidRPr="00133050">
              <w:rPr>
                <w:noProof/>
                <w:sz w:val="14"/>
              </w:rPr>
              <w:t>4)</w:t>
            </w:r>
          </w:p>
        </w:tc>
        <w:tc>
          <w:tcPr>
            <w:tcW w:w="868" w:type="dxa"/>
            <w:vAlign w:val="center"/>
          </w:tcPr>
          <w:p w14:paraId="50113BF4" w14:textId="77777777" w:rsidR="002337F9" w:rsidRPr="00133050" w:rsidRDefault="002337F9" w:rsidP="0026218C">
            <w:pPr>
              <w:spacing w:before="20" w:after="20"/>
              <w:jc w:val="right"/>
              <w:rPr>
                <w:noProof/>
                <w:sz w:val="20"/>
              </w:rPr>
            </w:pPr>
            <w:r w:rsidRPr="00133050">
              <w:rPr>
                <w:noProof/>
                <w:sz w:val="20"/>
              </w:rPr>
              <w:t>0,493</w:t>
            </w:r>
          </w:p>
        </w:tc>
        <w:tc>
          <w:tcPr>
            <w:tcW w:w="868" w:type="dxa"/>
            <w:vAlign w:val="center"/>
          </w:tcPr>
          <w:p w14:paraId="4035D4C2" w14:textId="77777777" w:rsidR="002337F9" w:rsidRPr="00133050" w:rsidRDefault="002337F9" w:rsidP="0026218C">
            <w:pPr>
              <w:spacing w:before="20" w:after="20"/>
              <w:jc w:val="right"/>
              <w:rPr>
                <w:noProof/>
                <w:sz w:val="20"/>
              </w:rPr>
            </w:pPr>
            <w:r w:rsidRPr="00133050">
              <w:rPr>
                <w:noProof/>
                <w:sz w:val="20"/>
              </w:rPr>
              <w:t>0,250</w:t>
            </w:r>
          </w:p>
        </w:tc>
        <w:tc>
          <w:tcPr>
            <w:tcW w:w="868" w:type="dxa"/>
            <w:vAlign w:val="center"/>
          </w:tcPr>
          <w:p w14:paraId="6C2FFD80" w14:textId="77777777" w:rsidR="002337F9" w:rsidRPr="00133050" w:rsidRDefault="002337F9" w:rsidP="0026218C">
            <w:pPr>
              <w:spacing w:before="20" w:after="20"/>
              <w:jc w:val="right"/>
              <w:rPr>
                <w:noProof/>
                <w:sz w:val="20"/>
              </w:rPr>
            </w:pPr>
          </w:p>
        </w:tc>
        <w:tc>
          <w:tcPr>
            <w:tcW w:w="868" w:type="dxa"/>
            <w:vAlign w:val="center"/>
          </w:tcPr>
          <w:p w14:paraId="081D0E57" w14:textId="77777777" w:rsidR="002337F9" w:rsidRPr="00133050" w:rsidRDefault="002337F9" w:rsidP="0026218C">
            <w:pPr>
              <w:spacing w:before="20" w:after="20"/>
              <w:jc w:val="right"/>
              <w:rPr>
                <w:noProof/>
                <w:sz w:val="20"/>
              </w:rPr>
            </w:pPr>
          </w:p>
        </w:tc>
        <w:tc>
          <w:tcPr>
            <w:tcW w:w="868" w:type="dxa"/>
            <w:vAlign w:val="center"/>
          </w:tcPr>
          <w:p w14:paraId="5DBBD660" w14:textId="77777777" w:rsidR="002337F9" w:rsidRPr="00133050" w:rsidRDefault="002337F9" w:rsidP="0026218C">
            <w:pPr>
              <w:spacing w:before="20" w:after="20"/>
              <w:jc w:val="right"/>
              <w:rPr>
                <w:noProof/>
                <w:sz w:val="20"/>
              </w:rPr>
            </w:pPr>
          </w:p>
        </w:tc>
        <w:tc>
          <w:tcPr>
            <w:tcW w:w="868" w:type="dxa"/>
            <w:vAlign w:val="center"/>
          </w:tcPr>
          <w:p w14:paraId="0A1C189D" w14:textId="77777777" w:rsidR="002337F9" w:rsidRPr="00133050" w:rsidRDefault="002337F9" w:rsidP="0026218C">
            <w:pPr>
              <w:spacing w:before="20" w:after="20"/>
              <w:jc w:val="right"/>
              <w:rPr>
                <w:noProof/>
                <w:sz w:val="20"/>
              </w:rPr>
            </w:pPr>
          </w:p>
        </w:tc>
        <w:tc>
          <w:tcPr>
            <w:tcW w:w="868" w:type="dxa"/>
            <w:vAlign w:val="center"/>
          </w:tcPr>
          <w:p w14:paraId="72E8FC8C" w14:textId="77777777" w:rsidR="002337F9" w:rsidRPr="00133050" w:rsidRDefault="002337F9" w:rsidP="0026218C">
            <w:pPr>
              <w:spacing w:before="20" w:after="20"/>
              <w:jc w:val="right"/>
              <w:rPr>
                <w:b/>
                <w:noProof/>
                <w:sz w:val="20"/>
              </w:rPr>
            </w:pPr>
          </w:p>
        </w:tc>
        <w:tc>
          <w:tcPr>
            <w:tcW w:w="1777" w:type="dxa"/>
            <w:vAlign w:val="center"/>
          </w:tcPr>
          <w:p w14:paraId="6F2D8BEE" w14:textId="77777777" w:rsidR="002337F9" w:rsidRPr="00133050" w:rsidRDefault="002337F9" w:rsidP="0026218C">
            <w:pPr>
              <w:spacing w:before="20" w:after="20"/>
              <w:jc w:val="right"/>
              <w:rPr>
                <w:b/>
                <w:noProof/>
                <w:sz w:val="20"/>
              </w:rPr>
            </w:pPr>
            <w:r w:rsidRPr="00133050">
              <w:rPr>
                <w:b/>
                <w:noProof/>
                <w:sz w:val="20"/>
              </w:rPr>
              <w:t>0,743</w:t>
            </w:r>
          </w:p>
        </w:tc>
      </w:tr>
      <w:tr w:rsidR="002337F9" w:rsidRPr="00133050" w14:paraId="35E72A52" w14:textId="77777777" w:rsidTr="0026218C">
        <w:tc>
          <w:tcPr>
            <w:tcW w:w="3960" w:type="dxa"/>
            <w:vMerge/>
          </w:tcPr>
          <w:p w14:paraId="521B4B67" w14:textId="77777777" w:rsidR="002337F9" w:rsidRPr="00133050" w:rsidRDefault="002337F9" w:rsidP="0026218C">
            <w:pPr>
              <w:jc w:val="center"/>
              <w:rPr>
                <w:noProof/>
                <w:sz w:val="20"/>
              </w:rPr>
            </w:pPr>
          </w:p>
        </w:tc>
        <w:tc>
          <w:tcPr>
            <w:tcW w:w="1440" w:type="dxa"/>
            <w:vAlign w:val="center"/>
          </w:tcPr>
          <w:p w14:paraId="7C289BF6" w14:textId="77777777" w:rsidR="002337F9" w:rsidRPr="00133050" w:rsidRDefault="002337F9" w:rsidP="0026218C">
            <w:pPr>
              <w:spacing w:beforeLines="20" w:before="48" w:afterLines="20" w:after="48"/>
              <w:rPr>
                <w:noProof/>
                <w:sz w:val="18"/>
              </w:rPr>
            </w:pPr>
            <w:r w:rsidRPr="00133050">
              <w:rPr>
                <w:noProof/>
                <w:sz w:val="18"/>
              </w:rPr>
              <w:t>Плащания</w:t>
            </w:r>
          </w:p>
        </w:tc>
        <w:tc>
          <w:tcPr>
            <w:tcW w:w="654" w:type="dxa"/>
            <w:vAlign w:val="center"/>
          </w:tcPr>
          <w:p w14:paraId="3CF41BA3" w14:textId="77777777" w:rsidR="002337F9" w:rsidRPr="00133050" w:rsidRDefault="002337F9" w:rsidP="0026218C">
            <w:pPr>
              <w:spacing w:beforeLines="20" w:before="48" w:afterLines="20" w:after="48"/>
              <w:jc w:val="center"/>
              <w:rPr>
                <w:noProof/>
                <w:sz w:val="14"/>
              </w:rPr>
            </w:pPr>
            <w:r w:rsidRPr="00133050">
              <w:rPr>
                <w:noProof/>
                <w:sz w:val="14"/>
              </w:rPr>
              <w:t>5)</w:t>
            </w:r>
          </w:p>
        </w:tc>
        <w:tc>
          <w:tcPr>
            <w:tcW w:w="868" w:type="dxa"/>
          </w:tcPr>
          <w:p w14:paraId="7BD50C03" w14:textId="77777777" w:rsidR="002337F9" w:rsidRPr="00133050" w:rsidRDefault="002337F9" w:rsidP="0026218C">
            <w:pPr>
              <w:spacing w:before="20" w:after="20"/>
              <w:jc w:val="right"/>
              <w:rPr>
                <w:noProof/>
                <w:sz w:val="20"/>
              </w:rPr>
            </w:pPr>
            <w:r w:rsidRPr="00133050">
              <w:rPr>
                <w:noProof/>
                <w:sz w:val="20"/>
              </w:rPr>
              <w:t>0,247</w:t>
            </w:r>
          </w:p>
        </w:tc>
        <w:tc>
          <w:tcPr>
            <w:tcW w:w="868" w:type="dxa"/>
          </w:tcPr>
          <w:p w14:paraId="373ABA17" w14:textId="77777777" w:rsidR="002337F9" w:rsidRPr="00133050" w:rsidRDefault="002337F9" w:rsidP="0026218C">
            <w:pPr>
              <w:spacing w:before="20" w:after="20"/>
              <w:jc w:val="right"/>
              <w:rPr>
                <w:noProof/>
                <w:sz w:val="20"/>
              </w:rPr>
            </w:pPr>
            <w:r w:rsidRPr="00133050">
              <w:rPr>
                <w:noProof/>
                <w:sz w:val="20"/>
              </w:rPr>
              <w:t>0,372</w:t>
            </w:r>
          </w:p>
        </w:tc>
        <w:tc>
          <w:tcPr>
            <w:tcW w:w="868" w:type="dxa"/>
          </w:tcPr>
          <w:p w14:paraId="6301C684" w14:textId="77777777" w:rsidR="002337F9" w:rsidRPr="00133050" w:rsidRDefault="002337F9" w:rsidP="0026218C">
            <w:pPr>
              <w:spacing w:before="20" w:after="20"/>
              <w:jc w:val="right"/>
              <w:rPr>
                <w:noProof/>
                <w:sz w:val="20"/>
              </w:rPr>
            </w:pPr>
          </w:p>
        </w:tc>
        <w:tc>
          <w:tcPr>
            <w:tcW w:w="868" w:type="dxa"/>
          </w:tcPr>
          <w:p w14:paraId="56299EB4" w14:textId="77777777" w:rsidR="002337F9" w:rsidRPr="00133050" w:rsidRDefault="002337F9" w:rsidP="0026218C">
            <w:pPr>
              <w:spacing w:before="20" w:after="20"/>
              <w:jc w:val="right"/>
              <w:rPr>
                <w:noProof/>
                <w:sz w:val="20"/>
              </w:rPr>
            </w:pPr>
          </w:p>
        </w:tc>
        <w:tc>
          <w:tcPr>
            <w:tcW w:w="868" w:type="dxa"/>
          </w:tcPr>
          <w:p w14:paraId="15BA36AF" w14:textId="77777777" w:rsidR="002337F9" w:rsidRPr="00133050" w:rsidRDefault="002337F9" w:rsidP="0026218C">
            <w:pPr>
              <w:spacing w:before="20" w:after="20"/>
              <w:jc w:val="right"/>
              <w:rPr>
                <w:noProof/>
                <w:sz w:val="20"/>
              </w:rPr>
            </w:pPr>
          </w:p>
        </w:tc>
        <w:tc>
          <w:tcPr>
            <w:tcW w:w="868" w:type="dxa"/>
          </w:tcPr>
          <w:p w14:paraId="23D0A281" w14:textId="77777777" w:rsidR="002337F9" w:rsidRPr="00133050" w:rsidRDefault="002337F9" w:rsidP="0026218C">
            <w:pPr>
              <w:spacing w:before="20" w:after="20"/>
              <w:jc w:val="right"/>
              <w:rPr>
                <w:noProof/>
                <w:sz w:val="20"/>
              </w:rPr>
            </w:pPr>
          </w:p>
        </w:tc>
        <w:tc>
          <w:tcPr>
            <w:tcW w:w="868" w:type="dxa"/>
          </w:tcPr>
          <w:p w14:paraId="15F6FAEB" w14:textId="77777777" w:rsidR="002337F9" w:rsidRPr="00133050" w:rsidRDefault="002337F9" w:rsidP="0026218C">
            <w:pPr>
              <w:spacing w:before="20" w:after="20"/>
              <w:jc w:val="right"/>
              <w:rPr>
                <w:b/>
                <w:noProof/>
                <w:sz w:val="20"/>
              </w:rPr>
            </w:pPr>
          </w:p>
        </w:tc>
        <w:tc>
          <w:tcPr>
            <w:tcW w:w="1777" w:type="dxa"/>
          </w:tcPr>
          <w:p w14:paraId="3F04CADC" w14:textId="77777777" w:rsidR="002337F9" w:rsidRPr="00133050" w:rsidRDefault="002337F9" w:rsidP="0026218C">
            <w:pPr>
              <w:spacing w:before="20" w:after="20"/>
              <w:jc w:val="right"/>
              <w:rPr>
                <w:b/>
                <w:noProof/>
                <w:sz w:val="20"/>
              </w:rPr>
            </w:pPr>
            <w:r w:rsidRPr="00133050">
              <w:rPr>
                <w:noProof/>
                <w:sz w:val="20"/>
              </w:rPr>
              <w:t xml:space="preserve">0,619 </w:t>
            </w:r>
          </w:p>
        </w:tc>
      </w:tr>
      <w:tr w:rsidR="002337F9" w:rsidRPr="00133050" w14:paraId="7CAF79B0" w14:textId="77777777" w:rsidTr="0026218C">
        <w:trPr>
          <w:trHeight w:val="533"/>
        </w:trPr>
        <w:tc>
          <w:tcPr>
            <w:tcW w:w="5400" w:type="dxa"/>
            <w:gridSpan w:val="2"/>
            <w:vAlign w:val="center"/>
          </w:tcPr>
          <w:p w14:paraId="004F61D0" w14:textId="77777777" w:rsidR="002337F9" w:rsidRPr="00133050" w:rsidRDefault="002337F9" w:rsidP="0026218C">
            <w:pPr>
              <w:spacing w:beforeLines="20" w:before="48" w:afterLines="20" w:after="48"/>
              <w:rPr>
                <w:noProof/>
              </w:rPr>
            </w:pPr>
            <w:r w:rsidRPr="00133050">
              <w:rPr>
                <w:noProof/>
                <w:sz w:val="21"/>
              </w:rPr>
              <w:sym w:font="Wingdings" w:char="F09F"/>
            </w:r>
            <w:r w:rsidRPr="00133050">
              <w:rPr>
                <w:noProof/>
                <w:sz w:val="21"/>
              </w:rPr>
              <w:t xml:space="preserve"> ОБЩО бюджетни кредити за административни разходи, финансирани от пакета за определени програми </w:t>
            </w:r>
          </w:p>
        </w:tc>
        <w:tc>
          <w:tcPr>
            <w:tcW w:w="654" w:type="dxa"/>
            <w:vAlign w:val="center"/>
          </w:tcPr>
          <w:p w14:paraId="006809C3" w14:textId="77777777" w:rsidR="002337F9" w:rsidRPr="00133050" w:rsidRDefault="002337F9" w:rsidP="0026218C">
            <w:pPr>
              <w:spacing w:beforeLines="20" w:before="48" w:afterLines="20" w:after="48"/>
              <w:jc w:val="center"/>
              <w:rPr>
                <w:noProof/>
                <w:sz w:val="14"/>
              </w:rPr>
            </w:pPr>
            <w:r w:rsidRPr="00133050">
              <w:rPr>
                <w:noProof/>
                <w:sz w:val="14"/>
              </w:rPr>
              <w:t>6)</w:t>
            </w:r>
          </w:p>
        </w:tc>
        <w:tc>
          <w:tcPr>
            <w:tcW w:w="868" w:type="dxa"/>
            <w:vAlign w:val="center"/>
          </w:tcPr>
          <w:p w14:paraId="324B1CDD" w14:textId="77777777" w:rsidR="002337F9" w:rsidRPr="00133050" w:rsidRDefault="002337F9" w:rsidP="0026218C">
            <w:pPr>
              <w:spacing w:before="20" w:after="20"/>
              <w:jc w:val="right"/>
              <w:rPr>
                <w:b/>
                <w:noProof/>
                <w:sz w:val="20"/>
              </w:rPr>
            </w:pPr>
          </w:p>
        </w:tc>
        <w:tc>
          <w:tcPr>
            <w:tcW w:w="868" w:type="dxa"/>
            <w:vAlign w:val="center"/>
          </w:tcPr>
          <w:p w14:paraId="069F13C8" w14:textId="77777777" w:rsidR="002337F9" w:rsidRPr="00133050" w:rsidRDefault="002337F9" w:rsidP="0026218C">
            <w:pPr>
              <w:spacing w:before="20" w:after="20"/>
              <w:jc w:val="right"/>
              <w:rPr>
                <w:b/>
                <w:noProof/>
                <w:sz w:val="20"/>
              </w:rPr>
            </w:pPr>
          </w:p>
        </w:tc>
        <w:tc>
          <w:tcPr>
            <w:tcW w:w="868" w:type="dxa"/>
            <w:vAlign w:val="center"/>
          </w:tcPr>
          <w:p w14:paraId="1FC694BF" w14:textId="77777777" w:rsidR="002337F9" w:rsidRPr="00133050" w:rsidRDefault="002337F9" w:rsidP="0026218C">
            <w:pPr>
              <w:spacing w:before="20" w:after="20"/>
              <w:jc w:val="right"/>
              <w:rPr>
                <w:b/>
                <w:noProof/>
                <w:sz w:val="20"/>
              </w:rPr>
            </w:pPr>
          </w:p>
        </w:tc>
        <w:tc>
          <w:tcPr>
            <w:tcW w:w="868" w:type="dxa"/>
            <w:vAlign w:val="center"/>
          </w:tcPr>
          <w:p w14:paraId="20451E3F" w14:textId="77777777" w:rsidR="002337F9" w:rsidRPr="00133050" w:rsidRDefault="002337F9" w:rsidP="0026218C">
            <w:pPr>
              <w:spacing w:before="20" w:after="20"/>
              <w:jc w:val="right"/>
              <w:rPr>
                <w:b/>
                <w:noProof/>
                <w:sz w:val="20"/>
              </w:rPr>
            </w:pPr>
          </w:p>
        </w:tc>
        <w:tc>
          <w:tcPr>
            <w:tcW w:w="868" w:type="dxa"/>
            <w:vAlign w:val="center"/>
          </w:tcPr>
          <w:p w14:paraId="16A61139" w14:textId="77777777" w:rsidR="002337F9" w:rsidRPr="00133050" w:rsidRDefault="002337F9" w:rsidP="0026218C">
            <w:pPr>
              <w:spacing w:before="20" w:after="20"/>
              <w:jc w:val="right"/>
              <w:rPr>
                <w:b/>
                <w:noProof/>
                <w:sz w:val="20"/>
              </w:rPr>
            </w:pPr>
          </w:p>
        </w:tc>
        <w:tc>
          <w:tcPr>
            <w:tcW w:w="868" w:type="dxa"/>
            <w:vAlign w:val="center"/>
          </w:tcPr>
          <w:p w14:paraId="7BEF679F" w14:textId="77777777" w:rsidR="002337F9" w:rsidRPr="00133050" w:rsidRDefault="002337F9" w:rsidP="0026218C">
            <w:pPr>
              <w:spacing w:before="20" w:after="20"/>
              <w:jc w:val="right"/>
              <w:rPr>
                <w:b/>
                <w:noProof/>
                <w:sz w:val="20"/>
              </w:rPr>
            </w:pPr>
          </w:p>
        </w:tc>
        <w:tc>
          <w:tcPr>
            <w:tcW w:w="868" w:type="dxa"/>
            <w:vAlign w:val="center"/>
          </w:tcPr>
          <w:p w14:paraId="2A6731E4" w14:textId="77777777" w:rsidR="002337F9" w:rsidRPr="00133050" w:rsidRDefault="002337F9" w:rsidP="0026218C">
            <w:pPr>
              <w:spacing w:before="20" w:after="20"/>
              <w:jc w:val="right"/>
              <w:rPr>
                <w:b/>
                <w:noProof/>
                <w:sz w:val="20"/>
              </w:rPr>
            </w:pPr>
          </w:p>
        </w:tc>
        <w:tc>
          <w:tcPr>
            <w:tcW w:w="1777" w:type="dxa"/>
            <w:vAlign w:val="center"/>
          </w:tcPr>
          <w:p w14:paraId="53F1C215" w14:textId="77777777" w:rsidR="002337F9" w:rsidRPr="00133050" w:rsidRDefault="002337F9" w:rsidP="0026218C">
            <w:pPr>
              <w:spacing w:before="20" w:after="20"/>
              <w:jc w:val="right"/>
              <w:rPr>
                <w:b/>
                <w:noProof/>
                <w:sz w:val="20"/>
              </w:rPr>
            </w:pPr>
          </w:p>
        </w:tc>
      </w:tr>
      <w:tr w:rsidR="002337F9" w:rsidRPr="00133050" w14:paraId="4058B8C9" w14:textId="77777777" w:rsidTr="0026218C">
        <w:tc>
          <w:tcPr>
            <w:tcW w:w="3960" w:type="dxa"/>
            <w:vMerge w:val="restart"/>
            <w:shd w:val="thinDiagStripe" w:color="C0C0C0" w:fill="auto"/>
            <w:vAlign w:val="center"/>
          </w:tcPr>
          <w:p w14:paraId="72DC61E0" w14:textId="77777777" w:rsidR="002337F9" w:rsidRPr="00133050" w:rsidRDefault="002337F9" w:rsidP="0026218C">
            <w:pPr>
              <w:jc w:val="center"/>
              <w:rPr>
                <w:b/>
                <w:noProof/>
              </w:rPr>
            </w:pPr>
            <w:r w:rsidRPr="00133050">
              <w:rPr>
                <w:b/>
                <w:noProof/>
              </w:rPr>
              <w:t xml:space="preserve">ОБЩО бюджетни кредити </w:t>
            </w:r>
            <w:r w:rsidRPr="00133050">
              <w:rPr>
                <w:noProof/>
              </w:rPr>
              <w:t xml:space="preserve"> </w:t>
            </w:r>
            <w:r w:rsidRPr="00133050">
              <w:rPr>
                <w:noProof/>
              </w:rPr>
              <w:cr/>
            </w:r>
            <w:r w:rsidRPr="00133050">
              <w:rPr>
                <w:noProof/>
              </w:rPr>
              <w:br/>
              <w:t>за</w:t>
            </w:r>
            <w:r w:rsidRPr="00133050">
              <w:rPr>
                <w:b/>
                <w:noProof/>
              </w:rPr>
              <w:t xml:space="preserve"> ФУНКЦИЯ „ТЪРГОВИЯ“</w:t>
            </w:r>
            <w:r w:rsidRPr="00133050">
              <w:rPr>
                <w:noProof/>
              </w:rPr>
              <w:t xml:space="preserve"> </w:t>
            </w:r>
            <w:r w:rsidRPr="00133050">
              <w:rPr>
                <w:noProof/>
              </w:rPr>
              <w:cr/>
            </w:r>
            <w:r w:rsidRPr="00133050">
              <w:rPr>
                <w:noProof/>
              </w:rPr>
              <w:br/>
              <w:t>от многогодишната финансова рамка</w:t>
            </w:r>
          </w:p>
        </w:tc>
        <w:tc>
          <w:tcPr>
            <w:tcW w:w="1440" w:type="dxa"/>
            <w:vAlign w:val="center"/>
          </w:tcPr>
          <w:p w14:paraId="0BA3C1D8" w14:textId="77777777" w:rsidR="002337F9" w:rsidRPr="00133050" w:rsidRDefault="002337F9" w:rsidP="0026218C">
            <w:pPr>
              <w:rPr>
                <w:noProof/>
                <w:sz w:val="18"/>
              </w:rPr>
            </w:pPr>
            <w:r w:rsidRPr="00133050">
              <w:rPr>
                <w:noProof/>
                <w:sz w:val="18"/>
              </w:rPr>
              <w:t>Поети задължения</w:t>
            </w:r>
          </w:p>
        </w:tc>
        <w:tc>
          <w:tcPr>
            <w:tcW w:w="654" w:type="dxa"/>
            <w:vAlign w:val="center"/>
          </w:tcPr>
          <w:p w14:paraId="24502B80" w14:textId="77777777" w:rsidR="002337F9" w:rsidRPr="00133050" w:rsidRDefault="002337F9" w:rsidP="0026218C">
            <w:pPr>
              <w:jc w:val="center"/>
              <w:rPr>
                <w:noProof/>
                <w:sz w:val="14"/>
              </w:rPr>
            </w:pPr>
            <w:r w:rsidRPr="00133050">
              <w:rPr>
                <w:noProof/>
                <w:sz w:val="14"/>
              </w:rPr>
              <w:t>=4 + 6</w:t>
            </w:r>
          </w:p>
        </w:tc>
        <w:tc>
          <w:tcPr>
            <w:tcW w:w="868" w:type="dxa"/>
            <w:vAlign w:val="center"/>
          </w:tcPr>
          <w:p w14:paraId="32A19189" w14:textId="77777777" w:rsidR="002337F9" w:rsidRPr="00133050" w:rsidRDefault="002337F9" w:rsidP="0026218C">
            <w:pPr>
              <w:spacing w:before="20" w:after="20"/>
              <w:jc w:val="right"/>
              <w:rPr>
                <w:noProof/>
                <w:sz w:val="20"/>
              </w:rPr>
            </w:pPr>
            <w:r w:rsidRPr="00133050">
              <w:rPr>
                <w:noProof/>
                <w:sz w:val="20"/>
              </w:rPr>
              <w:t>0,493</w:t>
            </w:r>
          </w:p>
        </w:tc>
        <w:tc>
          <w:tcPr>
            <w:tcW w:w="868" w:type="dxa"/>
            <w:vAlign w:val="center"/>
          </w:tcPr>
          <w:p w14:paraId="7B590BE8" w14:textId="77777777" w:rsidR="002337F9" w:rsidRPr="00133050" w:rsidRDefault="002337F9" w:rsidP="0026218C">
            <w:pPr>
              <w:spacing w:before="20" w:after="20"/>
              <w:jc w:val="right"/>
              <w:rPr>
                <w:noProof/>
                <w:sz w:val="20"/>
              </w:rPr>
            </w:pPr>
            <w:r w:rsidRPr="00133050">
              <w:rPr>
                <w:noProof/>
                <w:sz w:val="20"/>
              </w:rPr>
              <w:t>0,250</w:t>
            </w:r>
          </w:p>
        </w:tc>
        <w:tc>
          <w:tcPr>
            <w:tcW w:w="868" w:type="dxa"/>
            <w:vAlign w:val="center"/>
          </w:tcPr>
          <w:p w14:paraId="222ACD00" w14:textId="77777777" w:rsidR="002337F9" w:rsidRPr="00133050" w:rsidRDefault="002337F9" w:rsidP="0026218C">
            <w:pPr>
              <w:spacing w:before="20" w:after="20"/>
              <w:jc w:val="right"/>
              <w:rPr>
                <w:noProof/>
                <w:sz w:val="20"/>
              </w:rPr>
            </w:pPr>
          </w:p>
        </w:tc>
        <w:tc>
          <w:tcPr>
            <w:tcW w:w="868" w:type="dxa"/>
            <w:vAlign w:val="center"/>
          </w:tcPr>
          <w:p w14:paraId="5F074D71" w14:textId="77777777" w:rsidR="002337F9" w:rsidRPr="00133050" w:rsidRDefault="002337F9" w:rsidP="0026218C">
            <w:pPr>
              <w:spacing w:before="20" w:after="20"/>
              <w:jc w:val="right"/>
              <w:rPr>
                <w:noProof/>
                <w:sz w:val="20"/>
              </w:rPr>
            </w:pPr>
          </w:p>
        </w:tc>
        <w:tc>
          <w:tcPr>
            <w:tcW w:w="868" w:type="dxa"/>
            <w:vAlign w:val="center"/>
          </w:tcPr>
          <w:p w14:paraId="3632DD17" w14:textId="77777777" w:rsidR="002337F9" w:rsidRPr="00133050" w:rsidRDefault="002337F9" w:rsidP="0026218C">
            <w:pPr>
              <w:spacing w:before="20" w:after="20"/>
              <w:jc w:val="right"/>
              <w:rPr>
                <w:noProof/>
                <w:sz w:val="20"/>
              </w:rPr>
            </w:pPr>
          </w:p>
        </w:tc>
        <w:tc>
          <w:tcPr>
            <w:tcW w:w="868" w:type="dxa"/>
            <w:vAlign w:val="center"/>
          </w:tcPr>
          <w:p w14:paraId="58588A8E" w14:textId="77777777" w:rsidR="002337F9" w:rsidRPr="00133050" w:rsidRDefault="002337F9" w:rsidP="0026218C">
            <w:pPr>
              <w:spacing w:before="20" w:after="20"/>
              <w:jc w:val="right"/>
              <w:rPr>
                <w:noProof/>
                <w:sz w:val="20"/>
              </w:rPr>
            </w:pPr>
          </w:p>
        </w:tc>
        <w:tc>
          <w:tcPr>
            <w:tcW w:w="868" w:type="dxa"/>
            <w:vAlign w:val="center"/>
          </w:tcPr>
          <w:p w14:paraId="57C84333" w14:textId="77777777" w:rsidR="002337F9" w:rsidRPr="00133050" w:rsidRDefault="002337F9" w:rsidP="0026218C">
            <w:pPr>
              <w:spacing w:before="20" w:after="20"/>
              <w:jc w:val="right"/>
              <w:rPr>
                <w:b/>
                <w:noProof/>
                <w:sz w:val="20"/>
              </w:rPr>
            </w:pPr>
          </w:p>
        </w:tc>
        <w:tc>
          <w:tcPr>
            <w:tcW w:w="1777" w:type="dxa"/>
            <w:vAlign w:val="center"/>
          </w:tcPr>
          <w:p w14:paraId="38C6DEA9" w14:textId="77777777" w:rsidR="002337F9" w:rsidRPr="00133050" w:rsidRDefault="002337F9" w:rsidP="0026218C">
            <w:pPr>
              <w:spacing w:before="20" w:after="20"/>
              <w:jc w:val="right"/>
              <w:rPr>
                <w:b/>
                <w:noProof/>
                <w:sz w:val="20"/>
              </w:rPr>
            </w:pPr>
            <w:r w:rsidRPr="00133050">
              <w:rPr>
                <w:b/>
                <w:noProof/>
                <w:sz w:val="20"/>
              </w:rPr>
              <w:t>0,743</w:t>
            </w:r>
          </w:p>
        </w:tc>
      </w:tr>
      <w:tr w:rsidR="002337F9" w:rsidRPr="00133050" w14:paraId="5237C25D" w14:textId="77777777" w:rsidTr="0026218C">
        <w:tc>
          <w:tcPr>
            <w:tcW w:w="3960" w:type="dxa"/>
            <w:vMerge/>
            <w:shd w:val="thinDiagStripe" w:color="C0C0C0" w:fill="auto"/>
          </w:tcPr>
          <w:p w14:paraId="26B5C41F" w14:textId="77777777" w:rsidR="002337F9" w:rsidRPr="00133050" w:rsidRDefault="002337F9" w:rsidP="0026218C">
            <w:pPr>
              <w:rPr>
                <w:noProof/>
                <w:sz w:val="20"/>
              </w:rPr>
            </w:pPr>
          </w:p>
        </w:tc>
        <w:tc>
          <w:tcPr>
            <w:tcW w:w="1440" w:type="dxa"/>
            <w:vAlign w:val="center"/>
          </w:tcPr>
          <w:p w14:paraId="2631AF95" w14:textId="77777777" w:rsidR="002337F9" w:rsidRPr="00133050" w:rsidRDefault="002337F9" w:rsidP="0026218C">
            <w:pPr>
              <w:rPr>
                <w:noProof/>
                <w:sz w:val="18"/>
              </w:rPr>
            </w:pPr>
            <w:r w:rsidRPr="00133050">
              <w:rPr>
                <w:noProof/>
                <w:sz w:val="18"/>
              </w:rPr>
              <w:t>Плащания</w:t>
            </w:r>
          </w:p>
        </w:tc>
        <w:tc>
          <w:tcPr>
            <w:tcW w:w="654" w:type="dxa"/>
            <w:vAlign w:val="center"/>
          </w:tcPr>
          <w:p w14:paraId="5B29A432" w14:textId="77777777" w:rsidR="002337F9" w:rsidRPr="00133050" w:rsidRDefault="002337F9" w:rsidP="0026218C">
            <w:pPr>
              <w:jc w:val="center"/>
              <w:rPr>
                <w:noProof/>
                <w:sz w:val="14"/>
              </w:rPr>
            </w:pPr>
            <w:r w:rsidRPr="00133050">
              <w:rPr>
                <w:noProof/>
                <w:sz w:val="14"/>
              </w:rPr>
              <w:t>=5 + 6</w:t>
            </w:r>
          </w:p>
        </w:tc>
        <w:tc>
          <w:tcPr>
            <w:tcW w:w="868" w:type="dxa"/>
          </w:tcPr>
          <w:p w14:paraId="678CED6D" w14:textId="77777777" w:rsidR="002337F9" w:rsidRPr="00133050" w:rsidRDefault="002337F9" w:rsidP="0026218C">
            <w:pPr>
              <w:spacing w:before="20" w:after="20"/>
              <w:jc w:val="right"/>
              <w:rPr>
                <w:noProof/>
                <w:sz w:val="20"/>
              </w:rPr>
            </w:pPr>
            <w:r w:rsidRPr="00133050">
              <w:rPr>
                <w:noProof/>
                <w:sz w:val="20"/>
              </w:rPr>
              <w:t>0,247</w:t>
            </w:r>
          </w:p>
        </w:tc>
        <w:tc>
          <w:tcPr>
            <w:tcW w:w="868" w:type="dxa"/>
          </w:tcPr>
          <w:p w14:paraId="247D5194" w14:textId="77777777" w:rsidR="002337F9" w:rsidRPr="00133050" w:rsidRDefault="002337F9" w:rsidP="0026218C">
            <w:pPr>
              <w:spacing w:before="20" w:after="20"/>
              <w:jc w:val="right"/>
              <w:rPr>
                <w:noProof/>
                <w:sz w:val="20"/>
              </w:rPr>
            </w:pPr>
            <w:r w:rsidRPr="00133050">
              <w:rPr>
                <w:noProof/>
                <w:sz w:val="20"/>
              </w:rPr>
              <w:t>0,372</w:t>
            </w:r>
          </w:p>
        </w:tc>
        <w:tc>
          <w:tcPr>
            <w:tcW w:w="868" w:type="dxa"/>
          </w:tcPr>
          <w:p w14:paraId="76AF7294" w14:textId="77777777" w:rsidR="002337F9" w:rsidRPr="00133050" w:rsidRDefault="002337F9" w:rsidP="0026218C">
            <w:pPr>
              <w:spacing w:before="20" w:after="20"/>
              <w:jc w:val="right"/>
              <w:rPr>
                <w:noProof/>
                <w:sz w:val="20"/>
              </w:rPr>
            </w:pPr>
          </w:p>
        </w:tc>
        <w:tc>
          <w:tcPr>
            <w:tcW w:w="868" w:type="dxa"/>
          </w:tcPr>
          <w:p w14:paraId="43CB9379" w14:textId="77777777" w:rsidR="002337F9" w:rsidRPr="00133050" w:rsidRDefault="002337F9" w:rsidP="0026218C">
            <w:pPr>
              <w:spacing w:before="20" w:after="20"/>
              <w:jc w:val="right"/>
              <w:rPr>
                <w:noProof/>
                <w:sz w:val="20"/>
              </w:rPr>
            </w:pPr>
          </w:p>
        </w:tc>
        <w:tc>
          <w:tcPr>
            <w:tcW w:w="868" w:type="dxa"/>
          </w:tcPr>
          <w:p w14:paraId="73E55E99" w14:textId="77777777" w:rsidR="002337F9" w:rsidRPr="00133050" w:rsidRDefault="002337F9" w:rsidP="0026218C">
            <w:pPr>
              <w:spacing w:before="20" w:after="20"/>
              <w:jc w:val="right"/>
              <w:rPr>
                <w:noProof/>
                <w:sz w:val="20"/>
              </w:rPr>
            </w:pPr>
          </w:p>
        </w:tc>
        <w:tc>
          <w:tcPr>
            <w:tcW w:w="868" w:type="dxa"/>
          </w:tcPr>
          <w:p w14:paraId="416B0506" w14:textId="77777777" w:rsidR="002337F9" w:rsidRPr="00133050" w:rsidRDefault="002337F9" w:rsidP="0026218C">
            <w:pPr>
              <w:spacing w:before="20" w:after="20"/>
              <w:jc w:val="right"/>
              <w:rPr>
                <w:noProof/>
                <w:sz w:val="20"/>
              </w:rPr>
            </w:pPr>
          </w:p>
        </w:tc>
        <w:tc>
          <w:tcPr>
            <w:tcW w:w="868" w:type="dxa"/>
          </w:tcPr>
          <w:p w14:paraId="41AC9152" w14:textId="77777777" w:rsidR="002337F9" w:rsidRPr="00133050" w:rsidRDefault="002337F9" w:rsidP="0026218C">
            <w:pPr>
              <w:spacing w:before="20" w:after="20"/>
              <w:jc w:val="right"/>
              <w:rPr>
                <w:b/>
                <w:noProof/>
                <w:sz w:val="20"/>
              </w:rPr>
            </w:pPr>
          </w:p>
        </w:tc>
        <w:tc>
          <w:tcPr>
            <w:tcW w:w="1777" w:type="dxa"/>
          </w:tcPr>
          <w:p w14:paraId="144FBDF9" w14:textId="77777777" w:rsidR="002337F9" w:rsidRPr="00133050" w:rsidRDefault="002337F9" w:rsidP="0026218C">
            <w:pPr>
              <w:spacing w:before="20" w:after="20"/>
              <w:jc w:val="right"/>
              <w:rPr>
                <w:b/>
                <w:noProof/>
                <w:sz w:val="20"/>
              </w:rPr>
            </w:pPr>
            <w:r w:rsidRPr="00133050">
              <w:rPr>
                <w:noProof/>
                <w:sz w:val="20"/>
              </w:rPr>
              <w:t xml:space="preserve">0,619 </w:t>
            </w:r>
          </w:p>
        </w:tc>
      </w:tr>
    </w:tbl>
    <w:p w14:paraId="40283982" w14:textId="77777777" w:rsidR="002337F9" w:rsidRPr="00133050" w:rsidRDefault="002337F9" w:rsidP="002337F9">
      <w:pPr>
        <w:spacing w:after="40"/>
        <w:rPr>
          <w:b/>
          <w:noProof/>
          <w:sz w:val="22"/>
          <w:u w:val="single"/>
        </w:rPr>
      </w:pPr>
      <w:r w:rsidRPr="00133050">
        <w:rPr>
          <w:b/>
          <w:noProof/>
          <w:sz w:val="22"/>
          <w:u w:val="single"/>
        </w:rPr>
        <w:t>Ако предложението/инициативата има отражение върху повече от една оперативна функция, повторете частта по-горе:</w:t>
      </w:r>
    </w:p>
    <w:tbl>
      <w:tblPr>
        <w:tblW w:w="0" w:type="auto"/>
        <w:tblInd w:w="-252" w:type="dxa"/>
        <w:tblBorders>
          <w:top w:val="single" w:sz="4" w:space="0" w:color="FF0000"/>
          <w:left w:val="single" w:sz="4" w:space="0" w:color="FF0000"/>
          <w:bottom w:val="single" w:sz="4" w:space="0" w:color="FF0000"/>
          <w:right w:val="single" w:sz="4" w:space="0" w:color="FF0000"/>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868"/>
        <w:gridCol w:w="868"/>
        <w:gridCol w:w="868"/>
        <w:gridCol w:w="1777"/>
      </w:tblGrid>
      <w:tr w:rsidR="002337F9" w:rsidRPr="00133050" w14:paraId="60956E1C" w14:textId="77777777" w:rsidTr="0026218C">
        <w:trPr>
          <w:trHeight w:val="277"/>
        </w:trPr>
        <w:tc>
          <w:tcPr>
            <w:tcW w:w="3960" w:type="dxa"/>
            <w:vMerge w:val="restart"/>
            <w:tcBorders>
              <w:top w:val="single" w:sz="4" w:space="0" w:color="auto"/>
              <w:left w:val="single" w:sz="4" w:space="0" w:color="auto"/>
              <w:bottom w:val="single" w:sz="4" w:space="0" w:color="FF0000"/>
            </w:tcBorders>
            <w:vAlign w:val="center"/>
          </w:tcPr>
          <w:p w14:paraId="62331441" w14:textId="77777777" w:rsidR="002337F9" w:rsidRPr="00133050" w:rsidRDefault="002337F9" w:rsidP="0026218C">
            <w:pPr>
              <w:spacing w:before="20" w:after="20"/>
              <w:rPr>
                <w:noProof/>
              </w:rPr>
            </w:pPr>
            <w:r w:rsidRPr="00133050">
              <w:rPr>
                <w:noProof/>
                <w:sz w:val="21"/>
              </w:rPr>
              <w:sym w:font="Wingdings" w:char="F09F"/>
            </w:r>
            <w:r w:rsidRPr="00133050">
              <w:rPr>
                <w:noProof/>
                <w:sz w:val="21"/>
              </w:rPr>
              <w:t xml:space="preserve"> ОБЩО бюджетни кредити за оперативни разходи (всички оперативни функции)</w:t>
            </w:r>
          </w:p>
        </w:tc>
        <w:tc>
          <w:tcPr>
            <w:tcW w:w="1440" w:type="dxa"/>
            <w:tcBorders>
              <w:top w:val="single" w:sz="4" w:space="0" w:color="auto"/>
            </w:tcBorders>
            <w:vAlign w:val="center"/>
          </w:tcPr>
          <w:p w14:paraId="5C9CEE42" w14:textId="77777777" w:rsidR="002337F9" w:rsidRPr="00133050" w:rsidRDefault="002337F9" w:rsidP="0026218C">
            <w:pPr>
              <w:spacing w:beforeLines="20" w:before="48" w:afterLines="20" w:after="48"/>
              <w:rPr>
                <w:noProof/>
                <w:sz w:val="18"/>
              </w:rPr>
            </w:pPr>
            <w:r w:rsidRPr="00133050">
              <w:rPr>
                <w:noProof/>
                <w:sz w:val="18"/>
              </w:rPr>
              <w:t>Поети задължения</w:t>
            </w:r>
          </w:p>
        </w:tc>
        <w:tc>
          <w:tcPr>
            <w:tcW w:w="654" w:type="dxa"/>
            <w:tcBorders>
              <w:top w:val="single" w:sz="4" w:space="0" w:color="auto"/>
            </w:tcBorders>
            <w:vAlign w:val="center"/>
          </w:tcPr>
          <w:p w14:paraId="0B6D425B" w14:textId="77777777" w:rsidR="002337F9" w:rsidRPr="00133050" w:rsidRDefault="002337F9" w:rsidP="0026218C">
            <w:pPr>
              <w:spacing w:beforeLines="20" w:before="48" w:afterLines="20" w:after="48"/>
              <w:jc w:val="center"/>
              <w:rPr>
                <w:noProof/>
                <w:sz w:val="14"/>
              </w:rPr>
            </w:pPr>
            <w:r w:rsidRPr="00133050">
              <w:rPr>
                <w:noProof/>
                <w:sz w:val="14"/>
              </w:rPr>
              <w:t>4)</w:t>
            </w:r>
          </w:p>
        </w:tc>
        <w:tc>
          <w:tcPr>
            <w:tcW w:w="868" w:type="dxa"/>
            <w:tcBorders>
              <w:top w:val="single" w:sz="4" w:space="0" w:color="auto"/>
            </w:tcBorders>
            <w:vAlign w:val="center"/>
          </w:tcPr>
          <w:p w14:paraId="79975181" w14:textId="77777777" w:rsidR="002337F9" w:rsidRPr="00133050" w:rsidRDefault="002337F9" w:rsidP="0026218C">
            <w:pPr>
              <w:spacing w:before="20" w:after="20"/>
              <w:jc w:val="right"/>
              <w:rPr>
                <w:noProof/>
                <w:sz w:val="20"/>
              </w:rPr>
            </w:pPr>
            <w:r w:rsidRPr="00133050">
              <w:rPr>
                <w:noProof/>
                <w:sz w:val="20"/>
              </w:rPr>
              <w:t>0,493</w:t>
            </w:r>
          </w:p>
        </w:tc>
        <w:tc>
          <w:tcPr>
            <w:tcW w:w="868" w:type="dxa"/>
            <w:tcBorders>
              <w:top w:val="single" w:sz="4" w:space="0" w:color="auto"/>
            </w:tcBorders>
            <w:vAlign w:val="center"/>
          </w:tcPr>
          <w:p w14:paraId="3D1EC7C3" w14:textId="77777777" w:rsidR="002337F9" w:rsidRPr="00133050" w:rsidRDefault="002337F9" w:rsidP="0026218C">
            <w:pPr>
              <w:spacing w:before="20" w:after="20"/>
              <w:jc w:val="right"/>
              <w:rPr>
                <w:noProof/>
                <w:sz w:val="20"/>
              </w:rPr>
            </w:pPr>
            <w:r w:rsidRPr="00133050">
              <w:rPr>
                <w:noProof/>
                <w:sz w:val="20"/>
              </w:rPr>
              <w:t>0,250</w:t>
            </w:r>
          </w:p>
        </w:tc>
        <w:tc>
          <w:tcPr>
            <w:tcW w:w="868" w:type="dxa"/>
            <w:tcBorders>
              <w:top w:val="single" w:sz="4" w:space="0" w:color="auto"/>
            </w:tcBorders>
            <w:vAlign w:val="center"/>
          </w:tcPr>
          <w:p w14:paraId="60E24E18" w14:textId="77777777" w:rsidR="002337F9" w:rsidRPr="00133050" w:rsidRDefault="002337F9" w:rsidP="0026218C">
            <w:pPr>
              <w:spacing w:before="20" w:after="20"/>
              <w:jc w:val="right"/>
              <w:rPr>
                <w:noProof/>
                <w:sz w:val="20"/>
              </w:rPr>
            </w:pPr>
          </w:p>
        </w:tc>
        <w:tc>
          <w:tcPr>
            <w:tcW w:w="868" w:type="dxa"/>
            <w:tcBorders>
              <w:top w:val="single" w:sz="4" w:space="0" w:color="auto"/>
            </w:tcBorders>
            <w:vAlign w:val="center"/>
          </w:tcPr>
          <w:p w14:paraId="64DAC8C8" w14:textId="77777777" w:rsidR="002337F9" w:rsidRPr="00133050" w:rsidRDefault="002337F9" w:rsidP="0026218C">
            <w:pPr>
              <w:spacing w:before="20" w:after="20"/>
              <w:jc w:val="right"/>
              <w:rPr>
                <w:noProof/>
                <w:sz w:val="20"/>
              </w:rPr>
            </w:pPr>
          </w:p>
        </w:tc>
        <w:tc>
          <w:tcPr>
            <w:tcW w:w="868" w:type="dxa"/>
            <w:tcBorders>
              <w:top w:val="single" w:sz="4" w:space="0" w:color="auto"/>
            </w:tcBorders>
            <w:vAlign w:val="center"/>
          </w:tcPr>
          <w:p w14:paraId="3855873C" w14:textId="77777777" w:rsidR="002337F9" w:rsidRPr="00133050" w:rsidRDefault="002337F9" w:rsidP="0026218C">
            <w:pPr>
              <w:spacing w:before="20" w:after="20"/>
              <w:jc w:val="right"/>
              <w:rPr>
                <w:noProof/>
                <w:sz w:val="20"/>
              </w:rPr>
            </w:pPr>
          </w:p>
        </w:tc>
        <w:tc>
          <w:tcPr>
            <w:tcW w:w="868" w:type="dxa"/>
            <w:tcBorders>
              <w:top w:val="single" w:sz="4" w:space="0" w:color="auto"/>
            </w:tcBorders>
            <w:vAlign w:val="center"/>
          </w:tcPr>
          <w:p w14:paraId="4431D5D3" w14:textId="77777777" w:rsidR="002337F9" w:rsidRPr="00133050" w:rsidRDefault="002337F9" w:rsidP="0026218C">
            <w:pPr>
              <w:spacing w:before="20" w:after="20"/>
              <w:jc w:val="right"/>
              <w:rPr>
                <w:noProof/>
                <w:sz w:val="20"/>
              </w:rPr>
            </w:pPr>
          </w:p>
        </w:tc>
        <w:tc>
          <w:tcPr>
            <w:tcW w:w="868" w:type="dxa"/>
            <w:tcBorders>
              <w:top w:val="single" w:sz="4" w:space="0" w:color="auto"/>
            </w:tcBorders>
            <w:vAlign w:val="center"/>
          </w:tcPr>
          <w:p w14:paraId="46E4CF00" w14:textId="77777777" w:rsidR="002337F9" w:rsidRPr="00133050" w:rsidRDefault="002337F9" w:rsidP="0026218C">
            <w:pPr>
              <w:spacing w:before="20" w:after="20"/>
              <w:jc w:val="right"/>
              <w:rPr>
                <w:b/>
                <w:noProof/>
                <w:sz w:val="20"/>
              </w:rPr>
            </w:pPr>
          </w:p>
        </w:tc>
        <w:tc>
          <w:tcPr>
            <w:tcW w:w="1777" w:type="dxa"/>
            <w:tcBorders>
              <w:top w:val="single" w:sz="4" w:space="0" w:color="auto"/>
              <w:right w:val="single" w:sz="4" w:space="0" w:color="auto"/>
            </w:tcBorders>
            <w:vAlign w:val="center"/>
          </w:tcPr>
          <w:p w14:paraId="52E61A8D" w14:textId="77777777" w:rsidR="002337F9" w:rsidRPr="00133050" w:rsidRDefault="002337F9" w:rsidP="0026218C">
            <w:pPr>
              <w:spacing w:before="20" w:after="20"/>
              <w:jc w:val="right"/>
              <w:rPr>
                <w:b/>
                <w:noProof/>
                <w:sz w:val="20"/>
              </w:rPr>
            </w:pPr>
            <w:r w:rsidRPr="00133050">
              <w:rPr>
                <w:b/>
                <w:noProof/>
                <w:sz w:val="20"/>
              </w:rPr>
              <w:t>0,743</w:t>
            </w:r>
          </w:p>
        </w:tc>
      </w:tr>
      <w:tr w:rsidR="002337F9" w:rsidRPr="00133050" w14:paraId="44021567" w14:textId="77777777" w:rsidTr="0026218C">
        <w:tc>
          <w:tcPr>
            <w:tcW w:w="3960" w:type="dxa"/>
            <w:vMerge/>
            <w:tcBorders>
              <w:top w:val="single" w:sz="4" w:space="0" w:color="FF0000"/>
              <w:left w:val="single" w:sz="4" w:space="0" w:color="auto"/>
              <w:bottom w:val="single" w:sz="4" w:space="0" w:color="FF0000"/>
            </w:tcBorders>
          </w:tcPr>
          <w:p w14:paraId="5FAE0EAC" w14:textId="77777777" w:rsidR="002337F9" w:rsidRPr="00133050" w:rsidRDefault="002337F9" w:rsidP="0026218C">
            <w:pPr>
              <w:jc w:val="center"/>
              <w:rPr>
                <w:noProof/>
                <w:sz w:val="20"/>
              </w:rPr>
            </w:pPr>
          </w:p>
        </w:tc>
        <w:tc>
          <w:tcPr>
            <w:tcW w:w="1440" w:type="dxa"/>
            <w:vAlign w:val="center"/>
          </w:tcPr>
          <w:p w14:paraId="3375C8E8" w14:textId="77777777" w:rsidR="002337F9" w:rsidRPr="00133050" w:rsidRDefault="002337F9" w:rsidP="0026218C">
            <w:pPr>
              <w:spacing w:beforeLines="20" w:before="48" w:afterLines="20" w:after="48"/>
              <w:rPr>
                <w:noProof/>
                <w:sz w:val="18"/>
              </w:rPr>
            </w:pPr>
            <w:r w:rsidRPr="00133050">
              <w:rPr>
                <w:noProof/>
                <w:sz w:val="18"/>
              </w:rPr>
              <w:t>Плащания</w:t>
            </w:r>
          </w:p>
        </w:tc>
        <w:tc>
          <w:tcPr>
            <w:tcW w:w="654" w:type="dxa"/>
            <w:vAlign w:val="center"/>
          </w:tcPr>
          <w:p w14:paraId="48A93FC0" w14:textId="77777777" w:rsidR="002337F9" w:rsidRPr="00133050" w:rsidRDefault="002337F9" w:rsidP="0026218C">
            <w:pPr>
              <w:spacing w:beforeLines="20" w:before="48" w:afterLines="20" w:after="48"/>
              <w:jc w:val="center"/>
              <w:rPr>
                <w:noProof/>
                <w:sz w:val="14"/>
              </w:rPr>
            </w:pPr>
            <w:r w:rsidRPr="00133050">
              <w:rPr>
                <w:noProof/>
                <w:sz w:val="14"/>
              </w:rPr>
              <w:t>5)</w:t>
            </w:r>
          </w:p>
        </w:tc>
        <w:tc>
          <w:tcPr>
            <w:tcW w:w="868" w:type="dxa"/>
          </w:tcPr>
          <w:p w14:paraId="1FFF8FEE" w14:textId="77777777" w:rsidR="002337F9" w:rsidRPr="00133050" w:rsidRDefault="002337F9" w:rsidP="0026218C">
            <w:pPr>
              <w:spacing w:before="20" w:after="20"/>
              <w:jc w:val="right"/>
              <w:rPr>
                <w:noProof/>
                <w:sz w:val="20"/>
              </w:rPr>
            </w:pPr>
            <w:r w:rsidRPr="00133050">
              <w:rPr>
                <w:noProof/>
                <w:sz w:val="20"/>
              </w:rPr>
              <w:t>0,247</w:t>
            </w:r>
          </w:p>
        </w:tc>
        <w:tc>
          <w:tcPr>
            <w:tcW w:w="868" w:type="dxa"/>
          </w:tcPr>
          <w:p w14:paraId="2A415582" w14:textId="77777777" w:rsidR="002337F9" w:rsidRPr="00133050" w:rsidRDefault="002337F9" w:rsidP="0026218C">
            <w:pPr>
              <w:spacing w:before="20" w:after="20"/>
              <w:jc w:val="right"/>
              <w:rPr>
                <w:noProof/>
                <w:sz w:val="20"/>
              </w:rPr>
            </w:pPr>
            <w:r w:rsidRPr="00133050">
              <w:rPr>
                <w:noProof/>
                <w:sz w:val="20"/>
              </w:rPr>
              <w:t>0,372</w:t>
            </w:r>
          </w:p>
        </w:tc>
        <w:tc>
          <w:tcPr>
            <w:tcW w:w="868" w:type="dxa"/>
          </w:tcPr>
          <w:p w14:paraId="277A30F9" w14:textId="77777777" w:rsidR="002337F9" w:rsidRPr="00133050" w:rsidRDefault="002337F9" w:rsidP="0026218C">
            <w:pPr>
              <w:spacing w:before="20" w:after="20"/>
              <w:jc w:val="right"/>
              <w:rPr>
                <w:noProof/>
                <w:sz w:val="20"/>
              </w:rPr>
            </w:pPr>
          </w:p>
        </w:tc>
        <w:tc>
          <w:tcPr>
            <w:tcW w:w="868" w:type="dxa"/>
          </w:tcPr>
          <w:p w14:paraId="15B584A5" w14:textId="77777777" w:rsidR="002337F9" w:rsidRPr="00133050" w:rsidRDefault="002337F9" w:rsidP="0026218C">
            <w:pPr>
              <w:spacing w:before="20" w:after="20"/>
              <w:jc w:val="right"/>
              <w:rPr>
                <w:noProof/>
                <w:sz w:val="20"/>
              </w:rPr>
            </w:pPr>
          </w:p>
        </w:tc>
        <w:tc>
          <w:tcPr>
            <w:tcW w:w="868" w:type="dxa"/>
          </w:tcPr>
          <w:p w14:paraId="6FAE6CA7" w14:textId="77777777" w:rsidR="002337F9" w:rsidRPr="00133050" w:rsidRDefault="002337F9" w:rsidP="0026218C">
            <w:pPr>
              <w:spacing w:before="20" w:after="20"/>
              <w:jc w:val="right"/>
              <w:rPr>
                <w:noProof/>
                <w:sz w:val="20"/>
              </w:rPr>
            </w:pPr>
          </w:p>
        </w:tc>
        <w:tc>
          <w:tcPr>
            <w:tcW w:w="868" w:type="dxa"/>
          </w:tcPr>
          <w:p w14:paraId="118B4426" w14:textId="77777777" w:rsidR="002337F9" w:rsidRPr="00133050" w:rsidRDefault="002337F9" w:rsidP="0026218C">
            <w:pPr>
              <w:spacing w:before="20" w:after="20"/>
              <w:jc w:val="right"/>
              <w:rPr>
                <w:noProof/>
                <w:sz w:val="20"/>
              </w:rPr>
            </w:pPr>
          </w:p>
        </w:tc>
        <w:tc>
          <w:tcPr>
            <w:tcW w:w="868" w:type="dxa"/>
          </w:tcPr>
          <w:p w14:paraId="26C2147D" w14:textId="77777777" w:rsidR="002337F9" w:rsidRPr="00133050" w:rsidRDefault="002337F9" w:rsidP="0026218C">
            <w:pPr>
              <w:spacing w:before="20" w:after="20"/>
              <w:jc w:val="right"/>
              <w:rPr>
                <w:b/>
                <w:noProof/>
                <w:sz w:val="20"/>
              </w:rPr>
            </w:pPr>
          </w:p>
        </w:tc>
        <w:tc>
          <w:tcPr>
            <w:tcW w:w="1777" w:type="dxa"/>
            <w:tcBorders>
              <w:right w:val="single" w:sz="4" w:space="0" w:color="auto"/>
            </w:tcBorders>
          </w:tcPr>
          <w:p w14:paraId="7E98B91A" w14:textId="77777777" w:rsidR="002337F9" w:rsidRPr="00133050" w:rsidRDefault="002337F9" w:rsidP="0026218C">
            <w:pPr>
              <w:spacing w:before="20" w:after="20"/>
              <w:jc w:val="right"/>
              <w:rPr>
                <w:b/>
                <w:noProof/>
                <w:sz w:val="20"/>
              </w:rPr>
            </w:pPr>
            <w:r w:rsidRPr="00133050">
              <w:rPr>
                <w:noProof/>
                <w:sz w:val="20"/>
              </w:rPr>
              <w:t xml:space="preserve">0,619 </w:t>
            </w:r>
          </w:p>
        </w:tc>
      </w:tr>
      <w:tr w:rsidR="002337F9" w:rsidRPr="00133050" w14:paraId="5949113E" w14:textId="77777777" w:rsidTr="0026218C">
        <w:tblPrEx>
          <w:tblBorders>
            <w:top w:val="single" w:sz="4" w:space="0" w:color="auto"/>
            <w:left w:val="single" w:sz="4" w:space="0" w:color="auto"/>
            <w:bottom w:val="single" w:sz="4" w:space="0" w:color="auto"/>
            <w:right w:val="single" w:sz="4" w:space="0" w:color="auto"/>
          </w:tblBorders>
        </w:tblPrEx>
        <w:trPr>
          <w:trHeight w:val="533"/>
        </w:trPr>
        <w:tc>
          <w:tcPr>
            <w:tcW w:w="5400" w:type="dxa"/>
            <w:gridSpan w:val="2"/>
            <w:vAlign w:val="center"/>
          </w:tcPr>
          <w:p w14:paraId="1EFBED1B" w14:textId="77777777" w:rsidR="002337F9" w:rsidRPr="00133050" w:rsidRDefault="002337F9" w:rsidP="0026218C">
            <w:pPr>
              <w:spacing w:beforeLines="20" w:before="48" w:afterLines="20" w:after="48"/>
              <w:rPr>
                <w:noProof/>
              </w:rPr>
            </w:pPr>
            <w:r w:rsidRPr="00133050">
              <w:rPr>
                <w:noProof/>
                <w:sz w:val="21"/>
              </w:rPr>
              <w:t>ОБЩО бюджетни кредити за административни разходи, финансирани от пакета за определени програми (всички оперативни функции)</w:t>
            </w:r>
          </w:p>
        </w:tc>
        <w:tc>
          <w:tcPr>
            <w:tcW w:w="654" w:type="dxa"/>
            <w:vAlign w:val="center"/>
          </w:tcPr>
          <w:p w14:paraId="41C3F2BC" w14:textId="77777777" w:rsidR="002337F9" w:rsidRPr="00133050" w:rsidRDefault="002337F9" w:rsidP="0026218C">
            <w:pPr>
              <w:rPr>
                <w:noProof/>
              </w:rPr>
            </w:pPr>
          </w:p>
          <w:p w14:paraId="1543EC8B" w14:textId="77777777" w:rsidR="002337F9" w:rsidRPr="00133050" w:rsidRDefault="002337F9" w:rsidP="0026218C">
            <w:pPr>
              <w:spacing w:beforeLines="20" w:before="48" w:afterLines="20" w:after="48"/>
              <w:jc w:val="center"/>
              <w:rPr>
                <w:noProof/>
                <w:sz w:val="14"/>
              </w:rPr>
            </w:pPr>
            <w:r w:rsidRPr="00133050">
              <w:rPr>
                <w:noProof/>
                <w:sz w:val="14"/>
              </w:rPr>
              <w:t>6)</w:t>
            </w:r>
          </w:p>
        </w:tc>
        <w:tc>
          <w:tcPr>
            <w:tcW w:w="868" w:type="dxa"/>
            <w:vAlign w:val="center"/>
          </w:tcPr>
          <w:p w14:paraId="69D64698" w14:textId="77777777" w:rsidR="002337F9" w:rsidRPr="00133050" w:rsidRDefault="002337F9" w:rsidP="0026218C">
            <w:pPr>
              <w:spacing w:before="20" w:after="20"/>
              <w:jc w:val="right"/>
              <w:rPr>
                <w:b/>
                <w:noProof/>
                <w:sz w:val="20"/>
              </w:rPr>
            </w:pPr>
          </w:p>
        </w:tc>
        <w:tc>
          <w:tcPr>
            <w:tcW w:w="868" w:type="dxa"/>
            <w:vAlign w:val="center"/>
          </w:tcPr>
          <w:p w14:paraId="5C5F149A" w14:textId="77777777" w:rsidR="002337F9" w:rsidRPr="00133050" w:rsidRDefault="002337F9" w:rsidP="0026218C">
            <w:pPr>
              <w:spacing w:before="20" w:after="20"/>
              <w:jc w:val="right"/>
              <w:rPr>
                <w:b/>
                <w:noProof/>
                <w:sz w:val="20"/>
              </w:rPr>
            </w:pPr>
          </w:p>
        </w:tc>
        <w:tc>
          <w:tcPr>
            <w:tcW w:w="868" w:type="dxa"/>
            <w:vAlign w:val="center"/>
          </w:tcPr>
          <w:p w14:paraId="46A63A8D" w14:textId="77777777" w:rsidR="002337F9" w:rsidRPr="00133050" w:rsidRDefault="002337F9" w:rsidP="0026218C">
            <w:pPr>
              <w:spacing w:before="20" w:after="20"/>
              <w:jc w:val="right"/>
              <w:rPr>
                <w:b/>
                <w:noProof/>
                <w:sz w:val="20"/>
              </w:rPr>
            </w:pPr>
          </w:p>
        </w:tc>
        <w:tc>
          <w:tcPr>
            <w:tcW w:w="868" w:type="dxa"/>
            <w:vAlign w:val="center"/>
          </w:tcPr>
          <w:p w14:paraId="72210E8F" w14:textId="77777777" w:rsidR="002337F9" w:rsidRPr="00133050" w:rsidRDefault="002337F9" w:rsidP="0026218C">
            <w:pPr>
              <w:spacing w:before="20" w:after="20"/>
              <w:jc w:val="right"/>
              <w:rPr>
                <w:b/>
                <w:noProof/>
                <w:sz w:val="20"/>
              </w:rPr>
            </w:pPr>
          </w:p>
        </w:tc>
        <w:tc>
          <w:tcPr>
            <w:tcW w:w="868" w:type="dxa"/>
            <w:vAlign w:val="center"/>
          </w:tcPr>
          <w:p w14:paraId="79386DE5" w14:textId="77777777" w:rsidR="002337F9" w:rsidRPr="00133050" w:rsidRDefault="002337F9" w:rsidP="0026218C">
            <w:pPr>
              <w:spacing w:before="20" w:after="20"/>
              <w:jc w:val="right"/>
              <w:rPr>
                <w:b/>
                <w:noProof/>
                <w:sz w:val="20"/>
              </w:rPr>
            </w:pPr>
          </w:p>
        </w:tc>
        <w:tc>
          <w:tcPr>
            <w:tcW w:w="868" w:type="dxa"/>
            <w:vAlign w:val="center"/>
          </w:tcPr>
          <w:p w14:paraId="04DCE467" w14:textId="77777777" w:rsidR="002337F9" w:rsidRPr="00133050" w:rsidRDefault="002337F9" w:rsidP="0026218C">
            <w:pPr>
              <w:spacing w:before="20" w:after="20"/>
              <w:jc w:val="right"/>
              <w:rPr>
                <w:b/>
                <w:noProof/>
                <w:sz w:val="20"/>
              </w:rPr>
            </w:pPr>
          </w:p>
        </w:tc>
        <w:tc>
          <w:tcPr>
            <w:tcW w:w="868" w:type="dxa"/>
            <w:vAlign w:val="center"/>
          </w:tcPr>
          <w:p w14:paraId="293300C9" w14:textId="77777777" w:rsidR="002337F9" w:rsidRPr="00133050" w:rsidRDefault="002337F9" w:rsidP="0026218C">
            <w:pPr>
              <w:spacing w:before="20" w:after="20"/>
              <w:jc w:val="right"/>
              <w:rPr>
                <w:b/>
                <w:noProof/>
                <w:sz w:val="20"/>
              </w:rPr>
            </w:pPr>
          </w:p>
        </w:tc>
        <w:tc>
          <w:tcPr>
            <w:tcW w:w="1777" w:type="dxa"/>
            <w:vAlign w:val="center"/>
          </w:tcPr>
          <w:p w14:paraId="24B1EFCB" w14:textId="77777777" w:rsidR="002337F9" w:rsidRPr="00133050" w:rsidRDefault="002337F9" w:rsidP="0026218C">
            <w:pPr>
              <w:spacing w:before="20" w:after="20"/>
              <w:jc w:val="right"/>
              <w:rPr>
                <w:b/>
                <w:noProof/>
                <w:sz w:val="20"/>
              </w:rPr>
            </w:pPr>
          </w:p>
        </w:tc>
      </w:tr>
      <w:tr w:rsidR="002337F9" w:rsidRPr="00133050" w14:paraId="11727F2C" w14:textId="77777777" w:rsidTr="0026218C">
        <w:tc>
          <w:tcPr>
            <w:tcW w:w="3960" w:type="dxa"/>
            <w:vMerge w:val="restart"/>
            <w:tcBorders>
              <w:top w:val="single" w:sz="4" w:space="0" w:color="FF0000"/>
              <w:left w:val="single" w:sz="4" w:space="0" w:color="auto"/>
              <w:bottom w:val="single" w:sz="4" w:space="0" w:color="FF0000"/>
            </w:tcBorders>
            <w:shd w:val="thinDiagStripe" w:color="C0C0C0" w:fill="auto"/>
            <w:vAlign w:val="center"/>
          </w:tcPr>
          <w:p w14:paraId="632750D6" w14:textId="77777777" w:rsidR="002337F9" w:rsidRPr="00133050" w:rsidRDefault="002337F9" w:rsidP="0026218C">
            <w:pPr>
              <w:jc w:val="center"/>
              <w:rPr>
                <w:b/>
                <w:noProof/>
              </w:rPr>
            </w:pPr>
            <w:r w:rsidRPr="00133050">
              <w:rPr>
                <w:b/>
                <w:noProof/>
              </w:rPr>
              <w:t xml:space="preserve">ОБЩО бюджетни кредити </w:t>
            </w:r>
            <w:r w:rsidRPr="00133050">
              <w:rPr>
                <w:noProof/>
              </w:rPr>
              <w:t xml:space="preserve"> </w:t>
            </w:r>
            <w:r w:rsidRPr="00133050">
              <w:rPr>
                <w:noProof/>
              </w:rPr>
              <w:cr/>
            </w:r>
            <w:r w:rsidRPr="00133050">
              <w:rPr>
                <w:noProof/>
              </w:rPr>
              <w:br/>
              <w:t>за</w:t>
            </w:r>
            <w:r w:rsidRPr="00133050">
              <w:rPr>
                <w:b/>
                <w:noProof/>
              </w:rPr>
              <w:t xml:space="preserve"> ФУНКЦИИ 1—6</w:t>
            </w:r>
            <w:r w:rsidRPr="00133050">
              <w:rPr>
                <w:noProof/>
              </w:rPr>
              <w:t xml:space="preserve"> </w:t>
            </w:r>
            <w:r w:rsidRPr="00133050">
              <w:rPr>
                <w:noProof/>
              </w:rPr>
              <w:cr/>
            </w:r>
            <w:r w:rsidRPr="00133050">
              <w:rPr>
                <w:noProof/>
              </w:rPr>
              <w:br/>
              <w:t xml:space="preserve">от многогодишната финансова рамка </w:t>
            </w:r>
            <w:r w:rsidRPr="00133050">
              <w:rPr>
                <w:noProof/>
              </w:rPr>
              <w:cr/>
            </w:r>
            <w:r w:rsidRPr="00133050">
              <w:rPr>
                <w:noProof/>
              </w:rPr>
              <w:br/>
            </w:r>
            <w:r w:rsidRPr="00133050">
              <w:rPr>
                <w:noProof/>
                <w:sz w:val="20"/>
              </w:rPr>
              <w:t>(референтна стойност)</w:t>
            </w:r>
          </w:p>
        </w:tc>
        <w:tc>
          <w:tcPr>
            <w:tcW w:w="1440" w:type="dxa"/>
            <w:vAlign w:val="center"/>
          </w:tcPr>
          <w:p w14:paraId="76550F5C" w14:textId="77777777" w:rsidR="002337F9" w:rsidRPr="00133050" w:rsidRDefault="002337F9" w:rsidP="0026218C">
            <w:pPr>
              <w:rPr>
                <w:noProof/>
                <w:sz w:val="18"/>
              </w:rPr>
            </w:pPr>
            <w:r w:rsidRPr="00133050">
              <w:rPr>
                <w:noProof/>
                <w:sz w:val="18"/>
              </w:rPr>
              <w:t>Поети задължения</w:t>
            </w:r>
          </w:p>
        </w:tc>
        <w:tc>
          <w:tcPr>
            <w:tcW w:w="654" w:type="dxa"/>
            <w:vAlign w:val="center"/>
          </w:tcPr>
          <w:p w14:paraId="383B32A9" w14:textId="77777777" w:rsidR="002337F9" w:rsidRPr="00133050" w:rsidRDefault="002337F9" w:rsidP="0026218C">
            <w:pPr>
              <w:jc w:val="center"/>
              <w:rPr>
                <w:noProof/>
                <w:sz w:val="14"/>
              </w:rPr>
            </w:pPr>
            <w:r w:rsidRPr="00133050">
              <w:rPr>
                <w:noProof/>
                <w:sz w:val="14"/>
              </w:rPr>
              <w:t>=4 + 6</w:t>
            </w:r>
          </w:p>
        </w:tc>
        <w:tc>
          <w:tcPr>
            <w:tcW w:w="868" w:type="dxa"/>
            <w:vAlign w:val="center"/>
          </w:tcPr>
          <w:p w14:paraId="52134925" w14:textId="77777777" w:rsidR="002337F9" w:rsidRPr="00133050" w:rsidRDefault="002337F9" w:rsidP="0026218C">
            <w:pPr>
              <w:spacing w:before="20" w:after="20"/>
              <w:jc w:val="right"/>
              <w:rPr>
                <w:noProof/>
                <w:sz w:val="20"/>
              </w:rPr>
            </w:pPr>
            <w:r w:rsidRPr="00133050">
              <w:rPr>
                <w:noProof/>
                <w:sz w:val="20"/>
              </w:rPr>
              <w:t>0,493</w:t>
            </w:r>
          </w:p>
        </w:tc>
        <w:tc>
          <w:tcPr>
            <w:tcW w:w="868" w:type="dxa"/>
            <w:vAlign w:val="center"/>
          </w:tcPr>
          <w:p w14:paraId="48EA02C8" w14:textId="77777777" w:rsidR="002337F9" w:rsidRPr="00133050" w:rsidRDefault="002337F9" w:rsidP="0026218C">
            <w:pPr>
              <w:spacing w:before="20" w:after="20"/>
              <w:jc w:val="right"/>
              <w:rPr>
                <w:noProof/>
                <w:sz w:val="20"/>
              </w:rPr>
            </w:pPr>
            <w:r w:rsidRPr="00133050">
              <w:rPr>
                <w:noProof/>
                <w:sz w:val="20"/>
              </w:rPr>
              <w:t>0,250</w:t>
            </w:r>
          </w:p>
        </w:tc>
        <w:tc>
          <w:tcPr>
            <w:tcW w:w="868" w:type="dxa"/>
            <w:vAlign w:val="center"/>
          </w:tcPr>
          <w:p w14:paraId="5479938A" w14:textId="77777777" w:rsidR="002337F9" w:rsidRPr="00133050" w:rsidRDefault="002337F9" w:rsidP="0026218C">
            <w:pPr>
              <w:spacing w:before="20" w:after="20"/>
              <w:jc w:val="right"/>
              <w:rPr>
                <w:noProof/>
                <w:sz w:val="20"/>
              </w:rPr>
            </w:pPr>
          </w:p>
        </w:tc>
        <w:tc>
          <w:tcPr>
            <w:tcW w:w="868" w:type="dxa"/>
            <w:vAlign w:val="center"/>
          </w:tcPr>
          <w:p w14:paraId="571DE9A7" w14:textId="77777777" w:rsidR="002337F9" w:rsidRPr="00133050" w:rsidRDefault="002337F9" w:rsidP="0026218C">
            <w:pPr>
              <w:spacing w:before="20" w:after="20"/>
              <w:jc w:val="right"/>
              <w:rPr>
                <w:noProof/>
                <w:sz w:val="20"/>
              </w:rPr>
            </w:pPr>
          </w:p>
        </w:tc>
        <w:tc>
          <w:tcPr>
            <w:tcW w:w="868" w:type="dxa"/>
            <w:vAlign w:val="center"/>
          </w:tcPr>
          <w:p w14:paraId="31998150" w14:textId="77777777" w:rsidR="002337F9" w:rsidRPr="00133050" w:rsidRDefault="002337F9" w:rsidP="0026218C">
            <w:pPr>
              <w:spacing w:before="20" w:after="20"/>
              <w:jc w:val="right"/>
              <w:rPr>
                <w:noProof/>
                <w:sz w:val="20"/>
              </w:rPr>
            </w:pPr>
          </w:p>
        </w:tc>
        <w:tc>
          <w:tcPr>
            <w:tcW w:w="868" w:type="dxa"/>
            <w:vAlign w:val="center"/>
          </w:tcPr>
          <w:p w14:paraId="6902A523" w14:textId="77777777" w:rsidR="002337F9" w:rsidRPr="00133050" w:rsidRDefault="002337F9" w:rsidP="0026218C">
            <w:pPr>
              <w:spacing w:before="20" w:after="20"/>
              <w:jc w:val="right"/>
              <w:rPr>
                <w:noProof/>
                <w:sz w:val="20"/>
              </w:rPr>
            </w:pPr>
          </w:p>
        </w:tc>
        <w:tc>
          <w:tcPr>
            <w:tcW w:w="868" w:type="dxa"/>
            <w:vAlign w:val="center"/>
          </w:tcPr>
          <w:p w14:paraId="25863012" w14:textId="77777777" w:rsidR="002337F9" w:rsidRPr="00133050" w:rsidRDefault="002337F9" w:rsidP="0026218C">
            <w:pPr>
              <w:spacing w:before="20" w:after="20"/>
              <w:jc w:val="right"/>
              <w:rPr>
                <w:b/>
                <w:noProof/>
                <w:sz w:val="20"/>
              </w:rPr>
            </w:pPr>
          </w:p>
        </w:tc>
        <w:tc>
          <w:tcPr>
            <w:tcW w:w="1777" w:type="dxa"/>
            <w:tcBorders>
              <w:right w:val="single" w:sz="4" w:space="0" w:color="auto"/>
            </w:tcBorders>
            <w:vAlign w:val="center"/>
          </w:tcPr>
          <w:p w14:paraId="27EEDBC9" w14:textId="77777777" w:rsidR="002337F9" w:rsidRPr="00133050" w:rsidRDefault="002337F9" w:rsidP="0026218C">
            <w:pPr>
              <w:spacing w:before="20" w:after="20"/>
              <w:jc w:val="right"/>
              <w:rPr>
                <w:b/>
                <w:noProof/>
                <w:sz w:val="20"/>
              </w:rPr>
            </w:pPr>
            <w:r w:rsidRPr="00133050">
              <w:rPr>
                <w:b/>
                <w:noProof/>
                <w:sz w:val="20"/>
              </w:rPr>
              <w:t>0,743</w:t>
            </w:r>
          </w:p>
        </w:tc>
      </w:tr>
      <w:tr w:rsidR="002337F9" w:rsidRPr="00133050" w14:paraId="72F2ACEF" w14:textId="77777777" w:rsidTr="0026218C">
        <w:tc>
          <w:tcPr>
            <w:tcW w:w="3960" w:type="dxa"/>
            <w:vMerge/>
            <w:tcBorders>
              <w:top w:val="single" w:sz="4" w:space="0" w:color="FF0000"/>
              <w:left w:val="single" w:sz="4" w:space="0" w:color="auto"/>
              <w:bottom w:val="single" w:sz="4" w:space="0" w:color="auto"/>
            </w:tcBorders>
            <w:shd w:val="thinDiagStripe" w:color="C0C0C0" w:fill="auto"/>
          </w:tcPr>
          <w:p w14:paraId="70856398" w14:textId="77777777" w:rsidR="002337F9" w:rsidRPr="00133050" w:rsidRDefault="002337F9" w:rsidP="0026218C">
            <w:pPr>
              <w:rPr>
                <w:noProof/>
                <w:sz w:val="20"/>
              </w:rPr>
            </w:pPr>
          </w:p>
        </w:tc>
        <w:tc>
          <w:tcPr>
            <w:tcW w:w="1440" w:type="dxa"/>
            <w:tcBorders>
              <w:bottom w:val="single" w:sz="4" w:space="0" w:color="auto"/>
            </w:tcBorders>
            <w:vAlign w:val="center"/>
          </w:tcPr>
          <w:p w14:paraId="484AA94B" w14:textId="77777777" w:rsidR="002337F9" w:rsidRPr="00133050" w:rsidRDefault="002337F9" w:rsidP="0026218C">
            <w:pPr>
              <w:rPr>
                <w:noProof/>
                <w:sz w:val="18"/>
              </w:rPr>
            </w:pPr>
            <w:r w:rsidRPr="00133050">
              <w:rPr>
                <w:noProof/>
                <w:sz w:val="18"/>
              </w:rPr>
              <w:t>Плащания</w:t>
            </w:r>
          </w:p>
        </w:tc>
        <w:tc>
          <w:tcPr>
            <w:tcW w:w="654" w:type="dxa"/>
            <w:tcBorders>
              <w:bottom w:val="single" w:sz="4" w:space="0" w:color="auto"/>
            </w:tcBorders>
            <w:vAlign w:val="center"/>
          </w:tcPr>
          <w:p w14:paraId="734D6B73" w14:textId="77777777" w:rsidR="002337F9" w:rsidRPr="00133050" w:rsidRDefault="002337F9" w:rsidP="0026218C">
            <w:pPr>
              <w:jc w:val="center"/>
              <w:rPr>
                <w:noProof/>
                <w:sz w:val="14"/>
              </w:rPr>
            </w:pPr>
            <w:r w:rsidRPr="00133050">
              <w:rPr>
                <w:noProof/>
                <w:sz w:val="14"/>
              </w:rPr>
              <w:t>=5 + 6</w:t>
            </w:r>
          </w:p>
        </w:tc>
        <w:tc>
          <w:tcPr>
            <w:tcW w:w="868" w:type="dxa"/>
            <w:tcBorders>
              <w:bottom w:val="single" w:sz="4" w:space="0" w:color="auto"/>
            </w:tcBorders>
          </w:tcPr>
          <w:p w14:paraId="7C20065F" w14:textId="77777777" w:rsidR="002337F9" w:rsidRPr="00133050" w:rsidRDefault="002337F9" w:rsidP="0026218C">
            <w:pPr>
              <w:spacing w:before="20" w:after="20"/>
              <w:jc w:val="right"/>
              <w:rPr>
                <w:noProof/>
                <w:sz w:val="20"/>
              </w:rPr>
            </w:pPr>
            <w:r w:rsidRPr="00133050">
              <w:rPr>
                <w:noProof/>
                <w:sz w:val="20"/>
              </w:rPr>
              <w:t>0,247</w:t>
            </w:r>
          </w:p>
        </w:tc>
        <w:tc>
          <w:tcPr>
            <w:tcW w:w="868" w:type="dxa"/>
            <w:tcBorders>
              <w:bottom w:val="single" w:sz="4" w:space="0" w:color="auto"/>
            </w:tcBorders>
          </w:tcPr>
          <w:p w14:paraId="73A1646B" w14:textId="77777777" w:rsidR="002337F9" w:rsidRPr="00133050" w:rsidRDefault="002337F9" w:rsidP="0026218C">
            <w:pPr>
              <w:spacing w:before="20" w:after="20"/>
              <w:jc w:val="right"/>
              <w:rPr>
                <w:noProof/>
                <w:sz w:val="20"/>
              </w:rPr>
            </w:pPr>
            <w:r w:rsidRPr="00133050">
              <w:rPr>
                <w:noProof/>
                <w:sz w:val="20"/>
              </w:rPr>
              <w:t>0,372</w:t>
            </w:r>
          </w:p>
        </w:tc>
        <w:tc>
          <w:tcPr>
            <w:tcW w:w="868" w:type="dxa"/>
            <w:tcBorders>
              <w:bottom w:val="single" w:sz="4" w:space="0" w:color="auto"/>
            </w:tcBorders>
          </w:tcPr>
          <w:p w14:paraId="11964B18" w14:textId="77777777" w:rsidR="002337F9" w:rsidRPr="00133050" w:rsidRDefault="002337F9" w:rsidP="0026218C">
            <w:pPr>
              <w:spacing w:before="20" w:after="20"/>
              <w:jc w:val="right"/>
              <w:rPr>
                <w:noProof/>
                <w:sz w:val="20"/>
              </w:rPr>
            </w:pPr>
          </w:p>
        </w:tc>
        <w:tc>
          <w:tcPr>
            <w:tcW w:w="868" w:type="dxa"/>
            <w:tcBorders>
              <w:bottom w:val="single" w:sz="4" w:space="0" w:color="auto"/>
            </w:tcBorders>
          </w:tcPr>
          <w:p w14:paraId="4DCB92B0" w14:textId="77777777" w:rsidR="002337F9" w:rsidRPr="00133050" w:rsidRDefault="002337F9" w:rsidP="0026218C">
            <w:pPr>
              <w:spacing w:before="20" w:after="20"/>
              <w:jc w:val="right"/>
              <w:rPr>
                <w:noProof/>
                <w:sz w:val="20"/>
              </w:rPr>
            </w:pPr>
          </w:p>
        </w:tc>
        <w:tc>
          <w:tcPr>
            <w:tcW w:w="868" w:type="dxa"/>
            <w:tcBorders>
              <w:bottom w:val="single" w:sz="4" w:space="0" w:color="auto"/>
            </w:tcBorders>
          </w:tcPr>
          <w:p w14:paraId="15C741E8" w14:textId="77777777" w:rsidR="002337F9" w:rsidRPr="00133050" w:rsidRDefault="002337F9" w:rsidP="0026218C">
            <w:pPr>
              <w:spacing w:before="20" w:after="20"/>
              <w:jc w:val="right"/>
              <w:rPr>
                <w:noProof/>
                <w:sz w:val="20"/>
              </w:rPr>
            </w:pPr>
          </w:p>
        </w:tc>
        <w:tc>
          <w:tcPr>
            <w:tcW w:w="868" w:type="dxa"/>
            <w:tcBorders>
              <w:bottom w:val="single" w:sz="4" w:space="0" w:color="auto"/>
            </w:tcBorders>
          </w:tcPr>
          <w:p w14:paraId="18381E33" w14:textId="77777777" w:rsidR="002337F9" w:rsidRPr="00133050" w:rsidRDefault="002337F9" w:rsidP="0026218C">
            <w:pPr>
              <w:spacing w:before="20" w:after="20"/>
              <w:jc w:val="right"/>
              <w:rPr>
                <w:noProof/>
                <w:sz w:val="20"/>
              </w:rPr>
            </w:pPr>
          </w:p>
        </w:tc>
        <w:tc>
          <w:tcPr>
            <w:tcW w:w="868" w:type="dxa"/>
            <w:tcBorders>
              <w:bottom w:val="single" w:sz="4" w:space="0" w:color="auto"/>
            </w:tcBorders>
          </w:tcPr>
          <w:p w14:paraId="3BEB57DB" w14:textId="77777777" w:rsidR="002337F9" w:rsidRPr="00133050" w:rsidRDefault="002337F9" w:rsidP="0026218C">
            <w:pPr>
              <w:spacing w:before="20" w:after="20"/>
              <w:jc w:val="right"/>
              <w:rPr>
                <w:b/>
                <w:noProof/>
                <w:sz w:val="20"/>
              </w:rPr>
            </w:pPr>
          </w:p>
        </w:tc>
        <w:tc>
          <w:tcPr>
            <w:tcW w:w="1777" w:type="dxa"/>
            <w:tcBorders>
              <w:bottom w:val="single" w:sz="4" w:space="0" w:color="auto"/>
              <w:right w:val="single" w:sz="4" w:space="0" w:color="auto"/>
            </w:tcBorders>
          </w:tcPr>
          <w:p w14:paraId="4E96316B" w14:textId="77777777" w:rsidR="002337F9" w:rsidRPr="00133050" w:rsidRDefault="002337F9" w:rsidP="0026218C">
            <w:pPr>
              <w:spacing w:before="20" w:after="20"/>
              <w:jc w:val="right"/>
              <w:rPr>
                <w:b/>
                <w:noProof/>
                <w:sz w:val="20"/>
              </w:rPr>
            </w:pPr>
            <w:r w:rsidRPr="00133050">
              <w:rPr>
                <w:noProof/>
                <w:sz w:val="20"/>
              </w:rPr>
              <w:t xml:space="preserve">0,619 </w:t>
            </w:r>
          </w:p>
        </w:tc>
      </w:tr>
    </w:tbl>
    <w:p w14:paraId="62E14F93" w14:textId="77777777" w:rsidR="002337F9" w:rsidRPr="00133050" w:rsidRDefault="002337F9" w:rsidP="002337F9">
      <w:pPr>
        <w:spacing w:before="0" w:after="0"/>
        <w:jc w:val="left"/>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2337F9" w:rsidRPr="00133050" w14:paraId="314AED2A" w14:textId="77777777" w:rsidTr="0026218C">
        <w:trPr>
          <w:jc w:val="center"/>
        </w:trPr>
        <w:tc>
          <w:tcPr>
            <w:tcW w:w="4744" w:type="dxa"/>
            <w:shd w:val="thinDiagStripe" w:color="C0C0C0" w:fill="auto"/>
            <w:vAlign w:val="center"/>
          </w:tcPr>
          <w:p w14:paraId="78B692E4" w14:textId="77777777" w:rsidR="002337F9" w:rsidRPr="00133050" w:rsidRDefault="002337F9" w:rsidP="0026218C">
            <w:pPr>
              <w:spacing w:before="60" w:after="60"/>
              <w:jc w:val="center"/>
              <w:rPr>
                <w:b/>
                <w:noProof/>
              </w:rPr>
            </w:pPr>
            <w:r w:rsidRPr="00133050">
              <w:rPr>
                <w:noProof/>
              </w:rPr>
              <w:br w:type="page"/>
            </w:r>
            <w:r w:rsidRPr="00133050">
              <w:rPr>
                <w:b/>
                <w:noProof/>
              </w:rPr>
              <w:t xml:space="preserve">Функция от многогодишната финансова </w:t>
            </w:r>
            <w:r w:rsidRPr="00133050">
              <w:rPr>
                <w:noProof/>
              </w:rPr>
              <w:t xml:space="preserve"> </w:t>
            </w:r>
            <w:r w:rsidRPr="00133050">
              <w:rPr>
                <w:noProof/>
              </w:rPr>
              <w:cr/>
            </w:r>
            <w:r w:rsidRPr="00133050">
              <w:rPr>
                <w:noProof/>
              </w:rPr>
              <w:br/>
            </w:r>
            <w:r w:rsidRPr="00133050">
              <w:rPr>
                <w:b/>
                <w:noProof/>
              </w:rPr>
              <w:t xml:space="preserve">рамка </w:t>
            </w:r>
          </w:p>
        </w:tc>
        <w:tc>
          <w:tcPr>
            <w:tcW w:w="1080" w:type="dxa"/>
            <w:shd w:val="thinDiagStripe" w:color="C0C0C0" w:fill="auto"/>
            <w:vAlign w:val="center"/>
          </w:tcPr>
          <w:p w14:paraId="0F2E2287" w14:textId="77777777" w:rsidR="002337F9" w:rsidRPr="00133050" w:rsidRDefault="002337F9" w:rsidP="0026218C">
            <w:pPr>
              <w:spacing w:before="60" w:after="60"/>
              <w:jc w:val="center"/>
              <w:rPr>
                <w:noProof/>
              </w:rPr>
            </w:pPr>
            <w:r w:rsidRPr="00133050">
              <w:rPr>
                <w:b/>
                <w:noProof/>
              </w:rPr>
              <w:t>7</w:t>
            </w:r>
          </w:p>
        </w:tc>
        <w:tc>
          <w:tcPr>
            <w:tcW w:w="7817" w:type="dxa"/>
            <w:vAlign w:val="center"/>
          </w:tcPr>
          <w:p w14:paraId="77EF4585" w14:textId="77777777" w:rsidR="002337F9" w:rsidRPr="00133050" w:rsidRDefault="002337F9" w:rsidP="0026218C">
            <w:pPr>
              <w:spacing w:before="60" w:after="60"/>
              <w:rPr>
                <w:noProof/>
              </w:rPr>
            </w:pPr>
            <w:r w:rsidRPr="00133050">
              <w:rPr>
                <w:noProof/>
              </w:rPr>
              <w:t>„Административни разходи“</w:t>
            </w:r>
          </w:p>
        </w:tc>
      </w:tr>
    </w:tbl>
    <w:p w14:paraId="227922D3" w14:textId="77777777" w:rsidR="002337F9" w:rsidRPr="00133050" w:rsidRDefault="002337F9" w:rsidP="002337F9">
      <w:pPr>
        <w:jc w:val="right"/>
        <w:rPr>
          <w:noProof/>
          <w:sz w:val="20"/>
        </w:rPr>
      </w:pPr>
      <w:r w:rsidRPr="00133050">
        <w:rPr>
          <w:noProof/>
          <w:sz w:val="20"/>
        </w:rPr>
        <w:t>млн. евро (до 3-тия знак след десетичната запетая)</w:t>
      </w:r>
    </w:p>
    <w:tbl>
      <w:tblPr>
        <w:tblW w:w="1390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652"/>
        <w:gridCol w:w="750"/>
        <w:gridCol w:w="868"/>
        <w:gridCol w:w="868"/>
        <w:gridCol w:w="868"/>
        <w:gridCol w:w="868"/>
        <w:gridCol w:w="868"/>
        <w:gridCol w:w="868"/>
        <w:gridCol w:w="1777"/>
      </w:tblGrid>
      <w:tr w:rsidR="002337F9" w:rsidRPr="00133050" w14:paraId="4B0B0DD9" w14:textId="77777777" w:rsidTr="0026218C">
        <w:tc>
          <w:tcPr>
            <w:tcW w:w="3960" w:type="dxa"/>
            <w:tcBorders>
              <w:top w:val="nil"/>
              <w:left w:val="nil"/>
              <w:right w:val="nil"/>
            </w:tcBorders>
            <w:vAlign w:val="center"/>
          </w:tcPr>
          <w:p w14:paraId="1C39C5D5" w14:textId="77777777" w:rsidR="002337F9" w:rsidRPr="00133050" w:rsidRDefault="002337F9" w:rsidP="0026218C">
            <w:pPr>
              <w:jc w:val="center"/>
              <w:rPr>
                <w:noProof/>
              </w:rPr>
            </w:pPr>
          </w:p>
        </w:tc>
        <w:tc>
          <w:tcPr>
            <w:tcW w:w="1560" w:type="dxa"/>
            <w:tcBorders>
              <w:top w:val="nil"/>
              <w:left w:val="nil"/>
              <w:right w:val="nil"/>
            </w:tcBorders>
          </w:tcPr>
          <w:p w14:paraId="6F67334C" w14:textId="77777777" w:rsidR="002337F9" w:rsidRPr="00133050" w:rsidRDefault="002337F9" w:rsidP="0026218C">
            <w:pPr>
              <w:rPr>
                <w:noProof/>
                <w:sz w:val="20"/>
              </w:rPr>
            </w:pPr>
          </w:p>
        </w:tc>
        <w:tc>
          <w:tcPr>
            <w:tcW w:w="652" w:type="dxa"/>
            <w:tcBorders>
              <w:top w:val="nil"/>
              <w:left w:val="nil"/>
            </w:tcBorders>
          </w:tcPr>
          <w:p w14:paraId="6527F048" w14:textId="77777777" w:rsidR="002337F9" w:rsidRPr="00133050" w:rsidRDefault="002337F9" w:rsidP="0026218C">
            <w:pPr>
              <w:jc w:val="center"/>
              <w:rPr>
                <w:noProof/>
                <w:sz w:val="20"/>
              </w:rPr>
            </w:pPr>
          </w:p>
        </w:tc>
        <w:tc>
          <w:tcPr>
            <w:tcW w:w="750" w:type="dxa"/>
            <w:vAlign w:val="center"/>
          </w:tcPr>
          <w:p w14:paraId="4839D5CB" w14:textId="77777777" w:rsidR="002337F9" w:rsidRPr="00133050" w:rsidRDefault="002337F9" w:rsidP="0026218C">
            <w:pPr>
              <w:jc w:val="center"/>
              <w:rPr>
                <w:noProof/>
                <w:sz w:val="20"/>
              </w:rPr>
            </w:pPr>
            <w:r w:rsidRPr="00133050">
              <w:rPr>
                <w:b/>
                <w:noProof/>
                <w:sz w:val="20"/>
              </w:rPr>
              <w:t>2026 г.</w:t>
            </w:r>
          </w:p>
        </w:tc>
        <w:tc>
          <w:tcPr>
            <w:tcW w:w="868" w:type="dxa"/>
            <w:vAlign w:val="center"/>
          </w:tcPr>
          <w:p w14:paraId="6DCBAC34" w14:textId="77777777" w:rsidR="002337F9" w:rsidRPr="00133050" w:rsidRDefault="002337F9" w:rsidP="0026218C">
            <w:pPr>
              <w:jc w:val="center"/>
              <w:rPr>
                <w:noProof/>
                <w:sz w:val="20"/>
              </w:rPr>
            </w:pPr>
            <w:r w:rsidRPr="00133050">
              <w:rPr>
                <w:b/>
                <w:noProof/>
                <w:sz w:val="20"/>
              </w:rPr>
              <w:t>2027 г.</w:t>
            </w:r>
          </w:p>
        </w:tc>
        <w:tc>
          <w:tcPr>
            <w:tcW w:w="868" w:type="dxa"/>
            <w:vAlign w:val="center"/>
          </w:tcPr>
          <w:p w14:paraId="399A3077" w14:textId="77777777" w:rsidR="002337F9" w:rsidRPr="00133050" w:rsidRDefault="002337F9" w:rsidP="0026218C">
            <w:pPr>
              <w:jc w:val="center"/>
              <w:rPr>
                <w:noProof/>
                <w:sz w:val="20"/>
              </w:rPr>
            </w:pPr>
          </w:p>
        </w:tc>
        <w:tc>
          <w:tcPr>
            <w:tcW w:w="868" w:type="dxa"/>
            <w:vAlign w:val="center"/>
          </w:tcPr>
          <w:p w14:paraId="6B421C85" w14:textId="77777777" w:rsidR="002337F9" w:rsidRPr="00133050" w:rsidRDefault="002337F9" w:rsidP="0026218C">
            <w:pPr>
              <w:jc w:val="center"/>
              <w:rPr>
                <w:noProof/>
                <w:sz w:val="20"/>
              </w:rPr>
            </w:pPr>
          </w:p>
        </w:tc>
        <w:tc>
          <w:tcPr>
            <w:tcW w:w="868" w:type="dxa"/>
            <w:vAlign w:val="center"/>
          </w:tcPr>
          <w:p w14:paraId="624D0B9B" w14:textId="77777777" w:rsidR="002337F9" w:rsidRPr="00133050" w:rsidRDefault="002337F9" w:rsidP="0026218C">
            <w:pPr>
              <w:jc w:val="center"/>
              <w:rPr>
                <w:b/>
                <w:noProof/>
                <w:sz w:val="18"/>
              </w:rPr>
            </w:pPr>
          </w:p>
        </w:tc>
        <w:tc>
          <w:tcPr>
            <w:tcW w:w="868" w:type="dxa"/>
            <w:vAlign w:val="center"/>
          </w:tcPr>
          <w:p w14:paraId="40C32BB9" w14:textId="77777777" w:rsidR="002337F9" w:rsidRPr="00133050" w:rsidRDefault="002337F9" w:rsidP="0026218C">
            <w:pPr>
              <w:jc w:val="center"/>
              <w:rPr>
                <w:b/>
                <w:noProof/>
                <w:sz w:val="18"/>
              </w:rPr>
            </w:pPr>
          </w:p>
        </w:tc>
        <w:tc>
          <w:tcPr>
            <w:tcW w:w="868" w:type="dxa"/>
            <w:vAlign w:val="center"/>
          </w:tcPr>
          <w:p w14:paraId="1A71400F" w14:textId="77777777" w:rsidR="002337F9" w:rsidRPr="00133050" w:rsidRDefault="002337F9" w:rsidP="0026218C">
            <w:pPr>
              <w:jc w:val="center"/>
              <w:rPr>
                <w:b/>
                <w:noProof/>
                <w:sz w:val="18"/>
              </w:rPr>
            </w:pPr>
          </w:p>
        </w:tc>
        <w:tc>
          <w:tcPr>
            <w:tcW w:w="1777" w:type="dxa"/>
            <w:vAlign w:val="center"/>
          </w:tcPr>
          <w:p w14:paraId="05B34FDA" w14:textId="77777777" w:rsidR="002337F9" w:rsidRPr="00133050" w:rsidRDefault="002337F9" w:rsidP="0026218C">
            <w:pPr>
              <w:jc w:val="center"/>
              <w:rPr>
                <w:b/>
                <w:noProof/>
                <w:sz w:val="20"/>
              </w:rPr>
            </w:pPr>
            <w:r w:rsidRPr="00133050">
              <w:rPr>
                <w:b/>
                <w:noProof/>
                <w:sz w:val="20"/>
              </w:rPr>
              <w:t>ОБЩО</w:t>
            </w:r>
          </w:p>
        </w:tc>
      </w:tr>
      <w:tr w:rsidR="002337F9" w:rsidRPr="00133050" w14:paraId="6BC2F99E" w14:textId="77777777" w:rsidTr="0026218C">
        <w:trPr>
          <w:gridAfter w:val="8"/>
          <w:wAfter w:w="7735" w:type="dxa"/>
        </w:trPr>
        <w:tc>
          <w:tcPr>
            <w:tcW w:w="3960" w:type="dxa"/>
            <w:vAlign w:val="center"/>
          </w:tcPr>
          <w:p w14:paraId="021F2BC2" w14:textId="77777777" w:rsidR="002337F9" w:rsidRPr="00133050" w:rsidRDefault="002337F9" w:rsidP="0026218C">
            <w:pPr>
              <w:spacing w:before="60" w:after="60"/>
              <w:jc w:val="center"/>
              <w:rPr>
                <w:noProof/>
              </w:rPr>
            </w:pPr>
            <w:r w:rsidRPr="00133050">
              <w:rPr>
                <w:noProof/>
              </w:rPr>
              <w:t>ГД „Търговия“ — централа</w:t>
            </w:r>
          </w:p>
        </w:tc>
        <w:tc>
          <w:tcPr>
            <w:tcW w:w="2212" w:type="dxa"/>
            <w:gridSpan w:val="2"/>
          </w:tcPr>
          <w:p w14:paraId="00DE5080" w14:textId="77777777" w:rsidR="002337F9" w:rsidRPr="00133050" w:rsidRDefault="002337F9" w:rsidP="0026218C">
            <w:pPr>
              <w:spacing w:before="60" w:after="60"/>
              <w:jc w:val="center"/>
              <w:rPr>
                <w:noProof/>
              </w:rPr>
            </w:pPr>
          </w:p>
        </w:tc>
      </w:tr>
      <w:tr w:rsidR="002337F9" w:rsidRPr="00133050" w14:paraId="45B87D3F" w14:textId="77777777" w:rsidTr="0026218C">
        <w:trPr>
          <w:trHeight w:val="313"/>
        </w:trPr>
        <w:tc>
          <w:tcPr>
            <w:tcW w:w="6172" w:type="dxa"/>
            <w:gridSpan w:val="3"/>
            <w:vAlign w:val="center"/>
          </w:tcPr>
          <w:p w14:paraId="31EF1F4D" w14:textId="77777777" w:rsidR="002337F9" w:rsidRPr="00133050" w:rsidRDefault="002337F9" w:rsidP="0026218C">
            <w:pPr>
              <w:spacing w:before="20" w:after="20"/>
              <w:rPr>
                <w:noProof/>
              </w:rPr>
            </w:pPr>
            <w:r w:rsidRPr="00133050">
              <w:rPr>
                <w:noProof/>
              </w:rPr>
              <w:sym w:font="Wingdings" w:char="F09F"/>
            </w:r>
            <w:r w:rsidRPr="00133050">
              <w:rPr>
                <w:noProof/>
              </w:rPr>
              <w:t xml:space="preserve"> Човешки ресурси </w:t>
            </w:r>
          </w:p>
        </w:tc>
        <w:tc>
          <w:tcPr>
            <w:tcW w:w="750" w:type="dxa"/>
            <w:vAlign w:val="center"/>
          </w:tcPr>
          <w:p w14:paraId="3D908BD7" w14:textId="77777777" w:rsidR="002337F9" w:rsidRPr="00133050" w:rsidRDefault="002337F9" w:rsidP="0026218C">
            <w:pPr>
              <w:spacing w:before="20" w:after="20"/>
              <w:jc w:val="center"/>
              <w:rPr>
                <w:noProof/>
                <w:sz w:val="20"/>
              </w:rPr>
            </w:pPr>
            <w:r w:rsidRPr="00133050">
              <w:rPr>
                <w:noProof/>
                <w:sz w:val="20"/>
              </w:rPr>
              <w:t>2,670</w:t>
            </w:r>
          </w:p>
        </w:tc>
        <w:tc>
          <w:tcPr>
            <w:tcW w:w="868" w:type="dxa"/>
            <w:vAlign w:val="center"/>
          </w:tcPr>
          <w:p w14:paraId="6D5179CA" w14:textId="77777777" w:rsidR="002337F9" w:rsidRPr="00133050" w:rsidRDefault="002337F9" w:rsidP="0026218C">
            <w:pPr>
              <w:spacing w:before="20" w:after="20"/>
              <w:jc w:val="center"/>
              <w:rPr>
                <w:noProof/>
                <w:sz w:val="20"/>
              </w:rPr>
            </w:pPr>
            <w:r w:rsidRPr="00133050">
              <w:rPr>
                <w:noProof/>
                <w:sz w:val="20"/>
              </w:rPr>
              <w:t>2,670</w:t>
            </w:r>
          </w:p>
          <w:p w14:paraId="69BA2D8C" w14:textId="77777777" w:rsidR="002337F9" w:rsidRPr="00133050" w:rsidRDefault="002337F9" w:rsidP="0026218C">
            <w:pPr>
              <w:spacing w:before="20" w:after="20"/>
              <w:jc w:val="center"/>
              <w:rPr>
                <w:noProof/>
                <w:sz w:val="20"/>
              </w:rPr>
            </w:pPr>
          </w:p>
        </w:tc>
        <w:tc>
          <w:tcPr>
            <w:tcW w:w="868" w:type="dxa"/>
            <w:vAlign w:val="center"/>
          </w:tcPr>
          <w:p w14:paraId="267234BE" w14:textId="77777777" w:rsidR="002337F9" w:rsidRPr="00133050" w:rsidRDefault="002337F9" w:rsidP="0026218C">
            <w:pPr>
              <w:spacing w:before="20" w:after="20"/>
              <w:jc w:val="right"/>
              <w:rPr>
                <w:noProof/>
                <w:sz w:val="20"/>
              </w:rPr>
            </w:pPr>
          </w:p>
        </w:tc>
        <w:tc>
          <w:tcPr>
            <w:tcW w:w="868" w:type="dxa"/>
            <w:vAlign w:val="center"/>
          </w:tcPr>
          <w:p w14:paraId="065E318C" w14:textId="77777777" w:rsidR="002337F9" w:rsidRPr="00133050" w:rsidRDefault="002337F9" w:rsidP="0026218C">
            <w:pPr>
              <w:spacing w:before="20" w:after="20"/>
              <w:jc w:val="right"/>
              <w:rPr>
                <w:noProof/>
                <w:sz w:val="20"/>
              </w:rPr>
            </w:pPr>
          </w:p>
        </w:tc>
        <w:tc>
          <w:tcPr>
            <w:tcW w:w="868" w:type="dxa"/>
            <w:vAlign w:val="center"/>
          </w:tcPr>
          <w:p w14:paraId="669F7723" w14:textId="77777777" w:rsidR="002337F9" w:rsidRPr="00133050" w:rsidRDefault="002337F9" w:rsidP="0026218C">
            <w:pPr>
              <w:spacing w:before="20" w:after="20"/>
              <w:jc w:val="right"/>
              <w:rPr>
                <w:noProof/>
                <w:sz w:val="20"/>
              </w:rPr>
            </w:pPr>
          </w:p>
        </w:tc>
        <w:tc>
          <w:tcPr>
            <w:tcW w:w="868" w:type="dxa"/>
            <w:vAlign w:val="center"/>
          </w:tcPr>
          <w:p w14:paraId="0EAA6B29" w14:textId="77777777" w:rsidR="002337F9" w:rsidRPr="00133050" w:rsidRDefault="002337F9" w:rsidP="0026218C">
            <w:pPr>
              <w:spacing w:before="20" w:after="20"/>
              <w:jc w:val="right"/>
              <w:rPr>
                <w:noProof/>
                <w:sz w:val="20"/>
              </w:rPr>
            </w:pPr>
          </w:p>
        </w:tc>
        <w:tc>
          <w:tcPr>
            <w:tcW w:w="868" w:type="dxa"/>
            <w:vAlign w:val="center"/>
          </w:tcPr>
          <w:p w14:paraId="3ADDB785" w14:textId="77777777" w:rsidR="002337F9" w:rsidRPr="00133050" w:rsidRDefault="002337F9" w:rsidP="0026218C">
            <w:pPr>
              <w:spacing w:before="20" w:after="20"/>
              <w:jc w:val="right"/>
              <w:rPr>
                <w:b/>
                <w:noProof/>
                <w:sz w:val="20"/>
              </w:rPr>
            </w:pPr>
          </w:p>
        </w:tc>
        <w:tc>
          <w:tcPr>
            <w:tcW w:w="1777" w:type="dxa"/>
            <w:vAlign w:val="center"/>
          </w:tcPr>
          <w:p w14:paraId="66D648EC" w14:textId="77777777" w:rsidR="002337F9" w:rsidRPr="00133050" w:rsidRDefault="002337F9" w:rsidP="0026218C">
            <w:pPr>
              <w:spacing w:before="20" w:after="20"/>
              <w:jc w:val="right"/>
              <w:rPr>
                <w:b/>
                <w:noProof/>
                <w:sz w:val="20"/>
              </w:rPr>
            </w:pPr>
            <w:r w:rsidRPr="00133050">
              <w:rPr>
                <w:b/>
                <w:noProof/>
                <w:sz w:val="20"/>
              </w:rPr>
              <w:t xml:space="preserve">5,340 </w:t>
            </w:r>
          </w:p>
        </w:tc>
      </w:tr>
      <w:tr w:rsidR="002337F9" w:rsidRPr="00133050" w14:paraId="48FF182B" w14:textId="77777777" w:rsidTr="0026218C">
        <w:trPr>
          <w:trHeight w:val="351"/>
        </w:trPr>
        <w:tc>
          <w:tcPr>
            <w:tcW w:w="6172" w:type="dxa"/>
            <w:gridSpan w:val="3"/>
            <w:vAlign w:val="center"/>
          </w:tcPr>
          <w:p w14:paraId="51A9A8DC" w14:textId="77777777" w:rsidR="002337F9" w:rsidRPr="00133050" w:rsidRDefault="002337F9" w:rsidP="0026218C">
            <w:pPr>
              <w:spacing w:before="20" w:after="20"/>
              <w:rPr>
                <w:noProof/>
              </w:rPr>
            </w:pPr>
            <w:r w:rsidRPr="00133050">
              <w:rPr>
                <w:noProof/>
              </w:rPr>
              <w:sym w:font="Wingdings" w:char="F09F"/>
            </w:r>
            <w:r w:rsidRPr="00133050">
              <w:rPr>
                <w:noProof/>
              </w:rPr>
              <w:t xml:space="preserve"> Други административни разходи</w:t>
            </w:r>
          </w:p>
        </w:tc>
        <w:tc>
          <w:tcPr>
            <w:tcW w:w="750" w:type="dxa"/>
            <w:vAlign w:val="center"/>
          </w:tcPr>
          <w:p w14:paraId="74BFEAFE" w14:textId="77777777" w:rsidR="002337F9" w:rsidRPr="00133050" w:rsidRDefault="002337F9" w:rsidP="0026218C">
            <w:pPr>
              <w:spacing w:before="20" w:after="20"/>
              <w:jc w:val="center"/>
              <w:rPr>
                <w:noProof/>
                <w:sz w:val="20"/>
              </w:rPr>
            </w:pPr>
            <w:r w:rsidRPr="00133050">
              <w:rPr>
                <w:noProof/>
                <w:sz w:val="20"/>
              </w:rPr>
              <w:t>0,032</w:t>
            </w:r>
          </w:p>
        </w:tc>
        <w:tc>
          <w:tcPr>
            <w:tcW w:w="868" w:type="dxa"/>
            <w:vAlign w:val="center"/>
          </w:tcPr>
          <w:p w14:paraId="01A701C5" w14:textId="77777777" w:rsidR="002337F9" w:rsidRPr="00133050" w:rsidRDefault="002337F9" w:rsidP="0026218C">
            <w:pPr>
              <w:spacing w:before="20" w:after="20"/>
              <w:jc w:val="center"/>
              <w:rPr>
                <w:noProof/>
                <w:sz w:val="20"/>
              </w:rPr>
            </w:pPr>
            <w:r w:rsidRPr="00133050">
              <w:rPr>
                <w:noProof/>
                <w:sz w:val="20"/>
              </w:rPr>
              <w:t>0,032</w:t>
            </w:r>
          </w:p>
        </w:tc>
        <w:tc>
          <w:tcPr>
            <w:tcW w:w="868" w:type="dxa"/>
            <w:vAlign w:val="center"/>
          </w:tcPr>
          <w:p w14:paraId="7EFBA0D4" w14:textId="77777777" w:rsidR="002337F9" w:rsidRPr="00133050" w:rsidRDefault="002337F9" w:rsidP="0026218C">
            <w:pPr>
              <w:spacing w:before="20" w:after="20"/>
              <w:jc w:val="right"/>
              <w:rPr>
                <w:noProof/>
                <w:sz w:val="20"/>
              </w:rPr>
            </w:pPr>
          </w:p>
        </w:tc>
        <w:tc>
          <w:tcPr>
            <w:tcW w:w="868" w:type="dxa"/>
            <w:vAlign w:val="center"/>
          </w:tcPr>
          <w:p w14:paraId="1655E30D" w14:textId="77777777" w:rsidR="002337F9" w:rsidRPr="00133050" w:rsidRDefault="002337F9" w:rsidP="0026218C">
            <w:pPr>
              <w:spacing w:before="20" w:after="20"/>
              <w:jc w:val="right"/>
              <w:rPr>
                <w:noProof/>
                <w:sz w:val="20"/>
              </w:rPr>
            </w:pPr>
          </w:p>
        </w:tc>
        <w:tc>
          <w:tcPr>
            <w:tcW w:w="868" w:type="dxa"/>
            <w:vAlign w:val="center"/>
          </w:tcPr>
          <w:p w14:paraId="77F4164D" w14:textId="77777777" w:rsidR="002337F9" w:rsidRPr="00133050" w:rsidRDefault="002337F9" w:rsidP="0026218C">
            <w:pPr>
              <w:spacing w:before="20" w:after="20"/>
              <w:jc w:val="right"/>
              <w:rPr>
                <w:noProof/>
                <w:sz w:val="20"/>
              </w:rPr>
            </w:pPr>
          </w:p>
        </w:tc>
        <w:tc>
          <w:tcPr>
            <w:tcW w:w="868" w:type="dxa"/>
            <w:vAlign w:val="center"/>
          </w:tcPr>
          <w:p w14:paraId="6A088B18" w14:textId="77777777" w:rsidR="002337F9" w:rsidRPr="00133050" w:rsidRDefault="002337F9" w:rsidP="0026218C">
            <w:pPr>
              <w:spacing w:before="20" w:after="20"/>
              <w:jc w:val="right"/>
              <w:rPr>
                <w:noProof/>
                <w:sz w:val="20"/>
              </w:rPr>
            </w:pPr>
          </w:p>
        </w:tc>
        <w:tc>
          <w:tcPr>
            <w:tcW w:w="868" w:type="dxa"/>
            <w:vAlign w:val="center"/>
          </w:tcPr>
          <w:p w14:paraId="64CD1320" w14:textId="77777777" w:rsidR="002337F9" w:rsidRPr="00133050" w:rsidRDefault="002337F9" w:rsidP="0026218C">
            <w:pPr>
              <w:spacing w:before="20" w:after="20"/>
              <w:jc w:val="right"/>
              <w:rPr>
                <w:noProof/>
                <w:sz w:val="20"/>
              </w:rPr>
            </w:pPr>
          </w:p>
        </w:tc>
        <w:tc>
          <w:tcPr>
            <w:tcW w:w="1777" w:type="dxa"/>
            <w:vAlign w:val="center"/>
          </w:tcPr>
          <w:p w14:paraId="2A6392AF" w14:textId="77777777" w:rsidR="002337F9" w:rsidRPr="00133050" w:rsidRDefault="002337F9" w:rsidP="0026218C">
            <w:pPr>
              <w:spacing w:before="20" w:after="20"/>
              <w:jc w:val="right"/>
              <w:rPr>
                <w:b/>
                <w:noProof/>
                <w:sz w:val="20"/>
              </w:rPr>
            </w:pPr>
            <w:r w:rsidRPr="00133050">
              <w:rPr>
                <w:b/>
                <w:noProof/>
                <w:sz w:val="20"/>
              </w:rPr>
              <w:t>0,064</w:t>
            </w:r>
          </w:p>
        </w:tc>
      </w:tr>
      <w:tr w:rsidR="002337F9" w:rsidRPr="00133050" w14:paraId="6D2D7B42" w14:textId="77777777" w:rsidTr="0026218C">
        <w:tc>
          <w:tcPr>
            <w:tcW w:w="3960" w:type="dxa"/>
            <w:vAlign w:val="center"/>
          </w:tcPr>
          <w:p w14:paraId="7D4F063B" w14:textId="77777777" w:rsidR="002337F9" w:rsidRPr="00133050" w:rsidRDefault="002337F9" w:rsidP="0026218C">
            <w:pPr>
              <w:jc w:val="center"/>
              <w:rPr>
                <w:b/>
                <w:noProof/>
              </w:rPr>
            </w:pPr>
            <w:r w:rsidRPr="00133050">
              <w:rPr>
                <w:b/>
                <w:noProof/>
              </w:rPr>
              <w:t xml:space="preserve">ОБЩО </w:t>
            </w:r>
          </w:p>
        </w:tc>
        <w:tc>
          <w:tcPr>
            <w:tcW w:w="2212" w:type="dxa"/>
            <w:gridSpan w:val="2"/>
            <w:vAlign w:val="center"/>
          </w:tcPr>
          <w:p w14:paraId="5BAEF2C1" w14:textId="77777777" w:rsidR="002337F9" w:rsidRPr="00133050" w:rsidRDefault="002337F9" w:rsidP="0026218C">
            <w:pPr>
              <w:rPr>
                <w:noProof/>
                <w:sz w:val="14"/>
              </w:rPr>
            </w:pPr>
            <w:r w:rsidRPr="00133050">
              <w:rPr>
                <w:noProof/>
                <w:sz w:val="18"/>
              </w:rPr>
              <w:t xml:space="preserve">Бюджетни кредити </w:t>
            </w:r>
          </w:p>
        </w:tc>
        <w:tc>
          <w:tcPr>
            <w:tcW w:w="750" w:type="dxa"/>
            <w:vAlign w:val="center"/>
          </w:tcPr>
          <w:p w14:paraId="61A3B08D" w14:textId="77777777" w:rsidR="002337F9" w:rsidRPr="00133050" w:rsidRDefault="002337F9" w:rsidP="0026218C">
            <w:pPr>
              <w:spacing w:before="60" w:after="60"/>
              <w:jc w:val="center"/>
              <w:rPr>
                <w:noProof/>
                <w:sz w:val="20"/>
              </w:rPr>
            </w:pPr>
            <w:r w:rsidRPr="00133050">
              <w:rPr>
                <w:noProof/>
                <w:sz w:val="20"/>
              </w:rPr>
              <w:t>2,702</w:t>
            </w:r>
          </w:p>
        </w:tc>
        <w:tc>
          <w:tcPr>
            <w:tcW w:w="868" w:type="dxa"/>
            <w:vAlign w:val="center"/>
          </w:tcPr>
          <w:p w14:paraId="5FB8F447" w14:textId="77777777" w:rsidR="002337F9" w:rsidRPr="00133050" w:rsidRDefault="002337F9" w:rsidP="0026218C">
            <w:pPr>
              <w:spacing w:before="20" w:after="20"/>
              <w:jc w:val="center"/>
              <w:rPr>
                <w:noProof/>
                <w:sz w:val="20"/>
              </w:rPr>
            </w:pPr>
            <w:r w:rsidRPr="00133050">
              <w:rPr>
                <w:noProof/>
                <w:sz w:val="20"/>
              </w:rPr>
              <w:t xml:space="preserve">2,702 </w:t>
            </w:r>
          </w:p>
        </w:tc>
        <w:tc>
          <w:tcPr>
            <w:tcW w:w="868" w:type="dxa"/>
            <w:vAlign w:val="center"/>
          </w:tcPr>
          <w:p w14:paraId="55802694" w14:textId="77777777" w:rsidR="002337F9" w:rsidRPr="00133050" w:rsidRDefault="002337F9" w:rsidP="0026218C">
            <w:pPr>
              <w:spacing w:before="20" w:after="20"/>
              <w:jc w:val="right"/>
              <w:rPr>
                <w:noProof/>
                <w:sz w:val="20"/>
              </w:rPr>
            </w:pPr>
          </w:p>
        </w:tc>
        <w:tc>
          <w:tcPr>
            <w:tcW w:w="868" w:type="dxa"/>
            <w:vAlign w:val="center"/>
          </w:tcPr>
          <w:p w14:paraId="3054CCFD" w14:textId="77777777" w:rsidR="002337F9" w:rsidRPr="00133050" w:rsidRDefault="002337F9" w:rsidP="0026218C">
            <w:pPr>
              <w:spacing w:before="20" w:after="20"/>
              <w:jc w:val="right"/>
              <w:rPr>
                <w:noProof/>
                <w:sz w:val="20"/>
              </w:rPr>
            </w:pPr>
          </w:p>
        </w:tc>
        <w:tc>
          <w:tcPr>
            <w:tcW w:w="868" w:type="dxa"/>
            <w:vAlign w:val="center"/>
          </w:tcPr>
          <w:p w14:paraId="4048DBDA" w14:textId="77777777" w:rsidR="002337F9" w:rsidRPr="00133050" w:rsidRDefault="002337F9" w:rsidP="0026218C">
            <w:pPr>
              <w:spacing w:before="20" w:after="20"/>
              <w:jc w:val="right"/>
              <w:rPr>
                <w:noProof/>
                <w:sz w:val="20"/>
              </w:rPr>
            </w:pPr>
          </w:p>
        </w:tc>
        <w:tc>
          <w:tcPr>
            <w:tcW w:w="868" w:type="dxa"/>
            <w:vAlign w:val="center"/>
          </w:tcPr>
          <w:p w14:paraId="46272126" w14:textId="77777777" w:rsidR="002337F9" w:rsidRPr="00133050" w:rsidRDefault="002337F9" w:rsidP="0026218C">
            <w:pPr>
              <w:spacing w:before="20" w:after="20"/>
              <w:jc w:val="right"/>
              <w:rPr>
                <w:noProof/>
                <w:sz w:val="20"/>
              </w:rPr>
            </w:pPr>
          </w:p>
        </w:tc>
        <w:tc>
          <w:tcPr>
            <w:tcW w:w="868" w:type="dxa"/>
            <w:vAlign w:val="center"/>
          </w:tcPr>
          <w:p w14:paraId="662F784F" w14:textId="77777777" w:rsidR="002337F9" w:rsidRPr="00133050" w:rsidRDefault="002337F9" w:rsidP="0026218C">
            <w:pPr>
              <w:spacing w:before="20" w:after="20"/>
              <w:jc w:val="right"/>
              <w:rPr>
                <w:noProof/>
                <w:sz w:val="20"/>
              </w:rPr>
            </w:pPr>
          </w:p>
        </w:tc>
        <w:tc>
          <w:tcPr>
            <w:tcW w:w="1777" w:type="dxa"/>
            <w:vAlign w:val="center"/>
          </w:tcPr>
          <w:p w14:paraId="46274FCE" w14:textId="77777777" w:rsidR="002337F9" w:rsidRPr="00133050" w:rsidRDefault="002337F9" w:rsidP="0026218C">
            <w:pPr>
              <w:spacing w:before="20" w:after="20"/>
              <w:jc w:val="right"/>
              <w:rPr>
                <w:b/>
                <w:noProof/>
                <w:sz w:val="20"/>
              </w:rPr>
            </w:pPr>
            <w:r w:rsidRPr="00133050">
              <w:rPr>
                <w:b/>
                <w:noProof/>
                <w:sz w:val="20"/>
              </w:rPr>
              <w:t xml:space="preserve">5,404 </w:t>
            </w:r>
          </w:p>
        </w:tc>
      </w:tr>
    </w:tbl>
    <w:p w14:paraId="04DE82A0" w14:textId="77777777" w:rsidR="002337F9" w:rsidRPr="00133050" w:rsidRDefault="002337F9" w:rsidP="002337F9">
      <w:pPr>
        <w:rPr>
          <w:noProof/>
        </w:rPr>
      </w:pPr>
    </w:p>
    <w:tbl>
      <w:tblPr>
        <w:tblW w:w="1390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652"/>
        <w:gridCol w:w="750"/>
        <w:gridCol w:w="868"/>
        <w:gridCol w:w="868"/>
        <w:gridCol w:w="868"/>
        <w:gridCol w:w="868"/>
        <w:gridCol w:w="868"/>
        <w:gridCol w:w="868"/>
        <w:gridCol w:w="1777"/>
      </w:tblGrid>
      <w:tr w:rsidR="002337F9" w:rsidRPr="00133050" w14:paraId="6FF2D34C" w14:textId="77777777" w:rsidTr="0026218C">
        <w:tc>
          <w:tcPr>
            <w:tcW w:w="3960" w:type="dxa"/>
            <w:tcBorders>
              <w:top w:val="nil"/>
              <w:left w:val="nil"/>
              <w:right w:val="nil"/>
            </w:tcBorders>
            <w:vAlign w:val="center"/>
          </w:tcPr>
          <w:p w14:paraId="6745DA1D" w14:textId="77777777" w:rsidR="002337F9" w:rsidRPr="00133050" w:rsidRDefault="002337F9" w:rsidP="0026218C">
            <w:pPr>
              <w:jc w:val="center"/>
              <w:rPr>
                <w:noProof/>
              </w:rPr>
            </w:pPr>
          </w:p>
        </w:tc>
        <w:tc>
          <w:tcPr>
            <w:tcW w:w="1560" w:type="dxa"/>
            <w:tcBorders>
              <w:top w:val="nil"/>
              <w:left w:val="nil"/>
              <w:right w:val="nil"/>
            </w:tcBorders>
          </w:tcPr>
          <w:p w14:paraId="7DCD67E4" w14:textId="77777777" w:rsidR="002337F9" w:rsidRPr="00133050" w:rsidRDefault="002337F9" w:rsidP="0026218C">
            <w:pPr>
              <w:rPr>
                <w:noProof/>
                <w:sz w:val="20"/>
              </w:rPr>
            </w:pPr>
          </w:p>
        </w:tc>
        <w:tc>
          <w:tcPr>
            <w:tcW w:w="652" w:type="dxa"/>
            <w:tcBorders>
              <w:top w:val="nil"/>
              <w:left w:val="nil"/>
            </w:tcBorders>
          </w:tcPr>
          <w:p w14:paraId="4C17A278" w14:textId="77777777" w:rsidR="002337F9" w:rsidRPr="00133050" w:rsidRDefault="002337F9" w:rsidP="0026218C">
            <w:pPr>
              <w:jc w:val="center"/>
              <w:rPr>
                <w:noProof/>
                <w:sz w:val="20"/>
              </w:rPr>
            </w:pPr>
          </w:p>
        </w:tc>
        <w:tc>
          <w:tcPr>
            <w:tcW w:w="750" w:type="dxa"/>
            <w:vAlign w:val="center"/>
          </w:tcPr>
          <w:p w14:paraId="41C0AD2F" w14:textId="77777777" w:rsidR="002337F9" w:rsidRPr="00133050" w:rsidRDefault="002337F9" w:rsidP="0026218C">
            <w:pPr>
              <w:jc w:val="center"/>
              <w:rPr>
                <w:noProof/>
                <w:sz w:val="20"/>
              </w:rPr>
            </w:pPr>
            <w:r w:rsidRPr="00133050">
              <w:rPr>
                <w:b/>
                <w:noProof/>
                <w:sz w:val="20"/>
              </w:rPr>
              <w:t>2026 г.</w:t>
            </w:r>
          </w:p>
        </w:tc>
        <w:tc>
          <w:tcPr>
            <w:tcW w:w="868" w:type="dxa"/>
            <w:vAlign w:val="center"/>
          </w:tcPr>
          <w:p w14:paraId="17C0CAE1" w14:textId="77777777" w:rsidR="002337F9" w:rsidRPr="00133050" w:rsidRDefault="002337F9" w:rsidP="0026218C">
            <w:pPr>
              <w:jc w:val="center"/>
              <w:rPr>
                <w:noProof/>
                <w:sz w:val="20"/>
              </w:rPr>
            </w:pPr>
            <w:r w:rsidRPr="00133050">
              <w:rPr>
                <w:b/>
                <w:noProof/>
                <w:sz w:val="20"/>
              </w:rPr>
              <w:t>2027 г.</w:t>
            </w:r>
          </w:p>
        </w:tc>
        <w:tc>
          <w:tcPr>
            <w:tcW w:w="868" w:type="dxa"/>
            <w:vAlign w:val="center"/>
          </w:tcPr>
          <w:p w14:paraId="5A33D54E" w14:textId="77777777" w:rsidR="002337F9" w:rsidRPr="00133050" w:rsidRDefault="002337F9" w:rsidP="0026218C">
            <w:pPr>
              <w:jc w:val="center"/>
              <w:rPr>
                <w:noProof/>
                <w:sz w:val="20"/>
              </w:rPr>
            </w:pPr>
          </w:p>
        </w:tc>
        <w:tc>
          <w:tcPr>
            <w:tcW w:w="868" w:type="dxa"/>
            <w:vAlign w:val="center"/>
          </w:tcPr>
          <w:p w14:paraId="118AFAB0" w14:textId="77777777" w:rsidR="002337F9" w:rsidRPr="00133050" w:rsidRDefault="002337F9" w:rsidP="0026218C">
            <w:pPr>
              <w:jc w:val="center"/>
              <w:rPr>
                <w:noProof/>
                <w:sz w:val="20"/>
              </w:rPr>
            </w:pPr>
          </w:p>
        </w:tc>
        <w:tc>
          <w:tcPr>
            <w:tcW w:w="868" w:type="dxa"/>
            <w:vAlign w:val="center"/>
          </w:tcPr>
          <w:p w14:paraId="1BBFF440" w14:textId="77777777" w:rsidR="002337F9" w:rsidRPr="00133050" w:rsidRDefault="002337F9" w:rsidP="0026218C">
            <w:pPr>
              <w:jc w:val="center"/>
              <w:rPr>
                <w:b/>
                <w:noProof/>
                <w:sz w:val="18"/>
              </w:rPr>
            </w:pPr>
          </w:p>
        </w:tc>
        <w:tc>
          <w:tcPr>
            <w:tcW w:w="868" w:type="dxa"/>
            <w:vAlign w:val="center"/>
          </w:tcPr>
          <w:p w14:paraId="2E0A0B93" w14:textId="77777777" w:rsidR="002337F9" w:rsidRPr="00133050" w:rsidRDefault="002337F9" w:rsidP="0026218C">
            <w:pPr>
              <w:jc w:val="center"/>
              <w:rPr>
                <w:b/>
                <w:noProof/>
                <w:sz w:val="18"/>
              </w:rPr>
            </w:pPr>
          </w:p>
        </w:tc>
        <w:tc>
          <w:tcPr>
            <w:tcW w:w="868" w:type="dxa"/>
            <w:vAlign w:val="center"/>
          </w:tcPr>
          <w:p w14:paraId="526AD573" w14:textId="77777777" w:rsidR="002337F9" w:rsidRPr="00133050" w:rsidRDefault="002337F9" w:rsidP="0026218C">
            <w:pPr>
              <w:jc w:val="center"/>
              <w:rPr>
                <w:b/>
                <w:noProof/>
                <w:sz w:val="18"/>
              </w:rPr>
            </w:pPr>
          </w:p>
        </w:tc>
        <w:tc>
          <w:tcPr>
            <w:tcW w:w="1777" w:type="dxa"/>
            <w:vAlign w:val="center"/>
          </w:tcPr>
          <w:p w14:paraId="678B8ED1" w14:textId="77777777" w:rsidR="002337F9" w:rsidRPr="00133050" w:rsidRDefault="002337F9" w:rsidP="0026218C">
            <w:pPr>
              <w:jc w:val="center"/>
              <w:rPr>
                <w:b/>
                <w:noProof/>
                <w:sz w:val="20"/>
              </w:rPr>
            </w:pPr>
            <w:r w:rsidRPr="00133050">
              <w:rPr>
                <w:b/>
                <w:noProof/>
                <w:sz w:val="20"/>
              </w:rPr>
              <w:t>ОБЩО</w:t>
            </w:r>
          </w:p>
        </w:tc>
      </w:tr>
      <w:tr w:rsidR="002337F9" w:rsidRPr="00133050" w14:paraId="159973E1" w14:textId="77777777" w:rsidTr="0026218C">
        <w:trPr>
          <w:gridAfter w:val="8"/>
          <w:wAfter w:w="7735" w:type="dxa"/>
        </w:trPr>
        <w:tc>
          <w:tcPr>
            <w:tcW w:w="3960" w:type="dxa"/>
            <w:vAlign w:val="center"/>
          </w:tcPr>
          <w:p w14:paraId="51A0EF9D" w14:textId="77777777" w:rsidR="002337F9" w:rsidRPr="00133050" w:rsidRDefault="002337F9" w:rsidP="0026218C">
            <w:pPr>
              <w:spacing w:before="60" w:after="60"/>
              <w:jc w:val="center"/>
              <w:rPr>
                <w:noProof/>
              </w:rPr>
            </w:pPr>
            <w:r w:rsidRPr="00133050">
              <w:rPr>
                <w:noProof/>
              </w:rPr>
              <w:t>ГД „Търговия“ — делегации</w:t>
            </w:r>
          </w:p>
        </w:tc>
        <w:tc>
          <w:tcPr>
            <w:tcW w:w="2212" w:type="dxa"/>
            <w:gridSpan w:val="2"/>
          </w:tcPr>
          <w:p w14:paraId="26152E2E" w14:textId="77777777" w:rsidR="002337F9" w:rsidRPr="00133050" w:rsidRDefault="002337F9" w:rsidP="0026218C">
            <w:pPr>
              <w:spacing w:before="60" w:after="60"/>
              <w:jc w:val="center"/>
              <w:rPr>
                <w:noProof/>
              </w:rPr>
            </w:pPr>
          </w:p>
        </w:tc>
      </w:tr>
      <w:tr w:rsidR="002337F9" w:rsidRPr="00133050" w14:paraId="7B348EC4" w14:textId="77777777" w:rsidTr="0026218C">
        <w:trPr>
          <w:trHeight w:val="313"/>
        </w:trPr>
        <w:tc>
          <w:tcPr>
            <w:tcW w:w="6172" w:type="dxa"/>
            <w:gridSpan w:val="3"/>
            <w:vAlign w:val="center"/>
          </w:tcPr>
          <w:p w14:paraId="3AFF380F" w14:textId="77777777" w:rsidR="002337F9" w:rsidRPr="00133050" w:rsidRDefault="002337F9" w:rsidP="0026218C">
            <w:pPr>
              <w:spacing w:before="20" w:after="20"/>
              <w:rPr>
                <w:noProof/>
              </w:rPr>
            </w:pPr>
            <w:r w:rsidRPr="00133050">
              <w:rPr>
                <w:noProof/>
              </w:rPr>
              <w:sym w:font="Wingdings" w:char="F09F"/>
            </w:r>
            <w:r w:rsidRPr="00133050">
              <w:rPr>
                <w:noProof/>
              </w:rPr>
              <w:t xml:space="preserve"> Човешки ресурси </w:t>
            </w:r>
          </w:p>
        </w:tc>
        <w:tc>
          <w:tcPr>
            <w:tcW w:w="750" w:type="dxa"/>
            <w:vAlign w:val="center"/>
          </w:tcPr>
          <w:p w14:paraId="6C166F90" w14:textId="77777777" w:rsidR="002337F9" w:rsidRPr="00133050" w:rsidRDefault="002337F9" w:rsidP="0026218C">
            <w:pPr>
              <w:spacing w:before="20" w:after="20"/>
              <w:jc w:val="right"/>
              <w:rPr>
                <w:noProof/>
                <w:sz w:val="20"/>
              </w:rPr>
            </w:pPr>
            <w:r w:rsidRPr="00133050">
              <w:rPr>
                <w:noProof/>
                <w:sz w:val="20"/>
              </w:rPr>
              <w:t>0,356</w:t>
            </w:r>
          </w:p>
        </w:tc>
        <w:tc>
          <w:tcPr>
            <w:tcW w:w="868" w:type="dxa"/>
            <w:vAlign w:val="center"/>
          </w:tcPr>
          <w:p w14:paraId="33C2D888" w14:textId="77777777" w:rsidR="002337F9" w:rsidRPr="00133050" w:rsidRDefault="002337F9" w:rsidP="0026218C">
            <w:pPr>
              <w:spacing w:before="20" w:after="20"/>
              <w:jc w:val="right"/>
              <w:rPr>
                <w:noProof/>
                <w:sz w:val="20"/>
              </w:rPr>
            </w:pPr>
            <w:r w:rsidRPr="00133050">
              <w:rPr>
                <w:noProof/>
                <w:sz w:val="20"/>
              </w:rPr>
              <w:t xml:space="preserve">0,356 </w:t>
            </w:r>
          </w:p>
        </w:tc>
        <w:tc>
          <w:tcPr>
            <w:tcW w:w="868" w:type="dxa"/>
            <w:vAlign w:val="center"/>
          </w:tcPr>
          <w:p w14:paraId="54F99E90" w14:textId="77777777" w:rsidR="002337F9" w:rsidRPr="00133050" w:rsidRDefault="002337F9" w:rsidP="0026218C">
            <w:pPr>
              <w:spacing w:before="20" w:after="20"/>
              <w:jc w:val="right"/>
              <w:rPr>
                <w:noProof/>
                <w:sz w:val="20"/>
              </w:rPr>
            </w:pPr>
          </w:p>
        </w:tc>
        <w:tc>
          <w:tcPr>
            <w:tcW w:w="868" w:type="dxa"/>
            <w:vAlign w:val="center"/>
          </w:tcPr>
          <w:p w14:paraId="0744ED42" w14:textId="77777777" w:rsidR="002337F9" w:rsidRPr="00133050" w:rsidRDefault="002337F9" w:rsidP="0026218C">
            <w:pPr>
              <w:spacing w:before="20" w:after="20"/>
              <w:jc w:val="right"/>
              <w:rPr>
                <w:noProof/>
                <w:sz w:val="20"/>
              </w:rPr>
            </w:pPr>
          </w:p>
        </w:tc>
        <w:tc>
          <w:tcPr>
            <w:tcW w:w="868" w:type="dxa"/>
            <w:vAlign w:val="center"/>
          </w:tcPr>
          <w:p w14:paraId="7A4EA283" w14:textId="77777777" w:rsidR="002337F9" w:rsidRPr="00133050" w:rsidRDefault="002337F9" w:rsidP="0026218C">
            <w:pPr>
              <w:spacing w:before="20" w:after="20"/>
              <w:jc w:val="right"/>
              <w:rPr>
                <w:noProof/>
                <w:sz w:val="20"/>
              </w:rPr>
            </w:pPr>
          </w:p>
        </w:tc>
        <w:tc>
          <w:tcPr>
            <w:tcW w:w="868" w:type="dxa"/>
            <w:vAlign w:val="center"/>
          </w:tcPr>
          <w:p w14:paraId="35BD7BDE" w14:textId="77777777" w:rsidR="002337F9" w:rsidRPr="00133050" w:rsidRDefault="002337F9" w:rsidP="0026218C">
            <w:pPr>
              <w:spacing w:before="20" w:after="20"/>
              <w:jc w:val="right"/>
              <w:rPr>
                <w:noProof/>
                <w:sz w:val="20"/>
              </w:rPr>
            </w:pPr>
          </w:p>
        </w:tc>
        <w:tc>
          <w:tcPr>
            <w:tcW w:w="868" w:type="dxa"/>
            <w:vAlign w:val="center"/>
          </w:tcPr>
          <w:p w14:paraId="4145CC4A" w14:textId="77777777" w:rsidR="002337F9" w:rsidRPr="00133050" w:rsidRDefault="002337F9" w:rsidP="0026218C">
            <w:pPr>
              <w:spacing w:before="20" w:after="20"/>
              <w:jc w:val="right"/>
              <w:rPr>
                <w:b/>
                <w:noProof/>
                <w:sz w:val="20"/>
              </w:rPr>
            </w:pPr>
          </w:p>
        </w:tc>
        <w:tc>
          <w:tcPr>
            <w:tcW w:w="1777" w:type="dxa"/>
            <w:vAlign w:val="center"/>
          </w:tcPr>
          <w:p w14:paraId="2DBB0827" w14:textId="77777777" w:rsidR="002337F9" w:rsidRPr="00133050" w:rsidRDefault="002337F9" w:rsidP="0026218C">
            <w:pPr>
              <w:spacing w:before="20" w:after="20"/>
              <w:jc w:val="right"/>
              <w:rPr>
                <w:b/>
                <w:noProof/>
                <w:sz w:val="20"/>
              </w:rPr>
            </w:pPr>
            <w:r w:rsidRPr="00133050">
              <w:rPr>
                <w:b/>
                <w:noProof/>
                <w:sz w:val="20"/>
              </w:rPr>
              <w:t xml:space="preserve">0,712 </w:t>
            </w:r>
          </w:p>
        </w:tc>
      </w:tr>
      <w:tr w:rsidR="002337F9" w:rsidRPr="00133050" w14:paraId="098A2EE3" w14:textId="77777777" w:rsidTr="0026218C">
        <w:trPr>
          <w:trHeight w:val="351"/>
        </w:trPr>
        <w:tc>
          <w:tcPr>
            <w:tcW w:w="6172" w:type="dxa"/>
            <w:gridSpan w:val="3"/>
            <w:vAlign w:val="center"/>
          </w:tcPr>
          <w:p w14:paraId="2A55E3CD" w14:textId="77777777" w:rsidR="002337F9" w:rsidRPr="00133050" w:rsidRDefault="002337F9" w:rsidP="0026218C">
            <w:pPr>
              <w:spacing w:before="20" w:after="20"/>
              <w:rPr>
                <w:noProof/>
              </w:rPr>
            </w:pPr>
            <w:r w:rsidRPr="00133050">
              <w:rPr>
                <w:noProof/>
              </w:rPr>
              <w:sym w:font="Wingdings" w:char="F09F"/>
            </w:r>
            <w:r w:rsidRPr="00133050">
              <w:rPr>
                <w:noProof/>
              </w:rPr>
              <w:t xml:space="preserve"> Други административни разходи</w:t>
            </w:r>
          </w:p>
        </w:tc>
        <w:tc>
          <w:tcPr>
            <w:tcW w:w="750" w:type="dxa"/>
            <w:vAlign w:val="center"/>
          </w:tcPr>
          <w:p w14:paraId="3C10E6D8" w14:textId="77777777" w:rsidR="002337F9" w:rsidRPr="00133050" w:rsidRDefault="002337F9" w:rsidP="0026218C">
            <w:pPr>
              <w:spacing w:before="20" w:after="20"/>
              <w:jc w:val="right"/>
              <w:rPr>
                <w:noProof/>
                <w:sz w:val="20"/>
              </w:rPr>
            </w:pPr>
          </w:p>
        </w:tc>
        <w:tc>
          <w:tcPr>
            <w:tcW w:w="868" w:type="dxa"/>
            <w:vAlign w:val="center"/>
          </w:tcPr>
          <w:p w14:paraId="6F74CF39" w14:textId="77777777" w:rsidR="002337F9" w:rsidRPr="00133050" w:rsidRDefault="002337F9" w:rsidP="0026218C">
            <w:pPr>
              <w:spacing w:before="20" w:after="20"/>
              <w:jc w:val="right"/>
              <w:rPr>
                <w:noProof/>
                <w:sz w:val="20"/>
              </w:rPr>
            </w:pPr>
          </w:p>
        </w:tc>
        <w:tc>
          <w:tcPr>
            <w:tcW w:w="868" w:type="dxa"/>
            <w:vAlign w:val="center"/>
          </w:tcPr>
          <w:p w14:paraId="6F3EA6FB" w14:textId="77777777" w:rsidR="002337F9" w:rsidRPr="00133050" w:rsidRDefault="002337F9" w:rsidP="0026218C">
            <w:pPr>
              <w:spacing w:before="20" w:after="20"/>
              <w:jc w:val="right"/>
              <w:rPr>
                <w:noProof/>
                <w:sz w:val="20"/>
              </w:rPr>
            </w:pPr>
          </w:p>
        </w:tc>
        <w:tc>
          <w:tcPr>
            <w:tcW w:w="868" w:type="dxa"/>
            <w:vAlign w:val="center"/>
          </w:tcPr>
          <w:p w14:paraId="5198CCF7" w14:textId="77777777" w:rsidR="002337F9" w:rsidRPr="00133050" w:rsidRDefault="002337F9" w:rsidP="0026218C">
            <w:pPr>
              <w:spacing w:before="20" w:after="20"/>
              <w:jc w:val="right"/>
              <w:rPr>
                <w:noProof/>
                <w:sz w:val="20"/>
              </w:rPr>
            </w:pPr>
          </w:p>
        </w:tc>
        <w:tc>
          <w:tcPr>
            <w:tcW w:w="868" w:type="dxa"/>
            <w:vAlign w:val="center"/>
          </w:tcPr>
          <w:p w14:paraId="6DFBFB37" w14:textId="77777777" w:rsidR="002337F9" w:rsidRPr="00133050" w:rsidRDefault="002337F9" w:rsidP="0026218C">
            <w:pPr>
              <w:spacing w:before="20" w:after="20"/>
              <w:jc w:val="right"/>
              <w:rPr>
                <w:noProof/>
                <w:sz w:val="20"/>
              </w:rPr>
            </w:pPr>
          </w:p>
        </w:tc>
        <w:tc>
          <w:tcPr>
            <w:tcW w:w="868" w:type="dxa"/>
            <w:vAlign w:val="center"/>
          </w:tcPr>
          <w:p w14:paraId="76E164DD" w14:textId="77777777" w:rsidR="002337F9" w:rsidRPr="00133050" w:rsidRDefault="002337F9" w:rsidP="0026218C">
            <w:pPr>
              <w:spacing w:before="20" w:after="20"/>
              <w:jc w:val="right"/>
              <w:rPr>
                <w:noProof/>
                <w:sz w:val="20"/>
              </w:rPr>
            </w:pPr>
          </w:p>
        </w:tc>
        <w:tc>
          <w:tcPr>
            <w:tcW w:w="868" w:type="dxa"/>
            <w:vAlign w:val="center"/>
          </w:tcPr>
          <w:p w14:paraId="3FE7641A" w14:textId="77777777" w:rsidR="002337F9" w:rsidRPr="00133050" w:rsidRDefault="002337F9" w:rsidP="0026218C">
            <w:pPr>
              <w:spacing w:before="20" w:after="20"/>
              <w:jc w:val="right"/>
              <w:rPr>
                <w:noProof/>
                <w:sz w:val="20"/>
              </w:rPr>
            </w:pPr>
          </w:p>
        </w:tc>
        <w:tc>
          <w:tcPr>
            <w:tcW w:w="1777" w:type="dxa"/>
            <w:vAlign w:val="center"/>
          </w:tcPr>
          <w:p w14:paraId="2AF80FFD" w14:textId="77777777" w:rsidR="002337F9" w:rsidRPr="00133050" w:rsidRDefault="002337F9" w:rsidP="0026218C">
            <w:pPr>
              <w:spacing w:before="20" w:after="20"/>
              <w:jc w:val="right"/>
              <w:rPr>
                <w:b/>
                <w:noProof/>
                <w:sz w:val="20"/>
              </w:rPr>
            </w:pPr>
          </w:p>
        </w:tc>
      </w:tr>
      <w:tr w:rsidR="002337F9" w:rsidRPr="00133050" w14:paraId="79B862C9" w14:textId="77777777" w:rsidTr="0026218C">
        <w:tc>
          <w:tcPr>
            <w:tcW w:w="3960" w:type="dxa"/>
            <w:vAlign w:val="center"/>
          </w:tcPr>
          <w:p w14:paraId="15356301" w14:textId="77777777" w:rsidR="002337F9" w:rsidRPr="00133050" w:rsidRDefault="002337F9" w:rsidP="0026218C">
            <w:pPr>
              <w:jc w:val="center"/>
              <w:rPr>
                <w:b/>
                <w:noProof/>
              </w:rPr>
            </w:pPr>
            <w:r w:rsidRPr="00133050">
              <w:rPr>
                <w:b/>
                <w:noProof/>
              </w:rPr>
              <w:t xml:space="preserve">ОБЩО </w:t>
            </w:r>
          </w:p>
        </w:tc>
        <w:tc>
          <w:tcPr>
            <w:tcW w:w="2212" w:type="dxa"/>
            <w:gridSpan w:val="2"/>
            <w:vAlign w:val="center"/>
          </w:tcPr>
          <w:p w14:paraId="3C23DB1B" w14:textId="77777777" w:rsidR="002337F9" w:rsidRPr="00133050" w:rsidRDefault="002337F9" w:rsidP="0026218C">
            <w:pPr>
              <w:rPr>
                <w:noProof/>
                <w:sz w:val="14"/>
              </w:rPr>
            </w:pPr>
            <w:r w:rsidRPr="00133050">
              <w:rPr>
                <w:noProof/>
                <w:sz w:val="18"/>
              </w:rPr>
              <w:t xml:space="preserve">Бюджетни кредити </w:t>
            </w:r>
          </w:p>
        </w:tc>
        <w:tc>
          <w:tcPr>
            <w:tcW w:w="750" w:type="dxa"/>
            <w:vAlign w:val="center"/>
          </w:tcPr>
          <w:p w14:paraId="4699680F" w14:textId="77777777" w:rsidR="002337F9" w:rsidRPr="00133050" w:rsidRDefault="002337F9" w:rsidP="0026218C">
            <w:pPr>
              <w:spacing w:before="60" w:after="60"/>
              <w:jc w:val="right"/>
              <w:rPr>
                <w:noProof/>
                <w:sz w:val="20"/>
              </w:rPr>
            </w:pPr>
            <w:r w:rsidRPr="00133050">
              <w:rPr>
                <w:noProof/>
                <w:sz w:val="20"/>
              </w:rPr>
              <w:t>0,356</w:t>
            </w:r>
          </w:p>
        </w:tc>
        <w:tc>
          <w:tcPr>
            <w:tcW w:w="868" w:type="dxa"/>
            <w:vAlign w:val="center"/>
          </w:tcPr>
          <w:p w14:paraId="0639EBB5" w14:textId="77777777" w:rsidR="002337F9" w:rsidRPr="00133050" w:rsidRDefault="002337F9" w:rsidP="0026218C">
            <w:pPr>
              <w:spacing w:before="20" w:after="20"/>
              <w:jc w:val="right"/>
              <w:rPr>
                <w:noProof/>
                <w:sz w:val="20"/>
              </w:rPr>
            </w:pPr>
            <w:r w:rsidRPr="00133050">
              <w:rPr>
                <w:noProof/>
                <w:sz w:val="20"/>
              </w:rPr>
              <w:t xml:space="preserve">0,356 </w:t>
            </w:r>
          </w:p>
        </w:tc>
        <w:tc>
          <w:tcPr>
            <w:tcW w:w="868" w:type="dxa"/>
            <w:vAlign w:val="center"/>
          </w:tcPr>
          <w:p w14:paraId="77143393" w14:textId="77777777" w:rsidR="002337F9" w:rsidRPr="00133050" w:rsidRDefault="002337F9" w:rsidP="0026218C">
            <w:pPr>
              <w:spacing w:before="20" w:after="20"/>
              <w:jc w:val="right"/>
              <w:rPr>
                <w:noProof/>
                <w:sz w:val="20"/>
              </w:rPr>
            </w:pPr>
          </w:p>
        </w:tc>
        <w:tc>
          <w:tcPr>
            <w:tcW w:w="868" w:type="dxa"/>
            <w:vAlign w:val="center"/>
          </w:tcPr>
          <w:p w14:paraId="5D0B90C7" w14:textId="77777777" w:rsidR="002337F9" w:rsidRPr="00133050" w:rsidRDefault="002337F9" w:rsidP="0026218C">
            <w:pPr>
              <w:spacing w:before="20" w:after="20"/>
              <w:jc w:val="right"/>
              <w:rPr>
                <w:noProof/>
                <w:sz w:val="20"/>
              </w:rPr>
            </w:pPr>
          </w:p>
        </w:tc>
        <w:tc>
          <w:tcPr>
            <w:tcW w:w="868" w:type="dxa"/>
            <w:vAlign w:val="center"/>
          </w:tcPr>
          <w:p w14:paraId="1FBDFE3B" w14:textId="77777777" w:rsidR="002337F9" w:rsidRPr="00133050" w:rsidRDefault="002337F9" w:rsidP="0026218C">
            <w:pPr>
              <w:spacing w:before="20" w:after="20"/>
              <w:jc w:val="right"/>
              <w:rPr>
                <w:noProof/>
                <w:sz w:val="20"/>
              </w:rPr>
            </w:pPr>
          </w:p>
        </w:tc>
        <w:tc>
          <w:tcPr>
            <w:tcW w:w="868" w:type="dxa"/>
            <w:vAlign w:val="center"/>
          </w:tcPr>
          <w:p w14:paraId="56CEF267" w14:textId="77777777" w:rsidR="002337F9" w:rsidRPr="00133050" w:rsidRDefault="002337F9" w:rsidP="0026218C">
            <w:pPr>
              <w:spacing w:before="20" w:after="20"/>
              <w:jc w:val="right"/>
              <w:rPr>
                <w:noProof/>
                <w:sz w:val="20"/>
              </w:rPr>
            </w:pPr>
          </w:p>
        </w:tc>
        <w:tc>
          <w:tcPr>
            <w:tcW w:w="868" w:type="dxa"/>
            <w:vAlign w:val="center"/>
          </w:tcPr>
          <w:p w14:paraId="5C363282" w14:textId="77777777" w:rsidR="002337F9" w:rsidRPr="00133050" w:rsidRDefault="002337F9" w:rsidP="0026218C">
            <w:pPr>
              <w:spacing w:before="20" w:after="20"/>
              <w:jc w:val="right"/>
              <w:rPr>
                <w:noProof/>
                <w:sz w:val="20"/>
              </w:rPr>
            </w:pPr>
          </w:p>
        </w:tc>
        <w:tc>
          <w:tcPr>
            <w:tcW w:w="1777" w:type="dxa"/>
            <w:vAlign w:val="center"/>
          </w:tcPr>
          <w:p w14:paraId="263C7DF2" w14:textId="77777777" w:rsidR="002337F9" w:rsidRPr="00133050" w:rsidRDefault="002337F9" w:rsidP="0026218C">
            <w:pPr>
              <w:spacing w:before="20" w:after="20"/>
              <w:jc w:val="right"/>
              <w:rPr>
                <w:b/>
                <w:noProof/>
                <w:sz w:val="20"/>
              </w:rPr>
            </w:pPr>
            <w:r w:rsidRPr="00133050">
              <w:rPr>
                <w:b/>
                <w:noProof/>
                <w:sz w:val="20"/>
              </w:rPr>
              <w:t xml:space="preserve">0,712 </w:t>
            </w:r>
          </w:p>
        </w:tc>
      </w:tr>
    </w:tbl>
    <w:p w14:paraId="31B2A9DD" w14:textId="77777777" w:rsidR="002337F9" w:rsidRPr="00133050" w:rsidRDefault="002337F9" w:rsidP="002337F9">
      <w:pPr>
        <w:rPr>
          <w:noProof/>
        </w:rPr>
      </w:pPr>
    </w:p>
    <w:tbl>
      <w:tblPr>
        <w:tblW w:w="1390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652"/>
        <w:gridCol w:w="750"/>
        <w:gridCol w:w="868"/>
        <w:gridCol w:w="868"/>
        <w:gridCol w:w="868"/>
        <w:gridCol w:w="868"/>
        <w:gridCol w:w="868"/>
        <w:gridCol w:w="868"/>
        <w:gridCol w:w="1777"/>
      </w:tblGrid>
      <w:tr w:rsidR="002337F9" w:rsidRPr="00133050" w14:paraId="73D5FCCA" w14:textId="77777777" w:rsidTr="0026218C">
        <w:tc>
          <w:tcPr>
            <w:tcW w:w="3960" w:type="dxa"/>
            <w:tcBorders>
              <w:top w:val="nil"/>
              <w:left w:val="nil"/>
              <w:right w:val="nil"/>
            </w:tcBorders>
            <w:vAlign w:val="center"/>
          </w:tcPr>
          <w:p w14:paraId="2E2B4C0B" w14:textId="77777777" w:rsidR="002337F9" w:rsidRPr="00133050" w:rsidRDefault="002337F9" w:rsidP="0026218C">
            <w:pPr>
              <w:jc w:val="center"/>
              <w:rPr>
                <w:noProof/>
              </w:rPr>
            </w:pPr>
          </w:p>
        </w:tc>
        <w:tc>
          <w:tcPr>
            <w:tcW w:w="1560" w:type="dxa"/>
            <w:tcBorders>
              <w:top w:val="nil"/>
              <w:left w:val="nil"/>
              <w:right w:val="nil"/>
            </w:tcBorders>
          </w:tcPr>
          <w:p w14:paraId="4E1103C8" w14:textId="77777777" w:rsidR="002337F9" w:rsidRPr="00133050" w:rsidRDefault="002337F9" w:rsidP="0026218C">
            <w:pPr>
              <w:rPr>
                <w:noProof/>
                <w:sz w:val="20"/>
              </w:rPr>
            </w:pPr>
          </w:p>
        </w:tc>
        <w:tc>
          <w:tcPr>
            <w:tcW w:w="652" w:type="dxa"/>
            <w:tcBorders>
              <w:top w:val="nil"/>
              <w:left w:val="nil"/>
            </w:tcBorders>
          </w:tcPr>
          <w:p w14:paraId="7DCAFBED" w14:textId="77777777" w:rsidR="002337F9" w:rsidRPr="00133050" w:rsidRDefault="002337F9" w:rsidP="0026218C">
            <w:pPr>
              <w:jc w:val="center"/>
              <w:rPr>
                <w:noProof/>
                <w:sz w:val="20"/>
              </w:rPr>
            </w:pPr>
          </w:p>
        </w:tc>
        <w:tc>
          <w:tcPr>
            <w:tcW w:w="750" w:type="dxa"/>
            <w:vAlign w:val="center"/>
          </w:tcPr>
          <w:p w14:paraId="6F2F9EFE" w14:textId="77777777" w:rsidR="002337F9" w:rsidRPr="00133050" w:rsidRDefault="002337F9" w:rsidP="0026218C">
            <w:pPr>
              <w:jc w:val="center"/>
              <w:rPr>
                <w:noProof/>
                <w:sz w:val="20"/>
              </w:rPr>
            </w:pPr>
            <w:r w:rsidRPr="00133050">
              <w:rPr>
                <w:b/>
                <w:noProof/>
                <w:sz w:val="20"/>
              </w:rPr>
              <w:t>2026 г.</w:t>
            </w:r>
          </w:p>
        </w:tc>
        <w:tc>
          <w:tcPr>
            <w:tcW w:w="868" w:type="dxa"/>
            <w:vAlign w:val="center"/>
          </w:tcPr>
          <w:p w14:paraId="10F365B2" w14:textId="77777777" w:rsidR="002337F9" w:rsidRPr="00133050" w:rsidRDefault="002337F9" w:rsidP="0026218C">
            <w:pPr>
              <w:jc w:val="center"/>
              <w:rPr>
                <w:noProof/>
                <w:sz w:val="20"/>
              </w:rPr>
            </w:pPr>
            <w:r w:rsidRPr="00133050">
              <w:rPr>
                <w:b/>
                <w:noProof/>
                <w:sz w:val="20"/>
              </w:rPr>
              <w:t>2027 г.</w:t>
            </w:r>
          </w:p>
        </w:tc>
        <w:tc>
          <w:tcPr>
            <w:tcW w:w="868" w:type="dxa"/>
            <w:vAlign w:val="center"/>
          </w:tcPr>
          <w:p w14:paraId="64911509" w14:textId="77777777" w:rsidR="002337F9" w:rsidRPr="00133050" w:rsidRDefault="002337F9" w:rsidP="0026218C">
            <w:pPr>
              <w:jc w:val="center"/>
              <w:rPr>
                <w:noProof/>
                <w:sz w:val="20"/>
              </w:rPr>
            </w:pPr>
          </w:p>
        </w:tc>
        <w:tc>
          <w:tcPr>
            <w:tcW w:w="868" w:type="dxa"/>
            <w:vAlign w:val="center"/>
          </w:tcPr>
          <w:p w14:paraId="2CE0DD07" w14:textId="77777777" w:rsidR="002337F9" w:rsidRPr="00133050" w:rsidRDefault="002337F9" w:rsidP="0026218C">
            <w:pPr>
              <w:jc w:val="center"/>
              <w:rPr>
                <w:noProof/>
                <w:sz w:val="20"/>
              </w:rPr>
            </w:pPr>
          </w:p>
        </w:tc>
        <w:tc>
          <w:tcPr>
            <w:tcW w:w="868" w:type="dxa"/>
            <w:vAlign w:val="center"/>
          </w:tcPr>
          <w:p w14:paraId="498C1874" w14:textId="77777777" w:rsidR="002337F9" w:rsidRPr="00133050" w:rsidRDefault="002337F9" w:rsidP="0026218C">
            <w:pPr>
              <w:jc w:val="center"/>
              <w:rPr>
                <w:b/>
                <w:noProof/>
                <w:sz w:val="18"/>
              </w:rPr>
            </w:pPr>
          </w:p>
        </w:tc>
        <w:tc>
          <w:tcPr>
            <w:tcW w:w="868" w:type="dxa"/>
            <w:vAlign w:val="center"/>
          </w:tcPr>
          <w:p w14:paraId="1E92FBD9" w14:textId="77777777" w:rsidR="002337F9" w:rsidRPr="00133050" w:rsidRDefault="002337F9" w:rsidP="0026218C">
            <w:pPr>
              <w:jc w:val="center"/>
              <w:rPr>
                <w:b/>
                <w:noProof/>
                <w:sz w:val="18"/>
              </w:rPr>
            </w:pPr>
          </w:p>
        </w:tc>
        <w:tc>
          <w:tcPr>
            <w:tcW w:w="868" w:type="dxa"/>
            <w:vAlign w:val="center"/>
          </w:tcPr>
          <w:p w14:paraId="07D48848" w14:textId="77777777" w:rsidR="002337F9" w:rsidRPr="00133050" w:rsidRDefault="002337F9" w:rsidP="0026218C">
            <w:pPr>
              <w:jc w:val="center"/>
              <w:rPr>
                <w:b/>
                <w:noProof/>
                <w:sz w:val="18"/>
              </w:rPr>
            </w:pPr>
          </w:p>
        </w:tc>
        <w:tc>
          <w:tcPr>
            <w:tcW w:w="1777" w:type="dxa"/>
            <w:vAlign w:val="center"/>
          </w:tcPr>
          <w:p w14:paraId="7F7CDA77" w14:textId="77777777" w:rsidR="002337F9" w:rsidRPr="00133050" w:rsidRDefault="002337F9" w:rsidP="0026218C">
            <w:pPr>
              <w:jc w:val="center"/>
              <w:rPr>
                <w:b/>
                <w:noProof/>
                <w:sz w:val="20"/>
              </w:rPr>
            </w:pPr>
            <w:r w:rsidRPr="00133050">
              <w:rPr>
                <w:b/>
                <w:noProof/>
                <w:sz w:val="20"/>
              </w:rPr>
              <w:t>ОБЩО</w:t>
            </w:r>
          </w:p>
        </w:tc>
      </w:tr>
      <w:tr w:rsidR="002337F9" w:rsidRPr="00133050" w14:paraId="3D9BE5D0" w14:textId="77777777" w:rsidTr="0026218C">
        <w:trPr>
          <w:gridAfter w:val="8"/>
          <w:wAfter w:w="7735" w:type="dxa"/>
        </w:trPr>
        <w:tc>
          <w:tcPr>
            <w:tcW w:w="3960" w:type="dxa"/>
            <w:vAlign w:val="center"/>
          </w:tcPr>
          <w:p w14:paraId="734FD16F" w14:textId="77777777" w:rsidR="002337F9" w:rsidRPr="00133050" w:rsidRDefault="002337F9" w:rsidP="0026218C">
            <w:pPr>
              <w:spacing w:before="60" w:after="60"/>
              <w:jc w:val="center"/>
              <w:rPr>
                <w:noProof/>
              </w:rPr>
            </w:pPr>
            <w:r w:rsidRPr="00133050">
              <w:rPr>
                <w:noProof/>
              </w:rPr>
              <w:t>ГД „Съобщителни мрежи, съдържание и технологии“</w:t>
            </w:r>
          </w:p>
        </w:tc>
        <w:tc>
          <w:tcPr>
            <w:tcW w:w="2212" w:type="dxa"/>
            <w:gridSpan w:val="2"/>
          </w:tcPr>
          <w:p w14:paraId="5822797F" w14:textId="77777777" w:rsidR="002337F9" w:rsidRPr="00133050" w:rsidRDefault="002337F9" w:rsidP="0026218C">
            <w:pPr>
              <w:spacing w:before="60" w:after="60"/>
              <w:jc w:val="center"/>
              <w:rPr>
                <w:noProof/>
              </w:rPr>
            </w:pPr>
          </w:p>
        </w:tc>
      </w:tr>
      <w:tr w:rsidR="002337F9" w:rsidRPr="00133050" w14:paraId="3E10ECCB" w14:textId="77777777" w:rsidTr="0026218C">
        <w:trPr>
          <w:trHeight w:val="313"/>
        </w:trPr>
        <w:tc>
          <w:tcPr>
            <w:tcW w:w="6172" w:type="dxa"/>
            <w:gridSpan w:val="3"/>
            <w:vAlign w:val="center"/>
          </w:tcPr>
          <w:p w14:paraId="20CC2CE3" w14:textId="77777777" w:rsidR="002337F9" w:rsidRPr="00133050" w:rsidRDefault="002337F9" w:rsidP="0026218C">
            <w:pPr>
              <w:spacing w:before="20" w:after="20"/>
              <w:rPr>
                <w:noProof/>
              </w:rPr>
            </w:pPr>
            <w:r w:rsidRPr="00133050">
              <w:rPr>
                <w:noProof/>
              </w:rPr>
              <w:sym w:font="Wingdings" w:char="F09F"/>
            </w:r>
            <w:r w:rsidRPr="00133050">
              <w:rPr>
                <w:noProof/>
              </w:rPr>
              <w:t xml:space="preserve"> Човешки ресурси </w:t>
            </w:r>
          </w:p>
        </w:tc>
        <w:tc>
          <w:tcPr>
            <w:tcW w:w="750" w:type="dxa"/>
            <w:vAlign w:val="center"/>
          </w:tcPr>
          <w:p w14:paraId="53E2CF83" w14:textId="77777777" w:rsidR="002337F9" w:rsidRPr="00133050" w:rsidRDefault="002337F9" w:rsidP="0026218C">
            <w:pPr>
              <w:spacing w:before="20" w:after="20"/>
              <w:jc w:val="right"/>
              <w:rPr>
                <w:noProof/>
                <w:sz w:val="20"/>
              </w:rPr>
            </w:pPr>
            <w:r w:rsidRPr="00133050">
              <w:rPr>
                <w:noProof/>
                <w:sz w:val="20"/>
              </w:rPr>
              <w:t>0,356</w:t>
            </w:r>
          </w:p>
        </w:tc>
        <w:tc>
          <w:tcPr>
            <w:tcW w:w="868" w:type="dxa"/>
            <w:vAlign w:val="center"/>
          </w:tcPr>
          <w:p w14:paraId="3F3FC6A2" w14:textId="77777777" w:rsidR="002337F9" w:rsidRPr="00133050" w:rsidRDefault="002337F9" w:rsidP="0026218C">
            <w:pPr>
              <w:spacing w:before="20" w:after="20"/>
              <w:jc w:val="right"/>
              <w:rPr>
                <w:noProof/>
                <w:sz w:val="20"/>
              </w:rPr>
            </w:pPr>
            <w:r w:rsidRPr="00133050">
              <w:rPr>
                <w:noProof/>
                <w:sz w:val="20"/>
              </w:rPr>
              <w:t xml:space="preserve">0,356 </w:t>
            </w:r>
          </w:p>
        </w:tc>
        <w:tc>
          <w:tcPr>
            <w:tcW w:w="868" w:type="dxa"/>
            <w:vAlign w:val="center"/>
          </w:tcPr>
          <w:p w14:paraId="0CB3F9DD" w14:textId="77777777" w:rsidR="002337F9" w:rsidRPr="00133050" w:rsidRDefault="002337F9" w:rsidP="0026218C">
            <w:pPr>
              <w:spacing w:before="20" w:after="20"/>
              <w:jc w:val="right"/>
              <w:rPr>
                <w:noProof/>
                <w:sz w:val="20"/>
              </w:rPr>
            </w:pPr>
          </w:p>
        </w:tc>
        <w:tc>
          <w:tcPr>
            <w:tcW w:w="868" w:type="dxa"/>
            <w:vAlign w:val="center"/>
          </w:tcPr>
          <w:p w14:paraId="6F8551EC" w14:textId="77777777" w:rsidR="002337F9" w:rsidRPr="00133050" w:rsidRDefault="002337F9" w:rsidP="0026218C">
            <w:pPr>
              <w:spacing w:before="20" w:after="20"/>
              <w:jc w:val="right"/>
              <w:rPr>
                <w:noProof/>
                <w:sz w:val="20"/>
              </w:rPr>
            </w:pPr>
          </w:p>
        </w:tc>
        <w:tc>
          <w:tcPr>
            <w:tcW w:w="868" w:type="dxa"/>
            <w:vAlign w:val="center"/>
          </w:tcPr>
          <w:p w14:paraId="68A4C53D" w14:textId="77777777" w:rsidR="002337F9" w:rsidRPr="00133050" w:rsidRDefault="002337F9" w:rsidP="0026218C">
            <w:pPr>
              <w:spacing w:before="20" w:after="20"/>
              <w:jc w:val="right"/>
              <w:rPr>
                <w:noProof/>
                <w:sz w:val="20"/>
              </w:rPr>
            </w:pPr>
          </w:p>
        </w:tc>
        <w:tc>
          <w:tcPr>
            <w:tcW w:w="868" w:type="dxa"/>
            <w:vAlign w:val="center"/>
          </w:tcPr>
          <w:p w14:paraId="142FB4C4" w14:textId="77777777" w:rsidR="002337F9" w:rsidRPr="00133050" w:rsidRDefault="002337F9" w:rsidP="0026218C">
            <w:pPr>
              <w:spacing w:before="20" w:after="20"/>
              <w:jc w:val="right"/>
              <w:rPr>
                <w:noProof/>
                <w:sz w:val="20"/>
              </w:rPr>
            </w:pPr>
          </w:p>
        </w:tc>
        <w:tc>
          <w:tcPr>
            <w:tcW w:w="868" w:type="dxa"/>
            <w:vAlign w:val="center"/>
          </w:tcPr>
          <w:p w14:paraId="0536837F" w14:textId="77777777" w:rsidR="002337F9" w:rsidRPr="00133050" w:rsidRDefault="002337F9" w:rsidP="0026218C">
            <w:pPr>
              <w:spacing w:before="20" w:after="20"/>
              <w:jc w:val="right"/>
              <w:rPr>
                <w:b/>
                <w:noProof/>
                <w:sz w:val="20"/>
              </w:rPr>
            </w:pPr>
          </w:p>
        </w:tc>
        <w:tc>
          <w:tcPr>
            <w:tcW w:w="1777" w:type="dxa"/>
            <w:vAlign w:val="center"/>
          </w:tcPr>
          <w:p w14:paraId="175F4CC5" w14:textId="77777777" w:rsidR="002337F9" w:rsidRPr="00133050" w:rsidRDefault="002337F9" w:rsidP="0026218C">
            <w:pPr>
              <w:spacing w:before="20" w:after="20"/>
              <w:jc w:val="right"/>
              <w:rPr>
                <w:b/>
                <w:noProof/>
                <w:sz w:val="20"/>
              </w:rPr>
            </w:pPr>
            <w:r w:rsidRPr="00133050">
              <w:rPr>
                <w:b/>
                <w:noProof/>
                <w:sz w:val="20"/>
              </w:rPr>
              <w:t xml:space="preserve">0,712 </w:t>
            </w:r>
          </w:p>
        </w:tc>
      </w:tr>
      <w:tr w:rsidR="002337F9" w:rsidRPr="00133050" w14:paraId="3BCE7BDE" w14:textId="77777777" w:rsidTr="0026218C">
        <w:trPr>
          <w:trHeight w:val="351"/>
        </w:trPr>
        <w:tc>
          <w:tcPr>
            <w:tcW w:w="6172" w:type="dxa"/>
            <w:gridSpan w:val="3"/>
            <w:vAlign w:val="center"/>
          </w:tcPr>
          <w:p w14:paraId="2A590FAC" w14:textId="77777777" w:rsidR="002337F9" w:rsidRPr="00133050" w:rsidRDefault="002337F9" w:rsidP="0026218C">
            <w:pPr>
              <w:spacing w:before="20" w:after="20"/>
              <w:rPr>
                <w:noProof/>
              </w:rPr>
            </w:pPr>
            <w:r w:rsidRPr="00133050">
              <w:rPr>
                <w:noProof/>
              </w:rPr>
              <w:sym w:font="Wingdings" w:char="F09F"/>
            </w:r>
            <w:r w:rsidRPr="00133050">
              <w:rPr>
                <w:noProof/>
              </w:rPr>
              <w:t xml:space="preserve"> Други административни разходи</w:t>
            </w:r>
          </w:p>
        </w:tc>
        <w:tc>
          <w:tcPr>
            <w:tcW w:w="750" w:type="dxa"/>
            <w:vAlign w:val="center"/>
          </w:tcPr>
          <w:p w14:paraId="35BB10DA" w14:textId="77777777" w:rsidR="002337F9" w:rsidRPr="00133050" w:rsidRDefault="002337F9" w:rsidP="0026218C">
            <w:pPr>
              <w:spacing w:before="20" w:after="20"/>
              <w:jc w:val="right"/>
              <w:rPr>
                <w:noProof/>
                <w:sz w:val="20"/>
              </w:rPr>
            </w:pPr>
          </w:p>
        </w:tc>
        <w:tc>
          <w:tcPr>
            <w:tcW w:w="868" w:type="dxa"/>
            <w:vAlign w:val="center"/>
          </w:tcPr>
          <w:p w14:paraId="64824D17" w14:textId="77777777" w:rsidR="002337F9" w:rsidRPr="00133050" w:rsidRDefault="002337F9" w:rsidP="0026218C">
            <w:pPr>
              <w:spacing w:before="20" w:after="20"/>
              <w:jc w:val="right"/>
              <w:rPr>
                <w:noProof/>
                <w:sz w:val="20"/>
              </w:rPr>
            </w:pPr>
          </w:p>
        </w:tc>
        <w:tc>
          <w:tcPr>
            <w:tcW w:w="868" w:type="dxa"/>
            <w:vAlign w:val="center"/>
          </w:tcPr>
          <w:p w14:paraId="75D459A6" w14:textId="77777777" w:rsidR="002337F9" w:rsidRPr="00133050" w:rsidRDefault="002337F9" w:rsidP="0026218C">
            <w:pPr>
              <w:spacing w:before="20" w:after="20"/>
              <w:jc w:val="right"/>
              <w:rPr>
                <w:noProof/>
                <w:sz w:val="20"/>
              </w:rPr>
            </w:pPr>
          </w:p>
        </w:tc>
        <w:tc>
          <w:tcPr>
            <w:tcW w:w="868" w:type="dxa"/>
            <w:vAlign w:val="center"/>
          </w:tcPr>
          <w:p w14:paraId="6E801D87" w14:textId="77777777" w:rsidR="002337F9" w:rsidRPr="00133050" w:rsidRDefault="002337F9" w:rsidP="0026218C">
            <w:pPr>
              <w:spacing w:before="20" w:after="20"/>
              <w:jc w:val="right"/>
              <w:rPr>
                <w:noProof/>
                <w:sz w:val="20"/>
              </w:rPr>
            </w:pPr>
          </w:p>
        </w:tc>
        <w:tc>
          <w:tcPr>
            <w:tcW w:w="868" w:type="dxa"/>
            <w:vAlign w:val="center"/>
          </w:tcPr>
          <w:p w14:paraId="43F9B75C" w14:textId="77777777" w:rsidR="002337F9" w:rsidRPr="00133050" w:rsidRDefault="002337F9" w:rsidP="0026218C">
            <w:pPr>
              <w:spacing w:before="20" w:after="20"/>
              <w:jc w:val="right"/>
              <w:rPr>
                <w:noProof/>
                <w:sz w:val="20"/>
              </w:rPr>
            </w:pPr>
          </w:p>
        </w:tc>
        <w:tc>
          <w:tcPr>
            <w:tcW w:w="868" w:type="dxa"/>
            <w:vAlign w:val="center"/>
          </w:tcPr>
          <w:p w14:paraId="5DFC0CE0" w14:textId="77777777" w:rsidR="002337F9" w:rsidRPr="00133050" w:rsidRDefault="002337F9" w:rsidP="0026218C">
            <w:pPr>
              <w:spacing w:before="20" w:after="20"/>
              <w:jc w:val="right"/>
              <w:rPr>
                <w:noProof/>
                <w:sz w:val="20"/>
              </w:rPr>
            </w:pPr>
          </w:p>
        </w:tc>
        <w:tc>
          <w:tcPr>
            <w:tcW w:w="868" w:type="dxa"/>
            <w:vAlign w:val="center"/>
          </w:tcPr>
          <w:p w14:paraId="2986E004" w14:textId="77777777" w:rsidR="002337F9" w:rsidRPr="00133050" w:rsidRDefault="002337F9" w:rsidP="0026218C">
            <w:pPr>
              <w:spacing w:before="20" w:after="20"/>
              <w:jc w:val="right"/>
              <w:rPr>
                <w:noProof/>
                <w:sz w:val="20"/>
              </w:rPr>
            </w:pPr>
          </w:p>
        </w:tc>
        <w:tc>
          <w:tcPr>
            <w:tcW w:w="1777" w:type="dxa"/>
            <w:vAlign w:val="center"/>
          </w:tcPr>
          <w:p w14:paraId="364CCFD9" w14:textId="77777777" w:rsidR="002337F9" w:rsidRPr="00133050" w:rsidRDefault="002337F9" w:rsidP="0026218C">
            <w:pPr>
              <w:spacing w:before="20" w:after="20"/>
              <w:jc w:val="right"/>
              <w:rPr>
                <w:b/>
                <w:noProof/>
                <w:sz w:val="20"/>
              </w:rPr>
            </w:pPr>
          </w:p>
        </w:tc>
      </w:tr>
      <w:tr w:rsidR="002337F9" w:rsidRPr="00133050" w14:paraId="4D902E67" w14:textId="77777777" w:rsidTr="0026218C">
        <w:tc>
          <w:tcPr>
            <w:tcW w:w="3960" w:type="dxa"/>
            <w:vAlign w:val="center"/>
          </w:tcPr>
          <w:p w14:paraId="7B72CAC9" w14:textId="77777777" w:rsidR="002337F9" w:rsidRPr="00133050" w:rsidRDefault="002337F9" w:rsidP="0026218C">
            <w:pPr>
              <w:jc w:val="center"/>
              <w:rPr>
                <w:b/>
                <w:noProof/>
              </w:rPr>
            </w:pPr>
            <w:r w:rsidRPr="00133050">
              <w:rPr>
                <w:b/>
                <w:noProof/>
              </w:rPr>
              <w:t xml:space="preserve">ОБЩО </w:t>
            </w:r>
          </w:p>
        </w:tc>
        <w:tc>
          <w:tcPr>
            <w:tcW w:w="2212" w:type="dxa"/>
            <w:gridSpan w:val="2"/>
            <w:vAlign w:val="center"/>
          </w:tcPr>
          <w:p w14:paraId="7DDA8ABC" w14:textId="77777777" w:rsidR="002337F9" w:rsidRPr="00133050" w:rsidRDefault="002337F9" w:rsidP="0026218C">
            <w:pPr>
              <w:rPr>
                <w:noProof/>
                <w:sz w:val="14"/>
              </w:rPr>
            </w:pPr>
            <w:r w:rsidRPr="00133050">
              <w:rPr>
                <w:noProof/>
                <w:sz w:val="18"/>
              </w:rPr>
              <w:t xml:space="preserve">Бюджетни кредити </w:t>
            </w:r>
          </w:p>
        </w:tc>
        <w:tc>
          <w:tcPr>
            <w:tcW w:w="750" w:type="dxa"/>
            <w:vAlign w:val="center"/>
          </w:tcPr>
          <w:p w14:paraId="4409491B" w14:textId="77777777" w:rsidR="002337F9" w:rsidRPr="00133050" w:rsidRDefault="002337F9" w:rsidP="0026218C">
            <w:pPr>
              <w:spacing w:before="60" w:after="60"/>
              <w:jc w:val="right"/>
              <w:rPr>
                <w:noProof/>
                <w:sz w:val="20"/>
              </w:rPr>
            </w:pPr>
            <w:r w:rsidRPr="00133050">
              <w:rPr>
                <w:noProof/>
                <w:sz w:val="20"/>
              </w:rPr>
              <w:t>0,356</w:t>
            </w:r>
          </w:p>
        </w:tc>
        <w:tc>
          <w:tcPr>
            <w:tcW w:w="868" w:type="dxa"/>
            <w:vAlign w:val="center"/>
          </w:tcPr>
          <w:p w14:paraId="33465F8F" w14:textId="77777777" w:rsidR="002337F9" w:rsidRPr="00133050" w:rsidRDefault="002337F9" w:rsidP="0026218C">
            <w:pPr>
              <w:spacing w:before="20" w:after="20"/>
              <w:jc w:val="right"/>
              <w:rPr>
                <w:noProof/>
                <w:sz w:val="20"/>
              </w:rPr>
            </w:pPr>
            <w:r w:rsidRPr="00133050">
              <w:rPr>
                <w:noProof/>
                <w:sz w:val="20"/>
              </w:rPr>
              <w:t xml:space="preserve">0,356 </w:t>
            </w:r>
          </w:p>
        </w:tc>
        <w:tc>
          <w:tcPr>
            <w:tcW w:w="868" w:type="dxa"/>
            <w:vAlign w:val="center"/>
          </w:tcPr>
          <w:p w14:paraId="2DCCC71E" w14:textId="77777777" w:rsidR="002337F9" w:rsidRPr="00133050" w:rsidRDefault="002337F9" w:rsidP="0026218C">
            <w:pPr>
              <w:spacing w:before="20" w:after="20"/>
              <w:jc w:val="right"/>
              <w:rPr>
                <w:noProof/>
                <w:sz w:val="20"/>
              </w:rPr>
            </w:pPr>
          </w:p>
        </w:tc>
        <w:tc>
          <w:tcPr>
            <w:tcW w:w="868" w:type="dxa"/>
            <w:vAlign w:val="center"/>
          </w:tcPr>
          <w:p w14:paraId="23FF9F65" w14:textId="77777777" w:rsidR="002337F9" w:rsidRPr="00133050" w:rsidRDefault="002337F9" w:rsidP="0026218C">
            <w:pPr>
              <w:spacing w:before="20" w:after="20"/>
              <w:jc w:val="right"/>
              <w:rPr>
                <w:noProof/>
                <w:sz w:val="20"/>
              </w:rPr>
            </w:pPr>
          </w:p>
        </w:tc>
        <w:tc>
          <w:tcPr>
            <w:tcW w:w="868" w:type="dxa"/>
            <w:vAlign w:val="center"/>
          </w:tcPr>
          <w:p w14:paraId="2092A2D6" w14:textId="77777777" w:rsidR="002337F9" w:rsidRPr="00133050" w:rsidRDefault="002337F9" w:rsidP="0026218C">
            <w:pPr>
              <w:spacing w:before="20" w:after="20"/>
              <w:jc w:val="right"/>
              <w:rPr>
                <w:noProof/>
                <w:sz w:val="20"/>
              </w:rPr>
            </w:pPr>
          </w:p>
        </w:tc>
        <w:tc>
          <w:tcPr>
            <w:tcW w:w="868" w:type="dxa"/>
            <w:vAlign w:val="center"/>
          </w:tcPr>
          <w:p w14:paraId="347DA79C" w14:textId="77777777" w:rsidR="002337F9" w:rsidRPr="00133050" w:rsidRDefault="002337F9" w:rsidP="0026218C">
            <w:pPr>
              <w:spacing w:before="20" w:after="20"/>
              <w:jc w:val="right"/>
              <w:rPr>
                <w:noProof/>
                <w:sz w:val="20"/>
              </w:rPr>
            </w:pPr>
          </w:p>
        </w:tc>
        <w:tc>
          <w:tcPr>
            <w:tcW w:w="868" w:type="dxa"/>
            <w:vAlign w:val="center"/>
          </w:tcPr>
          <w:p w14:paraId="5393EA88" w14:textId="77777777" w:rsidR="002337F9" w:rsidRPr="00133050" w:rsidRDefault="002337F9" w:rsidP="0026218C">
            <w:pPr>
              <w:spacing w:before="20" w:after="20"/>
              <w:jc w:val="right"/>
              <w:rPr>
                <w:noProof/>
                <w:sz w:val="20"/>
              </w:rPr>
            </w:pPr>
          </w:p>
        </w:tc>
        <w:tc>
          <w:tcPr>
            <w:tcW w:w="1777" w:type="dxa"/>
            <w:vAlign w:val="center"/>
          </w:tcPr>
          <w:p w14:paraId="6C993B98" w14:textId="77777777" w:rsidR="002337F9" w:rsidRPr="00133050" w:rsidRDefault="002337F9" w:rsidP="0026218C">
            <w:pPr>
              <w:spacing w:before="20" w:after="20"/>
              <w:jc w:val="right"/>
              <w:rPr>
                <w:b/>
                <w:noProof/>
                <w:sz w:val="20"/>
              </w:rPr>
            </w:pPr>
            <w:r w:rsidRPr="00133050">
              <w:rPr>
                <w:b/>
                <w:noProof/>
                <w:sz w:val="20"/>
              </w:rPr>
              <w:t xml:space="preserve">0,712 </w:t>
            </w:r>
          </w:p>
        </w:tc>
      </w:tr>
    </w:tbl>
    <w:p w14:paraId="2F510CBF" w14:textId="77777777" w:rsidR="002337F9" w:rsidRPr="00133050" w:rsidRDefault="002337F9" w:rsidP="002337F9">
      <w:pPr>
        <w:rPr>
          <w:noProof/>
        </w:rPr>
      </w:pPr>
    </w:p>
    <w:tbl>
      <w:tblPr>
        <w:tblW w:w="1390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652"/>
        <w:gridCol w:w="750"/>
        <w:gridCol w:w="868"/>
        <w:gridCol w:w="868"/>
        <w:gridCol w:w="868"/>
        <w:gridCol w:w="868"/>
        <w:gridCol w:w="868"/>
        <w:gridCol w:w="868"/>
        <w:gridCol w:w="1777"/>
      </w:tblGrid>
      <w:tr w:rsidR="002337F9" w:rsidRPr="00133050" w14:paraId="723BE5A8" w14:textId="77777777" w:rsidTr="0026218C">
        <w:tc>
          <w:tcPr>
            <w:tcW w:w="3960" w:type="dxa"/>
            <w:tcBorders>
              <w:top w:val="nil"/>
              <w:left w:val="nil"/>
              <w:right w:val="nil"/>
            </w:tcBorders>
            <w:vAlign w:val="center"/>
          </w:tcPr>
          <w:p w14:paraId="5362C15E" w14:textId="77777777" w:rsidR="002337F9" w:rsidRPr="00133050" w:rsidRDefault="002337F9" w:rsidP="0026218C">
            <w:pPr>
              <w:jc w:val="center"/>
              <w:rPr>
                <w:noProof/>
              </w:rPr>
            </w:pPr>
          </w:p>
        </w:tc>
        <w:tc>
          <w:tcPr>
            <w:tcW w:w="1560" w:type="dxa"/>
            <w:tcBorders>
              <w:top w:val="nil"/>
              <w:left w:val="nil"/>
              <w:right w:val="nil"/>
            </w:tcBorders>
          </w:tcPr>
          <w:p w14:paraId="0EA12604" w14:textId="77777777" w:rsidR="002337F9" w:rsidRPr="00133050" w:rsidRDefault="002337F9" w:rsidP="0026218C">
            <w:pPr>
              <w:rPr>
                <w:noProof/>
                <w:sz w:val="20"/>
              </w:rPr>
            </w:pPr>
          </w:p>
        </w:tc>
        <w:tc>
          <w:tcPr>
            <w:tcW w:w="652" w:type="dxa"/>
            <w:tcBorders>
              <w:top w:val="nil"/>
              <w:left w:val="nil"/>
            </w:tcBorders>
          </w:tcPr>
          <w:p w14:paraId="573C2C63" w14:textId="77777777" w:rsidR="002337F9" w:rsidRPr="00133050" w:rsidRDefault="002337F9" w:rsidP="0026218C">
            <w:pPr>
              <w:jc w:val="center"/>
              <w:rPr>
                <w:noProof/>
                <w:sz w:val="20"/>
              </w:rPr>
            </w:pPr>
          </w:p>
        </w:tc>
        <w:tc>
          <w:tcPr>
            <w:tcW w:w="750" w:type="dxa"/>
            <w:vAlign w:val="center"/>
          </w:tcPr>
          <w:p w14:paraId="3A7FB000" w14:textId="77777777" w:rsidR="002337F9" w:rsidRPr="00133050" w:rsidRDefault="002337F9" w:rsidP="0026218C">
            <w:pPr>
              <w:jc w:val="center"/>
              <w:rPr>
                <w:noProof/>
                <w:sz w:val="20"/>
              </w:rPr>
            </w:pPr>
            <w:r w:rsidRPr="00133050">
              <w:rPr>
                <w:b/>
                <w:noProof/>
                <w:sz w:val="20"/>
              </w:rPr>
              <w:t>2026 г.</w:t>
            </w:r>
          </w:p>
        </w:tc>
        <w:tc>
          <w:tcPr>
            <w:tcW w:w="868" w:type="dxa"/>
            <w:vAlign w:val="center"/>
          </w:tcPr>
          <w:p w14:paraId="4F8FC844" w14:textId="77777777" w:rsidR="002337F9" w:rsidRPr="00133050" w:rsidRDefault="002337F9" w:rsidP="0026218C">
            <w:pPr>
              <w:jc w:val="center"/>
              <w:rPr>
                <w:noProof/>
                <w:sz w:val="20"/>
              </w:rPr>
            </w:pPr>
            <w:r w:rsidRPr="00133050">
              <w:rPr>
                <w:b/>
                <w:noProof/>
                <w:sz w:val="20"/>
              </w:rPr>
              <w:t>2027 г.</w:t>
            </w:r>
          </w:p>
        </w:tc>
        <w:tc>
          <w:tcPr>
            <w:tcW w:w="868" w:type="dxa"/>
            <w:vAlign w:val="center"/>
          </w:tcPr>
          <w:p w14:paraId="5A02B17E" w14:textId="77777777" w:rsidR="002337F9" w:rsidRPr="00133050" w:rsidRDefault="002337F9" w:rsidP="0026218C">
            <w:pPr>
              <w:jc w:val="center"/>
              <w:rPr>
                <w:noProof/>
                <w:sz w:val="20"/>
              </w:rPr>
            </w:pPr>
          </w:p>
        </w:tc>
        <w:tc>
          <w:tcPr>
            <w:tcW w:w="868" w:type="dxa"/>
            <w:vAlign w:val="center"/>
          </w:tcPr>
          <w:p w14:paraId="346011FB" w14:textId="77777777" w:rsidR="002337F9" w:rsidRPr="00133050" w:rsidRDefault="002337F9" w:rsidP="0026218C">
            <w:pPr>
              <w:jc w:val="center"/>
              <w:rPr>
                <w:noProof/>
                <w:sz w:val="20"/>
              </w:rPr>
            </w:pPr>
          </w:p>
        </w:tc>
        <w:tc>
          <w:tcPr>
            <w:tcW w:w="868" w:type="dxa"/>
            <w:vAlign w:val="center"/>
          </w:tcPr>
          <w:p w14:paraId="649E908A" w14:textId="77777777" w:rsidR="002337F9" w:rsidRPr="00133050" w:rsidRDefault="002337F9" w:rsidP="0026218C">
            <w:pPr>
              <w:jc w:val="center"/>
              <w:rPr>
                <w:b/>
                <w:noProof/>
                <w:sz w:val="18"/>
              </w:rPr>
            </w:pPr>
          </w:p>
        </w:tc>
        <w:tc>
          <w:tcPr>
            <w:tcW w:w="868" w:type="dxa"/>
            <w:vAlign w:val="center"/>
          </w:tcPr>
          <w:p w14:paraId="321BED7A" w14:textId="77777777" w:rsidR="002337F9" w:rsidRPr="00133050" w:rsidRDefault="002337F9" w:rsidP="0026218C">
            <w:pPr>
              <w:jc w:val="center"/>
              <w:rPr>
                <w:b/>
                <w:noProof/>
                <w:sz w:val="18"/>
              </w:rPr>
            </w:pPr>
          </w:p>
        </w:tc>
        <w:tc>
          <w:tcPr>
            <w:tcW w:w="868" w:type="dxa"/>
            <w:vAlign w:val="center"/>
          </w:tcPr>
          <w:p w14:paraId="74723802" w14:textId="77777777" w:rsidR="002337F9" w:rsidRPr="00133050" w:rsidRDefault="002337F9" w:rsidP="0026218C">
            <w:pPr>
              <w:jc w:val="center"/>
              <w:rPr>
                <w:b/>
                <w:noProof/>
                <w:sz w:val="18"/>
              </w:rPr>
            </w:pPr>
          </w:p>
        </w:tc>
        <w:tc>
          <w:tcPr>
            <w:tcW w:w="1777" w:type="dxa"/>
            <w:vAlign w:val="center"/>
          </w:tcPr>
          <w:p w14:paraId="5CDBAAFF" w14:textId="77777777" w:rsidR="002337F9" w:rsidRPr="00133050" w:rsidRDefault="002337F9" w:rsidP="0026218C">
            <w:pPr>
              <w:jc w:val="center"/>
              <w:rPr>
                <w:b/>
                <w:noProof/>
                <w:sz w:val="20"/>
              </w:rPr>
            </w:pPr>
            <w:r w:rsidRPr="00133050">
              <w:rPr>
                <w:b/>
                <w:noProof/>
                <w:sz w:val="20"/>
              </w:rPr>
              <w:t>ОБЩО</w:t>
            </w:r>
          </w:p>
        </w:tc>
      </w:tr>
      <w:tr w:rsidR="002337F9" w:rsidRPr="00133050" w14:paraId="4CAB9BB5" w14:textId="77777777" w:rsidTr="0026218C">
        <w:trPr>
          <w:gridAfter w:val="8"/>
          <w:wAfter w:w="7735" w:type="dxa"/>
        </w:trPr>
        <w:tc>
          <w:tcPr>
            <w:tcW w:w="3960" w:type="dxa"/>
            <w:vAlign w:val="center"/>
          </w:tcPr>
          <w:p w14:paraId="7EE642E2" w14:textId="77777777" w:rsidR="002337F9" w:rsidRPr="00133050" w:rsidRDefault="002337F9" w:rsidP="0026218C">
            <w:pPr>
              <w:spacing w:before="60" w:after="60"/>
              <w:jc w:val="center"/>
              <w:rPr>
                <w:noProof/>
              </w:rPr>
            </w:pPr>
            <w:r w:rsidRPr="00133050">
              <w:rPr>
                <w:noProof/>
              </w:rPr>
              <w:t>ГД „Отбранителна промишленост и космическо пространство“</w:t>
            </w:r>
          </w:p>
        </w:tc>
        <w:tc>
          <w:tcPr>
            <w:tcW w:w="2212" w:type="dxa"/>
            <w:gridSpan w:val="2"/>
          </w:tcPr>
          <w:p w14:paraId="62A0C4D2" w14:textId="77777777" w:rsidR="002337F9" w:rsidRPr="00133050" w:rsidRDefault="002337F9" w:rsidP="0026218C">
            <w:pPr>
              <w:spacing w:before="60" w:after="60"/>
              <w:jc w:val="center"/>
              <w:rPr>
                <w:noProof/>
              </w:rPr>
            </w:pPr>
          </w:p>
        </w:tc>
      </w:tr>
      <w:tr w:rsidR="002337F9" w:rsidRPr="00133050" w14:paraId="39CF3038" w14:textId="77777777" w:rsidTr="0026218C">
        <w:trPr>
          <w:trHeight w:val="313"/>
        </w:trPr>
        <w:tc>
          <w:tcPr>
            <w:tcW w:w="6172" w:type="dxa"/>
            <w:gridSpan w:val="3"/>
            <w:vAlign w:val="center"/>
          </w:tcPr>
          <w:p w14:paraId="6E814C69" w14:textId="77777777" w:rsidR="002337F9" w:rsidRPr="00133050" w:rsidRDefault="002337F9" w:rsidP="0026218C">
            <w:pPr>
              <w:spacing w:before="20" w:after="20"/>
              <w:rPr>
                <w:noProof/>
              </w:rPr>
            </w:pPr>
            <w:r w:rsidRPr="00133050">
              <w:rPr>
                <w:noProof/>
              </w:rPr>
              <w:sym w:font="Wingdings" w:char="F09F"/>
            </w:r>
            <w:r w:rsidRPr="00133050">
              <w:rPr>
                <w:noProof/>
              </w:rPr>
              <w:t xml:space="preserve"> Човешки ресурси </w:t>
            </w:r>
          </w:p>
        </w:tc>
        <w:tc>
          <w:tcPr>
            <w:tcW w:w="750" w:type="dxa"/>
            <w:vAlign w:val="center"/>
          </w:tcPr>
          <w:p w14:paraId="715D5A4B" w14:textId="77777777" w:rsidR="002337F9" w:rsidRPr="00133050" w:rsidRDefault="002337F9" w:rsidP="0026218C">
            <w:pPr>
              <w:spacing w:before="20" w:after="20"/>
              <w:jc w:val="center"/>
              <w:rPr>
                <w:noProof/>
                <w:sz w:val="20"/>
              </w:rPr>
            </w:pPr>
            <w:r w:rsidRPr="00133050">
              <w:rPr>
                <w:noProof/>
                <w:sz w:val="20"/>
              </w:rPr>
              <w:t>0,356</w:t>
            </w:r>
          </w:p>
        </w:tc>
        <w:tc>
          <w:tcPr>
            <w:tcW w:w="868" w:type="dxa"/>
            <w:vAlign w:val="center"/>
          </w:tcPr>
          <w:p w14:paraId="255DDCB8" w14:textId="77777777" w:rsidR="002337F9" w:rsidRPr="00133050" w:rsidRDefault="002337F9" w:rsidP="0026218C">
            <w:pPr>
              <w:spacing w:before="20" w:after="20"/>
              <w:jc w:val="center"/>
              <w:rPr>
                <w:noProof/>
                <w:sz w:val="20"/>
              </w:rPr>
            </w:pPr>
            <w:r w:rsidRPr="00133050">
              <w:rPr>
                <w:noProof/>
                <w:sz w:val="20"/>
              </w:rPr>
              <w:t xml:space="preserve">0,356 </w:t>
            </w:r>
          </w:p>
        </w:tc>
        <w:tc>
          <w:tcPr>
            <w:tcW w:w="868" w:type="dxa"/>
            <w:vAlign w:val="center"/>
          </w:tcPr>
          <w:p w14:paraId="1CE940DC" w14:textId="77777777" w:rsidR="002337F9" w:rsidRPr="00133050" w:rsidRDefault="002337F9" w:rsidP="0026218C">
            <w:pPr>
              <w:spacing w:before="20" w:after="20"/>
              <w:jc w:val="right"/>
              <w:rPr>
                <w:noProof/>
                <w:sz w:val="20"/>
              </w:rPr>
            </w:pPr>
          </w:p>
        </w:tc>
        <w:tc>
          <w:tcPr>
            <w:tcW w:w="868" w:type="dxa"/>
            <w:vAlign w:val="center"/>
          </w:tcPr>
          <w:p w14:paraId="3B69EC5F" w14:textId="77777777" w:rsidR="002337F9" w:rsidRPr="00133050" w:rsidRDefault="002337F9" w:rsidP="0026218C">
            <w:pPr>
              <w:spacing w:before="20" w:after="20"/>
              <w:jc w:val="right"/>
              <w:rPr>
                <w:noProof/>
                <w:sz w:val="20"/>
              </w:rPr>
            </w:pPr>
          </w:p>
        </w:tc>
        <w:tc>
          <w:tcPr>
            <w:tcW w:w="868" w:type="dxa"/>
            <w:vAlign w:val="center"/>
          </w:tcPr>
          <w:p w14:paraId="699DD80B" w14:textId="77777777" w:rsidR="002337F9" w:rsidRPr="00133050" w:rsidRDefault="002337F9" w:rsidP="0026218C">
            <w:pPr>
              <w:spacing w:before="20" w:after="20"/>
              <w:jc w:val="right"/>
              <w:rPr>
                <w:noProof/>
                <w:sz w:val="20"/>
              </w:rPr>
            </w:pPr>
          </w:p>
        </w:tc>
        <w:tc>
          <w:tcPr>
            <w:tcW w:w="868" w:type="dxa"/>
            <w:vAlign w:val="center"/>
          </w:tcPr>
          <w:p w14:paraId="67760E89" w14:textId="77777777" w:rsidR="002337F9" w:rsidRPr="00133050" w:rsidRDefault="002337F9" w:rsidP="0026218C">
            <w:pPr>
              <w:spacing w:before="20" w:after="20"/>
              <w:jc w:val="right"/>
              <w:rPr>
                <w:noProof/>
                <w:sz w:val="20"/>
              </w:rPr>
            </w:pPr>
          </w:p>
        </w:tc>
        <w:tc>
          <w:tcPr>
            <w:tcW w:w="868" w:type="dxa"/>
            <w:vAlign w:val="center"/>
          </w:tcPr>
          <w:p w14:paraId="3718973B" w14:textId="77777777" w:rsidR="002337F9" w:rsidRPr="00133050" w:rsidRDefault="002337F9" w:rsidP="0026218C">
            <w:pPr>
              <w:spacing w:before="20" w:after="20"/>
              <w:jc w:val="right"/>
              <w:rPr>
                <w:b/>
                <w:noProof/>
                <w:sz w:val="20"/>
              </w:rPr>
            </w:pPr>
          </w:p>
        </w:tc>
        <w:tc>
          <w:tcPr>
            <w:tcW w:w="1777" w:type="dxa"/>
            <w:vAlign w:val="center"/>
          </w:tcPr>
          <w:p w14:paraId="456E76C5" w14:textId="77777777" w:rsidR="002337F9" w:rsidRPr="00133050" w:rsidRDefault="002337F9" w:rsidP="0026218C">
            <w:pPr>
              <w:spacing w:before="20" w:after="20"/>
              <w:jc w:val="center"/>
              <w:rPr>
                <w:b/>
                <w:noProof/>
                <w:sz w:val="20"/>
              </w:rPr>
            </w:pPr>
            <w:r w:rsidRPr="00133050">
              <w:rPr>
                <w:b/>
                <w:noProof/>
                <w:sz w:val="20"/>
              </w:rPr>
              <w:t xml:space="preserve">0,712 </w:t>
            </w:r>
          </w:p>
        </w:tc>
      </w:tr>
      <w:tr w:rsidR="002337F9" w:rsidRPr="00133050" w14:paraId="27AC519E" w14:textId="77777777" w:rsidTr="0026218C">
        <w:trPr>
          <w:trHeight w:val="351"/>
        </w:trPr>
        <w:tc>
          <w:tcPr>
            <w:tcW w:w="6172" w:type="dxa"/>
            <w:gridSpan w:val="3"/>
            <w:vAlign w:val="center"/>
          </w:tcPr>
          <w:p w14:paraId="5C79A737" w14:textId="77777777" w:rsidR="002337F9" w:rsidRPr="00133050" w:rsidRDefault="002337F9" w:rsidP="0026218C">
            <w:pPr>
              <w:spacing w:before="20" w:after="20"/>
              <w:rPr>
                <w:noProof/>
              </w:rPr>
            </w:pPr>
            <w:r w:rsidRPr="00133050">
              <w:rPr>
                <w:noProof/>
              </w:rPr>
              <w:sym w:font="Wingdings" w:char="F09F"/>
            </w:r>
            <w:r w:rsidRPr="00133050">
              <w:rPr>
                <w:noProof/>
              </w:rPr>
              <w:t xml:space="preserve"> Други административни разходи</w:t>
            </w:r>
          </w:p>
        </w:tc>
        <w:tc>
          <w:tcPr>
            <w:tcW w:w="750" w:type="dxa"/>
            <w:vAlign w:val="center"/>
          </w:tcPr>
          <w:p w14:paraId="4210BEC6" w14:textId="77777777" w:rsidR="002337F9" w:rsidRPr="00133050" w:rsidRDefault="002337F9" w:rsidP="0026218C">
            <w:pPr>
              <w:spacing w:before="20" w:after="20"/>
              <w:jc w:val="center"/>
              <w:rPr>
                <w:noProof/>
                <w:sz w:val="20"/>
              </w:rPr>
            </w:pPr>
          </w:p>
        </w:tc>
        <w:tc>
          <w:tcPr>
            <w:tcW w:w="868" w:type="dxa"/>
            <w:vAlign w:val="center"/>
          </w:tcPr>
          <w:p w14:paraId="17738AF3" w14:textId="77777777" w:rsidR="002337F9" w:rsidRPr="00133050" w:rsidRDefault="002337F9" w:rsidP="0026218C">
            <w:pPr>
              <w:spacing w:before="20" w:after="20"/>
              <w:jc w:val="center"/>
              <w:rPr>
                <w:noProof/>
                <w:sz w:val="20"/>
              </w:rPr>
            </w:pPr>
          </w:p>
        </w:tc>
        <w:tc>
          <w:tcPr>
            <w:tcW w:w="868" w:type="dxa"/>
            <w:vAlign w:val="center"/>
          </w:tcPr>
          <w:p w14:paraId="46A637A9" w14:textId="77777777" w:rsidR="002337F9" w:rsidRPr="00133050" w:rsidRDefault="002337F9" w:rsidP="0026218C">
            <w:pPr>
              <w:spacing w:before="20" w:after="20"/>
              <w:jc w:val="right"/>
              <w:rPr>
                <w:noProof/>
                <w:sz w:val="20"/>
              </w:rPr>
            </w:pPr>
          </w:p>
        </w:tc>
        <w:tc>
          <w:tcPr>
            <w:tcW w:w="868" w:type="dxa"/>
            <w:vAlign w:val="center"/>
          </w:tcPr>
          <w:p w14:paraId="71B22EC0" w14:textId="77777777" w:rsidR="002337F9" w:rsidRPr="00133050" w:rsidRDefault="002337F9" w:rsidP="0026218C">
            <w:pPr>
              <w:spacing w:before="20" w:after="20"/>
              <w:jc w:val="right"/>
              <w:rPr>
                <w:noProof/>
                <w:sz w:val="20"/>
              </w:rPr>
            </w:pPr>
          </w:p>
        </w:tc>
        <w:tc>
          <w:tcPr>
            <w:tcW w:w="868" w:type="dxa"/>
            <w:vAlign w:val="center"/>
          </w:tcPr>
          <w:p w14:paraId="5BB86C37" w14:textId="77777777" w:rsidR="002337F9" w:rsidRPr="00133050" w:rsidRDefault="002337F9" w:rsidP="0026218C">
            <w:pPr>
              <w:spacing w:before="20" w:after="20"/>
              <w:jc w:val="right"/>
              <w:rPr>
                <w:noProof/>
                <w:sz w:val="20"/>
              </w:rPr>
            </w:pPr>
          </w:p>
        </w:tc>
        <w:tc>
          <w:tcPr>
            <w:tcW w:w="868" w:type="dxa"/>
            <w:vAlign w:val="center"/>
          </w:tcPr>
          <w:p w14:paraId="4D1C6C8C" w14:textId="77777777" w:rsidR="002337F9" w:rsidRPr="00133050" w:rsidRDefault="002337F9" w:rsidP="0026218C">
            <w:pPr>
              <w:spacing w:before="20" w:after="20"/>
              <w:jc w:val="right"/>
              <w:rPr>
                <w:noProof/>
                <w:sz w:val="20"/>
              </w:rPr>
            </w:pPr>
          </w:p>
        </w:tc>
        <w:tc>
          <w:tcPr>
            <w:tcW w:w="868" w:type="dxa"/>
            <w:vAlign w:val="center"/>
          </w:tcPr>
          <w:p w14:paraId="567D0648" w14:textId="77777777" w:rsidR="002337F9" w:rsidRPr="00133050" w:rsidRDefault="002337F9" w:rsidP="0026218C">
            <w:pPr>
              <w:spacing w:before="20" w:after="20"/>
              <w:jc w:val="right"/>
              <w:rPr>
                <w:noProof/>
                <w:sz w:val="20"/>
              </w:rPr>
            </w:pPr>
          </w:p>
        </w:tc>
        <w:tc>
          <w:tcPr>
            <w:tcW w:w="1777" w:type="dxa"/>
            <w:vAlign w:val="center"/>
          </w:tcPr>
          <w:p w14:paraId="1566E6AE" w14:textId="77777777" w:rsidR="002337F9" w:rsidRPr="00133050" w:rsidRDefault="002337F9" w:rsidP="0026218C">
            <w:pPr>
              <w:spacing w:before="20" w:after="20"/>
              <w:jc w:val="center"/>
              <w:rPr>
                <w:b/>
                <w:noProof/>
                <w:sz w:val="20"/>
              </w:rPr>
            </w:pPr>
          </w:p>
        </w:tc>
      </w:tr>
      <w:tr w:rsidR="002337F9" w:rsidRPr="00133050" w14:paraId="6344DAC7" w14:textId="77777777" w:rsidTr="0026218C">
        <w:tc>
          <w:tcPr>
            <w:tcW w:w="3960" w:type="dxa"/>
            <w:vAlign w:val="center"/>
          </w:tcPr>
          <w:p w14:paraId="18C3DAEA" w14:textId="77777777" w:rsidR="002337F9" w:rsidRPr="00133050" w:rsidRDefault="002337F9" w:rsidP="0026218C">
            <w:pPr>
              <w:jc w:val="center"/>
              <w:rPr>
                <w:b/>
                <w:noProof/>
              </w:rPr>
            </w:pPr>
            <w:r w:rsidRPr="00133050">
              <w:rPr>
                <w:b/>
                <w:noProof/>
              </w:rPr>
              <w:t xml:space="preserve">ОБЩО </w:t>
            </w:r>
          </w:p>
        </w:tc>
        <w:tc>
          <w:tcPr>
            <w:tcW w:w="2212" w:type="dxa"/>
            <w:gridSpan w:val="2"/>
            <w:vAlign w:val="center"/>
          </w:tcPr>
          <w:p w14:paraId="2CB2058C" w14:textId="77777777" w:rsidR="002337F9" w:rsidRPr="00133050" w:rsidRDefault="002337F9" w:rsidP="0026218C">
            <w:pPr>
              <w:rPr>
                <w:noProof/>
                <w:sz w:val="14"/>
              </w:rPr>
            </w:pPr>
            <w:r w:rsidRPr="00133050">
              <w:rPr>
                <w:noProof/>
                <w:sz w:val="18"/>
              </w:rPr>
              <w:t xml:space="preserve">Бюджетни кредити </w:t>
            </w:r>
          </w:p>
        </w:tc>
        <w:tc>
          <w:tcPr>
            <w:tcW w:w="750" w:type="dxa"/>
            <w:vAlign w:val="center"/>
          </w:tcPr>
          <w:p w14:paraId="448B8AB9" w14:textId="77777777" w:rsidR="002337F9" w:rsidRPr="00133050" w:rsidRDefault="002337F9" w:rsidP="0026218C">
            <w:pPr>
              <w:spacing w:before="60" w:after="60"/>
              <w:jc w:val="center"/>
              <w:rPr>
                <w:noProof/>
                <w:sz w:val="20"/>
              </w:rPr>
            </w:pPr>
            <w:r w:rsidRPr="00133050">
              <w:rPr>
                <w:noProof/>
                <w:sz w:val="20"/>
              </w:rPr>
              <w:t>0,356</w:t>
            </w:r>
          </w:p>
        </w:tc>
        <w:tc>
          <w:tcPr>
            <w:tcW w:w="868" w:type="dxa"/>
            <w:vAlign w:val="center"/>
          </w:tcPr>
          <w:p w14:paraId="3855C442" w14:textId="77777777" w:rsidR="002337F9" w:rsidRPr="00133050" w:rsidRDefault="002337F9" w:rsidP="0026218C">
            <w:pPr>
              <w:spacing w:before="20" w:after="20"/>
              <w:jc w:val="center"/>
              <w:rPr>
                <w:noProof/>
                <w:sz w:val="20"/>
              </w:rPr>
            </w:pPr>
            <w:r w:rsidRPr="00133050">
              <w:rPr>
                <w:noProof/>
                <w:sz w:val="20"/>
              </w:rPr>
              <w:t xml:space="preserve">0,356 </w:t>
            </w:r>
          </w:p>
        </w:tc>
        <w:tc>
          <w:tcPr>
            <w:tcW w:w="868" w:type="dxa"/>
            <w:vAlign w:val="center"/>
          </w:tcPr>
          <w:p w14:paraId="4D56E4C7" w14:textId="77777777" w:rsidR="002337F9" w:rsidRPr="00133050" w:rsidRDefault="002337F9" w:rsidP="0026218C">
            <w:pPr>
              <w:spacing w:before="20" w:after="20"/>
              <w:jc w:val="right"/>
              <w:rPr>
                <w:noProof/>
                <w:sz w:val="20"/>
              </w:rPr>
            </w:pPr>
          </w:p>
        </w:tc>
        <w:tc>
          <w:tcPr>
            <w:tcW w:w="868" w:type="dxa"/>
            <w:vAlign w:val="center"/>
          </w:tcPr>
          <w:p w14:paraId="1993871A" w14:textId="77777777" w:rsidR="002337F9" w:rsidRPr="00133050" w:rsidRDefault="002337F9" w:rsidP="0026218C">
            <w:pPr>
              <w:spacing w:before="20" w:after="20"/>
              <w:jc w:val="right"/>
              <w:rPr>
                <w:noProof/>
                <w:sz w:val="20"/>
              </w:rPr>
            </w:pPr>
          </w:p>
        </w:tc>
        <w:tc>
          <w:tcPr>
            <w:tcW w:w="868" w:type="dxa"/>
            <w:vAlign w:val="center"/>
          </w:tcPr>
          <w:p w14:paraId="4BB2BDFF" w14:textId="77777777" w:rsidR="002337F9" w:rsidRPr="00133050" w:rsidRDefault="002337F9" w:rsidP="0026218C">
            <w:pPr>
              <w:spacing w:before="20" w:after="20"/>
              <w:jc w:val="right"/>
              <w:rPr>
                <w:noProof/>
                <w:sz w:val="20"/>
              </w:rPr>
            </w:pPr>
          </w:p>
        </w:tc>
        <w:tc>
          <w:tcPr>
            <w:tcW w:w="868" w:type="dxa"/>
            <w:vAlign w:val="center"/>
          </w:tcPr>
          <w:p w14:paraId="232FB967" w14:textId="77777777" w:rsidR="002337F9" w:rsidRPr="00133050" w:rsidRDefault="002337F9" w:rsidP="0026218C">
            <w:pPr>
              <w:spacing w:before="20" w:after="20"/>
              <w:jc w:val="right"/>
              <w:rPr>
                <w:noProof/>
                <w:sz w:val="20"/>
              </w:rPr>
            </w:pPr>
          </w:p>
        </w:tc>
        <w:tc>
          <w:tcPr>
            <w:tcW w:w="868" w:type="dxa"/>
            <w:vAlign w:val="center"/>
          </w:tcPr>
          <w:p w14:paraId="78E86F1E" w14:textId="77777777" w:rsidR="002337F9" w:rsidRPr="00133050" w:rsidRDefault="002337F9" w:rsidP="0026218C">
            <w:pPr>
              <w:spacing w:before="20" w:after="20"/>
              <w:jc w:val="right"/>
              <w:rPr>
                <w:noProof/>
                <w:sz w:val="20"/>
              </w:rPr>
            </w:pPr>
          </w:p>
        </w:tc>
        <w:tc>
          <w:tcPr>
            <w:tcW w:w="1777" w:type="dxa"/>
            <w:vAlign w:val="center"/>
          </w:tcPr>
          <w:p w14:paraId="07FBD5C7" w14:textId="77777777" w:rsidR="002337F9" w:rsidRPr="00133050" w:rsidRDefault="002337F9" w:rsidP="0026218C">
            <w:pPr>
              <w:spacing w:before="20" w:after="20"/>
              <w:jc w:val="center"/>
              <w:rPr>
                <w:b/>
                <w:noProof/>
                <w:sz w:val="20"/>
              </w:rPr>
            </w:pPr>
            <w:r w:rsidRPr="00133050">
              <w:rPr>
                <w:b/>
                <w:noProof/>
                <w:sz w:val="20"/>
              </w:rPr>
              <w:t xml:space="preserve">0,712 </w:t>
            </w:r>
          </w:p>
        </w:tc>
      </w:tr>
    </w:tbl>
    <w:p w14:paraId="6389F9EE" w14:textId="77777777" w:rsidR="002337F9" w:rsidRPr="00133050" w:rsidRDefault="002337F9" w:rsidP="002337F9">
      <w:pPr>
        <w:rPr>
          <w:noProof/>
        </w:rPr>
      </w:pPr>
    </w:p>
    <w:tbl>
      <w:tblPr>
        <w:tblW w:w="1390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652"/>
        <w:gridCol w:w="750"/>
        <w:gridCol w:w="868"/>
        <w:gridCol w:w="868"/>
        <w:gridCol w:w="868"/>
        <w:gridCol w:w="868"/>
        <w:gridCol w:w="868"/>
        <w:gridCol w:w="868"/>
        <w:gridCol w:w="1777"/>
      </w:tblGrid>
      <w:tr w:rsidR="002337F9" w:rsidRPr="00133050" w14:paraId="00742BEA" w14:textId="77777777" w:rsidTr="0026218C">
        <w:tc>
          <w:tcPr>
            <w:tcW w:w="3960" w:type="dxa"/>
            <w:tcBorders>
              <w:top w:val="nil"/>
              <w:left w:val="nil"/>
              <w:right w:val="nil"/>
            </w:tcBorders>
            <w:vAlign w:val="center"/>
          </w:tcPr>
          <w:p w14:paraId="3F46000B" w14:textId="77777777" w:rsidR="002337F9" w:rsidRPr="00133050" w:rsidRDefault="002337F9" w:rsidP="0026218C">
            <w:pPr>
              <w:jc w:val="center"/>
              <w:rPr>
                <w:noProof/>
              </w:rPr>
            </w:pPr>
          </w:p>
        </w:tc>
        <w:tc>
          <w:tcPr>
            <w:tcW w:w="1560" w:type="dxa"/>
            <w:tcBorders>
              <w:top w:val="nil"/>
              <w:left w:val="nil"/>
              <w:right w:val="nil"/>
            </w:tcBorders>
          </w:tcPr>
          <w:p w14:paraId="7B7C8500" w14:textId="77777777" w:rsidR="002337F9" w:rsidRPr="00133050" w:rsidRDefault="002337F9" w:rsidP="0026218C">
            <w:pPr>
              <w:rPr>
                <w:noProof/>
                <w:sz w:val="20"/>
              </w:rPr>
            </w:pPr>
          </w:p>
        </w:tc>
        <w:tc>
          <w:tcPr>
            <w:tcW w:w="652" w:type="dxa"/>
            <w:tcBorders>
              <w:top w:val="nil"/>
              <w:left w:val="nil"/>
            </w:tcBorders>
          </w:tcPr>
          <w:p w14:paraId="73075D7D" w14:textId="77777777" w:rsidR="002337F9" w:rsidRPr="00133050" w:rsidRDefault="002337F9" w:rsidP="0026218C">
            <w:pPr>
              <w:jc w:val="center"/>
              <w:rPr>
                <w:noProof/>
                <w:sz w:val="20"/>
              </w:rPr>
            </w:pPr>
          </w:p>
        </w:tc>
        <w:tc>
          <w:tcPr>
            <w:tcW w:w="750" w:type="dxa"/>
            <w:vAlign w:val="center"/>
          </w:tcPr>
          <w:p w14:paraId="7C9A746D" w14:textId="77777777" w:rsidR="002337F9" w:rsidRPr="00133050" w:rsidRDefault="002337F9" w:rsidP="0026218C">
            <w:pPr>
              <w:jc w:val="center"/>
              <w:rPr>
                <w:noProof/>
                <w:sz w:val="20"/>
              </w:rPr>
            </w:pPr>
            <w:r w:rsidRPr="00133050">
              <w:rPr>
                <w:b/>
                <w:noProof/>
                <w:sz w:val="20"/>
              </w:rPr>
              <w:t>2026 г.</w:t>
            </w:r>
          </w:p>
        </w:tc>
        <w:tc>
          <w:tcPr>
            <w:tcW w:w="868" w:type="dxa"/>
            <w:vAlign w:val="center"/>
          </w:tcPr>
          <w:p w14:paraId="4C7168B7" w14:textId="77777777" w:rsidR="002337F9" w:rsidRPr="00133050" w:rsidRDefault="002337F9" w:rsidP="0026218C">
            <w:pPr>
              <w:jc w:val="center"/>
              <w:rPr>
                <w:noProof/>
                <w:sz w:val="20"/>
              </w:rPr>
            </w:pPr>
            <w:r w:rsidRPr="00133050">
              <w:rPr>
                <w:b/>
                <w:noProof/>
                <w:sz w:val="20"/>
              </w:rPr>
              <w:t>2027 г.</w:t>
            </w:r>
          </w:p>
        </w:tc>
        <w:tc>
          <w:tcPr>
            <w:tcW w:w="868" w:type="dxa"/>
            <w:vAlign w:val="center"/>
          </w:tcPr>
          <w:p w14:paraId="35CB1CB5" w14:textId="77777777" w:rsidR="002337F9" w:rsidRPr="00133050" w:rsidRDefault="002337F9" w:rsidP="0026218C">
            <w:pPr>
              <w:jc w:val="center"/>
              <w:rPr>
                <w:noProof/>
                <w:sz w:val="20"/>
              </w:rPr>
            </w:pPr>
          </w:p>
        </w:tc>
        <w:tc>
          <w:tcPr>
            <w:tcW w:w="868" w:type="dxa"/>
            <w:vAlign w:val="center"/>
          </w:tcPr>
          <w:p w14:paraId="4C1918A1" w14:textId="77777777" w:rsidR="002337F9" w:rsidRPr="00133050" w:rsidRDefault="002337F9" w:rsidP="0026218C">
            <w:pPr>
              <w:jc w:val="center"/>
              <w:rPr>
                <w:noProof/>
                <w:sz w:val="20"/>
              </w:rPr>
            </w:pPr>
          </w:p>
        </w:tc>
        <w:tc>
          <w:tcPr>
            <w:tcW w:w="868" w:type="dxa"/>
            <w:vAlign w:val="center"/>
          </w:tcPr>
          <w:p w14:paraId="79D2C043" w14:textId="77777777" w:rsidR="002337F9" w:rsidRPr="00133050" w:rsidRDefault="002337F9" w:rsidP="0026218C">
            <w:pPr>
              <w:jc w:val="center"/>
              <w:rPr>
                <w:b/>
                <w:noProof/>
                <w:sz w:val="18"/>
              </w:rPr>
            </w:pPr>
          </w:p>
        </w:tc>
        <w:tc>
          <w:tcPr>
            <w:tcW w:w="868" w:type="dxa"/>
            <w:vAlign w:val="center"/>
          </w:tcPr>
          <w:p w14:paraId="2526BA23" w14:textId="77777777" w:rsidR="002337F9" w:rsidRPr="00133050" w:rsidRDefault="002337F9" w:rsidP="0026218C">
            <w:pPr>
              <w:jc w:val="center"/>
              <w:rPr>
                <w:b/>
                <w:noProof/>
                <w:sz w:val="18"/>
              </w:rPr>
            </w:pPr>
          </w:p>
        </w:tc>
        <w:tc>
          <w:tcPr>
            <w:tcW w:w="868" w:type="dxa"/>
            <w:vAlign w:val="center"/>
          </w:tcPr>
          <w:p w14:paraId="59BF847D" w14:textId="77777777" w:rsidR="002337F9" w:rsidRPr="00133050" w:rsidRDefault="002337F9" w:rsidP="0026218C">
            <w:pPr>
              <w:jc w:val="center"/>
              <w:rPr>
                <w:b/>
                <w:noProof/>
                <w:sz w:val="18"/>
              </w:rPr>
            </w:pPr>
          </w:p>
        </w:tc>
        <w:tc>
          <w:tcPr>
            <w:tcW w:w="1777" w:type="dxa"/>
            <w:vAlign w:val="center"/>
          </w:tcPr>
          <w:p w14:paraId="234A9CF5" w14:textId="77777777" w:rsidR="002337F9" w:rsidRPr="00133050" w:rsidRDefault="002337F9" w:rsidP="0026218C">
            <w:pPr>
              <w:jc w:val="center"/>
              <w:rPr>
                <w:b/>
                <w:noProof/>
                <w:sz w:val="20"/>
              </w:rPr>
            </w:pPr>
            <w:r w:rsidRPr="00133050">
              <w:rPr>
                <w:b/>
                <w:noProof/>
                <w:sz w:val="20"/>
              </w:rPr>
              <w:t>ОБЩО</w:t>
            </w:r>
          </w:p>
        </w:tc>
      </w:tr>
      <w:tr w:rsidR="002337F9" w:rsidRPr="00133050" w14:paraId="04A4697F" w14:textId="77777777" w:rsidTr="0026218C">
        <w:trPr>
          <w:gridAfter w:val="8"/>
          <w:wAfter w:w="7735" w:type="dxa"/>
        </w:trPr>
        <w:tc>
          <w:tcPr>
            <w:tcW w:w="3960" w:type="dxa"/>
            <w:vAlign w:val="center"/>
          </w:tcPr>
          <w:p w14:paraId="03C5595F" w14:textId="77777777" w:rsidR="002337F9" w:rsidRPr="00133050" w:rsidRDefault="002337F9" w:rsidP="0026218C">
            <w:pPr>
              <w:spacing w:before="60" w:after="60"/>
              <w:jc w:val="center"/>
              <w:rPr>
                <w:noProof/>
              </w:rPr>
            </w:pPr>
            <w:r w:rsidRPr="00133050">
              <w:rPr>
                <w:noProof/>
              </w:rPr>
              <w:t>ГД „Вътрешен пазар, промишленост, предприемачество и МСП“</w:t>
            </w:r>
          </w:p>
        </w:tc>
        <w:tc>
          <w:tcPr>
            <w:tcW w:w="2212" w:type="dxa"/>
            <w:gridSpan w:val="2"/>
          </w:tcPr>
          <w:p w14:paraId="45024F2E" w14:textId="77777777" w:rsidR="002337F9" w:rsidRPr="00133050" w:rsidRDefault="002337F9" w:rsidP="0026218C">
            <w:pPr>
              <w:spacing w:before="60" w:after="60"/>
              <w:jc w:val="center"/>
              <w:rPr>
                <w:noProof/>
              </w:rPr>
            </w:pPr>
          </w:p>
        </w:tc>
      </w:tr>
      <w:tr w:rsidR="002337F9" w:rsidRPr="00133050" w14:paraId="6D484ED7" w14:textId="77777777" w:rsidTr="0026218C">
        <w:trPr>
          <w:trHeight w:val="313"/>
        </w:trPr>
        <w:tc>
          <w:tcPr>
            <w:tcW w:w="6172" w:type="dxa"/>
            <w:gridSpan w:val="3"/>
            <w:vAlign w:val="center"/>
          </w:tcPr>
          <w:p w14:paraId="326FCFD4" w14:textId="77777777" w:rsidR="002337F9" w:rsidRPr="00133050" w:rsidRDefault="002337F9" w:rsidP="0026218C">
            <w:pPr>
              <w:spacing w:before="20" w:after="20"/>
              <w:rPr>
                <w:noProof/>
              </w:rPr>
            </w:pPr>
            <w:r w:rsidRPr="00133050">
              <w:rPr>
                <w:noProof/>
              </w:rPr>
              <w:sym w:font="Wingdings" w:char="F09F"/>
            </w:r>
            <w:r w:rsidRPr="00133050">
              <w:rPr>
                <w:noProof/>
              </w:rPr>
              <w:t xml:space="preserve"> Човешки ресурси </w:t>
            </w:r>
          </w:p>
        </w:tc>
        <w:tc>
          <w:tcPr>
            <w:tcW w:w="750" w:type="dxa"/>
            <w:vAlign w:val="center"/>
          </w:tcPr>
          <w:p w14:paraId="0684D5AE" w14:textId="77777777" w:rsidR="002337F9" w:rsidRPr="00133050" w:rsidRDefault="002337F9" w:rsidP="0026218C">
            <w:pPr>
              <w:spacing w:before="20" w:after="20"/>
              <w:jc w:val="center"/>
              <w:rPr>
                <w:noProof/>
                <w:sz w:val="20"/>
              </w:rPr>
            </w:pPr>
            <w:r w:rsidRPr="00133050">
              <w:rPr>
                <w:noProof/>
                <w:sz w:val="20"/>
              </w:rPr>
              <w:t>0,356</w:t>
            </w:r>
          </w:p>
        </w:tc>
        <w:tc>
          <w:tcPr>
            <w:tcW w:w="868" w:type="dxa"/>
            <w:vAlign w:val="center"/>
          </w:tcPr>
          <w:p w14:paraId="310629A3" w14:textId="77777777" w:rsidR="002337F9" w:rsidRPr="00133050" w:rsidRDefault="002337F9" w:rsidP="0026218C">
            <w:pPr>
              <w:spacing w:before="20" w:after="20"/>
              <w:jc w:val="center"/>
              <w:rPr>
                <w:noProof/>
                <w:sz w:val="20"/>
              </w:rPr>
            </w:pPr>
            <w:r w:rsidRPr="00133050">
              <w:rPr>
                <w:noProof/>
                <w:sz w:val="20"/>
              </w:rPr>
              <w:t xml:space="preserve">0,356 </w:t>
            </w:r>
          </w:p>
        </w:tc>
        <w:tc>
          <w:tcPr>
            <w:tcW w:w="868" w:type="dxa"/>
            <w:vAlign w:val="center"/>
          </w:tcPr>
          <w:p w14:paraId="5478193F" w14:textId="77777777" w:rsidR="002337F9" w:rsidRPr="00133050" w:rsidRDefault="002337F9" w:rsidP="0026218C">
            <w:pPr>
              <w:spacing w:before="20" w:after="20"/>
              <w:jc w:val="right"/>
              <w:rPr>
                <w:noProof/>
                <w:sz w:val="20"/>
              </w:rPr>
            </w:pPr>
          </w:p>
        </w:tc>
        <w:tc>
          <w:tcPr>
            <w:tcW w:w="868" w:type="dxa"/>
            <w:vAlign w:val="center"/>
          </w:tcPr>
          <w:p w14:paraId="1E6D6739" w14:textId="77777777" w:rsidR="002337F9" w:rsidRPr="00133050" w:rsidRDefault="002337F9" w:rsidP="0026218C">
            <w:pPr>
              <w:spacing w:before="20" w:after="20"/>
              <w:jc w:val="right"/>
              <w:rPr>
                <w:noProof/>
                <w:sz w:val="20"/>
              </w:rPr>
            </w:pPr>
          </w:p>
        </w:tc>
        <w:tc>
          <w:tcPr>
            <w:tcW w:w="868" w:type="dxa"/>
            <w:vAlign w:val="center"/>
          </w:tcPr>
          <w:p w14:paraId="661DA74F" w14:textId="77777777" w:rsidR="002337F9" w:rsidRPr="00133050" w:rsidRDefault="002337F9" w:rsidP="0026218C">
            <w:pPr>
              <w:spacing w:before="20" w:after="20"/>
              <w:jc w:val="right"/>
              <w:rPr>
                <w:noProof/>
                <w:sz w:val="20"/>
              </w:rPr>
            </w:pPr>
          </w:p>
        </w:tc>
        <w:tc>
          <w:tcPr>
            <w:tcW w:w="868" w:type="dxa"/>
            <w:vAlign w:val="center"/>
          </w:tcPr>
          <w:p w14:paraId="1AA864FB" w14:textId="77777777" w:rsidR="002337F9" w:rsidRPr="00133050" w:rsidRDefault="002337F9" w:rsidP="0026218C">
            <w:pPr>
              <w:spacing w:before="20" w:after="20"/>
              <w:jc w:val="right"/>
              <w:rPr>
                <w:noProof/>
                <w:sz w:val="20"/>
              </w:rPr>
            </w:pPr>
          </w:p>
        </w:tc>
        <w:tc>
          <w:tcPr>
            <w:tcW w:w="868" w:type="dxa"/>
            <w:vAlign w:val="center"/>
          </w:tcPr>
          <w:p w14:paraId="4936BE82" w14:textId="77777777" w:rsidR="002337F9" w:rsidRPr="00133050" w:rsidRDefault="002337F9" w:rsidP="0026218C">
            <w:pPr>
              <w:spacing w:before="20" w:after="20"/>
              <w:jc w:val="right"/>
              <w:rPr>
                <w:b/>
                <w:noProof/>
                <w:sz w:val="20"/>
              </w:rPr>
            </w:pPr>
          </w:p>
        </w:tc>
        <w:tc>
          <w:tcPr>
            <w:tcW w:w="1777" w:type="dxa"/>
            <w:vAlign w:val="center"/>
          </w:tcPr>
          <w:p w14:paraId="54376C73" w14:textId="77777777" w:rsidR="002337F9" w:rsidRPr="00133050" w:rsidRDefault="002337F9" w:rsidP="0026218C">
            <w:pPr>
              <w:spacing w:before="20" w:after="20"/>
              <w:jc w:val="center"/>
              <w:rPr>
                <w:b/>
                <w:noProof/>
                <w:sz w:val="20"/>
              </w:rPr>
            </w:pPr>
            <w:r w:rsidRPr="00133050">
              <w:rPr>
                <w:b/>
                <w:noProof/>
                <w:sz w:val="20"/>
              </w:rPr>
              <w:t xml:space="preserve">0,712 </w:t>
            </w:r>
          </w:p>
        </w:tc>
      </w:tr>
      <w:tr w:rsidR="002337F9" w:rsidRPr="00133050" w14:paraId="2A86C737" w14:textId="77777777" w:rsidTr="0026218C">
        <w:trPr>
          <w:trHeight w:val="351"/>
        </w:trPr>
        <w:tc>
          <w:tcPr>
            <w:tcW w:w="6172" w:type="dxa"/>
            <w:gridSpan w:val="3"/>
            <w:vAlign w:val="center"/>
          </w:tcPr>
          <w:p w14:paraId="0A0590DC" w14:textId="77777777" w:rsidR="002337F9" w:rsidRPr="00133050" w:rsidRDefault="002337F9" w:rsidP="0026218C">
            <w:pPr>
              <w:spacing w:before="20" w:after="20"/>
              <w:rPr>
                <w:noProof/>
              </w:rPr>
            </w:pPr>
            <w:r w:rsidRPr="00133050">
              <w:rPr>
                <w:noProof/>
              </w:rPr>
              <w:sym w:font="Wingdings" w:char="F09F"/>
            </w:r>
            <w:r w:rsidRPr="00133050">
              <w:rPr>
                <w:noProof/>
              </w:rPr>
              <w:t> Други административни разходи</w:t>
            </w:r>
          </w:p>
        </w:tc>
        <w:tc>
          <w:tcPr>
            <w:tcW w:w="750" w:type="dxa"/>
            <w:vAlign w:val="center"/>
          </w:tcPr>
          <w:p w14:paraId="1292FA0D" w14:textId="77777777" w:rsidR="002337F9" w:rsidRPr="00133050" w:rsidRDefault="002337F9" w:rsidP="0026218C">
            <w:pPr>
              <w:spacing w:before="20" w:after="20"/>
              <w:jc w:val="center"/>
              <w:rPr>
                <w:noProof/>
                <w:sz w:val="20"/>
              </w:rPr>
            </w:pPr>
          </w:p>
        </w:tc>
        <w:tc>
          <w:tcPr>
            <w:tcW w:w="868" w:type="dxa"/>
            <w:vAlign w:val="center"/>
          </w:tcPr>
          <w:p w14:paraId="2B8F8C0E" w14:textId="77777777" w:rsidR="002337F9" w:rsidRPr="00133050" w:rsidRDefault="002337F9" w:rsidP="0026218C">
            <w:pPr>
              <w:spacing w:before="20" w:after="20"/>
              <w:jc w:val="center"/>
              <w:rPr>
                <w:noProof/>
                <w:sz w:val="20"/>
              </w:rPr>
            </w:pPr>
          </w:p>
        </w:tc>
        <w:tc>
          <w:tcPr>
            <w:tcW w:w="868" w:type="dxa"/>
            <w:vAlign w:val="center"/>
          </w:tcPr>
          <w:p w14:paraId="3CFCCBEE" w14:textId="77777777" w:rsidR="002337F9" w:rsidRPr="00133050" w:rsidRDefault="002337F9" w:rsidP="0026218C">
            <w:pPr>
              <w:spacing w:before="20" w:after="20"/>
              <w:jc w:val="right"/>
              <w:rPr>
                <w:noProof/>
                <w:sz w:val="20"/>
              </w:rPr>
            </w:pPr>
          </w:p>
        </w:tc>
        <w:tc>
          <w:tcPr>
            <w:tcW w:w="868" w:type="dxa"/>
            <w:vAlign w:val="center"/>
          </w:tcPr>
          <w:p w14:paraId="492830F1" w14:textId="77777777" w:rsidR="002337F9" w:rsidRPr="00133050" w:rsidRDefault="002337F9" w:rsidP="0026218C">
            <w:pPr>
              <w:spacing w:before="20" w:after="20"/>
              <w:jc w:val="right"/>
              <w:rPr>
                <w:noProof/>
                <w:sz w:val="20"/>
              </w:rPr>
            </w:pPr>
          </w:p>
        </w:tc>
        <w:tc>
          <w:tcPr>
            <w:tcW w:w="868" w:type="dxa"/>
            <w:vAlign w:val="center"/>
          </w:tcPr>
          <w:p w14:paraId="25EA7255" w14:textId="77777777" w:rsidR="002337F9" w:rsidRPr="00133050" w:rsidRDefault="002337F9" w:rsidP="0026218C">
            <w:pPr>
              <w:spacing w:before="20" w:after="20"/>
              <w:jc w:val="right"/>
              <w:rPr>
                <w:noProof/>
                <w:sz w:val="20"/>
              </w:rPr>
            </w:pPr>
          </w:p>
        </w:tc>
        <w:tc>
          <w:tcPr>
            <w:tcW w:w="868" w:type="dxa"/>
            <w:vAlign w:val="center"/>
          </w:tcPr>
          <w:p w14:paraId="2E30E61F" w14:textId="77777777" w:rsidR="002337F9" w:rsidRPr="00133050" w:rsidRDefault="002337F9" w:rsidP="0026218C">
            <w:pPr>
              <w:spacing w:before="20" w:after="20"/>
              <w:jc w:val="right"/>
              <w:rPr>
                <w:noProof/>
                <w:sz w:val="20"/>
              </w:rPr>
            </w:pPr>
          </w:p>
        </w:tc>
        <w:tc>
          <w:tcPr>
            <w:tcW w:w="868" w:type="dxa"/>
            <w:vAlign w:val="center"/>
          </w:tcPr>
          <w:p w14:paraId="24F8F26E" w14:textId="77777777" w:rsidR="002337F9" w:rsidRPr="00133050" w:rsidRDefault="002337F9" w:rsidP="0026218C">
            <w:pPr>
              <w:spacing w:before="20" w:after="20"/>
              <w:jc w:val="right"/>
              <w:rPr>
                <w:noProof/>
                <w:sz w:val="20"/>
              </w:rPr>
            </w:pPr>
          </w:p>
        </w:tc>
        <w:tc>
          <w:tcPr>
            <w:tcW w:w="1777" w:type="dxa"/>
            <w:vAlign w:val="center"/>
          </w:tcPr>
          <w:p w14:paraId="7D791E27" w14:textId="77777777" w:rsidR="002337F9" w:rsidRPr="00133050" w:rsidRDefault="002337F9" w:rsidP="0026218C">
            <w:pPr>
              <w:spacing w:before="20" w:after="20"/>
              <w:jc w:val="center"/>
              <w:rPr>
                <w:b/>
                <w:noProof/>
                <w:sz w:val="20"/>
              </w:rPr>
            </w:pPr>
          </w:p>
        </w:tc>
      </w:tr>
      <w:tr w:rsidR="002337F9" w:rsidRPr="00133050" w14:paraId="31A17586" w14:textId="77777777" w:rsidTr="0026218C">
        <w:tc>
          <w:tcPr>
            <w:tcW w:w="3960" w:type="dxa"/>
            <w:vAlign w:val="center"/>
          </w:tcPr>
          <w:p w14:paraId="0F954500" w14:textId="77777777" w:rsidR="002337F9" w:rsidRPr="00133050" w:rsidRDefault="002337F9" w:rsidP="0026218C">
            <w:pPr>
              <w:jc w:val="center"/>
              <w:rPr>
                <w:b/>
                <w:noProof/>
              </w:rPr>
            </w:pPr>
            <w:r w:rsidRPr="00133050">
              <w:rPr>
                <w:b/>
                <w:noProof/>
              </w:rPr>
              <w:t xml:space="preserve">ОБЩО </w:t>
            </w:r>
          </w:p>
        </w:tc>
        <w:tc>
          <w:tcPr>
            <w:tcW w:w="2212" w:type="dxa"/>
            <w:gridSpan w:val="2"/>
            <w:vAlign w:val="center"/>
          </w:tcPr>
          <w:p w14:paraId="6C84D76E" w14:textId="77777777" w:rsidR="002337F9" w:rsidRPr="00133050" w:rsidRDefault="002337F9" w:rsidP="0026218C">
            <w:pPr>
              <w:rPr>
                <w:noProof/>
                <w:sz w:val="14"/>
              </w:rPr>
            </w:pPr>
            <w:r w:rsidRPr="00133050">
              <w:rPr>
                <w:noProof/>
                <w:sz w:val="18"/>
              </w:rPr>
              <w:t xml:space="preserve">Бюджетни кредити </w:t>
            </w:r>
          </w:p>
        </w:tc>
        <w:tc>
          <w:tcPr>
            <w:tcW w:w="750" w:type="dxa"/>
            <w:vAlign w:val="center"/>
          </w:tcPr>
          <w:p w14:paraId="3F498D46" w14:textId="77777777" w:rsidR="002337F9" w:rsidRPr="00133050" w:rsidRDefault="002337F9" w:rsidP="0026218C">
            <w:pPr>
              <w:spacing w:before="60" w:after="60"/>
              <w:jc w:val="center"/>
              <w:rPr>
                <w:noProof/>
                <w:sz w:val="20"/>
              </w:rPr>
            </w:pPr>
            <w:r w:rsidRPr="00133050">
              <w:rPr>
                <w:noProof/>
                <w:sz w:val="20"/>
              </w:rPr>
              <w:t>0,356</w:t>
            </w:r>
          </w:p>
        </w:tc>
        <w:tc>
          <w:tcPr>
            <w:tcW w:w="868" w:type="dxa"/>
            <w:vAlign w:val="center"/>
          </w:tcPr>
          <w:p w14:paraId="03BD8914" w14:textId="77777777" w:rsidR="002337F9" w:rsidRPr="00133050" w:rsidRDefault="002337F9" w:rsidP="0026218C">
            <w:pPr>
              <w:spacing w:before="20" w:after="20"/>
              <w:jc w:val="center"/>
              <w:rPr>
                <w:noProof/>
                <w:sz w:val="20"/>
              </w:rPr>
            </w:pPr>
            <w:r w:rsidRPr="00133050">
              <w:rPr>
                <w:noProof/>
                <w:sz w:val="20"/>
              </w:rPr>
              <w:t xml:space="preserve">0,356 </w:t>
            </w:r>
          </w:p>
        </w:tc>
        <w:tc>
          <w:tcPr>
            <w:tcW w:w="868" w:type="dxa"/>
            <w:vAlign w:val="center"/>
          </w:tcPr>
          <w:p w14:paraId="19408528" w14:textId="77777777" w:rsidR="002337F9" w:rsidRPr="00133050" w:rsidRDefault="002337F9" w:rsidP="0026218C">
            <w:pPr>
              <w:spacing w:before="20" w:after="20"/>
              <w:jc w:val="right"/>
              <w:rPr>
                <w:noProof/>
                <w:sz w:val="20"/>
              </w:rPr>
            </w:pPr>
          </w:p>
        </w:tc>
        <w:tc>
          <w:tcPr>
            <w:tcW w:w="868" w:type="dxa"/>
            <w:vAlign w:val="center"/>
          </w:tcPr>
          <w:p w14:paraId="5B410E8B" w14:textId="77777777" w:rsidR="002337F9" w:rsidRPr="00133050" w:rsidRDefault="002337F9" w:rsidP="0026218C">
            <w:pPr>
              <w:spacing w:before="20" w:after="20"/>
              <w:jc w:val="right"/>
              <w:rPr>
                <w:noProof/>
                <w:sz w:val="20"/>
              </w:rPr>
            </w:pPr>
          </w:p>
        </w:tc>
        <w:tc>
          <w:tcPr>
            <w:tcW w:w="868" w:type="dxa"/>
            <w:vAlign w:val="center"/>
          </w:tcPr>
          <w:p w14:paraId="69D7E17B" w14:textId="77777777" w:rsidR="002337F9" w:rsidRPr="00133050" w:rsidRDefault="002337F9" w:rsidP="0026218C">
            <w:pPr>
              <w:spacing w:before="20" w:after="20"/>
              <w:jc w:val="right"/>
              <w:rPr>
                <w:noProof/>
                <w:sz w:val="20"/>
              </w:rPr>
            </w:pPr>
          </w:p>
        </w:tc>
        <w:tc>
          <w:tcPr>
            <w:tcW w:w="868" w:type="dxa"/>
            <w:vAlign w:val="center"/>
          </w:tcPr>
          <w:p w14:paraId="19F2169C" w14:textId="77777777" w:rsidR="002337F9" w:rsidRPr="00133050" w:rsidRDefault="002337F9" w:rsidP="0026218C">
            <w:pPr>
              <w:spacing w:before="20" w:after="20"/>
              <w:jc w:val="right"/>
              <w:rPr>
                <w:noProof/>
                <w:sz w:val="20"/>
              </w:rPr>
            </w:pPr>
          </w:p>
        </w:tc>
        <w:tc>
          <w:tcPr>
            <w:tcW w:w="868" w:type="dxa"/>
            <w:vAlign w:val="center"/>
          </w:tcPr>
          <w:p w14:paraId="775A19DD" w14:textId="77777777" w:rsidR="002337F9" w:rsidRPr="00133050" w:rsidRDefault="002337F9" w:rsidP="0026218C">
            <w:pPr>
              <w:spacing w:before="20" w:after="20"/>
              <w:jc w:val="right"/>
              <w:rPr>
                <w:noProof/>
                <w:sz w:val="20"/>
              </w:rPr>
            </w:pPr>
          </w:p>
        </w:tc>
        <w:tc>
          <w:tcPr>
            <w:tcW w:w="1777" w:type="dxa"/>
            <w:vAlign w:val="center"/>
          </w:tcPr>
          <w:p w14:paraId="569F2028" w14:textId="77777777" w:rsidR="002337F9" w:rsidRPr="00133050" w:rsidRDefault="002337F9" w:rsidP="0026218C">
            <w:pPr>
              <w:spacing w:before="20" w:after="20"/>
              <w:jc w:val="center"/>
              <w:rPr>
                <w:b/>
                <w:noProof/>
                <w:sz w:val="20"/>
              </w:rPr>
            </w:pPr>
            <w:r w:rsidRPr="00133050">
              <w:rPr>
                <w:b/>
                <w:noProof/>
                <w:sz w:val="20"/>
              </w:rPr>
              <w:t xml:space="preserve">0,712 </w:t>
            </w:r>
          </w:p>
        </w:tc>
      </w:tr>
    </w:tbl>
    <w:p w14:paraId="1A266B1A" w14:textId="77777777" w:rsidR="002337F9" w:rsidRPr="00133050" w:rsidRDefault="002337F9" w:rsidP="002337F9">
      <w:pPr>
        <w:rPr>
          <w:noProof/>
        </w:rPr>
      </w:pPr>
    </w:p>
    <w:tbl>
      <w:tblPr>
        <w:tblW w:w="1390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652"/>
        <w:gridCol w:w="750"/>
        <w:gridCol w:w="868"/>
        <w:gridCol w:w="868"/>
        <w:gridCol w:w="868"/>
        <w:gridCol w:w="868"/>
        <w:gridCol w:w="868"/>
        <w:gridCol w:w="868"/>
        <w:gridCol w:w="1777"/>
      </w:tblGrid>
      <w:tr w:rsidR="002337F9" w:rsidRPr="00133050" w14:paraId="0B1B8A22" w14:textId="77777777" w:rsidTr="0026218C">
        <w:tc>
          <w:tcPr>
            <w:tcW w:w="3960" w:type="dxa"/>
            <w:tcBorders>
              <w:top w:val="nil"/>
              <w:left w:val="nil"/>
              <w:right w:val="nil"/>
            </w:tcBorders>
            <w:vAlign w:val="center"/>
          </w:tcPr>
          <w:p w14:paraId="4EE77A9E" w14:textId="77777777" w:rsidR="002337F9" w:rsidRPr="00133050" w:rsidRDefault="002337F9" w:rsidP="0026218C">
            <w:pPr>
              <w:jc w:val="center"/>
              <w:rPr>
                <w:noProof/>
              </w:rPr>
            </w:pPr>
          </w:p>
        </w:tc>
        <w:tc>
          <w:tcPr>
            <w:tcW w:w="1560" w:type="dxa"/>
            <w:tcBorders>
              <w:top w:val="nil"/>
              <w:left w:val="nil"/>
              <w:right w:val="nil"/>
            </w:tcBorders>
          </w:tcPr>
          <w:p w14:paraId="2157E5C1" w14:textId="77777777" w:rsidR="002337F9" w:rsidRPr="00133050" w:rsidRDefault="002337F9" w:rsidP="0026218C">
            <w:pPr>
              <w:rPr>
                <w:noProof/>
                <w:sz w:val="20"/>
              </w:rPr>
            </w:pPr>
          </w:p>
        </w:tc>
        <w:tc>
          <w:tcPr>
            <w:tcW w:w="652" w:type="dxa"/>
            <w:tcBorders>
              <w:top w:val="nil"/>
              <w:left w:val="nil"/>
            </w:tcBorders>
          </w:tcPr>
          <w:p w14:paraId="4415D53C" w14:textId="77777777" w:rsidR="002337F9" w:rsidRPr="00133050" w:rsidRDefault="002337F9" w:rsidP="0026218C">
            <w:pPr>
              <w:jc w:val="center"/>
              <w:rPr>
                <w:noProof/>
                <w:sz w:val="20"/>
              </w:rPr>
            </w:pPr>
          </w:p>
        </w:tc>
        <w:tc>
          <w:tcPr>
            <w:tcW w:w="750" w:type="dxa"/>
            <w:vAlign w:val="center"/>
          </w:tcPr>
          <w:p w14:paraId="14A23A83" w14:textId="77777777" w:rsidR="002337F9" w:rsidRPr="00133050" w:rsidRDefault="002337F9" w:rsidP="0026218C">
            <w:pPr>
              <w:jc w:val="center"/>
              <w:rPr>
                <w:noProof/>
                <w:sz w:val="20"/>
              </w:rPr>
            </w:pPr>
            <w:r w:rsidRPr="00133050">
              <w:rPr>
                <w:b/>
                <w:noProof/>
                <w:sz w:val="20"/>
              </w:rPr>
              <w:t>2026 г.</w:t>
            </w:r>
          </w:p>
        </w:tc>
        <w:tc>
          <w:tcPr>
            <w:tcW w:w="868" w:type="dxa"/>
            <w:vAlign w:val="center"/>
          </w:tcPr>
          <w:p w14:paraId="2EAB73A8" w14:textId="77777777" w:rsidR="002337F9" w:rsidRPr="00133050" w:rsidRDefault="002337F9" w:rsidP="0026218C">
            <w:pPr>
              <w:jc w:val="center"/>
              <w:rPr>
                <w:noProof/>
                <w:sz w:val="20"/>
              </w:rPr>
            </w:pPr>
            <w:r w:rsidRPr="00133050">
              <w:rPr>
                <w:b/>
                <w:noProof/>
                <w:sz w:val="20"/>
              </w:rPr>
              <w:t>2027 г.</w:t>
            </w:r>
          </w:p>
        </w:tc>
        <w:tc>
          <w:tcPr>
            <w:tcW w:w="868" w:type="dxa"/>
            <w:vAlign w:val="center"/>
          </w:tcPr>
          <w:p w14:paraId="0280B320" w14:textId="77777777" w:rsidR="002337F9" w:rsidRPr="00133050" w:rsidRDefault="002337F9" w:rsidP="0026218C">
            <w:pPr>
              <w:jc w:val="center"/>
              <w:rPr>
                <w:noProof/>
                <w:sz w:val="20"/>
              </w:rPr>
            </w:pPr>
          </w:p>
        </w:tc>
        <w:tc>
          <w:tcPr>
            <w:tcW w:w="868" w:type="dxa"/>
            <w:vAlign w:val="center"/>
          </w:tcPr>
          <w:p w14:paraId="1E6483DB" w14:textId="77777777" w:rsidR="002337F9" w:rsidRPr="00133050" w:rsidRDefault="002337F9" w:rsidP="0026218C">
            <w:pPr>
              <w:jc w:val="center"/>
              <w:rPr>
                <w:noProof/>
                <w:sz w:val="20"/>
              </w:rPr>
            </w:pPr>
          </w:p>
        </w:tc>
        <w:tc>
          <w:tcPr>
            <w:tcW w:w="868" w:type="dxa"/>
            <w:vAlign w:val="center"/>
          </w:tcPr>
          <w:p w14:paraId="11232901" w14:textId="77777777" w:rsidR="002337F9" w:rsidRPr="00133050" w:rsidRDefault="002337F9" w:rsidP="0026218C">
            <w:pPr>
              <w:jc w:val="center"/>
              <w:rPr>
                <w:b/>
                <w:noProof/>
                <w:sz w:val="18"/>
              </w:rPr>
            </w:pPr>
          </w:p>
        </w:tc>
        <w:tc>
          <w:tcPr>
            <w:tcW w:w="868" w:type="dxa"/>
            <w:vAlign w:val="center"/>
          </w:tcPr>
          <w:p w14:paraId="0CE8B793" w14:textId="77777777" w:rsidR="002337F9" w:rsidRPr="00133050" w:rsidRDefault="002337F9" w:rsidP="0026218C">
            <w:pPr>
              <w:jc w:val="center"/>
              <w:rPr>
                <w:b/>
                <w:noProof/>
                <w:sz w:val="18"/>
              </w:rPr>
            </w:pPr>
          </w:p>
        </w:tc>
        <w:tc>
          <w:tcPr>
            <w:tcW w:w="868" w:type="dxa"/>
            <w:vAlign w:val="center"/>
          </w:tcPr>
          <w:p w14:paraId="56D73C52" w14:textId="77777777" w:rsidR="002337F9" w:rsidRPr="00133050" w:rsidRDefault="002337F9" w:rsidP="0026218C">
            <w:pPr>
              <w:jc w:val="center"/>
              <w:rPr>
                <w:b/>
                <w:noProof/>
                <w:sz w:val="18"/>
              </w:rPr>
            </w:pPr>
          </w:p>
        </w:tc>
        <w:tc>
          <w:tcPr>
            <w:tcW w:w="1777" w:type="dxa"/>
            <w:vAlign w:val="center"/>
          </w:tcPr>
          <w:p w14:paraId="1A31FF4A" w14:textId="77777777" w:rsidR="002337F9" w:rsidRPr="00133050" w:rsidRDefault="002337F9" w:rsidP="0026218C">
            <w:pPr>
              <w:jc w:val="center"/>
              <w:rPr>
                <w:b/>
                <w:noProof/>
                <w:sz w:val="20"/>
              </w:rPr>
            </w:pPr>
            <w:r w:rsidRPr="00133050">
              <w:rPr>
                <w:b/>
                <w:noProof/>
                <w:sz w:val="20"/>
              </w:rPr>
              <w:t>ОБЩО</w:t>
            </w:r>
          </w:p>
        </w:tc>
      </w:tr>
      <w:tr w:rsidR="002337F9" w:rsidRPr="00133050" w14:paraId="60728C42" w14:textId="77777777" w:rsidTr="0026218C">
        <w:trPr>
          <w:gridAfter w:val="8"/>
          <w:wAfter w:w="7735" w:type="dxa"/>
        </w:trPr>
        <w:tc>
          <w:tcPr>
            <w:tcW w:w="3960" w:type="dxa"/>
            <w:vAlign w:val="center"/>
          </w:tcPr>
          <w:p w14:paraId="3A8F026F" w14:textId="77777777" w:rsidR="002337F9" w:rsidRPr="00133050" w:rsidRDefault="002337F9" w:rsidP="0026218C">
            <w:pPr>
              <w:spacing w:before="60" w:after="60"/>
              <w:jc w:val="center"/>
              <w:rPr>
                <w:noProof/>
              </w:rPr>
            </w:pPr>
            <w:r w:rsidRPr="00133050">
              <w:rPr>
                <w:noProof/>
              </w:rPr>
              <w:t>ГД „Финансова стабилност, финансови услуги и съюз на капиталовите пазари“</w:t>
            </w:r>
          </w:p>
        </w:tc>
        <w:tc>
          <w:tcPr>
            <w:tcW w:w="2212" w:type="dxa"/>
            <w:gridSpan w:val="2"/>
          </w:tcPr>
          <w:p w14:paraId="1B5D2C20" w14:textId="77777777" w:rsidR="002337F9" w:rsidRPr="00133050" w:rsidRDefault="002337F9" w:rsidP="0026218C">
            <w:pPr>
              <w:spacing w:before="60" w:after="60"/>
              <w:jc w:val="center"/>
              <w:rPr>
                <w:noProof/>
              </w:rPr>
            </w:pPr>
          </w:p>
        </w:tc>
      </w:tr>
      <w:tr w:rsidR="002337F9" w:rsidRPr="00133050" w14:paraId="54D014FB" w14:textId="77777777" w:rsidTr="0026218C">
        <w:trPr>
          <w:trHeight w:val="313"/>
        </w:trPr>
        <w:tc>
          <w:tcPr>
            <w:tcW w:w="6172" w:type="dxa"/>
            <w:gridSpan w:val="3"/>
            <w:vAlign w:val="center"/>
          </w:tcPr>
          <w:p w14:paraId="257BA881" w14:textId="77777777" w:rsidR="002337F9" w:rsidRPr="00133050" w:rsidRDefault="002337F9" w:rsidP="0026218C">
            <w:pPr>
              <w:spacing w:before="20" w:after="20"/>
              <w:rPr>
                <w:noProof/>
              </w:rPr>
            </w:pPr>
            <w:r w:rsidRPr="00133050">
              <w:rPr>
                <w:noProof/>
              </w:rPr>
              <w:sym w:font="Wingdings" w:char="F09F"/>
            </w:r>
            <w:r w:rsidRPr="00133050">
              <w:rPr>
                <w:noProof/>
              </w:rPr>
              <w:t xml:space="preserve"> Човешки ресурси </w:t>
            </w:r>
          </w:p>
        </w:tc>
        <w:tc>
          <w:tcPr>
            <w:tcW w:w="750" w:type="dxa"/>
            <w:vAlign w:val="center"/>
          </w:tcPr>
          <w:p w14:paraId="13FC1F41" w14:textId="77777777" w:rsidR="002337F9" w:rsidRPr="00133050" w:rsidRDefault="002337F9" w:rsidP="0026218C">
            <w:pPr>
              <w:spacing w:before="20" w:after="20"/>
              <w:jc w:val="center"/>
              <w:rPr>
                <w:noProof/>
                <w:sz w:val="20"/>
              </w:rPr>
            </w:pPr>
            <w:r w:rsidRPr="00133050">
              <w:rPr>
                <w:noProof/>
                <w:sz w:val="20"/>
              </w:rPr>
              <w:t>0,178</w:t>
            </w:r>
          </w:p>
        </w:tc>
        <w:tc>
          <w:tcPr>
            <w:tcW w:w="868" w:type="dxa"/>
            <w:vAlign w:val="center"/>
          </w:tcPr>
          <w:p w14:paraId="4A47B18B" w14:textId="77777777" w:rsidR="002337F9" w:rsidRPr="00133050" w:rsidRDefault="002337F9" w:rsidP="0026218C">
            <w:pPr>
              <w:spacing w:before="20" w:after="20"/>
              <w:jc w:val="center"/>
              <w:rPr>
                <w:noProof/>
                <w:sz w:val="20"/>
              </w:rPr>
            </w:pPr>
            <w:r w:rsidRPr="00133050">
              <w:rPr>
                <w:noProof/>
                <w:sz w:val="20"/>
              </w:rPr>
              <w:t>0,178</w:t>
            </w:r>
          </w:p>
        </w:tc>
        <w:tc>
          <w:tcPr>
            <w:tcW w:w="868" w:type="dxa"/>
            <w:vAlign w:val="center"/>
          </w:tcPr>
          <w:p w14:paraId="3B72EC6D" w14:textId="77777777" w:rsidR="002337F9" w:rsidRPr="00133050" w:rsidRDefault="002337F9" w:rsidP="0026218C">
            <w:pPr>
              <w:spacing w:before="20" w:after="20"/>
              <w:jc w:val="right"/>
              <w:rPr>
                <w:noProof/>
                <w:sz w:val="20"/>
              </w:rPr>
            </w:pPr>
          </w:p>
        </w:tc>
        <w:tc>
          <w:tcPr>
            <w:tcW w:w="868" w:type="dxa"/>
            <w:vAlign w:val="center"/>
          </w:tcPr>
          <w:p w14:paraId="42E4DDA6" w14:textId="77777777" w:rsidR="002337F9" w:rsidRPr="00133050" w:rsidRDefault="002337F9" w:rsidP="0026218C">
            <w:pPr>
              <w:spacing w:before="20" w:after="20"/>
              <w:jc w:val="right"/>
              <w:rPr>
                <w:noProof/>
                <w:sz w:val="20"/>
              </w:rPr>
            </w:pPr>
          </w:p>
        </w:tc>
        <w:tc>
          <w:tcPr>
            <w:tcW w:w="868" w:type="dxa"/>
            <w:vAlign w:val="center"/>
          </w:tcPr>
          <w:p w14:paraId="61181127" w14:textId="77777777" w:rsidR="002337F9" w:rsidRPr="00133050" w:rsidRDefault="002337F9" w:rsidP="0026218C">
            <w:pPr>
              <w:spacing w:before="20" w:after="20"/>
              <w:jc w:val="right"/>
              <w:rPr>
                <w:noProof/>
                <w:sz w:val="20"/>
              </w:rPr>
            </w:pPr>
          </w:p>
        </w:tc>
        <w:tc>
          <w:tcPr>
            <w:tcW w:w="868" w:type="dxa"/>
            <w:vAlign w:val="center"/>
          </w:tcPr>
          <w:p w14:paraId="7356FBED" w14:textId="77777777" w:rsidR="002337F9" w:rsidRPr="00133050" w:rsidRDefault="002337F9" w:rsidP="0026218C">
            <w:pPr>
              <w:spacing w:before="20" w:after="20"/>
              <w:jc w:val="right"/>
              <w:rPr>
                <w:noProof/>
                <w:sz w:val="20"/>
              </w:rPr>
            </w:pPr>
          </w:p>
        </w:tc>
        <w:tc>
          <w:tcPr>
            <w:tcW w:w="868" w:type="dxa"/>
            <w:vAlign w:val="center"/>
          </w:tcPr>
          <w:p w14:paraId="6B0BAF7A" w14:textId="77777777" w:rsidR="002337F9" w:rsidRPr="00133050" w:rsidRDefault="002337F9" w:rsidP="0026218C">
            <w:pPr>
              <w:spacing w:before="20" w:after="20"/>
              <w:jc w:val="right"/>
              <w:rPr>
                <w:b/>
                <w:noProof/>
                <w:sz w:val="20"/>
              </w:rPr>
            </w:pPr>
          </w:p>
        </w:tc>
        <w:tc>
          <w:tcPr>
            <w:tcW w:w="1777" w:type="dxa"/>
            <w:vAlign w:val="center"/>
          </w:tcPr>
          <w:p w14:paraId="3A57C93E" w14:textId="77777777" w:rsidR="002337F9" w:rsidRPr="00133050" w:rsidRDefault="002337F9" w:rsidP="0026218C">
            <w:pPr>
              <w:spacing w:before="20" w:after="20"/>
              <w:jc w:val="center"/>
              <w:rPr>
                <w:b/>
                <w:noProof/>
                <w:sz w:val="20"/>
              </w:rPr>
            </w:pPr>
            <w:r w:rsidRPr="00133050">
              <w:rPr>
                <w:b/>
                <w:noProof/>
                <w:sz w:val="20"/>
              </w:rPr>
              <w:t xml:space="preserve">0,356 </w:t>
            </w:r>
          </w:p>
        </w:tc>
      </w:tr>
      <w:tr w:rsidR="002337F9" w:rsidRPr="00133050" w14:paraId="20F0F750" w14:textId="77777777" w:rsidTr="0026218C">
        <w:trPr>
          <w:trHeight w:val="351"/>
        </w:trPr>
        <w:tc>
          <w:tcPr>
            <w:tcW w:w="6172" w:type="dxa"/>
            <w:gridSpan w:val="3"/>
            <w:vAlign w:val="center"/>
          </w:tcPr>
          <w:p w14:paraId="4DC1C9A2" w14:textId="77777777" w:rsidR="002337F9" w:rsidRPr="00133050" w:rsidRDefault="002337F9" w:rsidP="0026218C">
            <w:pPr>
              <w:spacing w:before="20" w:after="20"/>
              <w:rPr>
                <w:noProof/>
              </w:rPr>
            </w:pPr>
            <w:r w:rsidRPr="00133050">
              <w:rPr>
                <w:noProof/>
              </w:rPr>
              <w:sym w:font="Wingdings" w:char="F09F"/>
            </w:r>
            <w:r w:rsidRPr="00133050">
              <w:rPr>
                <w:noProof/>
              </w:rPr>
              <w:t> Други административни разходи</w:t>
            </w:r>
          </w:p>
        </w:tc>
        <w:tc>
          <w:tcPr>
            <w:tcW w:w="750" w:type="dxa"/>
            <w:vAlign w:val="center"/>
          </w:tcPr>
          <w:p w14:paraId="1E612DA3" w14:textId="77777777" w:rsidR="002337F9" w:rsidRPr="00133050" w:rsidRDefault="002337F9" w:rsidP="0026218C">
            <w:pPr>
              <w:spacing w:before="20" w:after="20"/>
              <w:jc w:val="center"/>
              <w:rPr>
                <w:noProof/>
                <w:sz w:val="20"/>
              </w:rPr>
            </w:pPr>
          </w:p>
        </w:tc>
        <w:tc>
          <w:tcPr>
            <w:tcW w:w="868" w:type="dxa"/>
            <w:vAlign w:val="center"/>
          </w:tcPr>
          <w:p w14:paraId="11207B44" w14:textId="77777777" w:rsidR="002337F9" w:rsidRPr="00133050" w:rsidRDefault="002337F9" w:rsidP="0026218C">
            <w:pPr>
              <w:spacing w:before="20" w:after="20"/>
              <w:jc w:val="center"/>
              <w:rPr>
                <w:noProof/>
                <w:sz w:val="20"/>
              </w:rPr>
            </w:pPr>
          </w:p>
        </w:tc>
        <w:tc>
          <w:tcPr>
            <w:tcW w:w="868" w:type="dxa"/>
            <w:vAlign w:val="center"/>
          </w:tcPr>
          <w:p w14:paraId="2625AA42" w14:textId="77777777" w:rsidR="002337F9" w:rsidRPr="00133050" w:rsidRDefault="002337F9" w:rsidP="0026218C">
            <w:pPr>
              <w:spacing w:before="20" w:after="20"/>
              <w:jc w:val="right"/>
              <w:rPr>
                <w:noProof/>
                <w:sz w:val="20"/>
              </w:rPr>
            </w:pPr>
          </w:p>
        </w:tc>
        <w:tc>
          <w:tcPr>
            <w:tcW w:w="868" w:type="dxa"/>
            <w:vAlign w:val="center"/>
          </w:tcPr>
          <w:p w14:paraId="0E01758E" w14:textId="77777777" w:rsidR="002337F9" w:rsidRPr="00133050" w:rsidRDefault="002337F9" w:rsidP="0026218C">
            <w:pPr>
              <w:spacing w:before="20" w:after="20"/>
              <w:jc w:val="right"/>
              <w:rPr>
                <w:noProof/>
                <w:sz w:val="20"/>
              </w:rPr>
            </w:pPr>
          </w:p>
        </w:tc>
        <w:tc>
          <w:tcPr>
            <w:tcW w:w="868" w:type="dxa"/>
            <w:vAlign w:val="center"/>
          </w:tcPr>
          <w:p w14:paraId="69077850" w14:textId="77777777" w:rsidR="002337F9" w:rsidRPr="00133050" w:rsidRDefault="002337F9" w:rsidP="0026218C">
            <w:pPr>
              <w:spacing w:before="20" w:after="20"/>
              <w:jc w:val="right"/>
              <w:rPr>
                <w:noProof/>
                <w:sz w:val="20"/>
              </w:rPr>
            </w:pPr>
          </w:p>
        </w:tc>
        <w:tc>
          <w:tcPr>
            <w:tcW w:w="868" w:type="dxa"/>
            <w:vAlign w:val="center"/>
          </w:tcPr>
          <w:p w14:paraId="5E9F89F3" w14:textId="77777777" w:rsidR="002337F9" w:rsidRPr="00133050" w:rsidRDefault="002337F9" w:rsidP="0026218C">
            <w:pPr>
              <w:spacing w:before="20" w:after="20"/>
              <w:jc w:val="right"/>
              <w:rPr>
                <w:noProof/>
                <w:sz w:val="20"/>
              </w:rPr>
            </w:pPr>
          </w:p>
        </w:tc>
        <w:tc>
          <w:tcPr>
            <w:tcW w:w="868" w:type="dxa"/>
            <w:vAlign w:val="center"/>
          </w:tcPr>
          <w:p w14:paraId="297C16E8" w14:textId="77777777" w:rsidR="002337F9" w:rsidRPr="00133050" w:rsidRDefault="002337F9" w:rsidP="0026218C">
            <w:pPr>
              <w:spacing w:before="20" w:after="20"/>
              <w:jc w:val="right"/>
              <w:rPr>
                <w:noProof/>
                <w:sz w:val="20"/>
              </w:rPr>
            </w:pPr>
          </w:p>
        </w:tc>
        <w:tc>
          <w:tcPr>
            <w:tcW w:w="1777" w:type="dxa"/>
            <w:vAlign w:val="center"/>
          </w:tcPr>
          <w:p w14:paraId="18877DC7" w14:textId="77777777" w:rsidR="002337F9" w:rsidRPr="00133050" w:rsidRDefault="002337F9" w:rsidP="0026218C">
            <w:pPr>
              <w:spacing w:before="20" w:after="20"/>
              <w:jc w:val="right"/>
              <w:rPr>
                <w:b/>
                <w:noProof/>
                <w:sz w:val="20"/>
              </w:rPr>
            </w:pPr>
          </w:p>
        </w:tc>
      </w:tr>
      <w:tr w:rsidR="002337F9" w:rsidRPr="00133050" w14:paraId="7956FB78" w14:textId="77777777" w:rsidTr="0026218C">
        <w:tc>
          <w:tcPr>
            <w:tcW w:w="3960" w:type="dxa"/>
            <w:vAlign w:val="center"/>
          </w:tcPr>
          <w:p w14:paraId="574C7E7E" w14:textId="77777777" w:rsidR="002337F9" w:rsidRPr="00133050" w:rsidRDefault="002337F9" w:rsidP="0026218C">
            <w:pPr>
              <w:jc w:val="center"/>
              <w:rPr>
                <w:b/>
                <w:noProof/>
              </w:rPr>
            </w:pPr>
            <w:r w:rsidRPr="00133050">
              <w:rPr>
                <w:b/>
                <w:noProof/>
              </w:rPr>
              <w:t xml:space="preserve">ОБЩО </w:t>
            </w:r>
          </w:p>
        </w:tc>
        <w:tc>
          <w:tcPr>
            <w:tcW w:w="2212" w:type="dxa"/>
            <w:gridSpan w:val="2"/>
            <w:vAlign w:val="center"/>
          </w:tcPr>
          <w:p w14:paraId="2C9D9E16" w14:textId="77777777" w:rsidR="002337F9" w:rsidRPr="00133050" w:rsidRDefault="002337F9" w:rsidP="0026218C">
            <w:pPr>
              <w:rPr>
                <w:noProof/>
                <w:sz w:val="14"/>
              </w:rPr>
            </w:pPr>
            <w:r w:rsidRPr="00133050">
              <w:rPr>
                <w:noProof/>
                <w:sz w:val="18"/>
              </w:rPr>
              <w:t xml:space="preserve">Бюджетни кредити </w:t>
            </w:r>
          </w:p>
        </w:tc>
        <w:tc>
          <w:tcPr>
            <w:tcW w:w="750" w:type="dxa"/>
            <w:vAlign w:val="center"/>
          </w:tcPr>
          <w:p w14:paraId="35C68490" w14:textId="77777777" w:rsidR="002337F9" w:rsidRPr="00133050" w:rsidRDefault="002337F9" w:rsidP="0026218C">
            <w:pPr>
              <w:spacing w:before="60" w:after="60"/>
              <w:jc w:val="center"/>
              <w:rPr>
                <w:noProof/>
                <w:sz w:val="20"/>
              </w:rPr>
            </w:pPr>
            <w:r w:rsidRPr="00133050">
              <w:rPr>
                <w:noProof/>
                <w:sz w:val="20"/>
              </w:rPr>
              <w:t>0,178</w:t>
            </w:r>
          </w:p>
        </w:tc>
        <w:tc>
          <w:tcPr>
            <w:tcW w:w="868" w:type="dxa"/>
            <w:vAlign w:val="center"/>
          </w:tcPr>
          <w:p w14:paraId="1BD86899" w14:textId="77777777" w:rsidR="002337F9" w:rsidRPr="00133050" w:rsidRDefault="002337F9" w:rsidP="0026218C">
            <w:pPr>
              <w:spacing w:before="20" w:after="20"/>
              <w:jc w:val="center"/>
              <w:rPr>
                <w:noProof/>
                <w:sz w:val="20"/>
              </w:rPr>
            </w:pPr>
            <w:r w:rsidRPr="00133050">
              <w:rPr>
                <w:noProof/>
                <w:sz w:val="20"/>
              </w:rPr>
              <w:t>0,178</w:t>
            </w:r>
          </w:p>
        </w:tc>
        <w:tc>
          <w:tcPr>
            <w:tcW w:w="868" w:type="dxa"/>
            <w:vAlign w:val="center"/>
          </w:tcPr>
          <w:p w14:paraId="583178B7" w14:textId="77777777" w:rsidR="002337F9" w:rsidRPr="00133050" w:rsidRDefault="002337F9" w:rsidP="0026218C">
            <w:pPr>
              <w:spacing w:before="20" w:after="20"/>
              <w:jc w:val="right"/>
              <w:rPr>
                <w:noProof/>
                <w:sz w:val="20"/>
              </w:rPr>
            </w:pPr>
          </w:p>
        </w:tc>
        <w:tc>
          <w:tcPr>
            <w:tcW w:w="868" w:type="dxa"/>
            <w:vAlign w:val="center"/>
          </w:tcPr>
          <w:p w14:paraId="7CF0FB17" w14:textId="77777777" w:rsidR="002337F9" w:rsidRPr="00133050" w:rsidRDefault="002337F9" w:rsidP="0026218C">
            <w:pPr>
              <w:spacing w:before="20" w:after="20"/>
              <w:jc w:val="right"/>
              <w:rPr>
                <w:noProof/>
                <w:sz w:val="20"/>
              </w:rPr>
            </w:pPr>
          </w:p>
        </w:tc>
        <w:tc>
          <w:tcPr>
            <w:tcW w:w="868" w:type="dxa"/>
            <w:vAlign w:val="center"/>
          </w:tcPr>
          <w:p w14:paraId="43DD8FCD" w14:textId="77777777" w:rsidR="002337F9" w:rsidRPr="00133050" w:rsidRDefault="002337F9" w:rsidP="0026218C">
            <w:pPr>
              <w:spacing w:before="20" w:after="20"/>
              <w:jc w:val="right"/>
              <w:rPr>
                <w:noProof/>
                <w:sz w:val="20"/>
              </w:rPr>
            </w:pPr>
          </w:p>
        </w:tc>
        <w:tc>
          <w:tcPr>
            <w:tcW w:w="868" w:type="dxa"/>
            <w:vAlign w:val="center"/>
          </w:tcPr>
          <w:p w14:paraId="25E27B6C" w14:textId="77777777" w:rsidR="002337F9" w:rsidRPr="00133050" w:rsidRDefault="002337F9" w:rsidP="0026218C">
            <w:pPr>
              <w:spacing w:before="20" w:after="20"/>
              <w:jc w:val="right"/>
              <w:rPr>
                <w:noProof/>
                <w:sz w:val="20"/>
              </w:rPr>
            </w:pPr>
          </w:p>
        </w:tc>
        <w:tc>
          <w:tcPr>
            <w:tcW w:w="868" w:type="dxa"/>
            <w:vAlign w:val="center"/>
          </w:tcPr>
          <w:p w14:paraId="7CA5B0CD" w14:textId="77777777" w:rsidR="002337F9" w:rsidRPr="00133050" w:rsidRDefault="002337F9" w:rsidP="0026218C">
            <w:pPr>
              <w:spacing w:before="20" w:after="20"/>
              <w:jc w:val="right"/>
              <w:rPr>
                <w:noProof/>
                <w:sz w:val="20"/>
              </w:rPr>
            </w:pPr>
          </w:p>
        </w:tc>
        <w:tc>
          <w:tcPr>
            <w:tcW w:w="1777" w:type="dxa"/>
            <w:vAlign w:val="center"/>
          </w:tcPr>
          <w:p w14:paraId="7B7CAF1E" w14:textId="77777777" w:rsidR="002337F9" w:rsidRPr="00133050" w:rsidRDefault="002337F9" w:rsidP="0026218C">
            <w:pPr>
              <w:spacing w:before="20" w:after="20"/>
              <w:jc w:val="center"/>
              <w:rPr>
                <w:b/>
                <w:noProof/>
                <w:sz w:val="20"/>
              </w:rPr>
            </w:pPr>
            <w:r w:rsidRPr="00133050">
              <w:rPr>
                <w:b/>
                <w:noProof/>
                <w:sz w:val="20"/>
              </w:rPr>
              <w:t xml:space="preserve">0,356 </w:t>
            </w:r>
          </w:p>
        </w:tc>
      </w:tr>
    </w:tbl>
    <w:p w14:paraId="18FA2840" w14:textId="77777777" w:rsidR="002337F9" w:rsidRPr="00133050" w:rsidRDefault="002337F9" w:rsidP="002337F9">
      <w:pPr>
        <w:rPr>
          <w:noProof/>
        </w:rPr>
      </w:pPr>
    </w:p>
    <w:tbl>
      <w:tblPr>
        <w:tblW w:w="1390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652"/>
        <w:gridCol w:w="750"/>
        <w:gridCol w:w="868"/>
        <w:gridCol w:w="868"/>
        <w:gridCol w:w="868"/>
        <w:gridCol w:w="868"/>
        <w:gridCol w:w="868"/>
        <w:gridCol w:w="868"/>
        <w:gridCol w:w="1777"/>
      </w:tblGrid>
      <w:tr w:rsidR="002337F9" w:rsidRPr="00133050" w14:paraId="2095F2CF" w14:textId="77777777" w:rsidTr="0026218C">
        <w:tc>
          <w:tcPr>
            <w:tcW w:w="3960" w:type="dxa"/>
            <w:tcBorders>
              <w:top w:val="nil"/>
              <w:left w:val="nil"/>
              <w:right w:val="nil"/>
            </w:tcBorders>
            <w:vAlign w:val="center"/>
          </w:tcPr>
          <w:p w14:paraId="4FE6EA41" w14:textId="77777777" w:rsidR="002337F9" w:rsidRPr="00133050" w:rsidRDefault="002337F9" w:rsidP="0026218C">
            <w:pPr>
              <w:jc w:val="center"/>
              <w:rPr>
                <w:noProof/>
              </w:rPr>
            </w:pPr>
          </w:p>
        </w:tc>
        <w:tc>
          <w:tcPr>
            <w:tcW w:w="1560" w:type="dxa"/>
            <w:tcBorders>
              <w:top w:val="nil"/>
              <w:left w:val="nil"/>
              <w:right w:val="nil"/>
            </w:tcBorders>
          </w:tcPr>
          <w:p w14:paraId="68B592A2" w14:textId="77777777" w:rsidR="002337F9" w:rsidRPr="00133050" w:rsidRDefault="002337F9" w:rsidP="0026218C">
            <w:pPr>
              <w:rPr>
                <w:noProof/>
                <w:sz w:val="20"/>
              </w:rPr>
            </w:pPr>
          </w:p>
        </w:tc>
        <w:tc>
          <w:tcPr>
            <w:tcW w:w="652" w:type="dxa"/>
            <w:tcBorders>
              <w:top w:val="nil"/>
              <w:left w:val="nil"/>
            </w:tcBorders>
          </w:tcPr>
          <w:p w14:paraId="18C73495" w14:textId="77777777" w:rsidR="002337F9" w:rsidRPr="00133050" w:rsidRDefault="002337F9" w:rsidP="0026218C">
            <w:pPr>
              <w:jc w:val="center"/>
              <w:rPr>
                <w:noProof/>
                <w:sz w:val="20"/>
              </w:rPr>
            </w:pPr>
          </w:p>
        </w:tc>
        <w:tc>
          <w:tcPr>
            <w:tcW w:w="750" w:type="dxa"/>
            <w:vAlign w:val="center"/>
          </w:tcPr>
          <w:p w14:paraId="2D3908E7" w14:textId="77777777" w:rsidR="002337F9" w:rsidRPr="00133050" w:rsidRDefault="002337F9" w:rsidP="0026218C">
            <w:pPr>
              <w:jc w:val="center"/>
              <w:rPr>
                <w:noProof/>
                <w:sz w:val="20"/>
              </w:rPr>
            </w:pPr>
            <w:r w:rsidRPr="00133050">
              <w:rPr>
                <w:b/>
                <w:noProof/>
                <w:sz w:val="20"/>
              </w:rPr>
              <w:t>2026 г.</w:t>
            </w:r>
          </w:p>
        </w:tc>
        <w:tc>
          <w:tcPr>
            <w:tcW w:w="868" w:type="dxa"/>
            <w:vAlign w:val="center"/>
          </w:tcPr>
          <w:p w14:paraId="0017586B" w14:textId="77777777" w:rsidR="002337F9" w:rsidRPr="00133050" w:rsidRDefault="002337F9" w:rsidP="0026218C">
            <w:pPr>
              <w:jc w:val="center"/>
              <w:rPr>
                <w:noProof/>
                <w:sz w:val="20"/>
              </w:rPr>
            </w:pPr>
            <w:r w:rsidRPr="00133050">
              <w:rPr>
                <w:b/>
                <w:noProof/>
                <w:sz w:val="20"/>
              </w:rPr>
              <w:t>2027 г.</w:t>
            </w:r>
          </w:p>
        </w:tc>
        <w:tc>
          <w:tcPr>
            <w:tcW w:w="868" w:type="dxa"/>
            <w:vAlign w:val="center"/>
          </w:tcPr>
          <w:p w14:paraId="1AA7B3D3" w14:textId="77777777" w:rsidR="002337F9" w:rsidRPr="00133050" w:rsidRDefault="002337F9" w:rsidP="0026218C">
            <w:pPr>
              <w:jc w:val="center"/>
              <w:rPr>
                <w:noProof/>
                <w:sz w:val="20"/>
              </w:rPr>
            </w:pPr>
            <w:r w:rsidRPr="00133050">
              <w:rPr>
                <w:b/>
                <w:noProof/>
                <w:sz w:val="20"/>
              </w:rPr>
              <w:t>2028 г.</w:t>
            </w:r>
          </w:p>
        </w:tc>
        <w:tc>
          <w:tcPr>
            <w:tcW w:w="868" w:type="dxa"/>
            <w:vAlign w:val="center"/>
          </w:tcPr>
          <w:p w14:paraId="2EAA6CE9" w14:textId="77777777" w:rsidR="002337F9" w:rsidRPr="00133050" w:rsidRDefault="002337F9" w:rsidP="0026218C">
            <w:pPr>
              <w:jc w:val="center"/>
              <w:rPr>
                <w:noProof/>
                <w:sz w:val="20"/>
              </w:rPr>
            </w:pPr>
            <w:r w:rsidRPr="00133050">
              <w:rPr>
                <w:b/>
                <w:noProof/>
                <w:sz w:val="20"/>
              </w:rPr>
              <w:t>2029 г.</w:t>
            </w:r>
          </w:p>
        </w:tc>
        <w:tc>
          <w:tcPr>
            <w:tcW w:w="868" w:type="dxa"/>
            <w:vAlign w:val="center"/>
          </w:tcPr>
          <w:p w14:paraId="5B21042C" w14:textId="77777777" w:rsidR="002337F9" w:rsidRPr="00133050" w:rsidRDefault="002337F9" w:rsidP="0026218C">
            <w:pPr>
              <w:jc w:val="center"/>
              <w:rPr>
                <w:b/>
                <w:noProof/>
                <w:sz w:val="18"/>
              </w:rPr>
            </w:pPr>
            <w:r w:rsidRPr="00133050">
              <w:rPr>
                <w:b/>
                <w:noProof/>
                <w:sz w:val="20"/>
              </w:rPr>
              <w:t>2030 г.</w:t>
            </w:r>
          </w:p>
        </w:tc>
        <w:tc>
          <w:tcPr>
            <w:tcW w:w="868" w:type="dxa"/>
            <w:vAlign w:val="center"/>
          </w:tcPr>
          <w:p w14:paraId="1CA9F855" w14:textId="77777777" w:rsidR="002337F9" w:rsidRPr="00133050" w:rsidRDefault="002337F9" w:rsidP="0026218C">
            <w:pPr>
              <w:jc w:val="center"/>
              <w:rPr>
                <w:b/>
                <w:noProof/>
                <w:sz w:val="18"/>
              </w:rPr>
            </w:pPr>
            <w:r w:rsidRPr="00133050">
              <w:rPr>
                <w:b/>
                <w:noProof/>
                <w:sz w:val="20"/>
              </w:rPr>
              <w:t>2031 г.</w:t>
            </w:r>
          </w:p>
        </w:tc>
        <w:tc>
          <w:tcPr>
            <w:tcW w:w="868" w:type="dxa"/>
            <w:vAlign w:val="center"/>
          </w:tcPr>
          <w:p w14:paraId="3FA8A162" w14:textId="77777777" w:rsidR="002337F9" w:rsidRPr="00133050" w:rsidRDefault="002337F9" w:rsidP="0026218C">
            <w:pPr>
              <w:jc w:val="center"/>
              <w:rPr>
                <w:b/>
                <w:noProof/>
                <w:sz w:val="18"/>
              </w:rPr>
            </w:pPr>
            <w:r w:rsidRPr="00133050">
              <w:rPr>
                <w:b/>
                <w:noProof/>
                <w:sz w:val="20"/>
              </w:rPr>
              <w:t>2032 г.</w:t>
            </w:r>
          </w:p>
        </w:tc>
        <w:tc>
          <w:tcPr>
            <w:tcW w:w="1777" w:type="dxa"/>
            <w:vAlign w:val="center"/>
          </w:tcPr>
          <w:p w14:paraId="4343F189" w14:textId="77777777" w:rsidR="002337F9" w:rsidRPr="00133050" w:rsidRDefault="002337F9" w:rsidP="0026218C">
            <w:pPr>
              <w:jc w:val="center"/>
              <w:rPr>
                <w:b/>
                <w:noProof/>
                <w:sz w:val="20"/>
              </w:rPr>
            </w:pPr>
            <w:r w:rsidRPr="00133050">
              <w:rPr>
                <w:b/>
                <w:noProof/>
                <w:sz w:val="20"/>
              </w:rPr>
              <w:t>ОБЩО</w:t>
            </w:r>
          </w:p>
        </w:tc>
      </w:tr>
      <w:tr w:rsidR="002337F9" w:rsidRPr="00133050" w14:paraId="4ECA5000" w14:textId="77777777" w:rsidTr="0026218C">
        <w:trPr>
          <w:gridAfter w:val="8"/>
          <w:wAfter w:w="7735" w:type="dxa"/>
        </w:trPr>
        <w:tc>
          <w:tcPr>
            <w:tcW w:w="3960" w:type="dxa"/>
            <w:vAlign w:val="center"/>
          </w:tcPr>
          <w:p w14:paraId="3390A11A" w14:textId="77777777" w:rsidR="002337F9" w:rsidRPr="00133050" w:rsidRDefault="002337F9" w:rsidP="0026218C">
            <w:pPr>
              <w:spacing w:before="60" w:after="60"/>
              <w:jc w:val="center"/>
              <w:rPr>
                <w:noProof/>
              </w:rPr>
            </w:pPr>
            <w:r w:rsidRPr="00133050">
              <w:rPr>
                <w:noProof/>
              </w:rPr>
              <w:t>ГД „Научни изследвания и иновации“</w:t>
            </w:r>
          </w:p>
        </w:tc>
        <w:tc>
          <w:tcPr>
            <w:tcW w:w="2212" w:type="dxa"/>
            <w:gridSpan w:val="2"/>
          </w:tcPr>
          <w:p w14:paraId="4E813B3C" w14:textId="77777777" w:rsidR="002337F9" w:rsidRPr="00133050" w:rsidRDefault="002337F9" w:rsidP="0026218C">
            <w:pPr>
              <w:spacing w:before="60" w:after="60"/>
              <w:jc w:val="center"/>
              <w:rPr>
                <w:noProof/>
              </w:rPr>
            </w:pPr>
          </w:p>
        </w:tc>
      </w:tr>
      <w:tr w:rsidR="002337F9" w:rsidRPr="00133050" w14:paraId="3C7C1FD0" w14:textId="77777777" w:rsidTr="0026218C">
        <w:trPr>
          <w:trHeight w:val="313"/>
        </w:trPr>
        <w:tc>
          <w:tcPr>
            <w:tcW w:w="6172" w:type="dxa"/>
            <w:gridSpan w:val="3"/>
            <w:vAlign w:val="center"/>
          </w:tcPr>
          <w:p w14:paraId="426BFCB9" w14:textId="77777777" w:rsidR="002337F9" w:rsidRPr="00133050" w:rsidRDefault="002337F9" w:rsidP="0026218C">
            <w:pPr>
              <w:spacing w:before="20" w:after="20"/>
              <w:rPr>
                <w:noProof/>
              </w:rPr>
            </w:pPr>
            <w:r w:rsidRPr="00133050">
              <w:rPr>
                <w:noProof/>
              </w:rPr>
              <w:sym w:font="Wingdings" w:char="F09F"/>
            </w:r>
            <w:r w:rsidRPr="00133050">
              <w:rPr>
                <w:noProof/>
              </w:rPr>
              <w:t xml:space="preserve"> Човешки ресурси </w:t>
            </w:r>
          </w:p>
        </w:tc>
        <w:tc>
          <w:tcPr>
            <w:tcW w:w="750" w:type="dxa"/>
            <w:vAlign w:val="center"/>
          </w:tcPr>
          <w:p w14:paraId="43CB0E30" w14:textId="77777777" w:rsidR="002337F9" w:rsidRPr="00133050" w:rsidRDefault="002337F9" w:rsidP="0026218C">
            <w:pPr>
              <w:spacing w:before="20" w:after="20"/>
              <w:jc w:val="center"/>
              <w:rPr>
                <w:noProof/>
                <w:sz w:val="20"/>
              </w:rPr>
            </w:pPr>
            <w:r w:rsidRPr="00133050">
              <w:rPr>
                <w:noProof/>
                <w:sz w:val="20"/>
              </w:rPr>
              <w:t>0,178</w:t>
            </w:r>
          </w:p>
        </w:tc>
        <w:tc>
          <w:tcPr>
            <w:tcW w:w="868" w:type="dxa"/>
            <w:vAlign w:val="center"/>
          </w:tcPr>
          <w:p w14:paraId="5FEC1E21" w14:textId="77777777" w:rsidR="002337F9" w:rsidRPr="00133050" w:rsidRDefault="002337F9" w:rsidP="0026218C">
            <w:pPr>
              <w:spacing w:before="20" w:after="20"/>
              <w:jc w:val="center"/>
              <w:rPr>
                <w:noProof/>
                <w:sz w:val="20"/>
              </w:rPr>
            </w:pPr>
            <w:r w:rsidRPr="00133050">
              <w:rPr>
                <w:noProof/>
                <w:sz w:val="20"/>
              </w:rPr>
              <w:t>0,178</w:t>
            </w:r>
          </w:p>
        </w:tc>
        <w:tc>
          <w:tcPr>
            <w:tcW w:w="868" w:type="dxa"/>
            <w:vAlign w:val="center"/>
          </w:tcPr>
          <w:p w14:paraId="004CB7E7" w14:textId="77777777" w:rsidR="002337F9" w:rsidRPr="00133050" w:rsidRDefault="002337F9" w:rsidP="0026218C">
            <w:pPr>
              <w:spacing w:before="20" w:after="20"/>
              <w:jc w:val="right"/>
              <w:rPr>
                <w:noProof/>
                <w:sz w:val="20"/>
              </w:rPr>
            </w:pPr>
          </w:p>
        </w:tc>
        <w:tc>
          <w:tcPr>
            <w:tcW w:w="868" w:type="dxa"/>
            <w:vAlign w:val="center"/>
          </w:tcPr>
          <w:p w14:paraId="1A37B937" w14:textId="77777777" w:rsidR="002337F9" w:rsidRPr="00133050" w:rsidRDefault="002337F9" w:rsidP="0026218C">
            <w:pPr>
              <w:spacing w:before="20" w:after="20"/>
              <w:jc w:val="right"/>
              <w:rPr>
                <w:noProof/>
                <w:sz w:val="20"/>
              </w:rPr>
            </w:pPr>
          </w:p>
        </w:tc>
        <w:tc>
          <w:tcPr>
            <w:tcW w:w="868" w:type="dxa"/>
            <w:vAlign w:val="center"/>
          </w:tcPr>
          <w:p w14:paraId="66C93178" w14:textId="77777777" w:rsidR="002337F9" w:rsidRPr="00133050" w:rsidRDefault="002337F9" w:rsidP="0026218C">
            <w:pPr>
              <w:spacing w:before="20" w:after="20"/>
              <w:jc w:val="right"/>
              <w:rPr>
                <w:noProof/>
                <w:sz w:val="20"/>
              </w:rPr>
            </w:pPr>
          </w:p>
        </w:tc>
        <w:tc>
          <w:tcPr>
            <w:tcW w:w="868" w:type="dxa"/>
            <w:vAlign w:val="center"/>
          </w:tcPr>
          <w:p w14:paraId="4F7BC388" w14:textId="77777777" w:rsidR="002337F9" w:rsidRPr="00133050" w:rsidRDefault="002337F9" w:rsidP="0026218C">
            <w:pPr>
              <w:spacing w:before="20" w:after="20"/>
              <w:jc w:val="right"/>
              <w:rPr>
                <w:noProof/>
                <w:sz w:val="20"/>
              </w:rPr>
            </w:pPr>
          </w:p>
        </w:tc>
        <w:tc>
          <w:tcPr>
            <w:tcW w:w="868" w:type="dxa"/>
            <w:vAlign w:val="center"/>
          </w:tcPr>
          <w:p w14:paraId="5A091CE2" w14:textId="77777777" w:rsidR="002337F9" w:rsidRPr="00133050" w:rsidRDefault="002337F9" w:rsidP="0026218C">
            <w:pPr>
              <w:spacing w:before="20" w:after="20"/>
              <w:jc w:val="right"/>
              <w:rPr>
                <w:b/>
                <w:noProof/>
                <w:sz w:val="20"/>
              </w:rPr>
            </w:pPr>
          </w:p>
        </w:tc>
        <w:tc>
          <w:tcPr>
            <w:tcW w:w="1777" w:type="dxa"/>
            <w:vAlign w:val="center"/>
          </w:tcPr>
          <w:p w14:paraId="2AA5FA32" w14:textId="77777777" w:rsidR="002337F9" w:rsidRPr="00133050" w:rsidRDefault="002337F9" w:rsidP="0026218C">
            <w:pPr>
              <w:spacing w:before="20" w:after="20"/>
              <w:jc w:val="center"/>
              <w:rPr>
                <w:b/>
                <w:noProof/>
                <w:sz w:val="20"/>
              </w:rPr>
            </w:pPr>
            <w:r w:rsidRPr="00133050">
              <w:rPr>
                <w:b/>
                <w:noProof/>
                <w:sz w:val="20"/>
              </w:rPr>
              <w:t xml:space="preserve">0,356 </w:t>
            </w:r>
          </w:p>
        </w:tc>
      </w:tr>
      <w:tr w:rsidR="002337F9" w:rsidRPr="00133050" w14:paraId="6B27071E" w14:textId="77777777" w:rsidTr="0026218C">
        <w:trPr>
          <w:trHeight w:val="351"/>
        </w:trPr>
        <w:tc>
          <w:tcPr>
            <w:tcW w:w="6172" w:type="dxa"/>
            <w:gridSpan w:val="3"/>
            <w:vAlign w:val="center"/>
          </w:tcPr>
          <w:p w14:paraId="00DD4BA1" w14:textId="77777777" w:rsidR="002337F9" w:rsidRPr="00133050" w:rsidRDefault="002337F9" w:rsidP="0026218C">
            <w:pPr>
              <w:spacing w:before="20" w:after="20"/>
              <w:rPr>
                <w:noProof/>
              </w:rPr>
            </w:pPr>
            <w:r w:rsidRPr="00133050">
              <w:rPr>
                <w:noProof/>
              </w:rPr>
              <w:sym w:font="Wingdings" w:char="F09F"/>
            </w:r>
            <w:r w:rsidRPr="00133050">
              <w:rPr>
                <w:noProof/>
              </w:rPr>
              <w:t> Други административни разходи</w:t>
            </w:r>
          </w:p>
        </w:tc>
        <w:tc>
          <w:tcPr>
            <w:tcW w:w="750" w:type="dxa"/>
            <w:vAlign w:val="center"/>
          </w:tcPr>
          <w:p w14:paraId="44AB0387" w14:textId="77777777" w:rsidR="002337F9" w:rsidRPr="00133050" w:rsidRDefault="002337F9" w:rsidP="0026218C">
            <w:pPr>
              <w:spacing w:before="20" w:after="20"/>
              <w:jc w:val="center"/>
              <w:rPr>
                <w:noProof/>
                <w:sz w:val="20"/>
              </w:rPr>
            </w:pPr>
          </w:p>
        </w:tc>
        <w:tc>
          <w:tcPr>
            <w:tcW w:w="868" w:type="dxa"/>
            <w:vAlign w:val="center"/>
          </w:tcPr>
          <w:p w14:paraId="6FB33A0B" w14:textId="77777777" w:rsidR="002337F9" w:rsidRPr="00133050" w:rsidRDefault="002337F9" w:rsidP="0026218C">
            <w:pPr>
              <w:spacing w:before="20" w:after="20"/>
              <w:jc w:val="center"/>
              <w:rPr>
                <w:noProof/>
                <w:sz w:val="20"/>
              </w:rPr>
            </w:pPr>
          </w:p>
        </w:tc>
        <w:tc>
          <w:tcPr>
            <w:tcW w:w="868" w:type="dxa"/>
            <w:vAlign w:val="center"/>
          </w:tcPr>
          <w:p w14:paraId="49C6A1CB" w14:textId="77777777" w:rsidR="002337F9" w:rsidRPr="00133050" w:rsidRDefault="002337F9" w:rsidP="0026218C">
            <w:pPr>
              <w:spacing w:before="20" w:after="20"/>
              <w:jc w:val="right"/>
              <w:rPr>
                <w:noProof/>
                <w:sz w:val="20"/>
              </w:rPr>
            </w:pPr>
          </w:p>
        </w:tc>
        <w:tc>
          <w:tcPr>
            <w:tcW w:w="868" w:type="dxa"/>
            <w:vAlign w:val="center"/>
          </w:tcPr>
          <w:p w14:paraId="6439D4DE" w14:textId="77777777" w:rsidR="002337F9" w:rsidRPr="00133050" w:rsidRDefault="002337F9" w:rsidP="0026218C">
            <w:pPr>
              <w:spacing w:before="20" w:after="20"/>
              <w:jc w:val="right"/>
              <w:rPr>
                <w:noProof/>
                <w:sz w:val="20"/>
              </w:rPr>
            </w:pPr>
          </w:p>
        </w:tc>
        <w:tc>
          <w:tcPr>
            <w:tcW w:w="868" w:type="dxa"/>
            <w:vAlign w:val="center"/>
          </w:tcPr>
          <w:p w14:paraId="19A8269C" w14:textId="77777777" w:rsidR="002337F9" w:rsidRPr="00133050" w:rsidRDefault="002337F9" w:rsidP="0026218C">
            <w:pPr>
              <w:spacing w:before="20" w:after="20"/>
              <w:jc w:val="right"/>
              <w:rPr>
                <w:noProof/>
                <w:sz w:val="20"/>
              </w:rPr>
            </w:pPr>
          </w:p>
        </w:tc>
        <w:tc>
          <w:tcPr>
            <w:tcW w:w="868" w:type="dxa"/>
            <w:vAlign w:val="center"/>
          </w:tcPr>
          <w:p w14:paraId="62DDFFF8" w14:textId="77777777" w:rsidR="002337F9" w:rsidRPr="00133050" w:rsidRDefault="002337F9" w:rsidP="0026218C">
            <w:pPr>
              <w:spacing w:before="20" w:after="20"/>
              <w:jc w:val="right"/>
              <w:rPr>
                <w:noProof/>
                <w:sz w:val="20"/>
              </w:rPr>
            </w:pPr>
          </w:p>
        </w:tc>
        <w:tc>
          <w:tcPr>
            <w:tcW w:w="868" w:type="dxa"/>
            <w:vAlign w:val="center"/>
          </w:tcPr>
          <w:p w14:paraId="79B1AA00" w14:textId="77777777" w:rsidR="002337F9" w:rsidRPr="00133050" w:rsidRDefault="002337F9" w:rsidP="0026218C">
            <w:pPr>
              <w:spacing w:before="20" w:after="20"/>
              <w:jc w:val="right"/>
              <w:rPr>
                <w:noProof/>
                <w:sz w:val="20"/>
              </w:rPr>
            </w:pPr>
          </w:p>
        </w:tc>
        <w:tc>
          <w:tcPr>
            <w:tcW w:w="1777" w:type="dxa"/>
            <w:vAlign w:val="center"/>
          </w:tcPr>
          <w:p w14:paraId="2FD3CB32" w14:textId="77777777" w:rsidR="002337F9" w:rsidRPr="00133050" w:rsidRDefault="002337F9" w:rsidP="0026218C">
            <w:pPr>
              <w:spacing w:before="20" w:after="20"/>
              <w:jc w:val="center"/>
              <w:rPr>
                <w:b/>
                <w:noProof/>
                <w:sz w:val="20"/>
              </w:rPr>
            </w:pPr>
          </w:p>
        </w:tc>
      </w:tr>
      <w:tr w:rsidR="002337F9" w:rsidRPr="00133050" w14:paraId="36536B30" w14:textId="77777777" w:rsidTr="0026218C">
        <w:tc>
          <w:tcPr>
            <w:tcW w:w="3960" w:type="dxa"/>
            <w:vAlign w:val="center"/>
          </w:tcPr>
          <w:p w14:paraId="5348EE74" w14:textId="77777777" w:rsidR="002337F9" w:rsidRPr="00133050" w:rsidRDefault="002337F9" w:rsidP="0026218C">
            <w:pPr>
              <w:jc w:val="center"/>
              <w:rPr>
                <w:b/>
                <w:noProof/>
              </w:rPr>
            </w:pPr>
            <w:r w:rsidRPr="00133050">
              <w:rPr>
                <w:b/>
                <w:noProof/>
              </w:rPr>
              <w:t xml:space="preserve">ОБЩО </w:t>
            </w:r>
          </w:p>
        </w:tc>
        <w:tc>
          <w:tcPr>
            <w:tcW w:w="2212" w:type="dxa"/>
            <w:gridSpan w:val="2"/>
            <w:vAlign w:val="center"/>
          </w:tcPr>
          <w:p w14:paraId="2FF0A8FD" w14:textId="77777777" w:rsidR="002337F9" w:rsidRPr="00133050" w:rsidRDefault="002337F9" w:rsidP="0026218C">
            <w:pPr>
              <w:rPr>
                <w:noProof/>
                <w:sz w:val="14"/>
              </w:rPr>
            </w:pPr>
            <w:r w:rsidRPr="00133050">
              <w:rPr>
                <w:noProof/>
                <w:sz w:val="18"/>
              </w:rPr>
              <w:t xml:space="preserve">Бюджетни кредити </w:t>
            </w:r>
          </w:p>
        </w:tc>
        <w:tc>
          <w:tcPr>
            <w:tcW w:w="750" w:type="dxa"/>
            <w:vAlign w:val="center"/>
          </w:tcPr>
          <w:p w14:paraId="3E8FCB60" w14:textId="77777777" w:rsidR="002337F9" w:rsidRPr="00133050" w:rsidRDefault="002337F9" w:rsidP="0026218C">
            <w:pPr>
              <w:spacing w:before="60" w:after="60"/>
              <w:jc w:val="center"/>
              <w:rPr>
                <w:noProof/>
                <w:sz w:val="20"/>
              </w:rPr>
            </w:pPr>
            <w:r w:rsidRPr="00133050">
              <w:rPr>
                <w:noProof/>
                <w:sz w:val="20"/>
              </w:rPr>
              <w:t>0,178</w:t>
            </w:r>
          </w:p>
        </w:tc>
        <w:tc>
          <w:tcPr>
            <w:tcW w:w="868" w:type="dxa"/>
            <w:vAlign w:val="center"/>
          </w:tcPr>
          <w:p w14:paraId="2D79F712" w14:textId="77777777" w:rsidR="002337F9" w:rsidRPr="00133050" w:rsidRDefault="002337F9" w:rsidP="0026218C">
            <w:pPr>
              <w:spacing w:before="20" w:after="20"/>
              <w:jc w:val="center"/>
              <w:rPr>
                <w:noProof/>
                <w:sz w:val="20"/>
              </w:rPr>
            </w:pPr>
            <w:r w:rsidRPr="00133050">
              <w:rPr>
                <w:noProof/>
                <w:sz w:val="20"/>
              </w:rPr>
              <w:t>0,178</w:t>
            </w:r>
          </w:p>
        </w:tc>
        <w:tc>
          <w:tcPr>
            <w:tcW w:w="868" w:type="dxa"/>
            <w:vAlign w:val="center"/>
          </w:tcPr>
          <w:p w14:paraId="3B08352C" w14:textId="77777777" w:rsidR="002337F9" w:rsidRPr="00133050" w:rsidRDefault="002337F9" w:rsidP="0026218C">
            <w:pPr>
              <w:spacing w:before="20" w:after="20"/>
              <w:jc w:val="right"/>
              <w:rPr>
                <w:noProof/>
                <w:sz w:val="20"/>
              </w:rPr>
            </w:pPr>
          </w:p>
        </w:tc>
        <w:tc>
          <w:tcPr>
            <w:tcW w:w="868" w:type="dxa"/>
            <w:vAlign w:val="center"/>
          </w:tcPr>
          <w:p w14:paraId="44ECA556" w14:textId="77777777" w:rsidR="002337F9" w:rsidRPr="00133050" w:rsidRDefault="002337F9" w:rsidP="0026218C">
            <w:pPr>
              <w:spacing w:before="20" w:after="20"/>
              <w:jc w:val="right"/>
              <w:rPr>
                <w:noProof/>
                <w:sz w:val="20"/>
              </w:rPr>
            </w:pPr>
          </w:p>
        </w:tc>
        <w:tc>
          <w:tcPr>
            <w:tcW w:w="868" w:type="dxa"/>
            <w:vAlign w:val="center"/>
          </w:tcPr>
          <w:p w14:paraId="458FB19A" w14:textId="77777777" w:rsidR="002337F9" w:rsidRPr="00133050" w:rsidRDefault="002337F9" w:rsidP="0026218C">
            <w:pPr>
              <w:spacing w:before="20" w:after="20"/>
              <w:jc w:val="right"/>
              <w:rPr>
                <w:noProof/>
                <w:sz w:val="20"/>
              </w:rPr>
            </w:pPr>
          </w:p>
        </w:tc>
        <w:tc>
          <w:tcPr>
            <w:tcW w:w="868" w:type="dxa"/>
            <w:vAlign w:val="center"/>
          </w:tcPr>
          <w:p w14:paraId="349D4739" w14:textId="77777777" w:rsidR="002337F9" w:rsidRPr="00133050" w:rsidRDefault="002337F9" w:rsidP="0026218C">
            <w:pPr>
              <w:spacing w:before="20" w:after="20"/>
              <w:jc w:val="right"/>
              <w:rPr>
                <w:noProof/>
                <w:sz w:val="20"/>
              </w:rPr>
            </w:pPr>
          </w:p>
        </w:tc>
        <w:tc>
          <w:tcPr>
            <w:tcW w:w="868" w:type="dxa"/>
            <w:vAlign w:val="center"/>
          </w:tcPr>
          <w:p w14:paraId="10C22D3A" w14:textId="77777777" w:rsidR="002337F9" w:rsidRPr="00133050" w:rsidRDefault="002337F9" w:rsidP="0026218C">
            <w:pPr>
              <w:spacing w:before="20" w:after="20"/>
              <w:jc w:val="right"/>
              <w:rPr>
                <w:noProof/>
                <w:sz w:val="20"/>
              </w:rPr>
            </w:pPr>
          </w:p>
        </w:tc>
        <w:tc>
          <w:tcPr>
            <w:tcW w:w="1777" w:type="dxa"/>
            <w:vAlign w:val="center"/>
          </w:tcPr>
          <w:p w14:paraId="044DC38B" w14:textId="77777777" w:rsidR="002337F9" w:rsidRPr="00133050" w:rsidRDefault="002337F9" w:rsidP="0026218C">
            <w:pPr>
              <w:spacing w:before="20" w:after="20"/>
              <w:jc w:val="center"/>
              <w:rPr>
                <w:b/>
                <w:noProof/>
                <w:sz w:val="20"/>
              </w:rPr>
            </w:pPr>
            <w:r w:rsidRPr="00133050">
              <w:rPr>
                <w:b/>
                <w:noProof/>
                <w:sz w:val="20"/>
              </w:rPr>
              <w:t xml:space="preserve">0,356 </w:t>
            </w:r>
          </w:p>
        </w:tc>
      </w:tr>
    </w:tbl>
    <w:p w14:paraId="3943D30D" w14:textId="77777777" w:rsidR="002337F9" w:rsidRPr="00133050" w:rsidRDefault="002337F9" w:rsidP="002337F9">
      <w:pPr>
        <w:rPr>
          <w:noProof/>
        </w:rPr>
      </w:pPr>
    </w:p>
    <w:tbl>
      <w:tblPr>
        <w:tblW w:w="1390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652"/>
        <w:gridCol w:w="750"/>
        <w:gridCol w:w="868"/>
        <w:gridCol w:w="868"/>
        <w:gridCol w:w="868"/>
        <w:gridCol w:w="868"/>
        <w:gridCol w:w="868"/>
        <w:gridCol w:w="868"/>
        <w:gridCol w:w="1777"/>
      </w:tblGrid>
      <w:tr w:rsidR="002337F9" w:rsidRPr="00133050" w14:paraId="06EFCA36" w14:textId="77777777" w:rsidTr="0026218C">
        <w:tc>
          <w:tcPr>
            <w:tcW w:w="3960" w:type="dxa"/>
            <w:tcBorders>
              <w:top w:val="nil"/>
              <w:left w:val="nil"/>
              <w:right w:val="nil"/>
            </w:tcBorders>
            <w:vAlign w:val="center"/>
          </w:tcPr>
          <w:p w14:paraId="7A045F8D" w14:textId="77777777" w:rsidR="002337F9" w:rsidRPr="00133050" w:rsidRDefault="002337F9" w:rsidP="0026218C">
            <w:pPr>
              <w:jc w:val="center"/>
              <w:rPr>
                <w:noProof/>
              </w:rPr>
            </w:pPr>
          </w:p>
        </w:tc>
        <w:tc>
          <w:tcPr>
            <w:tcW w:w="1560" w:type="dxa"/>
            <w:tcBorders>
              <w:top w:val="nil"/>
              <w:left w:val="nil"/>
              <w:right w:val="nil"/>
            </w:tcBorders>
          </w:tcPr>
          <w:p w14:paraId="14D2AF84" w14:textId="77777777" w:rsidR="002337F9" w:rsidRPr="00133050" w:rsidRDefault="002337F9" w:rsidP="0026218C">
            <w:pPr>
              <w:rPr>
                <w:noProof/>
                <w:sz w:val="20"/>
              </w:rPr>
            </w:pPr>
          </w:p>
        </w:tc>
        <w:tc>
          <w:tcPr>
            <w:tcW w:w="652" w:type="dxa"/>
            <w:tcBorders>
              <w:top w:val="nil"/>
              <w:left w:val="nil"/>
            </w:tcBorders>
          </w:tcPr>
          <w:p w14:paraId="71A42834" w14:textId="77777777" w:rsidR="002337F9" w:rsidRPr="00133050" w:rsidRDefault="002337F9" w:rsidP="0026218C">
            <w:pPr>
              <w:jc w:val="center"/>
              <w:rPr>
                <w:noProof/>
                <w:sz w:val="20"/>
              </w:rPr>
            </w:pPr>
          </w:p>
        </w:tc>
        <w:tc>
          <w:tcPr>
            <w:tcW w:w="750" w:type="dxa"/>
            <w:vAlign w:val="center"/>
          </w:tcPr>
          <w:p w14:paraId="41A73725" w14:textId="77777777" w:rsidR="002337F9" w:rsidRPr="00133050" w:rsidRDefault="002337F9" w:rsidP="0026218C">
            <w:pPr>
              <w:jc w:val="center"/>
              <w:rPr>
                <w:noProof/>
                <w:sz w:val="20"/>
              </w:rPr>
            </w:pPr>
            <w:r w:rsidRPr="00133050">
              <w:rPr>
                <w:b/>
                <w:noProof/>
                <w:sz w:val="20"/>
              </w:rPr>
              <w:t>2026 г.</w:t>
            </w:r>
          </w:p>
        </w:tc>
        <w:tc>
          <w:tcPr>
            <w:tcW w:w="868" w:type="dxa"/>
            <w:vAlign w:val="center"/>
          </w:tcPr>
          <w:p w14:paraId="46FB61C7" w14:textId="77777777" w:rsidR="002337F9" w:rsidRPr="00133050" w:rsidRDefault="002337F9" w:rsidP="0026218C">
            <w:pPr>
              <w:jc w:val="center"/>
              <w:rPr>
                <w:noProof/>
                <w:sz w:val="20"/>
              </w:rPr>
            </w:pPr>
            <w:r w:rsidRPr="00133050">
              <w:rPr>
                <w:b/>
                <w:noProof/>
                <w:sz w:val="20"/>
              </w:rPr>
              <w:t>2027 г.</w:t>
            </w:r>
          </w:p>
        </w:tc>
        <w:tc>
          <w:tcPr>
            <w:tcW w:w="868" w:type="dxa"/>
            <w:vAlign w:val="center"/>
          </w:tcPr>
          <w:p w14:paraId="34E2F93E" w14:textId="77777777" w:rsidR="002337F9" w:rsidRPr="00133050" w:rsidRDefault="002337F9" w:rsidP="0026218C">
            <w:pPr>
              <w:jc w:val="center"/>
              <w:rPr>
                <w:noProof/>
                <w:sz w:val="20"/>
              </w:rPr>
            </w:pPr>
          </w:p>
        </w:tc>
        <w:tc>
          <w:tcPr>
            <w:tcW w:w="868" w:type="dxa"/>
            <w:vAlign w:val="center"/>
          </w:tcPr>
          <w:p w14:paraId="02809339" w14:textId="77777777" w:rsidR="002337F9" w:rsidRPr="00133050" w:rsidRDefault="002337F9" w:rsidP="0026218C">
            <w:pPr>
              <w:jc w:val="center"/>
              <w:rPr>
                <w:noProof/>
                <w:sz w:val="20"/>
              </w:rPr>
            </w:pPr>
          </w:p>
        </w:tc>
        <w:tc>
          <w:tcPr>
            <w:tcW w:w="868" w:type="dxa"/>
            <w:vAlign w:val="center"/>
          </w:tcPr>
          <w:p w14:paraId="199CA110" w14:textId="77777777" w:rsidR="002337F9" w:rsidRPr="00133050" w:rsidRDefault="002337F9" w:rsidP="0026218C">
            <w:pPr>
              <w:jc w:val="center"/>
              <w:rPr>
                <w:b/>
                <w:noProof/>
                <w:sz w:val="18"/>
              </w:rPr>
            </w:pPr>
          </w:p>
        </w:tc>
        <w:tc>
          <w:tcPr>
            <w:tcW w:w="868" w:type="dxa"/>
            <w:vAlign w:val="center"/>
          </w:tcPr>
          <w:p w14:paraId="28DBB4DD" w14:textId="77777777" w:rsidR="002337F9" w:rsidRPr="00133050" w:rsidRDefault="002337F9" w:rsidP="0026218C">
            <w:pPr>
              <w:jc w:val="center"/>
              <w:rPr>
                <w:b/>
                <w:noProof/>
                <w:sz w:val="18"/>
              </w:rPr>
            </w:pPr>
          </w:p>
        </w:tc>
        <w:tc>
          <w:tcPr>
            <w:tcW w:w="868" w:type="dxa"/>
            <w:vAlign w:val="center"/>
          </w:tcPr>
          <w:p w14:paraId="0FB648CC" w14:textId="77777777" w:rsidR="002337F9" w:rsidRPr="00133050" w:rsidRDefault="002337F9" w:rsidP="0026218C">
            <w:pPr>
              <w:jc w:val="center"/>
              <w:rPr>
                <w:b/>
                <w:noProof/>
                <w:sz w:val="18"/>
              </w:rPr>
            </w:pPr>
          </w:p>
        </w:tc>
        <w:tc>
          <w:tcPr>
            <w:tcW w:w="1777" w:type="dxa"/>
            <w:vAlign w:val="center"/>
          </w:tcPr>
          <w:p w14:paraId="5F136AA9" w14:textId="77777777" w:rsidR="002337F9" w:rsidRPr="00133050" w:rsidRDefault="002337F9" w:rsidP="0026218C">
            <w:pPr>
              <w:jc w:val="center"/>
              <w:rPr>
                <w:b/>
                <w:noProof/>
                <w:sz w:val="20"/>
              </w:rPr>
            </w:pPr>
            <w:r w:rsidRPr="00133050">
              <w:rPr>
                <w:b/>
                <w:noProof/>
                <w:sz w:val="20"/>
              </w:rPr>
              <w:t>ОБЩО</w:t>
            </w:r>
          </w:p>
        </w:tc>
      </w:tr>
      <w:tr w:rsidR="002337F9" w:rsidRPr="00133050" w14:paraId="1B8750C5" w14:textId="77777777" w:rsidTr="0026218C">
        <w:trPr>
          <w:gridAfter w:val="8"/>
          <w:wAfter w:w="7735" w:type="dxa"/>
        </w:trPr>
        <w:tc>
          <w:tcPr>
            <w:tcW w:w="3960" w:type="dxa"/>
            <w:vAlign w:val="center"/>
          </w:tcPr>
          <w:p w14:paraId="382D33EA" w14:textId="77777777" w:rsidR="002337F9" w:rsidRPr="00133050" w:rsidRDefault="002337F9" w:rsidP="0026218C">
            <w:pPr>
              <w:spacing w:before="60" w:after="60"/>
              <w:jc w:val="center"/>
              <w:rPr>
                <w:noProof/>
              </w:rPr>
            </w:pPr>
            <w:r w:rsidRPr="00133050">
              <w:rPr>
                <w:noProof/>
              </w:rPr>
              <w:t>ГД Правна служба</w:t>
            </w:r>
          </w:p>
        </w:tc>
        <w:tc>
          <w:tcPr>
            <w:tcW w:w="2212" w:type="dxa"/>
            <w:gridSpan w:val="2"/>
          </w:tcPr>
          <w:p w14:paraId="392D579F" w14:textId="77777777" w:rsidR="002337F9" w:rsidRPr="00133050" w:rsidRDefault="002337F9" w:rsidP="0026218C">
            <w:pPr>
              <w:spacing w:before="60" w:after="60"/>
              <w:jc w:val="center"/>
              <w:rPr>
                <w:noProof/>
              </w:rPr>
            </w:pPr>
          </w:p>
        </w:tc>
      </w:tr>
      <w:tr w:rsidR="002337F9" w:rsidRPr="00133050" w14:paraId="71B83606" w14:textId="77777777" w:rsidTr="0026218C">
        <w:trPr>
          <w:trHeight w:val="313"/>
        </w:trPr>
        <w:tc>
          <w:tcPr>
            <w:tcW w:w="6172" w:type="dxa"/>
            <w:gridSpan w:val="3"/>
            <w:vAlign w:val="center"/>
          </w:tcPr>
          <w:p w14:paraId="31325F86" w14:textId="77777777" w:rsidR="002337F9" w:rsidRPr="00133050" w:rsidRDefault="002337F9" w:rsidP="0026218C">
            <w:pPr>
              <w:spacing w:before="20" w:after="20"/>
              <w:rPr>
                <w:noProof/>
              </w:rPr>
            </w:pPr>
            <w:r w:rsidRPr="00133050">
              <w:rPr>
                <w:noProof/>
              </w:rPr>
              <w:sym w:font="Wingdings" w:char="F09F"/>
            </w:r>
            <w:r w:rsidRPr="00133050">
              <w:rPr>
                <w:noProof/>
              </w:rPr>
              <w:t xml:space="preserve"> Човешки ресурси </w:t>
            </w:r>
          </w:p>
        </w:tc>
        <w:tc>
          <w:tcPr>
            <w:tcW w:w="750" w:type="dxa"/>
            <w:vAlign w:val="center"/>
          </w:tcPr>
          <w:p w14:paraId="748755DE" w14:textId="77777777" w:rsidR="002337F9" w:rsidRPr="00133050" w:rsidRDefault="002337F9" w:rsidP="0026218C">
            <w:pPr>
              <w:spacing w:before="20" w:after="20"/>
              <w:jc w:val="center"/>
              <w:rPr>
                <w:noProof/>
                <w:sz w:val="20"/>
              </w:rPr>
            </w:pPr>
            <w:r w:rsidRPr="00133050">
              <w:rPr>
                <w:noProof/>
                <w:sz w:val="20"/>
              </w:rPr>
              <w:t>0,178</w:t>
            </w:r>
          </w:p>
        </w:tc>
        <w:tc>
          <w:tcPr>
            <w:tcW w:w="868" w:type="dxa"/>
            <w:vAlign w:val="center"/>
          </w:tcPr>
          <w:p w14:paraId="06F61CB7" w14:textId="77777777" w:rsidR="002337F9" w:rsidRPr="00133050" w:rsidRDefault="002337F9" w:rsidP="0026218C">
            <w:pPr>
              <w:spacing w:before="20" w:after="20"/>
              <w:jc w:val="center"/>
              <w:rPr>
                <w:noProof/>
                <w:sz w:val="20"/>
              </w:rPr>
            </w:pPr>
            <w:r w:rsidRPr="00133050">
              <w:rPr>
                <w:noProof/>
                <w:sz w:val="20"/>
              </w:rPr>
              <w:t>0,178</w:t>
            </w:r>
          </w:p>
        </w:tc>
        <w:tc>
          <w:tcPr>
            <w:tcW w:w="868" w:type="dxa"/>
            <w:vAlign w:val="center"/>
          </w:tcPr>
          <w:p w14:paraId="2AB83DB9" w14:textId="77777777" w:rsidR="002337F9" w:rsidRPr="00133050" w:rsidRDefault="002337F9" w:rsidP="0026218C">
            <w:pPr>
              <w:spacing w:before="20" w:after="20"/>
              <w:jc w:val="right"/>
              <w:rPr>
                <w:noProof/>
                <w:sz w:val="20"/>
              </w:rPr>
            </w:pPr>
          </w:p>
        </w:tc>
        <w:tc>
          <w:tcPr>
            <w:tcW w:w="868" w:type="dxa"/>
            <w:vAlign w:val="center"/>
          </w:tcPr>
          <w:p w14:paraId="7924A03F" w14:textId="77777777" w:rsidR="002337F9" w:rsidRPr="00133050" w:rsidRDefault="002337F9" w:rsidP="0026218C">
            <w:pPr>
              <w:spacing w:before="20" w:after="20"/>
              <w:jc w:val="right"/>
              <w:rPr>
                <w:noProof/>
                <w:sz w:val="20"/>
              </w:rPr>
            </w:pPr>
          </w:p>
        </w:tc>
        <w:tc>
          <w:tcPr>
            <w:tcW w:w="868" w:type="dxa"/>
            <w:vAlign w:val="center"/>
          </w:tcPr>
          <w:p w14:paraId="0D247A04" w14:textId="77777777" w:rsidR="002337F9" w:rsidRPr="00133050" w:rsidRDefault="002337F9" w:rsidP="0026218C">
            <w:pPr>
              <w:spacing w:before="20" w:after="20"/>
              <w:jc w:val="right"/>
              <w:rPr>
                <w:noProof/>
                <w:sz w:val="20"/>
              </w:rPr>
            </w:pPr>
          </w:p>
        </w:tc>
        <w:tc>
          <w:tcPr>
            <w:tcW w:w="868" w:type="dxa"/>
            <w:vAlign w:val="center"/>
          </w:tcPr>
          <w:p w14:paraId="4B6998EF" w14:textId="77777777" w:rsidR="002337F9" w:rsidRPr="00133050" w:rsidRDefault="002337F9" w:rsidP="0026218C">
            <w:pPr>
              <w:spacing w:before="20" w:after="20"/>
              <w:jc w:val="right"/>
              <w:rPr>
                <w:noProof/>
                <w:sz w:val="20"/>
              </w:rPr>
            </w:pPr>
          </w:p>
        </w:tc>
        <w:tc>
          <w:tcPr>
            <w:tcW w:w="868" w:type="dxa"/>
            <w:vAlign w:val="center"/>
          </w:tcPr>
          <w:p w14:paraId="2D1CEC7B" w14:textId="77777777" w:rsidR="002337F9" w:rsidRPr="00133050" w:rsidRDefault="002337F9" w:rsidP="0026218C">
            <w:pPr>
              <w:spacing w:before="20" w:after="20"/>
              <w:jc w:val="right"/>
              <w:rPr>
                <w:b/>
                <w:noProof/>
                <w:sz w:val="20"/>
              </w:rPr>
            </w:pPr>
          </w:p>
        </w:tc>
        <w:tc>
          <w:tcPr>
            <w:tcW w:w="1777" w:type="dxa"/>
            <w:vAlign w:val="center"/>
          </w:tcPr>
          <w:p w14:paraId="49A8F47D" w14:textId="77777777" w:rsidR="002337F9" w:rsidRPr="00133050" w:rsidRDefault="002337F9" w:rsidP="0026218C">
            <w:pPr>
              <w:spacing w:before="20" w:after="20"/>
              <w:jc w:val="center"/>
              <w:rPr>
                <w:b/>
                <w:noProof/>
                <w:sz w:val="20"/>
              </w:rPr>
            </w:pPr>
            <w:r w:rsidRPr="00133050">
              <w:rPr>
                <w:b/>
                <w:noProof/>
                <w:sz w:val="20"/>
              </w:rPr>
              <w:t xml:space="preserve">0,356 </w:t>
            </w:r>
          </w:p>
        </w:tc>
      </w:tr>
      <w:tr w:rsidR="002337F9" w:rsidRPr="00133050" w14:paraId="2393C8E6" w14:textId="77777777" w:rsidTr="0026218C">
        <w:trPr>
          <w:trHeight w:val="351"/>
        </w:trPr>
        <w:tc>
          <w:tcPr>
            <w:tcW w:w="6172" w:type="dxa"/>
            <w:gridSpan w:val="3"/>
            <w:vAlign w:val="center"/>
          </w:tcPr>
          <w:p w14:paraId="42FD837C" w14:textId="77777777" w:rsidR="002337F9" w:rsidRPr="00133050" w:rsidRDefault="002337F9" w:rsidP="0026218C">
            <w:pPr>
              <w:spacing w:before="20" w:after="20"/>
              <w:rPr>
                <w:noProof/>
              </w:rPr>
            </w:pPr>
            <w:r w:rsidRPr="00133050">
              <w:rPr>
                <w:noProof/>
              </w:rPr>
              <w:sym w:font="Wingdings" w:char="F09F"/>
            </w:r>
            <w:r w:rsidRPr="00133050">
              <w:rPr>
                <w:noProof/>
              </w:rPr>
              <w:t> Други административни разходи</w:t>
            </w:r>
          </w:p>
        </w:tc>
        <w:tc>
          <w:tcPr>
            <w:tcW w:w="750" w:type="dxa"/>
            <w:vAlign w:val="center"/>
          </w:tcPr>
          <w:p w14:paraId="12A9F6E7" w14:textId="77777777" w:rsidR="002337F9" w:rsidRPr="00133050" w:rsidRDefault="002337F9" w:rsidP="0026218C">
            <w:pPr>
              <w:spacing w:before="20" w:after="20"/>
              <w:jc w:val="center"/>
              <w:rPr>
                <w:noProof/>
                <w:sz w:val="20"/>
              </w:rPr>
            </w:pPr>
          </w:p>
        </w:tc>
        <w:tc>
          <w:tcPr>
            <w:tcW w:w="868" w:type="dxa"/>
            <w:vAlign w:val="center"/>
          </w:tcPr>
          <w:p w14:paraId="1D71C101" w14:textId="77777777" w:rsidR="002337F9" w:rsidRPr="00133050" w:rsidRDefault="002337F9" w:rsidP="0026218C">
            <w:pPr>
              <w:spacing w:before="20" w:after="20"/>
              <w:jc w:val="center"/>
              <w:rPr>
                <w:noProof/>
                <w:sz w:val="20"/>
              </w:rPr>
            </w:pPr>
          </w:p>
        </w:tc>
        <w:tc>
          <w:tcPr>
            <w:tcW w:w="868" w:type="dxa"/>
            <w:vAlign w:val="center"/>
          </w:tcPr>
          <w:p w14:paraId="300608F9" w14:textId="77777777" w:rsidR="002337F9" w:rsidRPr="00133050" w:rsidRDefault="002337F9" w:rsidP="0026218C">
            <w:pPr>
              <w:spacing w:before="20" w:after="20"/>
              <w:jc w:val="right"/>
              <w:rPr>
                <w:noProof/>
                <w:sz w:val="20"/>
              </w:rPr>
            </w:pPr>
          </w:p>
        </w:tc>
        <w:tc>
          <w:tcPr>
            <w:tcW w:w="868" w:type="dxa"/>
            <w:vAlign w:val="center"/>
          </w:tcPr>
          <w:p w14:paraId="7293087A" w14:textId="77777777" w:rsidR="002337F9" w:rsidRPr="00133050" w:rsidRDefault="002337F9" w:rsidP="0026218C">
            <w:pPr>
              <w:spacing w:before="20" w:after="20"/>
              <w:jc w:val="right"/>
              <w:rPr>
                <w:noProof/>
                <w:sz w:val="20"/>
              </w:rPr>
            </w:pPr>
          </w:p>
        </w:tc>
        <w:tc>
          <w:tcPr>
            <w:tcW w:w="868" w:type="dxa"/>
            <w:vAlign w:val="center"/>
          </w:tcPr>
          <w:p w14:paraId="0DB9303A" w14:textId="77777777" w:rsidR="002337F9" w:rsidRPr="00133050" w:rsidRDefault="002337F9" w:rsidP="0026218C">
            <w:pPr>
              <w:spacing w:before="20" w:after="20"/>
              <w:jc w:val="right"/>
              <w:rPr>
                <w:noProof/>
                <w:sz w:val="20"/>
              </w:rPr>
            </w:pPr>
          </w:p>
        </w:tc>
        <w:tc>
          <w:tcPr>
            <w:tcW w:w="868" w:type="dxa"/>
            <w:vAlign w:val="center"/>
          </w:tcPr>
          <w:p w14:paraId="147BD6F2" w14:textId="77777777" w:rsidR="002337F9" w:rsidRPr="00133050" w:rsidRDefault="002337F9" w:rsidP="0026218C">
            <w:pPr>
              <w:spacing w:before="20" w:after="20"/>
              <w:jc w:val="right"/>
              <w:rPr>
                <w:noProof/>
                <w:sz w:val="20"/>
              </w:rPr>
            </w:pPr>
          </w:p>
        </w:tc>
        <w:tc>
          <w:tcPr>
            <w:tcW w:w="868" w:type="dxa"/>
            <w:vAlign w:val="center"/>
          </w:tcPr>
          <w:p w14:paraId="6DF1CC64" w14:textId="77777777" w:rsidR="002337F9" w:rsidRPr="00133050" w:rsidRDefault="002337F9" w:rsidP="0026218C">
            <w:pPr>
              <w:spacing w:before="20" w:after="20"/>
              <w:jc w:val="right"/>
              <w:rPr>
                <w:noProof/>
                <w:sz w:val="20"/>
              </w:rPr>
            </w:pPr>
          </w:p>
        </w:tc>
        <w:tc>
          <w:tcPr>
            <w:tcW w:w="1777" w:type="dxa"/>
            <w:vAlign w:val="center"/>
          </w:tcPr>
          <w:p w14:paraId="703B074B" w14:textId="77777777" w:rsidR="002337F9" w:rsidRPr="00133050" w:rsidRDefault="002337F9" w:rsidP="0026218C">
            <w:pPr>
              <w:spacing w:before="20" w:after="20"/>
              <w:jc w:val="right"/>
              <w:rPr>
                <w:b/>
                <w:noProof/>
                <w:sz w:val="20"/>
              </w:rPr>
            </w:pPr>
          </w:p>
        </w:tc>
      </w:tr>
      <w:tr w:rsidR="002337F9" w:rsidRPr="00133050" w14:paraId="658DC5C0" w14:textId="77777777" w:rsidTr="0026218C">
        <w:tc>
          <w:tcPr>
            <w:tcW w:w="3960" w:type="dxa"/>
            <w:vAlign w:val="center"/>
          </w:tcPr>
          <w:p w14:paraId="778EF4BF" w14:textId="77777777" w:rsidR="002337F9" w:rsidRPr="00133050" w:rsidRDefault="002337F9" w:rsidP="0026218C">
            <w:pPr>
              <w:jc w:val="center"/>
              <w:rPr>
                <w:b/>
                <w:noProof/>
              </w:rPr>
            </w:pPr>
            <w:r w:rsidRPr="00133050">
              <w:rPr>
                <w:b/>
                <w:noProof/>
              </w:rPr>
              <w:t xml:space="preserve">ОБЩО </w:t>
            </w:r>
          </w:p>
        </w:tc>
        <w:tc>
          <w:tcPr>
            <w:tcW w:w="2212" w:type="dxa"/>
            <w:gridSpan w:val="2"/>
            <w:vAlign w:val="center"/>
          </w:tcPr>
          <w:p w14:paraId="42503162" w14:textId="77777777" w:rsidR="002337F9" w:rsidRPr="00133050" w:rsidRDefault="002337F9" w:rsidP="0026218C">
            <w:pPr>
              <w:rPr>
                <w:noProof/>
                <w:sz w:val="14"/>
              </w:rPr>
            </w:pPr>
            <w:r w:rsidRPr="00133050">
              <w:rPr>
                <w:noProof/>
                <w:sz w:val="18"/>
              </w:rPr>
              <w:t xml:space="preserve">Бюджетни кредити </w:t>
            </w:r>
          </w:p>
        </w:tc>
        <w:tc>
          <w:tcPr>
            <w:tcW w:w="750" w:type="dxa"/>
            <w:vAlign w:val="center"/>
          </w:tcPr>
          <w:p w14:paraId="198348F5" w14:textId="77777777" w:rsidR="002337F9" w:rsidRPr="00133050" w:rsidRDefault="002337F9" w:rsidP="0026218C">
            <w:pPr>
              <w:spacing w:before="60" w:after="60"/>
              <w:jc w:val="center"/>
              <w:rPr>
                <w:noProof/>
                <w:sz w:val="20"/>
              </w:rPr>
            </w:pPr>
            <w:r w:rsidRPr="00133050">
              <w:rPr>
                <w:noProof/>
                <w:sz w:val="20"/>
              </w:rPr>
              <w:t>0,178</w:t>
            </w:r>
          </w:p>
        </w:tc>
        <w:tc>
          <w:tcPr>
            <w:tcW w:w="868" w:type="dxa"/>
            <w:vAlign w:val="center"/>
          </w:tcPr>
          <w:p w14:paraId="5C929600" w14:textId="77777777" w:rsidR="002337F9" w:rsidRPr="00133050" w:rsidRDefault="002337F9" w:rsidP="0026218C">
            <w:pPr>
              <w:spacing w:before="20" w:after="20"/>
              <w:jc w:val="center"/>
              <w:rPr>
                <w:noProof/>
                <w:sz w:val="20"/>
              </w:rPr>
            </w:pPr>
            <w:r w:rsidRPr="00133050">
              <w:rPr>
                <w:noProof/>
                <w:sz w:val="20"/>
              </w:rPr>
              <w:t>0,178</w:t>
            </w:r>
          </w:p>
        </w:tc>
        <w:tc>
          <w:tcPr>
            <w:tcW w:w="868" w:type="dxa"/>
            <w:vAlign w:val="center"/>
          </w:tcPr>
          <w:p w14:paraId="7E916446" w14:textId="77777777" w:rsidR="002337F9" w:rsidRPr="00133050" w:rsidRDefault="002337F9" w:rsidP="0026218C">
            <w:pPr>
              <w:spacing w:before="20" w:after="20"/>
              <w:jc w:val="right"/>
              <w:rPr>
                <w:noProof/>
                <w:sz w:val="20"/>
              </w:rPr>
            </w:pPr>
          </w:p>
        </w:tc>
        <w:tc>
          <w:tcPr>
            <w:tcW w:w="868" w:type="dxa"/>
            <w:vAlign w:val="center"/>
          </w:tcPr>
          <w:p w14:paraId="2AC0CF50" w14:textId="77777777" w:rsidR="002337F9" w:rsidRPr="00133050" w:rsidRDefault="002337F9" w:rsidP="0026218C">
            <w:pPr>
              <w:spacing w:before="20" w:after="20"/>
              <w:jc w:val="right"/>
              <w:rPr>
                <w:noProof/>
                <w:sz w:val="20"/>
              </w:rPr>
            </w:pPr>
          </w:p>
        </w:tc>
        <w:tc>
          <w:tcPr>
            <w:tcW w:w="868" w:type="dxa"/>
            <w:vAlign w:val="center"/>
          </w:tcPr>
          <w:p w14:paraId="41DDE988" w14:textId="77777777" w:rsidR="002337F9" w:rsidRPr="00133050" w:rsidRDefault="002337F9" w:rsidP="0026218C">
            <w:pPr>
              <w:spacing w:before="20" w:after="20"/>
              <w:jc w:val="right"/>
              <w:rPr>
                <w:noProof/>
                <w:sz w:val="20"/>
              </w:rPr>
            </w:pPr>
          </w:p>
        </w:tc>
        <w:tc>
          <w:tcPr>
            <w:tcW w:w="868" w:type="dxa"/>
            <w:vAlign w:val="center"/>
          </w:tcPr>
          <w:p w14:paraId="7954EC75" w14:textId="77777777" w:rsidR="002337F9" w:rsidRPr="00133050" w:rsidRDefault="002337F9" w:rsidP="0026218C">
            <w:pPr>
              <w:spacing w:before="20" w:after="20"/>
              <w:jc w:val="right"/>
              <w:rPr>
                <w:noProof/>
                <w:sz w:val="20"/>
              </w:rPr>
            </w:pPr>
          </w:p>
        </w:tc>
        <w:tc>
          <w:tcPr>
            <w:tcW w:w="868" w:type="dxa"/>
            <w:vAlign w:val="center"/>
          </w:tcPr>
          <w:p w14:paraId="4A002D7A" w14:textId="77777777" w:rsidR="002337F9" w:rsidRPr="00133050" w:rsidRDefault="002337F9" w:rsidP="0026218C">
            <w:pPr>
              <w:spacing w:before="20" w:after="20"/>
              <w:jc w:val="right"/>
              <w:rPr>
                <w:noProof/>
                <w:sz w:val="20"/>
              </w:rPr>
            </w:pPr>
          </w:p>
        </w:tc>
        <w:tc>
          <w:tcPr>
            <w:tcW w:w="1777" w:type="dxa"/>
            <w:vAlign w:val="center"/>
          </w:tcPr>
          <w:p w14:paraId="03DD8D98" w14:textId="77777777" w:rsidR="002337F9" w:rsidRPr="00133050" w:rsidRDefault="002337F9" w:rsidP="0026218C">
            <w:pPr>
              <w:spacing w:before="20" w:after="20"/>
              <w:jc w:val="center"/>
              <w:rPr>
                <w:b/>
                <w:noProof/>
                <w:sz w:val="20"/>
              </w:rPr>
            </w:pPr>
            <w:r w:rsidRPr="00133050">
              <w:rPr>
                <w:b/>
                <w:noProof/>
                <w:sz w:val="20"/>
              </w:rPr>
              <w:t xml:space="preserve">0,356 </w:t>
            </w:r>
          </w:p>
        </w:tc>
      </w:tr>
    </w:tbl>
    <w:p w14:paraId="0AE8462C" w14:textId="77777777" w:rsidR="002337F9" w:rsidRPr="00133050" w:rsidRDefault="002337F9" w:rsidP="002337F9">
      <w:pPr>
        <w:rPr>
          <w:noProof/>
        </w:rPr>
      </w:pPr>
    </w:p>
    <w:tbl>
      <w:tblPr>
        <w:tblW w:w="1390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652"/>
        <w:gridCol w:w="750"/>
        <w:gridCol w:w="868"/>
        <w:gridCol w:w="868"/>
        <w:gridCol w:w="868"/>
        <w:gridCol w:w="868"/>
        <w:gridCol w:w="868"/>
        <w:gridCol w:w="868"/>
        <w:gridCol w:w="1777"/>
      </w:tblGrid>
      <w:tr w:rsidR="002337F9" w:rsidRPr="00133050" w14:paraId="3B9525A2" w14:textId="77777777" w:rsidTr="0026218C">
        <w:tc>
          <w:tcPr>
            <w:tcW w:w="3960" w:type="dxa"/>
            <w:tcBorders>
              <w:top w:val="nil"/>
              <w:left w:val="nil"/>
              <w:right w:val="nil"/>
            </w:tcBorders>
            <w:vAlign w:val="center"/>
          </w:tcPr>
          <w:p w14:paraId="0BD8BD49" w14:textId="77777777" w:rsidR="002337F9" w:rsidRPr="00133050" w:rsidRDefault="002337F9" w:rsidP="0026218C">
            <w:pPr>
              <w:jc w:val="center"/>
              <w:rPr>
                <w:noProof/>
              </w:rPr>
            </w:pPr>
          </w:p>
        </w:tc>
        <w:tc>
          <w:tcPr>
            <w:tcW w:w="1560" w:type="dxa"/>
            <w:tcBorders>
              <w:top w:val="nil"/>
              <w:left w:val="nil"/>
              <w:right w:val="nil"/>
            </w:tcBorders>
          </w:tcPr>
          <w:p w14:paraId="14E24EF2" w14:textId="77777777" w:rsidR="002337F9" w:rsidRPr="00133050" w:rsidRDefault="002337F9" w:rsidP="0026218C">
            <w:pPr>
              <w:rPr>
                <w:noProof/>
                <w:sz w:val="20"/>
              </w:rPr>
            </w:pPr>
          </w:p>
        </w:tc>
        <w:tc>
          <w:tcPr>
            <w:tcW w:w="652" w:type="dxa"/>
            <w:tcBorders>
              <w:top w:val="nil"/>
              <w:left w:val="nil"/>
            </w:tcBorders>
          </w:tcPr>
          <w:p w14:paraId="48FB60F2" w14:textId="77777777" w:rsidR="002337F9" w:rsidRPr="00133050" w:rsidRDefault="002337F9" w:rsidP="0026218C">
            <w:pPr>
              <w:jc w:val="center"/>
              <w:rPr>
                <w:noProof/>
                <w:sz w:val="20"/>
              </w:rPr>
            </w:pPr>
          </w:p>
        </w:tc>
        <w:tc>
          <w:tcPr>
            <w:tcW w:w="750" w:type="dxa"/>
            <w:vAlign w:val="center"/>
          </w:tcPr>
          <w:p w14:paraId="6EC3053E" w14:textId="77777777" w:rsidR="002337F9" w:rsidRPr="00133050" w:rsidRDefault="002337F9" w:rsidP="0026218C">
            <w:pPr>
              <w:jc w:val="center"/>
              <w:rPr>
                <w:noProof/>
                <w:sz w:val="20"/>
              </w:rPr>
            </w:pPr>
            <w:r w:rsidRPr="00133050">
              <w:rPr>
                <w:b/>
                <w:noProof/>
                <w:sz w:val="20"/>
              </w:rPr>
              <w:t>2026 г.</w:t>
            </w:r>
          </w:p>
        </w:tc>
        <w:tc>
          <w:tcPr>
            <w:tcW w:w="868" w:type="dxa"/>
            <w:vAlign w:val="center"/>
          </w:tcPr>
          <w:p w14:paraId="4AAD19DA" w14:textId="77777777" w:rsidR="002337F9" w:rsidRPr="00133050" w:rsidRDefault="002337F9" w:rsidP="0026218C">
            <w:pPr>
              <w:jc w:val="center"/>
              <w:rPr>
                <w:noProof/>
                <w:sz w:val="20"/>
              </w:rPr>
            </w:pPr>
            <w:r w:rsidRPr="00133050">
              <w:rPr>
                <w:b/>
                <w:noProof/>
                <w:sz w:val="20"/>
              </w:rPr>
              <w:t>2027 г.</w:t>
            </w:r>
          </w:p>
        </w:tc>
        <w:tc>
          <w:tcPr>
            <w:tcW w:w="868" w:type="dxa"/>
            <w:vAlign w:val="center"/>
          </w:tcPr>
          <w:p w14:paraId="6DC5A39F" w14:textId="77777777" w:rsidR="002337F9" w:rsidRPr="00133050" w:rsidRDefault="002337F9" w:rsidP="0026218C">
            <w:pPr>
              <w:jc w:val="center"/>
              <w:rPr>
                <w:noProof/>
                <w:sz w:val="20"/>
              </w:rPr>
            </w:pPr>
          </w:p>
        </w:tc>
        <w:tc>
          <w:tcPr>
            <w:tcW w:w="868" w:type="dxa"/>
            <w:vAlign w:val="center"/>
          </w:tcPr>
          <w:p w14:paraId="52230C63" w14:textId="77777777" w:rsidR="002337F9" w:rsidRPr="00133050" w:rsidRDefault="002337F9" w:rsidP="0026218C">
            <w:pPr>
              <w:jc w:val="center"/>
              <w:rPr>
                <w:noProof/>
                <w:sz w:val="20"/>
              </w:rPr>
            </w:pPr>
          </w:p>
        </w:tc>
        <w:tc>
          <w:tcPr>
            <w:tcW w:w="868" w:type="dxa"/>
            <w:vAlign w:val="center"/>
          </w:tcPr>
          <w:p w14:paraId="259F1519" w14:textId="77777777" w:rsidR="002337F9" w:rsidRPr="00133050" w:rsidRDefault="002337F9" w:rsidP="0026218C">
            <w:pPr>
              <w:jc w:val="center"/>
              <w:rPr>
                <w:b/>
                <w:noProof/>
                <w:sz w:val="18"/>
              </w:rPr>
            </w:pPr>
          </w:p>
        </w:tc>
        <w:tc>
          <w:tcPr>
            <w:tcW w:w="868" w:type="dxa"/>
            <w:vAlign w:val="center"/>
          </w:tcPr>
          <w:p w14:paraId="62F91F78" w14:textId="77777777" w:rsidR="002337F9" w:rsidRPr="00133050" w:rsidRDefault="002337F9" w:rsidP="0026218C">
            <w:pPr>
              <w:jc w:val="center"/>
              <w:rPr>
                <w:b/>
                <w:noProof/>
                <w:sz w:val="18"/>
              </w:rPr>
            </w:pPr>
          </w:p>
        </w:tc>
        <w:tc>
          <w:tcPr>
            <w:tcW w:w="868" w:type="dxa"/>
            <w:vAlign w:val="center"/>
          </w:tcPr>
          <w:p w14:paraId="0A393210" w14:textId="77777777" w:rsidR="002337F9" w:rsidRPr="00133050" w:rsidRDefault="002337F9" w:rsidP="0026218C">
            <w:pPr>
              <w:jc w:val="center"/>
              <w:rPr>
                <w:b/>
                <w:noProof/>
                <w:sz w:val="18"/>
              </w:rPr>
            </w:pPr>
          </w:p>
        </w:tc>
        <w:tc>
          <w:tcPr>
            <w:tcW w:w="1777" w:type="dxa"/>
            <w:vAlign w:val="center"/>
          </w:tcPr>
          <w:p w14:paraId="4F423FC4" w14:textId="77777777" w:rsidR="002337F9" w:rsidRPr="00133050" w:rsidRDefault="002337F9" w:rsidP="0026218C">
            <w:pPr>
              <w:jc w:val="center"/>
              <w:rPr>
                <w:b/>
                <w:noProof/>
                <w:sz w:val="20"/>
              </w:rPr>
            </w:pPr>
            <w:r w:rsidRPr="00133050">
              <w:rPr>
                <w:b/>
                <w:noProof/>
                <w:sz w:val="20"/>
              </w:rPr>
              <w:t>ОБЩО</w:t>
            </w:r>
          </w:p>
        </w:tc>
      </w:tr>
      <w:tr w:rsidR="002337F9" w:rsidRPr="00133050" w14:paraId="453879C5" w14:textId="77777777" w:rsidTr="0026218C">
        <w:trPr>
          <w:gridAfter w:val="8"/>
          <w:wAfter w:w="7735" w:type="dxa"/>
        </w:trPr>
        <w:tc>
          <w:tcPr>
            <w:tcW w:w="3960" w:type="dxa"/>
            <w:vAlign w:val="center"/>
          </w:tcPr>
          <w:p w14:paraId="63D1931D" w14:textId="77777777" w:rsidR="002337F9" w:rsidRPr="00133050" w:rsidRDefault="002337F9" w:rsidP="0026218C">
            <w:pPr>
              <w:spacing w:before="60" w:after="60"/>
              <w:jc w:val="center"/>
              <w:rPr>
                <w:noProof/>
              </w:rPr>
            </w:pPr>
            <w:r w:rsidRPr="00133050">
              <w:rPr>
                <w:noProof/>
              </w:rPr>
              <w:t>ГД СИЦ</w:t>
            </w:r>
          </w:p>
        </w:tc>
        <w:tc>
          <w:tcPr>
            <w:tcW w:w="2212" w:type="dxa"/>
            <w:gridSpan w:val="2"/>
          </w:tcPr>
          <w:p w14:paraId="7A05A283" w14:textId="77777777" w:rsidR="002337F9" w:rsidRPr="00133050" w:rsidRDefault="002337F9" w:rsidP="0026218C">
            <w:pPr>
              <w:spacing w:before="60" w:after="60"/>
              <w:jc w:val="center"/>
              <w:rPr>
                <w:noProof/>
              </w:rPr>
            </w:pPr>
          </w:p>
        </w:tc>
      </w:tr>
      <w:tr w:rsidR="002337F9" w:rsidRPr="00133050" w14:paraId="4E4F4919" w14:textId="77777777" w:rsidTr="0026218C">
        <w:trPr>
          <w:trHeight w:val="313"/>
        </w:trPr>
        <w:tc>
          <w:tcPr>
            <w:tcW w:w="6172" w:type="dxa"/>
            <w:gridSpan w:val="3"/>
            <w:vAlign w:val="center"/>
          </w:tcPr>
          <w:p w14:paraId="22A44FE9" w14:textId="77777777" w:rsidR="002337F9" w:rsidRPr="00133050" w:rsidRDefault="002337F9" w:rsidP="0026218C">
            <w:pPr>
              <w:spacing w:before="20" w:after="20"/>
              <w:rPr>
                <w:noProof/>
              </w:rPr>
            </w:pPr>
            <w:r w:rsidRPr="00133050">
              <w:rPr>
                <w:noProof/>
              </w:rPr>
              <w:sym w:font="Wingdings" w:char="F09F"/>
            </w:r>
            <w:r w:rsidRPr="00133050">
              <w:rPr>
                <w:noProof/>
              </w:rPr>
              <w:t xml:space="preserve"> Човешки ресурси </w:t>
            </w:r>
          </w:p>
        </w:tc>
        <w:tc>
          <w:tcPr>
            <w:tcW w:w="750" w:type="dxa"/>
            <w:vAlign w:val="center"/>
          </w:tcPr>
          <w:p w14:paraId="149A7337" w14:textId="77777777" w:rsidR="002337F9" w:rsidRPr="00133050" w:rsidRDefault="002337F9" w:rsidP="0026218C">
            <w:pPr>
              <w:spacing w:before="20" w:after="20"/>
              <w:jc w:val="center"/>
              <w:rPr>
                <w:noProof/>
                <w:sz w:val="20"/>
              </w:rPr>
            </w:pPr>
            <w:r w:rsidRPr="00133050">
              <w:rPr>
                <w:noProof/>
                <w:sz w:val="20"/>
              </w:rPr>
              <w:t>0,178</w:t>
            </w:r>
          </w:p>
        </w:tc>
        <w:tc>
          <w:tcPr>
            <w:tcW w:w="868" w:type="dxa"/>
            <w:vAlign w:val="center"/>
          </w:tcPr>
          <w:p w14:paraId="0442C918" w14:textId="77777777" w:rsidR="002337F9" w:rsidRPr="00133050" w:rsidRDefault="002337F9" w:rsidP="0026218C">
            <w:pPr>
              <w:spacing w:before="20" w:after="20"/>
              <w:jc w:val="center"/>
              <w:rPr>
                <w:noProof/>
                <w:sz w:val="20"/>
              </w:rPr>
            </w:pPr>
            <w:r w:rsidRPr="00133050">
              <w:rPr>
                <w:noProof/>
                <w:sz w:val="20"/>
              </w:rPr>
              <w:t>0,178</w:t>
            </w:r>
          </w:p>
        </w:tc>
        <w:tc>
          <w:tcPr>
            <w:tcW w:w="868" w:type="dxa"/>
            <w:vAlign w:val="center"/>
          </w:tcPr>
          <w:p w14:paraId="11295578" w14:textId="77777777" w:rsidR="002337F9" w:rsidRPr="00133050" w:rsidRDefault="002337F9" w:rsidP="0026218C">
            <w:pPr>
              <w:spacing w:before="20" w:after="20"/>
              <w:jc w:val="right"/>
              <w:rPr>
                <w:noProof/>
                <w:sz w:val="20"/>
              </w:rPr>
            </w:pPr>
          </w:p>
        </w:tc>
        <w:tc>
          <w:tcPr>
            <w:tcW w:w="868" w:type="dxa"/>
            <w:vAlign w:val="center"/>
          </w:tcPr>
          <w:p w14:paraId="79C09576" w14:textId="77777777" w:rsidR="002337F9" w:rsidRPr="00133050" w:rsidRDefault="002337F9" w:rsidP="0026218C">
            <w:pPr>
              <w:spacing w:before="20" w:after="20"/>
              <w:jc w:val="right"/>
              <w:rPr>
                <w:noProof/>
                <w:sz w:val="20"/>
              </w:rPr>
            </w:pPr>
          </w:p>
        </w:tc>
        <w:tc>
          <w:tcPr>
            <w:tcW w:w="868" w:type="dxa"/>
            <w:vAlign w:val="center"/>
          </w:tcPr>
          <w:p w14:paraId="6C32CAE6" w14:textId="77777777" w:rsidR="002337F9" w:rsidRPr="00133050" w:rsidRDefault="002337F9" w:rsidP="0026218C">
            <w:pPr>
              <w:spacing w:before="20" w:after="20"/>
              <w:jc w:val="right"/>
              <w:rPr>
                <w:noProof/>
                <w:sz w:val="20"/>
              </w:rPr>
            </w:pPr>
          </w:p>
        </w:tc>
        <w:tc>
          <w:tcPr>
            <w:tcW w:w="868" w:type="dxa"/>
            <w:vAlign w:val="center"/>
          </w:tcPr>
          <w:p w14:paraId="739EBD48" w14:textId="77777777" w:rsidR="002337F9" w:rsidRPr="00133050" w:rsidRDefault="002337F9" w:rsidP="0026218C">
            <w:pPr>
              <w:spacing w:before="20" w:after="20"/>
              <w:jc w:val="right"/>
              <w:rPr>
                <w:noProof/>
                <w:sz w:val="20"/>
              </w:rPr>
            </w:pPr>
          </w:p>
        </w:tc>
        <w:tc>
          <w:tcPr>
            <w:tcW w:w="868" w:type="dxa"/>
            <w:vAlign w:val="center"/>
          </w:tcPr>
          <w:p w14:paraId="2BD06A5E" w14:textId="77777777" w:rsidR="002337F9" w:rsidRPr="00133050" w:rsidRDefault="002337F9" w:rsidP="0026218C">
            <w:pPr>
              <w:spacing w:before="20" w:after="20"/>
              <w:jc w:val="right"/>
              <w:rPr>
                <w:b/>
                <w:noProof/>
                <w:sz w:val="20"/>
              </w:rPr>
            </w:pPr>
          </w:p>
        </w:tc>
        <w:tc>
          <w:tcPr>
            <w:tcW w:w="1777" w:type="dxa"/>
            <w:vAlign w:val="center"/>
          </w:tcPr>
          <w:p w14:paraId="758D71AF" w14:textId="77777777" w:rsidR="002337F9" w:rsidRPr="00133050" w:rsidRDefault="002337F9" w:rsidP="0026218C">
            <w:pPr>
              <w:spacing w:before="20" w:after="20"/>
              <w:jc w:val="center"/>
              <w:rPr>
                <w:b/>
                <w:noProof/>
                <w:sz w:val="20"/>
              </w:rPr>
            </w:pPr>
            <w:r w:rsidRPr="00133050">
              <w:rPr>
                <w:b/>
                <w:noProof/>
                <w:sz w:val="20"/>
              </w:rPr>
              <w:t xml:space="preserve">0,356 </w:t>
            </w:r>
          </w:p>
        </w:tc>
      </w:tr>
      <w:tr w:rsidR="002337F9" w:rsidRPr="00133050" w14:paraId="096D979A" w14:textId="77777777" w:rsidTr="0026218C">
        <w:trPr>
          <w:trHeight w:val="351"/>
        </w:trPr>
        <w:tc>
          <w:tcPr>
            <w:tcW w:w="6172" w:type="dxa"/>
            <w:gridSpan w:val="3"/>
            <w:vAlign w:val="center"/>
          </w:tcPr>
          <w:p w14:paraId="52B42E1B" w14:textId="77777777" w:rsidR="002337F9" w:rsidRPr="00133050" w:rsidRDefault="002337F9" w:rsidP="0026218C">
            <w:pPr>
              <w:spacing w:before="20" w:after="20"/>
              <w:rPr>
                <w:noProof/>
              </w:rPr>
            </w:pPr>
            <w:r w:rsidRPr="00133050">
              <w:rPr>
                <w:noProof/>
              </w:rPr>
              <w:sym w:font="Wingdings" w:char="F09F"/>
            </w:r>
            <w:r w:rsidRPr="00133050">
              <w:rPr>
                <w:noProof/>
              </w:rPr>
              <w:t> Други административни разходи</w:t>
            </w:r>
          </w:p>
        </w:tc>
        <w:tc>
          <w:tcPr>
            <w:tcW w:w="750" w:type="dxa"/>
            <w:vAlign w:val="center"/>
          </w:tcPr>
          <w:p w14:paraId="65599C78" w14:textId="77777777" w:rsidR="002337F9" w:rsidRPr="00133050" w:rsidRDefault="002337F9" w:rsidP="0026218C">
            <w:pPr>
              <w:spacing w:before="20" w:after="20"/>
              <w:jc w:val="center"/>
              <w:rPr>
                <w:noProof/>
                <w:sz w:val="20"/>
              </w:rPr>
            </w:pPr>
          </w:p>
        </w:tc>
        <w:tc>
          <w:tcPr>
            <w:tcW w:w="868" w:type="dxa"/>
            <w:vAlign w:val="center"/>
          </w:tcPr>
          <w:p w14:paraId="39D49F8E" w14:textId="77777777" w:rsidR="002337F9" w:rsidRPr="00133050" w:rsidRDefault="002337F9" w:rsidP="0026218C">
            <w:pPr>
              <w:spacing w:before="20" w:after="20"/>
              <w:jc w:val="center"/>
              <w:rPr>
                <w:noProof/>
                <w:sz w:val="20"/>
              </w:rPr>
            </w:pPr>
          </w:p>
        </w:tc>
        <w:tc>
          <w:tcPr>
            <w:tcW w:w="868" w:type="dxa"/>
            <w:vAlign w:val="center"/>
          </w:tcPr>
          <w:p w14:paraId="2CF9DD02" w14:textId="77777777" w:rsidR="002337F9" w:rsidRPr="00133050" w:rsidRDefault="002337F9" w:rsidP="0026218C">
            <w:pPr>
              <w:spacing w:before="20" w:after="20"/>
              <w:jc w:val="right"/>
              <w:rPr>
                <w:noProof/>
                <w:sz w:val="20"/>
              </w:rPr>
            </w:pPr>
          </w:p>
        </w:tc>
        <w:tc>
          <w:tcPr>
            <w:tcW w:w="868" w:type="dxa"/>
            <w:vAlign w:val="center"/>
          </w:tcPr>
          <w:p w14:paraId="08A06814" w14:textId="77777777" w:rsidR="002337F9" w:rsidRPr="00133050" w:rsidRDefault="002337F9" w:rsidP="0026218C">
            <w:pPr>
              <w:spacing w:before="20" w:after="20"/>
              <w:jc w:val="right"/>
              <w:rPr>
                <w:noProof/>
                <w:sz w:val="20"/>
              </w:rPr>
            </w:pPr>
          </w:p>
        </w:tc>
        <w:tc>
          <w:tcPr>
            <w:tcW w:w="868" w:type="dxa"/>
            <w:vAlign w:val="center"/>
          </w:tcPr>
          <w:p w14:paraId="0CC56C49" w14:textId="77777777" w:rsidR="002337F9" w:rsidRPr="00133050" w:rsidRDefault="002337F9" w:rsidP="0026218C">
            <w:pPr>
              <w:spacing w:before="20" w:after="20"/>
              <w:jc w:val="right"/>
              <w:rPr>
                <w:noProof/>
                <w:sz w:val="20"/>
              </w:rPr>
            </w:pPr>
          </w:p>
        </w:tc>
        <w:tc>
          <w:tcPr>
            <w:tcW w:w="868" w:type="dxa"/>
            <w:vAlign w:val="center"/>
          </w:tcPr>
          <w:p w14:paraId="0CD7D5A9" w14:textId="77777777" w:rsidR="002337F9" w:rsidRPr="00133050" w:rsidRDefault="002337F9" w:rsidP="0026218C">
            <w:pPr>
              <w:spacing w:before="20" w:after="20"/>
              <w:jc w:val="right"/>
              <w:rPr>
                <w:noProof/>
                <w:sz w:val="20"/>
              </w:rPr>
            </w:pPr>
          </w:p>
        </w:tc>
        <w:tc>
          <w:tcPr>
            <w:tcW w:w="868" w:type="dxa"/>
            <w:vAlign w:val="center"/>
          </w:tcPr>
          <w:p w14:paraId="4F2C5D28" w14:textId="77777777" w:rsidR="002337F9" w:rsidRPr="00133050" w:rsidRDefault="002337F9" w:rsidP="0026218C">
            <w:pPr>
              <w:spacing w:before="20" w:after="20"/>
              <w:jc w:val="right"/>
              <w:rPr>
                <w:noProof/>
                <w:sz w:val="20"/>
              </w:rPr>
            </w:pPr>
          </w:p>
        </w:tc>
        <w:tc>
          <w:tcPr>
            <w:tcW w:w="1777" w:type="dxa"/>
            <w:vAlign w:val="center"/>
          </w:tcPr>
          <w:p w14:paraId="73FE9A2D" w14:textId="77777777" w:rsidR="002337F9" w:rsidRPr="00133050" w:rsidRDefault="002337F9" w:rsidP="0026218C">
            <w:pPr>
              <w:spacing w:before="20" w:after="20"/>
              <w:jc w:val="right"/>
              <w:rPr>
                <w:b/>
                <w:noProof/>
                <w:sz w:val="20"/>
              </w:rPr>
            </w:pPr>
          </w:p>
        </w:tc>
      </w:tr>
      <w:tr w:rsidR="002337F9" w:rsidRPr="00133050" w14:paraId="6007ECFF" w14:textId="77777777" w:rsidTr="0026218C">
        <w:tc>
          <w:tcPr>
            <w:tcW w:w="3960" w:type="dxa"/>
            <w:vAlign w:val="center"/>
          </w:tcPr>
          <w:p w14:paraId="4C5DAE1C" w14:textId="77777777" w:rsidR="002337F9" w:rsidRPr="00133050" w:rsidRDefault="002337F9" w:rsidP="0026218C">
            <w:pPr>
              <w:jc w:val="center"/>
              <w:rPr>
                <w:b/>
                <w:noProof/>
              </w:rPr>
            </w:pPr>
            <w:r w:rsidRPr="00133050">
              <w:rPr>
                <w:b/>
                <w:noProof/>
              </w:rPr>
              <w:t xml:space="preserve">ОБЩО </w:t>
            </w:r>
          </w:p>
        </w:tc>
        <w:tc>
          <w:tcPr>
            <w:tcW w:w="2212" w:type="dxa"/>
            <w:gridSpan w:val="2"/>
            <w:vAlign w:val="center"/>
          </w:tcPr>
          <w:p w14:paraId="40ED46BB" w14:textId="77777777" w:rsidR="002337F9" w:rsidRPr="00133050" w:rsidRDefault="002337F9" w:rsidP="0026218C">
            <w:pPr>
              <w:rPr>
                <w:noProof/>
                <w:sz w:val="14"/>
              </w:rPr>
            </w:pPr>
            <w:r w:rsidRPr="00133050">
              <w:rPr>
                <w:noProof/>
                <w:sz w:val="18"/>
              </w:rPr>
              <w:t xml:space="preserve">Бюджетни кредити </w:t>
            </w:r>
          </w:p>
        </w:tc>
        <w:tc>
          <w:tcPr>
            <w:tcW w:w="750" w:type="dxa"/>
            <w:vAlign w:val="center"/>
          </w:tcPr>
          <w:p w14:paraId="69BF569D" w14:textId="77777777" w:rsidR="002337F9" w:rsidRPr="00133050" w:rsidRDefault="002337F9" w:rsidP="0026218C">
            <w:pPr>
              <w:spacing w:before="60" w:after="60"/>
              <w:jc w:val="center"/>
              <w:rPr>
                <w:noProof/>
                <w:sz w:val="20"/>
              </w:rPr>
            </w:pPr>
            <w:r w:rsidRPr="00133050">
              <w:rPr>
                <w:noProof/>
                <w:sz w:val="20"/>
              </w:rPr>
              <w:t>0,178</w:t>
            </w:r>
          </w:p>
        </w:tc>
        <w:tc>
          <w:tcPr>
            <w:tcW w:w="868" w:type="dxa"/>
            <w:vAlign w:val="center"/>
          </w:tcPr>
          <w:p w14:paraId="6C6AA757" w14:textId="77777777" w:rsidR="002337F9" w:rsidRPr="00133050" w:rsidRDefault="002337F9" w:rsidP="0026218C">
            <w:pPr>
              <w:spacing w:before="20" w:after="20"/>
              <w:jc w:val="center"/>
              <w:rPr>
                <w:noProof/>
                <w:sz w:val="20"/>
              </w:rPr>
            </w:pPr>
            <w:r w:rsidRPr="00133050">
              <w:rPr>
                <w:noProof/>
                <w:sz w:val="20"/>
              </w:rPr>
              <w:t>0,178</w:t>
            </w:r>
          </w:p>
        </w:tc>
        <w:tc>
          <w:tcPr>
            <w:tcW w:w="868" w:type="dxa"/>
            <w:vAlign w:val="center"/>
          </w:tcPr>
          <w:p w14:paraId="52A29A6F" w14:textId="77777777" w:rsidR="002337F9" w:rsidRPr="00133050" w:rsidRDefault="002337F9" w:rsidP="0026218C">
            <w:pPr>
              <w:spacing w:before="20" w:after="20"/>
              <w:jc w:val="right"/>
              <w:rPr>
                <w:noProof/>
                <w:sz w:val="20"/>
              </w:rPr>
            </w:pPr>
          </w:p>
        </w:tc>
        <w:tc>
          <w:tcPr>
            <w:tcW w:w="868" w:type="dxa"/>
            <w:vAlign w:val="center"/>
          </w:tcPr>
          <w:p w14:paraId="430B6878" w14:textId="77777777" w:rsidR="002337F9" w:rsidRPr="00133050" w:rsidRDefault="002337F9" w:rsidP="0026218C">
            <w:pPr>
              <w:spacing w:before="20" w:after="20"/>
              <w:jc w:val="right"/>
              <w:rPr>
                <w:noProof/>
                <w:sz w:val="20"/>
              </w:rPr>
            </w:pPr>
          </w:p>
        </w:tc>
        <w:tc>
          <w:tcPr>
            <w:tcW w:w="868" w:type="dxa"/>
            <w:vAlign w:val="center"/>
          </w:tcPr>
          <w:p w14:paraId="27B39CC3" w14:textId="77777777" w:rsidR="002337F9" w:rsidRPr="00133050" w:rsidRDefault="002337F9" w:rsidP="0026218C">
            <w:pPr>
              <w:spacing w:before="20" w:after="20"/>
              <w:jc w:val="right"/>
              <w:rPr>
                <w:noProof/>
                <w:sz w:val="20"/>
              </w:rPr>
            </w:pPr>
          </w:p>
        </w:tc>
        <w:tc>
          <w:tcPr>
            <w:tcW w:w="868" w:type="dxa"/>
            <w:vAlign w:val="center"/>
          </w:tcPr>
          <w:p w14:paraId="30919E29" w14:textId="77777777" w:rsidR="002337F9" w:rsidRPr="00133050" w:rsidRDefault="002337F9" w:rsidP="0026218C">
            <w:pPr>
              <w:spacing w:before="20" w:after="20"/>
              <w:jc w:val="right"/>
              <w:rPr>
                <w:noProof/>
                <w:sz w:val="20"/>
              </w:rPr>
            </w:pPr>
          </w:p>
        </w:tc>
        <w:tc>
          <w:tcPr>
            <w:tcW w:w="868" w:type="dxa"/>
            <w:vAlign w:val="center"/>
          </w:tcPr>
          <w:p w14:paraId="5D6D6302" w14:textId="77777777" w:rsidR="002337F9" w:rsidRPr="00133050" w:rsidRDefault="002337F9" w:rsidP="0026218C">
            <w:pPr>
              <w:spacing w:before="20" w:after="20"/>
              <w:jc w:val="right"/>
              <w:rPr>
                <w:noProof/>
                <w:sz w:val="20"/>
              </w:rPr>
            </w:pPr>
          </w:p>
        </w:tc>
        <w:tc>
          <w:tcPr>
            <w:tcW w:w="1777" w:type="dxa"/>
            <w:vAlign w:val="center"/>
          </w:tcPr>
          <w:p w14:paraId="487C34F1" w14:textId="77777777" w:rsidR="002337F9" w:rsidRPr="00133050" w:rsidRDefault="002337F9" w:rsidP="0026218C">
            <w:pPr>
              <w:spacing w:before="20" w:after="20"/>
              <w:jc w:val="center"/>
              <w:rPr>
                <w:b/>
                <w:noProof/>
                <w:sz w:val="20"/>
              </w:rPr>
            </w:pPr>
            <w:r w:rsidRPr="00133050">
              <w:rPr>
                <w:b/>
                <w:noProof/>
                <w:sz w:val="20"/>
              </w:rPr>
              <w:t xml:space="preserve">0,356 </w:t>
            </w:r>
          </w:p>
        </w:tc>
      </w:tr>
    </w:tbl>
    <w:p w14:paraId="2B1BDE9C" w14:textId="77777777" w:rsidR="002337F9" w:rsidRPr="00133050" w:rsidRDefault="002337F9" w:rsidP="002337F9">
      <w:pPr>
        <w:rPr>
          <w:noProof/>
        </w:rPr>
      </w:pPr>
    </w:p>
    <w:tbl>
      <w:tblPr>
        <w:tblW w:w="1390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652"/>
        <w:gridCol w:w="750"/>
        <w:gridCol w:w="868"/>
        <w:gridCol w:w="868"/>
        <w:gridCol w:w="868"/>
        <w:gridCol w:w="868"/>
        <w:gridCol w:w="868"/>
        <w:gridCol w:w="868"/>
        <w:gridCol w:w="1777"/>
      </w:tblGrid>
      <w:tr w:rsidR="002337F9" w:rsidRPr="00133050" w14:paraId="3FE5252D" w14:textId="77777777" w:rsidTr="0026218C">
        <w:tc>
          <w:tcPr>
            <w:tcW w:w="3960" w:type="dxa"/>
            <w:tcBorders>
              <w:top w:val="nil"/>
              <w:left w:val="nil"/>
              <w:right w:val="nil"/>
            </w:tcBorders>
            <w:vAlign w:val="center"/>
          </w:tcPr>
          <w:p w14:paraId="6737D6B1" w14:textId="77777777" w:rsidR="002337F9" w:rsidRPr="00133050" w:rsidRDefault="002337F9" w:rsidP="0026218C">
            <w:pPr>
              <w:jc w:val="center"/>
              <w:rPr>
                <w:noProof/>
              </w:rPr>
            </w:pPr>
          </w:p>
        </w:tc>
        <w:tc>
          <w:tcPr>
            <w:tcW w:w="1560" w:type="dxa"/>
            <w:tcBorders>
              <w:top w:val="nil"/>
              <w:left w:val="nil"/>
              <w:right w:val="nil"/>
            </w:tcBorders>
          </w:tcPr>
          <w:p w14:paraId="64344434" w14:textId="77777777" w:rsidR="002337F9" w:rsidRPr="00133050" w:rsidRDefault="002337F9" w:rsidP="0026218C">
            <w:pPr>
              <w:rPr>
                <w:noProof/>
                <w:sz w:val="20"/>
              </w:rPr>
            </w:pPr>
          </w:p>
        </w:tc>
        <w:tc>
          <w:tcPr>
            <w:tcW w:w="652" w:type="dxa"/>
            <w:tcBorders>
              <w:top w:val="nil"/>
              <w:left w:val="nil"/>
            </w:tcBorders>
          </w:tcPr>
          <w:p w14:paraId="44295B0D" w14:textId="77777777" w:rsidR="002337F9" w:rsidRPr="00133050" w:rsidRDefault="002337F9" w:rsidP="0026218C">
            <w:pPr>
              <w:jc w:val="center"/>
              <w:rPr>
                <w:noProof/>
                <w:sz w:val="20"/>
              </w:rPr>
            </w:pPr>
          </w:p>
        </w:tc>
        <w:tc>
          <w:tcPr>
            <w:tcW w:w="750" w:type="dxa"/>
            <w:vAlign w:val="center"/>
          </w:tcPr>
          <w:p w14:paraId="0196EB9A" w14:textId="77777777" w:rsidR="002337F9" w:rsidRPr="00133050" w:rsidRDefault="002337F9" w:rsidP="0026218C">
            <w:pPr>
              <w:jc w:val="center"/>
              <w:rPr>
                <w:noProof/>
                <w:sz w:val="20"/>
              </w:rPr>
            </w:pPr>
            <w:r w:rsidRPr="00133050">
              <w:rPr>
                <w:b/>
                <w:noProof/>
                <w:sz w:val="20"/>
              </w:rPr>
              <w:t>2026 г.</w:t>
            </w:r>
          </w:p>
        </w:tc>
        <w:tc>
          <w:tcPr>
            <w:tcW w:w="868" w:type="dxa"/>
            <w:vAlign w:val="center"/>
          </w:tcPr>
          <w:p w14:paraId="15D91950" w14:textId="77777777" w:rsidR="002337F9" w:rsidRPr="00133050" w:rsidRDefault="002337F9" w:rsidP="0026218C">
            <w:pPr>
              <w:jc w:val="center"/>
              <w:rPr>
                <w:noProof/>
                <w:sz w:val="20"/>
              </w:rPr>
            </w:pPr>
            <w:r w:rsidRPr="00133050">
              <w:rPr>
                <w:b/>
                <w:noProof/>
                <w:sz w:val="20"/>
              </w:rPr>
              <w:t>2027 г.</w:t>
            </w:r>
          </w:p>
        </w:tc>
        <w:tc>
          <w:tcPr>
            <w:tcW w:w="868" w:type="dxa"/>
            <w:vAlign w:val="center"/>
          </w:tcPr>
          <w:p w14:paraId="44ACC58A" w14:textId="77777777" w:rsidR="002337F9" w:rsidRPr="00133050" w:rsidRDefault="002337F9" w:rsidP="0026218C">
            <w:pPr>
              <w:jc w:val="center"/>
              <w:rPr>
                <w:noProof/>
                <w:sz w:val="20"/>
              </w:rPr>
            </w:pPr>
          </w:p>
        </w:tc>
        <w:tc>
          <w:tcPr>
            <w:tcW w:w="868" w:type="dxa"/>
            <w:vAlign w:val="center"/>
          </w:tcPr>
          <w:p w14:paraId="33231C4F" w14:textId="77777777" w:rsidR="002337F9" w:rsidRPr="00133050" w:rsidRDefault="002337F9" w:rsidP="0026218C">
            <w:pPr>
              <w:jc w:val="center"/>
              <w:rPr>
                <w:noProof/>
                <w:sz w:val="20"/>
              </w:rPr>
            </w:pPr>
          </w:p>
        </w:tc>
        <w:tc>
          <w:tcPr>
            <w:tcW w:w="868" w:type="dxa"/>
            <w:vAlign w:val="center"/>
          </w:tcPr>
          <w:p w14:paraId="6501C456" w14:textId="77777777" w:rsidR="002337F9" w:rsidRPr="00133050" w:rsidRDefault="002337F9" w:rsidP="0026218C">
            <w:pPr>
              <w:jc w:val="center"/>
              <w:rPr>
                <w:b/>
                <w:noProof/>
                <w:sz w:val="18"/>
              </w:rPr>
            </w:pPr>
          </w:p>
        </w:tc>
        <w:tc>
          <w:tcPr>
            <w:tcW w:w="868" w:type="dxa"/>
            <w:vAlign w:val="center"/>
          </w:tcPr>
          <w:p w14:paraId="0FD5F595" w14:textId="77777777" w:rsidR="002337F9" w:rsidRPr="00133050" w:rsidRDefault="002337F9" w:rsidP="0026218C">
            <w:pPr>
              <w:jc w:val="center"/>
              <w:rPr>
                <w:b/>
                <w:noProof/>
                <w:sz w:val="18"/>
              </w:rPr>
            </w:pPr>
          </w:p>
        </w:tc>
        <w:tc>
          <w:tcPr>
            <w:tcW w:w="868" w:type="dxa"/>
            <w:vAlign w:val="center"/>
          </w:tcPr>
          <w:p w14:paraId="1E3AFC8B" w14:textId="77777777" w:rsidR="002337F9" w:rsidRPr="00133050" w:rsidRDefault="002337F9" w:rsidP="0026218C">
            <w:pPr>
              <w:jc w:val="center"/>
              <w:rPr>
                <w:b/>
                <w:noProof/>
                <w:sz w:val="18"/>
              </w:rPr>
            </w:pPr>
          </w:p>
        </w:tc>
        <w:tc>
          <w:tcPr>
            <w:tcW w:w="1777" w:type="dxa"/>
            <w:vAlign w:val="center"/>
          </w:tcPr>
          <w:p w14:paraId="57F728CD" w14:textId="77777777" w:rsidR="002337F9" w:rsidRPr="00133050" w:rsidRDefault="002337F9" w:rsidP="0026218C">
            <w:pPr>
              <w:jc w:val="center"/>
              <w:rPr>
                <w:b/>
                <w:noProof/>
                <w:sz w:val="20"/>
              </w:rPr>
            </w:pPr>
            <w:r w:rsidRPr="00133050">
              <w:rPr>
                <w:b/>
                <w:noProof/>
                <w:sz w:val="20"/>
              </w:rPr>
              <w:t>ОБЩО</w:t>
            </w:r>
          </w:p>
        </w:tc>
      </w:tr>
      <w:tr w:rsidR="002337F9" w:rsidRPr="00133050" w14:paraId="605EAC90" w14:textId="77777777" w:rsidTr="0026218C">
        <w:trPr>
          <w:gridAfter w:val="8"/>
          <w:wAfter w:w="7735" w:type="dxa"/>
        </w:trPr>
        <w:tc>
          <w:tcPr>
            <w:tcW w:w="3960" w:type="dxa"/>
            <w:vAlign w:val="center"/>
          </w:tcPr>
          <w:p w14:paraId="54D00DFB" w14:textId="77777777" w:rsidR="002337F9" w:rsidRPr="00133050" w:rsidRDefault="002337F9" w:rsidP="0026218C">
            <w:pPr>
              <w:spacing w:before="60" w:after="60"/>
              <w:jc w:val="center"/>
              <w:rPr>
                <w:noProof/>
              </w:rPr>
            </w:pPr>
            <w:r w:rsidRPr="00133050">
              <w:rPr>
                <w:noProof/>
              </w:rPr>
              <w:t>ГД ЕСВД</w:t>
            </w:r>
          </w:p>
        </w:tc>
        <w:tc>
          <w:tcPr>
            <w:tcW w:w="2212" w:type="dxa"/>
            <w:gridSpan w:val="2"/>
          </w:tcPr>
          <w:p w14:paraId="4CB53FD5" w14:textId="77777777" w:rsidR="002337F9" w:rsidRPr="00133050" w:rsidRDefault="002337F9" w:rsidP="0026218C">
            <w:pPr>
              <w:spacing w:before="60" w:after="60"/>
              <w:jc w:val="center"/>
              <w:rPr>
                <w:noProof/>
              </w:rPr>
            </w:pPr>
          </w:p>
        </w:tc>
      </w:tr>
      <w:tr w:rsidR="002337F9" w:rsidRPr="00133050" w14:paraId="7E2F1C78" w14:textId="77777777" w:rsidTr="0026218C">
        <w:trPr>
          <w:trHeight w:val="313"/>
        </w:trPr>
        <w:tc>
          <w:tcPr>
            <w:tcW w:w="6172" w:type="dxa"/>
            <w:gridSpan w:val="3"/>
            <w:vAlign w:val="center"/>
          </w:tcPr>
          <w:p w14:paraId="2B0EF684" w14:textId="77777777" w:rsidR="002337F9" w:rsidRPr="00133050" w:rsidRDefault="002337F9" w:rsidP="0026218C">
            <w:pPr>
              <w:spacing w:before="20" w:after="20"/>
              <w:rPr>
                <w:noProof/>
              </w:rPr>
            </w:pPr>
            <w:r w:rsidRPr="00133050">
              <w:rPr>
                <w:noProof/>
              </w:rPr>
              <w:sym w:font="Wingdings" w:char="F09F"/>
            </w:r>
            <w:r w:rsidRPr="00133050">
              <w:rPr>
                <w:noProof/>
              </w:rPr>
              <w:t xml:space="preserve"> Човешки ресурси </w:t>
            </w:r>
          </w:p>
        </w:tc>
        <w:tc>
          <w:tcPr>
            <w:tcW w:w="750" w:type="dxa"/>
            <w:vAlign w:val="center"/>
          </w:tcPr>
          <w:p w14:paraId="7813F67F" w14:textId="77777777" w:rsidR="002337F9" w:rsidRPr="00133050" w:rsidRDefault="002337F9" w:rsidP="0026218C">
            <w:pPr>
              <w:spacing w:before="20" w:after="20"/>
              <w:jc w:val="center"/>
              <w:rPr>
                <w:noProof/>
                <w:sz w:val="20"/>
              </w:rPr>
            </w:pPr>
            <w:r w:rsidRPr="00133050">
              <w:rPr>
                <w:noProof/>
                <w:sz w:val="20"/>
              </w:rPr>
              <w:t>0,178</w:t>
            </w:r>
          </w:p>
        </w:tc>
        <w:tc>
          <w:tcPr>
            <w:tcW w:w="868" w:type="dxa"/>
            <w:vAlign w:val="center"/>
          </w:tcPr>
          <w:p w14:paraId="30E47075" w14:textId="77777777" w:rsidR="002337F9" w:rsidRPr="00133050" w:rsidRDefault="002337F9" w:rsidP="0026218C">
            <w:pPr>
              <w:spacing w:before="20" w:after="20"/>
              <w:jc w:val="center"/>
              <w:rPr>
                <w:noProof/>
                <w:sz w:val="20"/>
              </w:rPr>
            </w:pPr>
            <w:r w:rsidRPr="00133050">
              <w:rPr>
                <w:noProof/>
                <w:sz w:val="20"/>
              </w:rPr>
              <w:t>0,178</w:t>
            </w:r>
          </w:p>
        </w:tc>
        <w:tc>
          <w:tcPr>
            <w:tcW w:w="868" w:type="dxa"/>
            <w:vAlign w:val="center"/>
          </w:tcPr>
          <w:p w14:paraId="46BAF7F8" w14:textId="77777777" w:rsidR="002337F9" w:rsidRPr="00133050" w:rsidRDefault="002337F9" w:rsidP="0026218C">
            <w:pPr>
              <w:spacing w:before="20" w:after="20"/>
              <w:jc w:val="right"/>
              <w:rPr>
                <w:noProof/>
                <w:sz w:val="20"/>
              </w:rPr>
            </w:pPr>
          </w:p>
        </w:tc>
        <w:tc>
          <w:tcPr>
            <w:tcW w:w="868" w:type="dxa"/>
            <w:vAlign w:val="center"/>
          </w:tcPr>
          <w:p w14:paraId="0DC7B92B" w14:textId="77777777" w:rsidR="002337F9" w:rsidRPr="00133050" w:rsidRDefault="002337F9" w:rsidP="0026218C">
            <w:pPr>
              <w:spacing w:before="20" w:after="20"/>
              <w:jc w:val="right"/>
              <w:rPr>
                <w:noProof/>
                <w:sz w:val="20"/>
              </w:rPr>
            </w:pPr>
          </w:p>
        </w:tc>
        <w:tc>
          <w:tcPr>
            <w:tcW w:w="868" w:type="dxa"/>
            <w:vAlign w:val="center"/>
          </w:tcPr>
          <w:p w14:paraId="42175274" w14:textId="77777777" w:rsidR="002337F9" w:rsidRPr="00133050" w:rsidRDefault="002337F9" w:rsidP="0026218C">
            <w:pPr>
              <w:spacing w:before="20" w:after="20"/>
              <w:jc w:val="right"/>
              <w:rPr>
                <w:noProof/>
                <w:sz w:val="20"/>
              </w:rPr>
            </w:pPr>
          </w:p>
        </w:tc>
        <w:tc>
          <w:tcPr>
            <w:tcW w:w="868" w:type="dxa"/>
            <w:vAlign w:val="center"/>
          </w:tcPr>
          <w:p w14:paraId="13C30FF3" w14:textId="77777777" w:rsidR="002337F9" w:rsidRPr="00133050" w:rsidRDefault="002337F9" w:rsidP="0026218C">
            <w:pPr>
              <w:spacing w:before="20" w:after="20"/>
              <w:jc w:val="right"/>
              <w:rPr>
                <w:noProof/>
                <w:sz w:val="20"/>
              </w:rPr>
            </w:pPr>
          </w:p>
        </w:tc>
        <w:tc>
          <w:tcPr>
            <w:tcW w:w="868" w:type="dxa"/>
            <w:vAlign w:val="center"/>
          </w:tcPr>
          <w:p w14:paraId="3D478EA8" w14:textId="77777777" w:rsidR="002337F9" w:rsidRPr="00133050" w:rsidRDefault="002337F9" w:rsidP="0026218C">
            <w:pPr>
              <w:spacing w:before="20" w:after="20"/>
              <w:jc w:val="right"/>
              <w:rPr>
                <w:b/>
                <w:noProof/>
                <w:sz w:val="20"/>
              </w:rPr>
            </w:pPr>
          </w:p>
        </w:tc>
        <w:tc>
          <w:tcPr>
            <w:tcW w:w="1777" w:type="dxa"/>
            <w:vAlign w:val="center"/>
          </w:tcPr>
          <w:p w14:paraId="7D389167" w14:textId="77777777" w:rsidR="002337F9" w:rsidRPr="00133050" w:rsidRDefault="002337F9" w:rsidP="0026218C">
            <w:pPr>
              <w:spacing w:before="20" w:after="20"/>
              <w:jc w:val="center"/>
              <w:rPr>
                <w:b/>
                <w:noProof/>
                <w:sz w:val="20"/>
              </w:rPr>
            </w:pPr>
            <w:r w:rsidRPr="00133050">
              <w:rPr>
                <w:b/>
                <w:noProof/>
                <w:sz w:val="20"/>
              </w:rPr>
              <w:t xml:space="preserve">0,356 </w:t>
            </w:r>
          </w:p>
        </w:tc>
      </w:tr>
      <w:tr w:rsidR="002337F9" w:rsidRPr="00133050" w14:paraId="74DB9EAB" w14:textId="77777777" w:rsidTr="0026218C">
        <w:trPr>
          <w:trHeight w:val="351"/>
        </w:trPr>
        <w:tc>
          <w:tcPr>
            <w:tcW w:w="6172" w:type="dxa"/>
            <w:gridSpan w:val="3"/>
            <w:vAlign w:val="center"/>
          </w:tcPr>
          <w:p w14:paraId="706411C4" w14:textId="77777777" w:rsidR="002337F9" w:rsidRPr="00133050" w:rsidRDefault="002337F9" w:rsidP="0026218C">
            <w:pPr>
              <w:spacing w:before="20" w:after="20"/>
              <w:rPr>
                <w:noProof/>
              </w:rPr>
            </w:pPr>
            <w:r w:rsidRPr="00133050">
              <w:rPr>
                <w:noProof/>
              </w:rPr>
              <w:sym w:font="Wingdings" w:char="F09F"/>
            </w:r>
            <w:r w:rsidRPr="00133050">
              <w:rPr>
                <w:noProof/>
              </w:rPr>
              <w:t> Други административни разходи</w:t>
            </w:r>
          </w:p>
        </w:tc>
        <w:tc>
          <w:tcPr>
            <w:tcW w:w="750" w:type="dxa"/>
            <w:vAlign w:val="center"/>
          </w:tcPr>
          <w:p w14:paraId="4A0A74E1" w14:textId="77777777" w:rsidR="002337F9" w:rsidRPr="00133050" w:rsidRDefault="002337F9" w:rsidP="0026218C">
            <w:pPr>
              <w:spacing w:before="20" w:after="20"/>
              <w:jc w:val="center"/>
              <w:rPr>
                <w:noProof/>
                <w:sz w:val="20"/>
              </w:rPr>
            </w:pPr>
          </w:p>
        </w:tc>
        <w:tc>
          <w:tcPr>
            <w:tcW w:w="868" w:type="dxa"/>
            <w:vAlign w:val="center"/>
          </w:tcPr>
          <w:p w14:paraId="0E32AC24" w14:textId="77777777" w:rsidR="002337F9" w:rsidRPr="00133050" w:rsidRDefault="002337F9" w:rsidP="0026218C">
            <w:pPr>
              <w:spacing w:before="20" w:after="20"/>
              <w:jc w:val="center"/>
              <w:rPr>
                <w:noProof/>
                <w:sz w:val="20"/>
              </w:rPr>
            </w:pPr>
          </w:p>
        </w:tc>
        <w:tc>
          <w:tcPr>
            <w:tcW w:w="868" w:type="dxa"/>
            <w:vAlign w:val="center"/>
          </w:tcPr>
          <w:p w14:paraId="490290BB" w14:textId="77777777" w:rsidR="002337F9" w:rsidRPr="00133050" w:rsidRDefault="002337F9" w:rsidP="0026218C">
            <w:pPr>
              <w:spacing w:before="20" w:after="20"/>
              <w:jc w:val="right"/>
              <w:rPr>
                <w:noProof/>
                <w:sz w:val="20"/>
              </w:rPr>
            </w:pPr>
          </w:p>
        </w:tc>
        <w:tc>
          <w:tcPr>
            <w:tcW w:w="868" w:type="dxa"/>
            <w:vAlign w:val="center"/>
          </w:tcPr>
          <w:p w14:paraId="027743DC" w14:textId="77777777" w:rsidR="002337F9" w:rsidRPr="00133050" w:rsidRDefault="002337F9" w:rsidP="0026218C">
            <w:pPr>
              <w:spacing w:before="20" w:after="20"/>
              <w:jc w:val="right"/>
              <w:rPr>
                <w:noProof/>
                <w:sz w:val="20"/>
              </w:rPr>
            </w:pPr>
          </w:p>
        </w:tc>
        <w:tc>
          <w:tcPr>
            <w:tcW w:w="868" w:type="dxa"/>
            <w:vAlign w:val="center"/>
          </w:tcPr>
          <w:p w14:paraId="3472EDF1" w14:textId="77777777" w:rsidR="002337F9" w:rsidRPr="00133050" w:rsidRDefault="002337F9" w:rsidP="0026218C">
            <w:pPr>
              <w:spacing w:before="20" w:after="20"/>
              <w:jc w:val="right"/>
              <w:rPr>
                <w:noProof/>
                <w:sz w:val="20"/>
              </w:rPr>
            </w:pPr>
          </w:p>
        </w:tc>
        <w:tc>
          <w:tcPr>
            <w:tcW w:w="868" w:type="dxa"/>
            <w:vAlign w:val="center"/>
          </w:tcPr>
          <w:p w14:paraId="381F1809" w14:textId="77777777" w:rsidR="002337F9" w:rsidRPr="00133050" w:rsidRDefault="002337F9" w:rsidP="0026218C">
            <w:pPr>
              <w:spacing w:before="20" w:after="20"/>
              <w:jc w:val="right"/>
              <w:rPr>
                <w:noProof/>
                <w:sz w:val="20"/>
              </w:rPr>
            </w:pPr>
          </w:p>
        </w:tc>
        <w:tc>
          <w:tcPr>
            <w:tcW w:w="868" w:type="dxa"/>
            <w:vAlign w:val="center"/>
          </w:tcPr>
          <w:p w14:paraId="1BE9E7D0" w14:textId="77777777" w:rsidR="002337F9" w:rsidRPr="00133050" w:rsidRDefault="002337F9" w:rsidP="0026218C">
            <w:pPr>
              <w:spacing w:before="20" w:after="20"/>
              <w:jc w:val="right"/>
              <w:rPr>
                <w:noProof/>
                <w:sz w:val="20"/>
              </w:rPr>
            </w:pPr>
          </w:p>
        </w:tc>
        <w:tc>
          <w:tcPr>
            <w:tcW w:w="1777" w:type="dxa"/>
            <w:vAlign w:val="center"/>
          </w:tcPr>
          <w:p w14:paraId="776EE888" w14:textId="77777777" w:rsidR="002337F9" w:rsidRPr="00133050" w:rsidRDefault="002337F9" w:rsidP="0026218C">
            <w:pPr>
              <w:spacing w:before="20" w:after="20"/>
              <w:jc w:val="right"/>
              <w:rPr>
                <w:b/>
                <w:noProof/>
                <w:sz w:val="20"/>
              </w:rPr>
            </w:pPr>
          </w:p>
        </w:tc>
      </w:tr>
      <w:tr w:rsidR="002337F9" w:rsidRPr="00133050" w14:paraId="411005E4" w14:textId="77777777" w:rsidTr="0026218C">
        <w:tc>
          <w:tcPr>
            <w:tcW w:w="3960" w:type="dxa"/>
            <w:vAlign w:val="center"/>
          </w:tcPr>
          <w:p w14:paraId="2862EA4D" w14:textId="77777777" w:rsidR="002337F9" w:rsidRPr="00133050" w:rsidRDefault="002337F9" w:rsidP="0026218C">
            <w:pPr>
              <w:jc w:val="center"/>
              <w:rPr>
                <w:b/>
                <w:noProof/>
              </w:rPr>
            </w:pPr>
            <w:r w:rsidRPr="00133050">
              <w:rPr>
                <w:b/>
                <w:noProof/>
              </w:rPr>
              <w:t xml:space="preserve">ОБЩО </w:t>
            </w:r>
          </w:p>
        </w:tc>
        <w:tc>
          <w:tcPr>
            <w:tcW w:w="2212" w:type="dxa"/>
            <w:gridSpan w:val="2"/>
            <w:vAlign w:val="center"/>
          </w:tcPr>
          <w:p w14:paraId="75C36044" w14:textId="77777777" w:rsidR="002337F9" w:rsidRPr="00133050" w:rsidRDefault="002337F9" w:rsidP="0026218C">
            <w:pPr>
              <w:rPr>
                <w:noProof/>
                <w:sz w:val="14"/>
              </w:rPr>
            </w:pPr>
            <w:r w:rsidRPr="00133050">
              <w:rPr>
                <w:noProof/>
                <w:sz w:val="18"/>
              </w:rPr>
              <w:t xml:space="preserve">Бюджетни кредити </w:t>
            </w:r>
          </w:p>
        </w:tc>
        <w:tc>
          <w:tcPr>
            <w:tcW w:w="750" w:type="dxa"/>
            <w:vAlign w:val="center"/>
          </w:tcPr>
          <w:p w14:paraId="6350F7CD" w14:textId="77777777" w:rsidR="002337F9" w:rsidRPr="00133050" w:rsidRDefault="002337F9" w:rsidP="0026218C">
            <w:pPr>
              <w:spacing w:before="60" w:after="60"/>
              <w:jc w:val="center"/>
              <w:rPr>
                <w:noProof/>
                <w:sz w:val="20"/>
              </w:rPr>
            </w:pPr>
            <w:r w:rsidRPr="00133050">
              <w:rPr>
                <w:noProof/>
                <w:sz w:val="20"/>
              </w:rPr>
              <w:t>0,178</w:t>
            </w:r>
          </w:p>
        </w:tc>
        <w:tc>
          <w:tcPr>
            <w:tcW w:w="868" w:type="dxa"/>
            <w:vAlign w:val="center"/>
          </w:tcPr>
          <w:p w14:paraId="343F7147" w14:textId="77777777" w:rsidR="002337F9" w:rsidRPr="00133050" w:rsidRDefault="002337F9" w:rsidP="0026218C">
            <w:pPr>
              <w:spacing w:before="20" w:after="20"/>
              <w:jc w:val="center"/>
              <w:rPr>
                <w:noProof/>
                <w:sz w:val="20"/>
              </w:rPr>
            </w:pPr>
            <w:r w:rsidRPr="00133050">
              <w:rPr>
                <w:noProof/>
                <w:sz w:val="20"/>
              </w:rPr>
              <w:t>0,178</w:t>
            </w:r>
          </w:p>
        </w:tc>
        <w:tc>
          <w:tcPr>
            <w:tcW w:w="868" w:type="dxa"/>
            <w:vAlign w:val="center"/>
          </w:tcPr>
          <w:p w14:paraId="00E989A9" w14:textId="77777777" w:rsidR="002337F9" w:rsidRPr="00133050" w:rsidRDefault="002337F9" w:rsidP="0026218C">
            <w:pPr>
              <w:spacing w:before="20" w:after="20"/>
              <w:jc w:val="right"/>
              <w:rPr>
                <w:noProof/>
                <w:sz w:val="20"/>
              </w:rPr>
            </w:pPr>
          </w:p>
        </w:tc>
        <w:tc>
          <w:tcPr>
            <w:tcW w:w="868" w:type="dxa"/>
            <w:vAlign w:val="center"/>
          </w:tcPr>
          <w:p w14:paraId="1A52DC35" w14:textId="77777777" w:rsidR="002337F9" w:rsidRPr="00133050" w:rsidRDefault="002337F9" w:rsidP="0026218C">
            <w:pPr>
              <w:spacing w:before="20" w:after="20"/>
              <w:jc w:val="right"/>
              <w:rPr>
                <w:noProof/>
                <w:sz w:val="20"/>
              </w:rPr>
            </w:pPr>
          </w:p>
        </w:tc>
        <w:tc>
          <w:tcPr>
            <w:tcW w:w="868" w:type="dxa"/>
            <w:vAlign w:val="center"/>
          </w:tcPr>
          <w:p w14:paraId="77D69F7D" w14:textId="77777777" w:rsidR="002337F9" w:rsidRPr="00133050" w:rsidRDefault="002337F9" w:rsidP="0026218C">
            <w:pPr>
              <w:spacing w:before="20" w:after="20"/>
              <w:jc w:val="right"/>
              <w:rPr>
                <w:noProof/>
                <w:sz w:val="20"/>
              </w:rPr>
            </w:pPr>
          </w:p>
        </w:tc>
        <w:tc>
          <w:tcPr>
            <w:tcW w:w="868" w:type="dxa"/>
            <w:vAlign w:val="center"/>
          </w:tcPr>
          <w:p w14:paraId="7FB179A0" w14:textId="77777777" w:rsidR="002337F9" w:rsidRPr="00133050" w:rsidRDefault="002337F9" w:rsidP="0026218C">
            <w:pPr>
              <w:spacing w:before="20" w:after="20"/>
              <w:jc w:val="right"/>
              <w:rPr>
                <w:noProof/>
                <w:sz w:val="20"/>
              </w:rPr>
            </w:pPr>
          </w:p>
        </w:tc>
        <w:tc>
          <w:tcPr>
            <w:tcW w:w="868" w:type="dxa"/>
            <w:vAlign w:val="center"/>
          </w:tcPr>
          <w:p w14:paraId="5693F76B" w14:textId="77777777" w:rsidR="002337F9" w:rsidRPr="00133050" w:rsidRDefault="002337F9" w:rsidP="0026218C">
            <w:pPr>
              <w:spacing w:before="20" w:after="20"/>
              <w:jc w:val="right"/>
              <w:rPr>
                <w:noProof/>
                <w:sz w:val="20"/>
              </w:rPr>
            </w:pPr>
          </w:p>
        </w:tc>
        <w:tc>
          <w:tcPr>
            <w:tcW w:w="1777" w:type="dxa"/>
            <w:vAlign w:val="center"/>
          </w:tcPr>
          <w:p w14:paraId="0587AD4D" w14:textId="77777777" w:rsidR="002337F9" w:rsidRPr="00133050" w:rsidRDefault="002337F9" w:rsidP="0026218C">
            <w:pPr>
              <w:spacing w:before="20" w:after="20"/>
              <w:jc w:val="center"/>
              <w:rPr>
                <w:b/>
                <w:noProof/>
                <w:sz w:val="20"/>
              </w:rPr>
            </w:pPr>
            <w:r w:rsidRPr="00133050">
              <w:rPr>
                <w:b/>
                <w:noProof/>
                <w:sz w:val="20"/>
              </w:rPr>
              <w:t xml:space="preserve">0,356 </w:t>
            </w:r>
          </w:p>
        </w:tc>
      </w:tr>
    </w:tbl>
    <w:p w14:paraId="1EBEC808" w14:textId="77777777" w:rsidR="002337F9" w:rsidRPr="00133050" w:rsidRDefault="002337F9" w:rsidP="002337F9">
      <w:pPr>
        <w:rPr>
          <w:noProof/>
        </w:rPr>
      </w:pPr>
    </w:p>
    <w:tbl>
      <w:tblPr>
        <w:tblW w:w="1390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652"/>
        <w:gridCol w:w="750"/>
        <w:gridCol w:w="868"/>
        <w:gridCol w:w="868"/>
        <w:gridCol w:w="868"/>
        <w:gridCol w:w="868"/>
        <w:gridCol w:w="868"/>
        <w:gridCol w:w="868"/>
        <w:gridCol w:w="1777"/>
      </w:tblGrid>
      <w:tr w:rsidR="002337F9" w:rsidRPr="00133050" w14:paraId="63BDCB60" w14:textId="77777777" w:rsidTr="0026218C">
        <w:tc>
          <w:tcPr>
            <w:tcW w:w="3960" w:type="dxa"/>
            <w:tcBorders>
              <w:top w:val="nil"/>
              <w:left w:val="nil"/>
              <w:right w:val="nil"/>
            </w:tcBorders>
            <w:vAlign w:val="center"/>
          </w:tcPr>
          <w:p w14:paraId="180CAA55" w14:textId="77777777" w:rsidR="002337F9" w:rsidRPr="00133050" w:rsidRDefault="002337F9" w:rsidP="0026218C">
            <w:pPr>
              <w:jc w:val="center"/>
              <w:rPr>
                <w:noProof/>
              </w:rPr>
            </w:pPr>
          </w:p>
        </w:tc>
        <w:tc>
          <w:tcPr>
            <w:tcW w:w="1560" w:type="dxa"/>
            <w:tcBorders>
              <w:top w:val="nil"/>
              <w:left w:val="nil"/>
              <w:right w:val="nil"/>
            </w:tcBorders>
          </w:tcPr>
          <w:p w14:paraId="38EF4709" w14:textId="77777777" w:rsidR="002337F9" w:rsidRPr="00133050" w:rsidRDefault="002337F9" w:rsidP="0026218C">
            <w:pPr>
              <w:rPr>
                <w:noProof/>
                <w:sz w:val="20"/>
              </w:rPr>
            </w:pPr>
          </w:p>
        </w:tc>
        <w:tc>
          <w:tcPr>
            <w:tcW w:w="652" w:type="dxa"/>
            <w:tcBorders>
              <w:top w:val="nil"/>
              <w:left w:val="nil"/>
            </w:tcBorders>
          </w:tcPr>
          <w:p w14:paraId="4E84FB09" w14:textId="77777777" w:rsidR="002337F9" w:rsidRPr="00133050" w:rsidRDefault="002337F9" w:rsidP="0026218C">
            <w:pPr>
              <w:jc w:val="center"/>
              <w:rPr>
                <w:noProof/>
                <w:sz w:val="20"/>
              </w:rPr>
            </w:pPr>
          </w:p>
        </w:tc>
        <w:tc>
          <w:tcPr>
            <w:tcW w:w="750" w:type="dxa"/>
            <w:vAlign w:val="center"/>
          </w:tcPr>
          <w:p w14:paraId="5E9F6F25" w14:textId="77777777" w:rsidR="002337F9" w:rsidRPr="00133050" w:rsidRDefault="002337F9" w:rsidP="0026218C">
            <w:pPr>
              <w:jc w:val="center"/>
              <w:rPr>
                <w:noProof/>
                <w:sz w:val="20"/>
              </w:rPr>
            </w:pPr>
            <w:r w:rsidRPr="00133050">
              <w:rPr>
                <w:b/>
                <w:noProof/>
                <w:sz w:val="20"/>
              </w:rPr>
              <w:t>2026 г.</w:t>
            </w:r>
          </w:p>
        </w:tc>
        <w:tc>
          <w:tcPr>
            <w:tcW w:w="868" w:type="dxa"/>
            <w:vAlign w:val="center"/>
          </w:tcPr>
          <w:p w14:paraId="2577C758" w14:textId="77777777" w:rsidR="002337F9" w:rsidRPr="00133050" w:rsidRDefault="002337F9" w:rsidP="0026218C">
            <w:pPr>
              <w:jc w:val="center"/>
              <w:rPr>
                <w:noProof/>
                <w:sz w:val="20"/>
              </w:rPr>
            </w:pPr>
            <w:r w:rsidRPr="00133050">
              <w:rPr>
                <w:b/>
                <w:noProof/>
                <w:sz w:val="20"/>
              </w:rPr>
              <w:t>2027 г.</w:t>
            </w:r>
          </w:p>
        </w:tc>
        <w:tc>
          <w:tcPr>
            <w:tcW w:w="868" w:type="dxa"/>
            <w:vAlign w:val="center"/>
          </w:tcPr>
          <w:p w14:paraId="7F2739D4" w14:textId="77777777" w:rsidR="002337F9" w:rsidRPr="00133050" w:rsidRDefault="002337F9" w:rsidP="0026218C">
            <w:pPr>
              <w:jc w:val="center"/>
              <w:rPr>
                <w:noProof/>
                <w:sz w:val="20"/>
              </w:rPr>
            </w:pPr>
          </w:p>
        </w:tc>
        <w:tc>
          <w:tcPr>
            <w:tcW w:w="868" w:type="dxa"/>
            <w:vAlign w:val="center"/>
          </w:tcPr>
          <w:p w14:paraId="1EE2896E" w14:textId="77777777" w:rsidR="002337F9" w:rsidRPr="00133050" w:rsidRDefault="002337F9" w:rsidP="0026218C">
            <w:pPr>
              <w:jc w:val="center"/>
              <w:rPr>
                <w:noProof/>
                <w:sz w:val="20"/>
              </w:rPr>
            </w:pPr>
          </w:p>
        </w:tc>
        <w:tc>
          <w:tcPr>
            <w:tcW w:w="868" w:type="dxa"/>
            <w:vAlign w:val="center"/>
          </w:tcPr>
          <w:p w14:paraId="73BF0DE9" w14:textId="77777777" w:rsidR="002337F9" w:rsidRPr="00133050" w:rsidRDefault="002337F9" w:rsidP="0026218C">
            <w:pPr>
              <w:jc w:val="center"/>
              <w:rPr>
                <w:b/>
                <w:noProof/>
                <w:sz w:val="18"/>
              </w:rPr>
            </w:pPr>
          </w:p>
        </w:tc>
        <w:tc>
          <w:tcPr>
            <w:tcW w:w="868" w:type="dxa"/>
            <w:vAlign w:val="center"/>
          </w:tcPr>
          <w:p w14:paraId="03859264" w14:textId="77777777" w:rsidR="002337F9" w:rsidRPr="00133050" w:rsidRDefault="002337F9" w:rsidP="0026218C">
            <w:pPr>
              <w:jc w:val="center"/>
              <w:rPr>
                <w:b/>
                <w:noProof/>
                <w:sz w:val="18"/>
              </w:rPr>
            </w:pPr>
          </w:p>
        </w:tc>
        <w:tc>
          <w:tcPr>
            <w:tcW w:w="868" w:type="dxa"/>
            <w:vAlign w:val="center"/>
          </w:tcPr>
          <w:p w14:paraId="364DCBCA" w14:textId="77777777" w:rsidR="002337F9" w:rsidRPr="00133050" w:rsidRDefault="002337F9" w:rsidP="0026218C">
            <w:pPr>
              <w:jc w:val="center"/>
              <w:rPr>
                <w:b/>
                <w:noProof/>
                <w:sz w:val="18"/>
              </w:rPr>
            </w:pPr>
          </w:p>
        </w:tc>
        <w:tc>
          <w:tcPr>
            <w:tcW w:w="1777" w:type="dxa"/>
            <w:vAlign w:val="center"/>
          </w:tcPr>
          <w:p w14:paraId="618FC678" w14:textId="77777777" w:rsidR="002337F9" w:rsidRPr="00133050" w:rsidRDefault="002337F9" w:rsidP="0026218C">
            <w:pPr>
              <w:jc w:val="center"/>
              <w:rPr>
                <w:b/>
                <w:noProof/>
                <w:sz w:val="20"/>
              </w:rPr>
            </w:pPr>
            <w:r w:rsidRPr="00133050">
              <w:rPr>
                <w:b/>
                <w:noProof/>
                <w:sz w:val="20"/>
              </w:rPr>
              <w:t>ОБЩО</w:t>
            </w:r>
          </w:p>
        </w:tc>
      </w:tr>
      <w:tr w:rsidR="002337F9" w:rsidRPr="00133050" w14:paraId="2FA6FA44" w14:textId="77777777" w:rsidTr="0026218C">
        <w:trPr>
          <w:gridAfter w:val="8"/>
          <w:wAfter w:w="7735" w:type="dxa"/>
        </w:trPr>
        <w:tc>
          <w:tcPr>
            <w:tcW w:w="3960" w:type="dxa"/>
            <w:vAlign w:val="center"/>
          </w:tcPr>
          <w:p w14:paraId="032FFD4B" w14:textId="77777777" w:rsidR="002337F9" w:rsidRPr="00133050" w:rsidRDefault="002337F9" w:rsidP="0026218C">
            <w:pPr>
              <w:spacing w:before="60" w:after="60"/>
              <w:jc w:val="center"/>
              <w:rPr>
                <w:noProof/>
              </w:rPr>
            </w:pPr>
            <w:r w:rsidRPr="00133050">
              <w:rPr>
                <w:noProof/>
              </w:rPr>
              <w:t>ГД „Конкуренция“</w:t>
            </w:r>
          </w:p>
        </w:tc>
        <w:tc>
          <w:tcPr>
            <w:tcW w:w="2212" w:type="dxa"/>
            <w:gridSpan w:val="2"/>
          </w:tcPr>
          <w:p w14:paraId="6314CA6F" w14:textId="77777777" w:rsidR="002337F9" w:rsidRPr="00133050" w:rsidRDefault="002337F9" w:rsidP="0026218C">
            <w:pPr>
              <w:spacing w:before="60" w:after="60"/>
              <w:jc w:val="center"/>
              <w:rPr>
                <w:noProof/>
              </w:rPr>
            </w:pPr>
          </w:p>
        </w:tc>
      </w:tr>
      <w:tr w:rsidR="002337F9" w:rsidRPr="00133050" w14:paraId="28B3DF52" w14:textId="77777777" w:rsidTr="0026218C">
        <w:trPr>
          <w:trHeight w:val="313"/>
        </w:trPr>
        <w:tc>
          <w:tcPr>
            <w:tcW w:w="6172" w:type="dxa"/>
            <w:gridSpan w:val="3"/>
            <w:vAlign w:val="center"/>
          </w:tcPr>
          <w:p w14:paraId="33DBC970" w14:textId="77777777" w:rsidR="002337F9" w:rsidRPr="00133050" w:rsidRDefault="002337F9" w:rsidP="0026218C">
            <w:pPr>
              <w:spacing w:before="20" w:after="20"/>
              <w:rPr>
                <w:noProof/>
              </w:rPr>
            </w:pPr>
            <w:r w:rsidRPr="00133050">
              <w:rPr>
                <w:noProof/>
              </w:rPr>
              <w:sym w:font="Wingdings" w:char="F09F"/>
            </w:r>
            <w:r w:rsidRPr="00133050">
              <w:rPr>
                <w:noProof/>
              </w:rPr>
              <w:t xml:space="preserve"> Човешки ресурси </w:t>
            </w:r>
          </w:p>
        </w:tc>
        <w:tc>
          <w:tcPr>
            <w:tcW w:w="750" w:type="dxa"/>
            <w:vAlign w:val="center"/>
          </w:tcPr>
          <w:p w14:paraId="11CB9326" w14:textId="77777777" w:rsidR="002337F9" w:rsidRPr="00133050" w:rsidRDefault="002337F9" w:rsidP="0026218C">
            <w:pPr>
              <w:spacing w:before="20" w:after="20"/>
              <w:jc w:val="center"/>
              <w:rPr>
                <w:noProof/>
                <w:sz w:val="20"/>
              </w:rPr>
            </w:pPr>
            <w:r w:rsidRPr="00133050">
              <w:rPr>
                <w:noProof/>
                <w:sz w:val="20"/>
              </w:rPr>
              <w:t>0,034</w:t>
            </w:r>
          </w:p>
        </w:tc>
        <w:tc>
          <w:tcPr>
            <w:tcW w:w="868" w:type="dxa"/>
            <w:vAlign w:val="center"/>
          </w:tcPr>
          <w:p w14:paraId="49D8DAE4" w14:textId="77777777" w:rsidR="002337F9" w:rsidRPr="00133050" w:rsidRDefault="002337F9" w:rsidP="0026218C">
            <w:pPr>
              <w:spacing w:before="20" w:after="20"/>
              <w:jc w:val="center"/>
              <w:rPr>
                <w:noProof/>
                <w:sz w:val="20"/>
              </w:rPr>
            </w:pPr>
            <w:r w:rsidRPr="00133050">
              <w:rPr>
                <w:noProof/>
                <w:sz w:val="20"/>
              </w:rPr>
              <w:t>0,034</w:t>
            </w:r>
          </w:p>
        </w:tc>
        <w:tc>
          <w:tcPr>
            <w:tcW w:w="868" w:type="dxa"/>
            <w:vAlign w:val="center"/>
          </w:tcPr>
          <w:p w14:paraId="1F523E9D" w14:textId="77777777" w:rsidR="002337F9" w:rsidRPr="00133050" w:rsidRDefault="002337F9" w:rsidP="0026218C">
            <w:pPr>
              <w:spacing w:before="20" w:after="20"/>
              <w:jc w:val="right"/>
              <w:rPr>
                <w:noProof/>
                <w:sz w:val="20"/>
              </w:rPr>
            </w:pPr>
          </w:p>
        </w:tc>
        <w:tc>
          <w:tcPr>
            <w:tcW w:w="868" w:type="dxa"/>
            <w:vAlign w:val="center"/>
          </w:tcPr>
          <w:p w14:paraId="3138C216" w14:textId="77777777" w:rsidR="002337F9" w:rsidRPr="00133050" w:rsidRDefault="002337F9" w:rsidP="0026218C">
            <w:pPr>
              <w:spacing w:before="20" w:after="20"/>
              <w:jc w:val="right"/>
              <w:rPr>
                <w:noProof/>
                <w:sz w:val="20"/>
              </w:rPr>
            </w:pPr>
          </w:p>
        </w:tc>
        <w:tc>
          <w:tcPr>
            <w:tcW w:w="868" w:type="dxa"/>
            <w:vAlign w:val="center"/>
          </w:tcPr>
          <w:p w14:paraId="697A908B" w14:textId="77777777" w:rsidR="002337F9" w:rsidRPr="00133050" w:rsidRDefault="002337F9" w:rsidP="0026218C">
            <w:pPr>
              <w:spacing w:before="20" w:after="20"/>
              <w:jc w:val="right"/>
              <w:rPr>
                <w:noProof/>
                <w:sz w:val="20"/>
              </w:rPr>
            </w:pPr>
          </w:p>
        </w:tc>
        <w:tc>
          <w:tcPr>
            <w:tcW w:w="868" w:type="dxa"/>
            <w:vAlign w:val="center"/>
          </w:tcPr>
          <w:p w14:paraId="1E081A70" w14:textId="77777777" w:rsidR="002337F9" w:rsidRPr="00133050" w:rsidRDefault="002337F9" w:rsidP="0026218C">
            <w:pPr>
              <w:spacing w:before="20" w:after="20"/>
              <w:jc w:val="right"/>
              <w:rPr>
                <w:noProof/>
                <w:sz w:val="20"/>
              </w:rPr>
            </w:pPr>
          </w:p>
        </w:tc>
        <w:tc>
          <w:tcPr>
            <w:tcW w:w="868" w:type="dxa"/>
            <w:vAlign w:val="center"/>
          </w:tcPr>
          <w:p w14:paraId="37EAEA6B" w14:textId="77777777" w:rsidR="002337F9" w:rsidRPr="00133050" w:rsidRDefault="002337F9" w:rsidP="0026218C">
            <w:pPr>
              <w:spacing w:before="20" w:after="20"/>
              <w:jc w:val="right"/>
              <w:rPr>
                <w:b/>
                <w:noProof/>
                <w:sz w:val="20"/>
              </w:rPr>
            </w:pPr>
          </w:p>
        </w:tc>
        <w:tc>
          <w:tcPr>
            <w:tcW w:w="1777" w:type="dxa"/>
            <w:vAlign w:val="center"/>
          </w:tcPr>
          <w:p w14:paraId="4A2FD965" w14:textId="77777777" w:rsidR="002337F9" w:rsidRPr="00133050" w:rsidRDefault="002337F9" w:rsidP="0026218C">
            <w:pPr>
              <w:spacing w:before="20" w:after="20"/>
              <w:jc w:val="center"/>
              <w:rPr>
                <w:b/>
                <w:noProof/>
                <w:sz w:val="20"/>
              </w:rPr>
            </w:pPr>
            <w:r w:rsidRPr="00133050">
              <w:rPr>
                <w:b/>
                <w:noProof/>
                <w:sz w:val="20"/>
              </w:rPr>
              <w:t>0,068</w:t>
            </w:r>
          </w:p>
        </w:tc>
      </w:tr>
      <w:tr w:rsidR="002337F9" w:rsidRPr="00133050" w14:paraId="0BF04CC0" w14:textId="77777777" w:rsidTr="0026218C">
        <w:trPr>
          <w:trHeight w:val="351"/>
        </w:trPr>
        <w:tc>
          <w:tcPr>
            <w:tcW w:w="6172" w:type="dxa"/>
            <w:gridSpan w:val="3"/>
            <w:vAlign w:val="center"/>
          </w:tcPr>
          <w:p w14:paraId="178B0849" w14:textId="77777777" w:rsidR="002337F9" w:rsidRPr="00133050" w:rsidRDefault="002337F9" w:rsidP="0026218C">
            <w:pPr>
              <w:spacing w:before="20" w:after="20"/>
              <w:rPr>
                <w:noProof/>
              </w:rPr>
            </w:pPr>
            <w:r w:rsidRPr="00133050">
              <w:rPr>
                <w:noProof/>
              </w:rPr>
              <w:sym w:font="Wingdings" w:char="F09F"/>
            </w:r>
            <w:r w:rsidRPr="00133050">
              <w:rPr>
                <w:noProof/>
              </w:rPr>
              <w:t> Други административни разходи</w:t>
            </w:r>
          </w:p>
        </w:tc>
        <w:tc>
          <w:tcPr>
            <w:tcW w:w="750" w:type="dxa"/>
            <w:vAlign w:val="center"/>
          </w:tcPr>
          <w:p w14:paraId="4BC99489" w14:textId="77777777" w:rsidR="002337F9" w:rsidRPr="00133050" w:rsidRDefault="002337F9" w:rsidP="0026218C">
            <w:pPr>
              <w:spacing w:before="20" w:after="20"/>
              <w:jc w:val="center"/>
              <w:rPr>
                <w:noProof/>
                <w:sz w:val="20"/>
              </w:rPr>
            </w:pPr>
          </w:p>
        </w:tc>
        <w:tc>
          <w:tcPr>
            <w:tcW w:w="868" w:type="dxa"/>
            <w:vAlign w:val="center"/>
          </w:tcPr>
          <w:p w14:paraId="0F543892" w14:textId="77777777" w:rsidR="002337F9" w:rsidRPr="00133050" w:rsidRDefault="002337F9" w:rsidP="0026218C">
            <w:pPr>
              <w:spacing w:before="20" w:after="20"/>
              <w:jc w:val="center"/>
              <w:rPr>
                <w:noProof/>
                <w:sz w:val="20"/>
              </w:rPr>
            </w:pPr>
          </w:p>
        </w:tc>
        <w:tc>
          <w:tcPr>
            <w:tcW w:w="868" w:type="dxa"/>
            <w:vAlign w:val="center"/>
          </w:tcPr>
          <w:p w14:paraId="2D0AE2A0" w14:textId="77777777" w:rsidR="002337F9" w:rsidRPr="00133050" w:rsidRDefault="002337F9" w:rsidP="0026218C">
            <w:pPr>
              <w:spacing w:before="20" w:after="20"/>
              <w:jc w:val="right"/>
              <w:rPr>
                <w:noProof/>
                <w:sz w:val="20"/>
              </w:rPr>
            </w:pPr>
          </w:p>
        </w:tc>
        <w:tc>
          <w:tcPr>
            <w:tcW w:w="868" w:type="dxa"/>
            <w:vAlign w:val="center"/>
          </w:tcPr>
          <w:p w14:paraId="15A4E6B3" w14:textId="77777777" w:rsidR="002337F9" w:rsidRPr="00133050" w:rsidRDefault="002337F9" w:rsidP="0026218C">
            <w:pPr>
              <w:spacing w:before="20" w:after="20"/>
              <w:jc w:val="right"/>
              <w:rPr>
                <w:noProof/>
                <w:sz w:val="20"/>
              </w:rPr>
            </w:pPr>
          </w:p>
        </w:tc>
        <w:tc>
          <w:tcPr>
            <w:tcW w:w="868" w:type="dxa"/>
            <w:vAlign w:val="center"/>
          </w:tcPr>
          <w:p w14:paraId="72331AF2" w14:textId="77777777" w:rsidR="002337F9" w:rsidRPr="00133050" w:rsidRDefault="002337F9" w:rsidP="0026218C">
            <w:pPr>
              <w:spacing w:before="20" w:after="20"/>
              <w:jc w:val="right"/>
              <w:rPr>
                <w:noProof/>
                <w:sz w:val="20"/>
              </w:rPr>
            </w:pPr>
          </w:p>
        </w:tc>
        <w:tc>
          <w:tcPr>
            <w:tcW w:w="868" w:type="dxa"/>
            <w:vAlign w:val="center"/>
          </w:tcPr>
          <w:p w14:paraId="2D9D9F6A" w14:textId="77777777" w:rsidR="002337F9" w:rsidRPr="00133050" w:rsidRDefault="002337F9" w:rsidP="0026218C">
            <w:pPr>
              <w:spacing w:before="20" w:after="20"/>
              <w:jc w:val="right"/>
              <w:rPr>
                <w:noProof/>
                <w:sz w:val="20"/>
              </w:rPr>
            </w:pPr>
          </w:p>
        </w:tc>
        <w:tc>
          <w:tcPr>
            <w:tcW w:w="868" w:type="dxa"/>
            <w:vAlign w:val="center"/>
          </w:tcPr>
          <w:p w14:paraId="12F975C2" w14:textId="77777777" w:rsidR="002337F9" w:rsidRPr="00133050" w:rsidRDefault="002337F9" w:rsidP="0026218C">
            <w:pPr>
              <w:spacing w:before="20" w:after="20"/>
              <w:jc w:val="right"/>
              <w:rPr>
                <w:noProof/>
                <w:sz w:val="20"/>
              </w:rPr>
            </w:pPr>
          </w:p>
        </w:tc>
        <w:tc>
          <w:tcPr>
            <w:tcW w:w="1777" w:type="dxa"/>
            <w:vAlign w:val="center"/>
          </w:tcPr>
          <w:p w14:paraId="07275B90" w14:textId="77777777" w:rsidR="002337F9" w:rsidRPr="00133050" w:rsidRDefault="002337F9" w:rsidP="0026218C">
            <w:pPr>
              <w:spacing w:before="20" w:after="20"/>
              <w:jc w:val="center"/>
              <w:rPr>
                <w:b/>
                <w:noProof/>
                <w:sz w:val="20"/>
              </w:rPr>
            </w:pPr>
          </w:p>
        </w:tc>
      </w:tr>
      <w:tr w:rsidR="002337F9" w:rsidRPr="00133050" w14:paraId="30FC15ED" w14:textId="77777777" w:rsidTr="0026218C">
        <w:tc>
          <w:tcPr>
            <w:tcW w:w="3960" w:type="dxa"/>
            <w:vAlign w:val="center"/>
          </w:tcPr>
          <w:p w14:paraId="1CBD2663" w14:textId="77777777" w:rsidR="002337F9" w:rsidRPr="00133050" w:rsidRDefault="002337F9" w:rsidP="0026218C">
            <w:pPr>
              <w:jc w:val="center"/>
              <w:rPr>
                <w:b/>
                <w:noProof/>
              </w:rPr>
            </w:pPr>
            <w:r w:rsidRPr="00133050">
              <w:rPr>
                <w:b/>
                <w:noProof/>
              </w:rPr>
              <w:t xml:space="preserve">ОБЩО </w:t>
            </w:r>
          </w:p>
        </w:tc>
        <w:tc>
          <w:tcPr>
            <w:tcW w:w="2212" w:type="dxa"/>
            <w:gridSpan w:val="2"/>
            <w:vAlign w:val="center"/>
          </w:tcPr>
          <w:p w14:paraId="1F766621" w14:textId="77777777" w:rsidR="002337F9" w:rsidRPr="00133050" w:rsidRDefault="002337F9" w:rsidP="0026218C">
            <w:pPr>
              <w:rPr>
                <w:noProof/>
                <w:sz w:val="14"/>
              </w:rPr>
            </w:pPr>
            <w:r w:rsidRPr="00133050">
              <w:rPr>
                <w:noProof/>
                <w:sz w:val="18"/>
              </w:rPr>
              <w:t xml:space="preserve">Бюджетни кредити </w:t>
            </w:r>
          </w:p>
        </w:tc>
        <w:tc>
          <w:tcPr>
            <w:tcW w:w="750" w:type="dxa"/>
            <w:vAlign w:val="center"/>
          </w:tcPr>
          <w:p w14:paraId="1C38C261" w14:textId="77777777" w:rsidR="002337F9" w:rsidRPr="00133050" w:rsidRDefault="002337F9" w:rsidP="0026218C">
            <w:pPr>
              <w:spacing w:before="60" w:after="60"/>
              <w:jc w:val="center"/>
              <w:rPr>
                <w:noProof/>
                <w:sz w:val="20"/>
              </w:rPr>
            </w:pPr>
            <w:r w:rsidRPr="00133050">
              <w:rPr>
                <w:noProof/>
                <w:sz w:val="20"/>
              </w:rPr>
              <w:t>0,034</w:t>
            </w:r>
          </w:p>
        </w:tc>
        <w:tc>
          <w:tcPr>
            <w:tcW w:w="868" w:type="dxa"/>
            <w:vAlign w:val="center"/>
          </w:tcPr>
          <w:p w14:paraId="4885B42B" w14:textId="77777777" w:rsidR="002337F9" w:rsidRPr="00133050" w:rsidRDefault="002337F9" w:rsidP="0026218C">
            <w:pPr>
              <w:spacing w:before="20" w:after="20"/>
              <w:jc w:val="center"/>
              <w:rPr>
                <w:noProof/>
                <w:sz w:val="20"/>
              </w:rPr>
            </w:pPr>
            <w:r w:rsidRPr="00133050">
              <w:rPr>
                <w:noProof/>
                <w:sz w:val="20"/>
              </w:rPr>
              <w:t>0,034</w:t>
            </w:r>
          </w:p>
        </w:tc>
        <w:tc>
          <w:tcPr>
            <w:tcW w:w="868" w:type="dxa"/>
            <w:vAlign w:val="center"/>
          </w:tcPr>
          <w:p w14:paraId="4C5DA08D" w14:textId="77777777" w:rsidR="002337F9" w:rsidRPr="00133050" w:rsidRDefault="002337F9" w:rsidP="0026218C">
            <w:pPr>
              <w:spacing w:before="20" w:after="20"/>
              <w:jc w:val="right"/>
              <w:rPr>
                <w:noProof/>
                <w:sz w:val="20"/>
              </w:rPr>
            </w:pPr>
          </w:p>
        </w:tc>
        <w:tc>
          <w:tcPr>
            <w:tcW w:w="868" w:type="dxa"/>
            <w:vAlign w:val="center"/>
          </w:tcPr>
          <w:p w14:paraId="3EE50D46" w14:textId="77777777" w:rsidR="002337F9" w:rsidRPr="00133050" w:rsidRDefault="002337F9" w:rsidP="0026218C">
            <w:pPr>
              <w:spacing w:before="20" w:after="20"/>
              <w:jc w:val="right"/>
              <w:rPr>
                <w:noProof/>
                <w:sz w:val="20"/>
              </w:rPr>
            </w:pPr>
          </w:p>
        </w:tc>
        <w:tc>
          <w:tcPr>
            <w:tcW w:w="868" w:type="dxa"/>
            <w:vAlign w:val="center"/>
          </w:tcPr>
          <w:p w14:paraId="743B1E47" w14:textId="77777777" w:rsidR="002337F9" w:rsidRPr="00133050" w:rsidRDefault="002337F9" w:rsidP="0026218C">
            <w:pPr>
              <w:spacing w:before="20" w:after="20"/>
              <w:jc w:val="right"/>
              <w:rPr>
                <w:noProof/>
                <w:sz w:val="20"/>
              </w:rPr>
            </w:pPr>
          </w:p>
        </w:tc>
        <w:tc>
          <w:tcPr>
            <w:tcW w:w="868" w:type="dxa"/>
            <w:vAlign w:val="center"/>
          </w:tcPr>
          <w:p w14:paraId="1B05808F" w14:textId="77777777" w:rsidR="002337F9" w:rsidRPr="00133050" w:rsidRDefault="002337F9" w:rsidP="0026218C">
            <w:pPr>
              <w:spacing w:before="20" w:after="20"/>
              <w:jc w:val="right"/>
              <w:rPr>
                <w:noProof/>
                <w:sz w:val="20"/>
              </w:rPr>
            </w:pPr>
          </w:p>
        </w:tc>
        <w:tc>
          <w:tcPr>
            <w:tcW w:w="868" w:type="dxa"/>
            <w:vAlign w:val="center"/>
          </w:tcPr>
          <w:p w14:paraId="3D219DAE" w14:textId="77777777" w:rsidR="002337F9" w:rsidRPr="00133050" w:rsidRDefault="002337F9" w:rsidP="0026218C">
            <w:pPr>
              <w:spacing w:before="20" w:after="20"/>
              <w:jc w:val="right"/>
              <w:rPr>
                <w:noProof/>
                <w:sz w:val="20"/>
              </w:rPr>
            </w:pPr>
          </w:p>
        </w:tc>
        <w:tc>
          <w:tcPr>
            <w:tcW w:w="1777" w:type="dxa"/>
            <w:vAlign w:val="center"/>
          </w:tcPr>
          <w:p w14:paraId="4DAAEABC" w14:textId="77777777" w:rsidR="002337F9" w:rsidRPr="00133050" w:rsidRDefault="002337F9" w:rsidP="0026218C">
            <w:pPr>
              <w:spacing w:before="20" w:after="20"/>
              <w:jc w:val="center"/>
              <w:rPr>
                <w:b/>
                <w:noProof/>
                <w:sz w:val="20"/>
              </w:rPr>
            </w:pPr>
            <w:r w:rsidRPr="00133050">
              <w:rPr>
                <w:b/>
                <w:noProof/>
                <w:sz w:val="20"/>
              </w:rPr>
              <w:t>0,068</w:t>
            </w:r>
          </w:p>
        </w:tc>
      </w:tr>
    </w:tbl>
    <w:p w14:paraId="51E1E097" w14:textId="77777777" w:rsidR="002337F9" w:rsidRPr="00133050" w:rsidRDefault="002337F9" w:rsidP="002337F9">
      <w:pPr>
        <w:rPr>
          <w:noProof/>
        </w:rPr>
      </w:pPr>
    </w:p>
    <w:tbl>
      <w:tblPr>
        <w:tblW w:w="1390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652"/>
        <w:gridCol w:w="750"/>
        <w:gridCol w:w="868"/>
        <w:gridCol w:w="868"/>
        <w:gridCol w:w="868"/>
        <w:gridCol w:w="868"/>
        <w:gridCol w:w="868"/>
        <w:gridCol w:w="868"/>
        <w:gridCol w:w="1777"/>
      </w:tblGrid>
      <w:tr w:rsidR="002337F9" w:rsidRPr="00133050" w14:paraId="4786DBA7" w14:textId="77777777" w:rsidTr="0026218C">
        <w:tc>
          <w:tcPr>
            <w:tcW w:w="3960" w:type="dxa"/>
            <w:tcBorders>
              <w:top w:val="nil"/>
              <w:left w:val="nil"/>
              <w:right w:val="nil"/>
            </w:tcBorders>
            <w:vAlign w:val="center"/>
          </w:tcPr>
          <w:p w14:paraId="6171E33C" w14:textId="77777777" w:rsidR="002337F9" w:rsidRPr="00133050" w:rsidRDefault="002337F9" w:rsidP="0026218C">
            <w:pPr>
              <w:jc w:val="center"/>
              <w:rPr>
                <w:noProof/>
              </w:rPr>
            </w:pPr>
          </w:p>
        </w:tc>
        <w:tc>
          <w:tcPr>
            <w:tcW w:w="1560" w:type="dxa"/>
            <w:tcBorders>
              <w:top w:val="nil"/>
              <w:left w:val="nil"/>
              <w:right w:val="nil"/>
            </w:tcBorders>
          </w:tcPr>
          <w:p w14:paraId="69276197" w14:textId="77777777" w:rsidR="002337F9" w:rsidRPr="00133050" w:rsidRDefault="002337F9" w:rsidP="0026218C">
            <w:pPr>
              <w:rPr>
                <w:noProof/>
                <w:sz w:val="20"/>
              </w:rPr>
            </w:pPr>
          </w:p>
        </w:tc>
        <w:tc>
          <w:tcPr>
            <w:tcW w:w="652" w:type="dxa"/>
            <w:tcBorders>
              <w:top w:val="nil"/>
              <w:left w:val="nil"/>
            </w:tcBorders>
          </w:tcPr>
          <w:p w14:paraId="26D7D42B" w14:textId="77777777" w:rsidR="002337F9" w:rsidRPr="00133050" w:rsidRDefault="002337F9" w:rsidP="0026218C">
            <w:pPr>
              <w:jc w:val="center"/>
              <w:rPr>
                <w:noProof/>
                <w:sz w:val="20"/>
              </w:rPr>
            </w:pPr>
          </w:p>
        </w:tc>
        <w:tc>
          <w:tcPr>
            <w:tcW w:w="750" w:type="dxa"/>
            <w:vAlign w:val="center"/>
          </w:tcPr>
          <w:p w14:paraId="40F34831" w14:textId="77777777" w:rsidR="002337F9" w:rsidRPr="00133050" w:rsidRDefault="002337F9" w:rsidP="0026218C">
            <w:pPr>
              <w:jc w:val="center"/>
              <w:rPr>
                <w:noProof/>
                <w:sz w:val="20"/>
              </w:rPr>
            </w:pPr>
            <w:r w:rsidRPr="00133050">
              <w:rPr>
                <w:b/>
                <w:noProof/>
                <w:sz w:val="20"/>
              </w:rPr>
              <w:t>2026 г.</w:t>
            </w:r>
          </w:p>
        </w:tc>
        <w:tc>
          <w:tcPr>
            <w:tcW w:w="868" w:type="dxa"/>
            <w:vAlign w:val="center"/>
          </w:tcPr>
          <w:p w14:paraId="50256015" w14:textId="77777777" w:rsidR="002337F9" w:rsidRPr="00133050" w:rsidRDefault="002337F9" w:rsidP="0026218C">
            <w:pPr>
              <w:jc w:val="center"/>
              <w:rPr>
                <w:noProof/>
                <w:sz w:val="20"/>
              </w:rPr>
            </w:pPr>
            <w:r w:rsidRPr="00133050">
              <w:rPr>
                <w:b/>
                <w:noProof/>
                <w:sz w:val="20"/>
              </w:rPr>
              <w:t>2027 г.</w:t>
            </w:r>
          </w:p>
        </w:tc>
        <w:tc>
          <w:tcPr>
            <w:tcW w:w="868" w:type="dxa"/>
            <w:vAlign w:val="center"/>
          </w:tcPr>
          <w:p w14:paraId="44E3EF21" w14:textId="77777777" w:rsidR="002337F9" w:rsidRPr="00133050" w:rsidRDefault="002337F9" w:rsidP="0026218C">
            <w:pPr>
              <w:jc w:val="center"/>
              <w:rPr>
                <w:noProof/>
                <w:sz w:val="20"/>
              </w:rPr>
            </w:pPr>
          </w:p>
        </w:tc>
        <w:tc>
          <w:tcPr>
            <w:tcW w:w="868" w:type="dxa"/>
            <w:vAlign w:val="center"/>
          </w:tcPr>
          <w:p w14:paraId="7759953C" w14:textId="77777777" w:rsidR="002337F9" w:rsidRPr="00133050" w:rsidRDefault="002337F9" w:rsidP="0026218C">
            <w:pPr>
              <w:jc w:val="center"/>
              <w:rPr>
                <w:noProof/>
                <w:sz w:val="20"/>
              </w:rPr>
            </w:pPr>
          </w:p>
        </w:tc>
        <w:tc>
          <w:tcPr>
            <w:tcW w:w="868" w:type="dxa"/>
            <w:vAlign w:val="center"/>
          </w:tcPr>
          <w:p w14:paraId="42BF0D3E" w14:textId="77777777" w:rsidR="002337F9" w:rsidRPr="00133050" w:rsidRDefault="002337F9" w:rsidP="0026218C">
            <w:pPr>
              <w:jc w:val="center"/>
              <w:rPr>
                <w:b/>
                <w:noProof/>
                <w:sz w:val="18"/>
              </w:rPr>
            </w:pPr>
          </w:p>
        </w:tc>
        <w:tc>
          <w:tcPr>
            <w:tcW w:w="868" w:type="dxa"/>
            <w:vAlign w:val="center"/>
          </w:tcPr>
          <w:p w14:paraId="366BD379" w14:textId="77777777" w:rsidR="002337F9" w:rsidRPr="00133050" w:rsidRDefault="002337F9" w:rsidP="0026218C">
            <w:pPr>
              <w:jc w:val="center"/>
              <w:rPr>
                <w:b/>
                <w:noProof/>
                <w:sz w:val="18"/>
              </w:rPr>
            </w:pPr>
          </w:p>
        </w:tc>
        <w:tc>
          <w:tcPr>
            <w:tcW w:w="868" w:type="dxa"/>
            <w:vAlign w:val="center"/>
          </w:tcPr>
          <w:p w14:paraId="619C9B87" w14:textId="77777777" w:rsidR="002337F9" w:rsidRPr="00133050" w:rsidRDefault="002337F9" w:rsidP="0026218C">
            <w:pPr>
              <w:jc w:val="center"/>
              <w:rPr>
                <w:b/>
                <w:noProof/>
                <w:sz w:val="18"/>
              </w:rPr>
            </w:pPr>
          </w:p>
        </w:tc>
        <w:tc>
          <w:tcPr>
            <w:tcW w:w="1777" w:type="dxa"/>
            <w:vAlign w:val="center"/>
          </w:tcPr>
          <w:p w14:paraId="50076A53" w14:textId="77777777" w:rsidR="002337F9" w:rsidRPr="00133050" w:rsidRDefault="002337F9" w:rsidP="0026218C">
            <w:pPr>
              <w:jc w:val="center"/>
              <w:rPr>
                <w:b/>
                <w:noProof/>
                <w:sz w:val="20"/>
              </w:rPr>
            </w:pPr>
            <w:r w:rsidRPr="00133050">
              <w:rPr>
                <w:b/>
                <w:noProof/>
                <w:sz w:val="20"/>
              </w:rPr>
              <w:t>ОБЩО</w:t>
            </w:r>
          </w:p>
        </w:tc>
      </w:tr>
      <w:tr w:rsidR="002337F9" w:rsidRPr="00133050" w14:paraId="46D521F0" w14:textId="77777777" w:rsidTr="0026218C">
        <w:trPr>
          <w:gridAfter w:val="8"/>
          <w:wAfter w:w="7735" w:type="dxa"/>
        </w:trPr>
        <w:tc>
          <w:tcPr>
            <w:tcW w:w="3960" w:type="dxa"/>
            <w:vAlign w:val="center"/>
          </w:tcPr>
          <w:p w14:paraId="1BA565EB" w14:textId="77777777" w:rsidR="002337F9" w:rsidRPr="00133050" w:rsidRDefault="002337F9" w:rsidP="0026218C">
            <w:pPr>
              <w:spacing w:before="60" w:after="60"/>
              <w:jc w:val="center"/>
              <w:rPr>
                <w:noProof/>
              </w:rPr>
            </w:pPr>
            <w:r w:rsidRPr="00133050">
              <w:rPr>
                <w:noProof/>
              </w:rPr>
              <w:t>ГД „Земеделие и развитие на селските райони“</w:t>
            </w:r>
          </w:p>
        </w:tc>
        <w:tc>
          <w:tcPr>
            <w:tcW w:w="2212" w:type="dxa"/>
            <w:gridSpan w:val="2"/>
          </w:tcPr>
          <w:p w14:paraId="3343B074" w14:textId="77777777" w:rsidR="002337F9" w:rsidRPr="00133050" w:rsidRDefault="002337F9" w:rsidP="0026218C">
            <w:pPr>
              <w:spacing w:before="60" w:after="60"/>
              <w:jc w:val="center"/>
              <w:rPr>
                <w:noProof/>
              </w:rPr>
            </w:pPr>
          </w:p>
        </w:tc>
      </w:tr>
      <w:tr w:rsidR="002337F9" w:rsidRPr="00133050" w14:paraId="1308ABE4" w14:textId="77777777" w:rsidTr="0026218C">
        <w:trPr>
          <w:trHeight w:val="313"/>
        </w:trPr>
        <w:tc>
          <w:tcPr>
            <w:tcW w:w="6172" w:type="dxa"/>
            <w:gridSpan w:val="3"/>
            <w:vAlign w:val="center"/>
          </w:tcPr>
          <w:p w14:paraId="7983DF2F" w14:textId="77777777" w:rsidR="002337F9" w:rsidRPr="00133050" w:rsidRDefault="002337F9" w:rsidP="0026218C">
            <w:pPr>
              <w:spacing w:before="20" w:after="20"/>
              <w:rPr>
                <w:noProof/>
              </w:rPr>
            </w:pPr>
            <w:r w:rsidRPr="00133050">
              <w:rPr>
                <w:noProof/>
              </w:rPr>
              <w:sym w:font="Wingdings" w:char="F09F"/>
            </w:r>
            <w:r w:rsidRPr="00133050">
              <w:rPr>
                <w:noProof/>
              </w:rPr>
              <w:t xml:space="preserve"> Човешки ресурси </w:t>
            </w:r>
          </w:p>
        </w:tc>
        <w:tc>
          <w:tcPr>
            <w:tcW w:w="750" w:type="dxa"/>
            <w:vAlign w:val="center"/>
          </w:tcPr>
          <w:p w14:paraId="5315F699" w14:textId="77777777" w:rsidR="002337F9" w:rsidRPr="00133050" w:rsidRDefault="002337F9" w:rsidP="0026218C">
            <w:pPr>
              <w:spacing w:before="20" w:after="20"/>
              <w:jc w:val="center"/>
              <w:rPr>
                <w:noProof/>
                <w:sz w:val="20"/>
              </w:rPr>
            </w:pPr>
            <w:r w:rsidRPr="00133050">
              <w:rPr>
                <w:noProof/>
                <w:sz w:val="20"/>
              </w:rPr>
              <w:t>0,017</w:t>
            </w:r>
          </w:p>
        </w:tc>
        <w:tc>
          <w:tcPr>
            <w:tcW w:w="868" w:type="dxa"/>
            <w:vAlign w:val="center"/>
          </w:tcPr>
          <w:p w14:paraId="0CA23469" w14:textId="77777777" w:rsidR="002337F9" w:rsidRPr="00133050" w:rsidRDefault="002337F9" w:rsidP="0026218C">
            <w:pPr>
              <w:spacing w:before="20" w:after="20"/>
              <w:jc w:val="center"/>
              <w:rPr>
                <w:noProof/>
                <w:sz w:val="20"/>
              </w:rPr>
            </w:pPr>
            <w:r w:rsidRPr="00133050">
              <w:rPr>
                <w:noProof/>
                <w:sz w:val="20"/>
              </w:rPr>
              <w:t>0,017</w:t>
            </w:r>
          </w:p>
        </w:tc>
        <w:tc>
          <w:tcPr>
            <w:tcW w:w="868" w:type="dxa"/>
            <w:vAlign w:val="center"/>
          </w:tcPr>
          <w:p w14:paraId="45C1580A" w14:textId="77777777" w:rsidR="002337F9" w:rsidRPr="00133050" w:rsidRDefault="002337F9" w:rsidP="0026218C">
            <w:pPr>
              <w:spacing w:before="20" w:after="20"/>
              <w:jc w:val="right"/>
              <w:rPr>
                <w:noProof/>
                <w:sz w:val="20"/>
              </w:rPr>
            </w:pPr>
          </w:p>
        </w:tc>
        <w:tc>
          <w:tcPr>
            <w:tcW w:w="868" w:type="dxa"/>
            <w:vAlign w:val="center"/>
          </w:tcPr>
          <w:p w14:paraId="255B64CE" w14:textId="77777777" w:rsidR="002337F9" w:rsidRPr="00133050" w:rsidRDefault="002337F9" w:rsidP="0026218C">
            <w:pPr>
              <w:spacing w:before="20" w:after="20"/>
              <w:jc w:val="right"/>
              <w:rPr>
                <w:noProof/>
                <w:sz w:val="20"/>
              </w:rPr>
            </w:pPr>
          </w:p>
        </w:tc>
        <w:tc>
          <w:tcPr>
            <w:tcW w:w="868" w:type="dxa"/>
            <w:vAlign w:val="center"/>
          </w:tcPr>
          <w:p w14:paraId="3E36FF43" w14:textId="77777777" w:rsidR="002337F9" w:rsidRPr="00133050" w:rsidRDefault="002337F9" w:rsidP="0026218C">
            <w:pPr>
              <w:spacing w:before="20" w:after="20"/>
              <w:jc w:val="right"/>
              <w:rPr>
                <w:noProof/>
                <w:sz w:val="20"/>
              </w:rPr>
            </w:pPr>
          </w:p>
        </w:tc>
        <w:tc>
          <w:tcPr>
            <w:tcW w:w="868" w:type="dxa"/>
            <w:vAlign w:val="center"/>
          </w:tcPr>
          <w:p w14:paraId="5EEB91AB" w14:textId="77777777" w:rsidR="002337F9" w:rsidRPr="00133050" w:rsidRDefault="002337F9" w:rsidP="0026218C">
            <w:pPr>
              <w:spacing w:before="20" w:after="20"/>
              <w:jc w:val="right"/>
              <w:rPr>
                <w:noProof/>
                <w:sz w:val="20"/>
              </w:rPr>
            </w:pPr>
          </w:p>
        </w:tc>
        <w:tc>
          <w:tcPr>
            <w:tcW w:w="868" w:type="dxa"/>
            <w:vAlign w:val="center"/>
          </w:tcPr>
          <w:p w14:paraId="0E402F48" w14:textId="77777777" w:rsidR="002337F9" w:rsidRPr="00133050" w:rsidRDefault="002337F9" w:rsidP="0026218C">
            <w:pPr>
              <w:spacing w:before="20" w:after="20"/>
              <w:jc w:val="right"/>
              <w:rPr>
                <w:b/>
                <w:noProof/>
                <w:sz w:val="20"/>
              </w:rPr>
            </w:pPr>
          </w:p>
        </w:tc>
        <w:tc>
          <w:tcPr>
            <w:tcW w:w="1777" w:type="dxa"/>
            <w:vAlign w:val="center"/>
          </w:tcPr>
          <w:p w14:paraId="4F628EAF" w14:textId="77777777" w:rsidR="002337F9" w:rsidRPr="00133050" w:rsidRDefault="002337F9" w:rsidP="0026218C">
            <w:pPr>
              <w:spacing w:before="20" w:after="20"/>
              <w:jc w:val="center"/>
              <w:rPr>
                <w:b/>
                <w:noProof/>
                <w:sz w:val="20"/>
              </w:rPr>
            </w:pPr>
            <w:r w:rsidRPr="00133050">
              <w:rPr>
                <w:b/>
                <w:noProof/>
                <w:sz w:val="20"/>
              </w:rPr>
              <w:t>0,034</w:t>
            </w:r>
          </w:p>
        </w:tc>
      </w:tr>
      <w:tr w:rsidR="002337F9" w:rsidRPr="00133050" w14:paraId="213F49B4" w14:textId="77777777" w:rsidTr="0026218C">
        <w:trPr>
          <w:trHeight w:val="351"/>
        </w:trPr>
        <w:tc>
          <w:tcPr>
            <w:tcW w:w="6172" w:type="dxa"/>
            <w:gridSpan w:val="3"/>
            <w:vAlign w:val="center"/>
          </w:tcPr>
          <w:p w14:paraId="4EB6F4E9" w14:textId="77777777" w:rsidR="002337F9" w:rsidRPr="00133050" w:rsidRDefault="002337F9" w:rsidP="0026218C">
            <w:pPr>
              <w:spacing w:before="20" w:after="20"/>
              <w:rPr>
                <w:noProof/>
              </w:rPr>
            </w:pPr>
            <w:r w:rsidRPr="00133050">
              <w:rPr>
                <w:noProof/>
              </w:rPr>
              <w:sym w:font="Wingdings" w:char="F09F"/>
            </w:r>
            <w:r w:rsidRPr="00133050">
              <w:rPr>
                <w:noProof/>
              </w:rPr>
              <w:t> Други административни разходи</w:t>
            </w:r>
          </w:p>
        </w:tc>
        <w:tc>
          <w:tcPr>
            <w:tcW w:w="750" w:type="dxa"/>
            <w:vAlign w:val="center"/>
          </w:tcPr>
          <w:p w14:paraId="5BDE797E" w14:textId="77777777" w:rsidR="002337F9" w:rsidRPr="00133050" w:rsidRDefault="002337F9" w:rsidP="0026218C">
            <w:pPr>
              <w:spacing w:before="20" w:after="20"/>
              <w:jc w:val="center"/>
              <w:rPr>
                <w:noProof/>
                <w:sz w:val="20"/>
              </w:rPr>
            </w:pPr>
          </w:p>
        </w:tc>
        <w:tc>
          <w:tcPr>
            <w:tcW w:w="868" w:type="dxa"/>
            <w:vAlign w:val="center"/>
          </w:tcPr>
          <w:p w14:paraId="00E7B15E" w14:textId="77777777" w:rsidR="002337F9" w:rsidRPr="00133050" w:rsidRDefault="002337F9" w:rsidP="0026218C">
            <w:pPr>
              <w:spacing w:before="20" w:after="20"/>
              <w:jc w:val="center"/>
              <w:rPr>
                <w:noProof/>
                <w:sz w:val="20"/>
              </w:rPr>
            </w:pPr>
          </w:p>
        </w:tc>
        <w:tc>
          <w:tcPr>
            <w:tcW w:w="868" w:type="dxa"/>
            <w:vAlign w:val="center"/>
          </w:tcPr>
          <w:p w14:paraId="538C076A" w14:textId="77777777" w:rsidR="002337F9" w:rsidRPr="00133050" w:rsidRDefault="002337F9" w:rsidP="0026218C">
            <w:pPr>
              <w:spacing w:before="20" w:after="20"/>
              <w:jc w:val="right"/>
              <w:rPr>
                <w:noProof/>
                <w:sz w:val="20"/>
              </w:rPr>
            </w:pPr>
          </w:p>
        </w:tc>
        <w:tc>
          <w:tcPr>
            <w:tcW w:w="868" w:type="dxa"/>
            <w:vAlign w:val="center"/>
          </w:tcPr>
          <w:p w14:paraId="3E05440D" w14:textId="77777777" w:rsidR="002337F9" w:rsidRPr="00133050" w:rsidRDefault="002337F9" w:rsidP="0026218C">
            <w:pPr>
              <w:spacing w:before="20" w:after="20"/>
              <w:jc w:val="right"/>
              <w:rPr>
                <w:noProof/>
                <w:sz w:val="20"/>
              </w:rPr>
            </w:pPr>
          </w:p>
        </w:tc>
        <w:tc>
          <w:tcPr>
            <w:tcW w:w="868" w:type="dxa"/>
            <w:vAlign w:val="center"/>
          </w:tcPr>
          <w:p w14:paraId="6B108428" w14:textId="77777777" w:rsidR="002337F9" w:rsidRPr="00133050" w:rsidRDefault="002337F9" w:rsidP="0026218C">
            <w:pPr>
              <w:spacing w:before="20" w:after="20"/>
              <w:jc w:val="right"/>
              <w:rPr>
                <w:noProof/>
                <w:sz w:val="20"/>
              </w:rPr>
            </w:pPr>
          </w:p>
        </w:tc>
        <w:tc>
          <w:tcPr>
            <w:tcW w:w="868" w:type="dxa"/>
            <w:vAlign w:val="center"/>
          </w:tcPr>
          <w:p w14:paraId="73AADFC6" w14:textId="77777777" w:rsidR="002337F9" w:rsidRPr="00133050" w:rsidRDefault="002337F9" w:rsidP="0026218C">
            <w:pPr>
              <w:spacing w:before="20" w:after="20"/>
              <w:jc w:val="right"/>
              <w:rPr>
                <w:noProof/>
                <w:sz w:val="20"/>
              </w:rPr>
            </w:pPr>
          </w:p>
        </w:tc>
        <w:tc>
          <w:tcPr>
            <w:tcW w:w="868" w:type="dxa"/>
            <w:vAlign w:val="center"/>
          </w:tcPr>
          <w:p w14:paraId="7D57A8D6" w14:textId="77777777" w:rsidR="002337F9" w:rsidRPr="00133050" w:rsidRDefault="002337F9" w:rsidP="0026218C">
            <w:pPr>
              <w:spacing w:before="20" w:after="20"/>
              <w:jc w:val="right"/>
              <w:rPr>
                <w:noProof/>
                <w:sz w:val="20"/>
              </w:rPr>
            </w:pPr>
          </w:p>
        </w:tc>
        <w:tc>
          <w:tcPr>
            <w:tcW w:w="1777" w:type="dxa"/>
            <w:vAlign w:val="center"/>
          </w:tcPr>
          <w:p w14:paraId="26F507F7" w14:textId="77777777" w:rsidR="002337F9" w:rsidRPr="00133050" w:rsidRDefault="002337F9" w:rsidP="0026218C">
            <w:pPr>
              <w:spacing w:before="20" w:after="20"/>
              <w:jc w:val="center"/>
              <w:rPr>
                <w:b/>
                <w:noProof/>
                <w:sz w:val="20"/>
              </w:rPr>
            </w:pPr>
          </w:p>
        </w:tc>
      </w:tr>
      <w:tr w:rsidR="002337F9" w:rsidRPr="00133050" w14:paraId="7C3F4008" w14:textId="77777777" w:rsidTr="0026218C">
        <w:tc>
          <w:tcPr>
            <w:tcW w:w="3960" w:type="dxa"/>
            <w:vAlign w:val="center"/>
          </w:tcPr>
          <w:p w14:paraId="13FB2FFF" w14:textId="77777777" w:rsidR="002337F9" w:rsidRPr="00133050" w:rsidRDefault="002337F9" w:rsidP="0026218C">
            <w:pPr>
              <w:jc w:val="center"/>
              <w:rPr>
                <w:b/>
                <w:noProof/>
              </w:rPr>
            </w:pPr>
            <w:r w:rsidRPr="00133050">
              <w:rPr>
                <w:b/>
                <w:noProof/>
              </w:rPr>
              <w:t xml:space="preserve">ОБЩО </w:t>
            </w:r>
          </w:p>
        </w:tc>
        <w:tc>
          <w:tcPr>
            <w:tcW w:w="2212" w:type="dxa"/>
            <w:gridSpan w:val="2"/>
            <w:vAlign w:val="center"/>
          </w:tcPr>
          <w:p w14:paraId="266D068E" w14:textId="77777777" w:rsidR="002337F9" w:rsidRPr="00133050" w:rsidRDefault="002337F9" w:rsidP="0026218C">
            <w:pPr>
              <w:rPr>
                <w:noProof/>
                <w:sz w:val="14"/>
              </w:rPr>
            </w:pPr>
            <w:r w:rsidRPr="00133050">
              <w:rPr>
                <w:noProof/>
                <w:sz w:val="18"/>
              </w:rPr>
              <w:t xml:space="preserve">Бюджетни кредити </w:t>
            </w:r>
          </w:p>
        </w:tc>
        <w:tc>
          <w:tcPr>
            <w:tcW w:w="750" w:type="dxa"/>
            <w:vAlign w:val="center"/>
          </w:tcPr>
          <w:p w14:paraId="3FA142EA" w14:textId="77777777" w:rsidR="002337F9" w:rsidRPr="00133050" w:rsidRDefault="002337F9" w:rsidP="0026218C">
            <w:pPr>
              <w:spacing w:before="60" w:after="60"/>
              <w:jc w:val="center"/>
              <w:rPr>
                <w:noProof/>
                <w:sz w:val="20"/>
              </w:rPr>
            </w:pPr>
            <w:r w:rsidRPr="00133050">
              <w:rPr>
                <w:noProof/>
                <w:sz w:val="20"/>
              </w:rPr>
              <w:t>0,017</w:t>
            </w:r>
          </w:p>
        </w:tc>
        <w:tc>
          <w:tcPr>
            <w:tcW w:w="868" w:type="dxa"/>
            <w:vAlign w:val="center"/>
          </w:tcPr>
          <w:p w14:paraId="2890CFDE" w14:textId="77777777" w:rsidR="002337F9" w:rsidRPr="00133050" w:rsidRDefault="002337F9" w:rsidP="0026218C">
            <w:pPr>
              <w:spacing w:before="20" w:after="20"/>
              <w:jc w:val="center"/>
              <w:rPr>
                <w:noProof/>
                <w:sz w:val="20"/>
              </w:rPr>
            </w:pPr>
            <w:r w:rsidRPr="00133050">
              <w:rPr>
                <w:noProof/>
                <w:sz w:val="20"/>
              </w:rPr>
              <w:t>0,017</w:t>
            </w:r>
          </w:p>
        </w:tc>
        <w:tc>
          <w:tcPr>
            <w:tcW w:w="868" w:type="dxa"/>
            <w:vAlign w:val="center"/>
          </w:tcPr>
          <w:p w14:paraId="56834EB7" w14:textId="77777777" w:rsidR="002337F9" w:rsidRPr="00133050" w:rsidRDefault="002337F9" w:rsidP="0026218C">
            <w:pPr>
              <w:spacing w:before="20" w:after="20"/>
              <w:jc w:val="right"/>
              <w:rPr>
                <w:noProof/>
                <w:sz w:val="20"/>
              </w:rPr>
            </w:pPr>
          </w:p>
        </w:tc>
        <w:tc>
          <w:tcPr>
            <w:tcW w:w="868" w:type="dxa"/>
            <w:vAlign w:val="center"/>
          </w:tcPr>
          <w:p w14:paraId="066F9EDF" w14:textId="77777777" w:rsidR="002337F9" w:rsidRPr="00133050" w:rsidRDefault="002337F9" w:rsidP="0026218C">
            <w:pPr>
              <w:spacing w:before="20" w:after="20"/>
              <w:jc w:val="right"/>
              <w:rPr>
                <w:noProof/>
                <w:sz w:val="20"/>
              </w:rPr>
            </w:pPr>
          </w:p>
        </w:tc>
        <w:tc>
          <w:tcPr>
            <w:tcW w:w="868" w:type="dxa"/>
            <w:vAlign w:val="center"/>
          </w:tcPr>
          <w:p w14:paraId="032E8311" w14:textId="77777777" w:rsidR="002337F9" w:rsidRPr="00133050" w:rsidRDefault="002337F9" w:rsidP="0026218C">
            <w:pPr>
              <w:spacing w:before="20" w:after="20"/>
              <w:jc w:val="right"/>
              <w:rPr>
                <w:noProof/>
                <w:sz w:val="20"/>
              </w:rPr>
            </w:pPr>
          </w:p>
        </w:tc>
        <w:tc>
          <w:tcPr>
            <w:tcW w:w="868" w:type="dxa"/>
            <w:vAlign w:val="center"/>
          </w:tcPr>
          <w:p w14:paraId="2A66E38A" w14:textId="77777777" w:rsidR="002337F9" w:rsidRPr="00133050" w:rsidRDefault="002337F9" w:rsidP="0026218C">
            <w:pPr>
              <w:spacing w:before="20" w:after="20"/>
              <w:jc w:val="right"/>
              <w:rPr>
                <w:noProof/>
                <w:sz w:val="20"/>
              </w:rPr>
            </w:pPr>
          </w:p>
        </w:tc>
        <w:tc>
          <w:tcPr>
            <w:tcW w:w="868" w:type="dxa"/>
            <w:vAlign w:val="center"/>
          </w:tcPr>
          <w:p w14:paraId="48340019" w14:textId="77777777" w:rsidR="002337F9" w:rsidRPr="00133050" w:rsidRDefault="002337F9" w:rsidP="0026218C">
            <w:pPr>
              <w:spacing w:before="20" w:after="20"/>
              <w:jc w:val="right"/>
              <w:rPr>
                <w:noProof/>
                <w:sz w:val="20"/>
              </w:rPr>
            </w:pPr>
          </w:p>
        </w:tc>
        <w:tc>
          <w:tcPr>
            <w:tcW w:w="1777" w:type="dxa"/>
            <w:vAlign w:val="center"/>
          </w:tcPr>
          <w:p w14:paraId="0DF49D32" w14:textId="77777777" w:rsidR="002337F9" w:rsidRPr="00133050" w:rsidRDefault="002337F9" w:rsidP="0026218C">
            <w:pPr>
              <w:spacing w:before="20" w:after="20"/>
              <w:jc w:val="center"/>
              <w:rPr>
                <w:b/>
                <w:noProof/>
                <w:sz w:val="20"/>
              </w:rPr>
            </w:pPr>
            <w:r w:rsidRPr="00133050">
              <w:rPr>
                <w:b/>
                <w:noProof/>
                <w:sz w:val="20"/>
              </w:rPr>
              <w:t>0,034</w:t>
            </w:r>
          </w:p>
        </w:tc>
      </w:tr>
    </w:tbl>
    <w:p w14:paraId="21886DF1" w14:textId="77777777" w:rsidR="002337F9" w:rsidRPr="00133050" w:rsidRDefault="002337F9" w:rsidP="002337F9">
      <w:pPr>
        <w:rPr>
          <w:noProof/>
        </w:rPr>
      </w:pPr>
    </w:p>
    <w:tbl>
      <w:tblPr>
        <w:tblW w:w="1390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652"/>
        <w:gridCol w:w="750"/>
        <w:gridCol w:w="868"/>
        <w:gridCol w:w="868"/>
        <w:gridCol w:w="868"/>
        <w:gridCol w:w="868"/>
        <w:gridCol w:w="868"/>
        <w:gridCol w:w="868"/>
        <w:gridCol w:w="1777"/>
      </w:tblGrid>
      <w:tr w:rsidR="002337F9" w:rsidRPr="00133050" w14:paraId="36B60F34" w14:textId="77777777" w:rsidTr="0026218C">
        <w:tc>
          <w:tcPr>
            <w:tcW w:w="3960" w:type="dxa"/>
            <w:tcBorders>
              <w:top w:val="nil"/>
              <w:left w:val="nil"/>
              <w:right w:val="nil"/>
            </w:tcBorders>
            <w:vAlign w:val="center"/>
          </w:tcPr>
          <w:p w14:paraId="09EE73EC" w14:textId="77777777" w:rsidR="002337F9" w:rsidRPr="00133050" w:rsidRDefault="002337F9" w:rsidP="0026218C">
            <w:pPr>
              <w:jc w:val="center"/>
              <w:rPr>
                <w:noProof/>
              </w:rPr>
            </w:pPr>
          </w:p>
        </w:tc>
        <w:tc>
          <w:tcPr>
            <w:tcW w:w="1560" w:type="dxa"/>
            <w:tcBorders>
              <w:top w:val="nil"/>
              <w:left w:val="nil"/>
              <w:right w:val="nil"/>
            </w:tcBorders>
          </w:tcPr>
          <w:p w14:paraId="1BE1CF25" w14:textId="77777777" w:rsidR="002337F9" w:rsidRPr="00133050" w:rsidRDefault="002337F9" w:rsidP="0026218C">
            <w:pPr>
              <w:rPr>
                <w:noProof/>
                <w:sz w:val="20"/>
              </w:rPr>
            </w:pPr>
          </w:p>
        </w:tc>
        <w:tc>
          <w:tcPr>
            <w:tcW w:w="652" w:type="dxa"/>
            <w:tcBorders>
              <w:top w:val="nil"/>
              <w:left w:val="nil"/>
            </w:tcBorders>
          </w:tcPr>
          <w:p w14:paraId="40D490F0" w14:textId="77777777" w:rsidR="002337F9" w:rsidRPr="00133050" w:rsidRDefault="002337F9" w:rsidP="0026218C">
            <w:pPr>
              <w:jc w:val="center"/>
              <w:rPr>
                <w:noProof/>
                <w:sz w:val="20"/>
              </w:rPr>
            </w:pPr>
          </w:p>
        </w:tc>
        <w:tc>
          <w:tcPr>
            <w:tcW w:w="750" w:type="dxa"/>
            <w:vAlign w:val="center"/>
          </w:tcPr>
          <w:p w14:paraId="35C92081" w14:textId="77777777" w:rsidR="002337F9" w:rsidRPr="00133050" w:rsidRDefault="002337F9" w:rsidP="0026218C">
            <w:pPr>
              <w:jc w:val="center"/>
              <w:rPr>
                <w:noProof/>
                <w:sz w:val="20"/>
              </w:rPr>
            </w:pPr>
            <w:r w:rsidRPr="00133050">
              <w:rPr>
                <w:b/>
                <w:noProof/>
                <w:sz w:val="20"/>
              </w:rPr>
              <w:t>2026 г.</w:t>
            </w:r>
          </w:p>
        </w:tc>
        <w:tc>
          <w:tcPr>
            <w:tcW w:w="868" w:type="dxa"/>
            <w:vAlign w:val="center"/>
          </w:tcPr>
          <w:p w14:paraId="7FF0BC1E" w14:textId="77777777" w:rsidR="002337F9" w:rsidRPr="00133050" w:rsidRDefault="002337F9" w:rsidP="0026218C">
            <w:pPr>
              <w:jc w:val="center"/>
              <w:rPr>
                <w:noProof/>
                <w:sz w:val="20"/>
              </w:rPr>
            </w:pPr>
            <w:r w:rsidRPr="00133050">
              <w:rPr>
                <w:b/>
                <w:noProof/>
                <w:sz w:val="20"/>
              </w:rPr>
              <w:t>2027 г.</w:t>
            </w:r>
          </w:p>
        </w:tc>
        <w:tc>
          <w:tcPr>
            <w:tcW w:w="868" w:type="dxa"/>
            <w:vAlign w:val="center"/>
          </w:tcPr>
          <w:p w14:paraId="516DC122" w14:textId="77777777" w:rsidR="002337F9" w:rsidRPr="00133050" w:rsidRDefault="002337F9" w:rsidP="0026218C">
            <w:pPr>
              <w:jc w:val="center"/>
              <w:rPr>
                <w:noProof/>
                <w:sz w:val="20"/>
              </w:rPr>
            </w:pPr>
          </w:p>
        </w:tc>
        <w:tc>
          <w:tcPr>
            <w:tcW w:w="868" w:type="dxa"/>
            <w:vAlign w:val="center"/>
          </w:tcPr>
          <w:p w14:paraId="7A972777" w14:textId="77777777" w:rsidR="002337F9" w:rsidRPr="00133050" w:rsidRDefault="002337F9" w:rsidP="0026218C">
            <w:pPr>
              <w:jc w:val="center"/>
              <w:rPr>
                <w:noProof/>
                <w:sz w:val="20"/>
              </w:rPr>
            </w:pPr>
          </w:p>
        </w:tc>
        <w:tc>
          <w:tcPr>
            <w:tcW w:w="868" w:type="dxa"/>
            <w:vAlign w:val="center"/>
          </w:tcPr>
          <w:p w14:paraId="13D1F293" w14:textId="77777777" w:rsidR="002337F9" w:rsidRPr="00133050" w:rsidRDefault="002337F9" w:rsidP="0026218C">
            <w:pPr>
              <w:jc w:val="center"/>
              <w:rPr>
                <w:b/>
                <w:noProof/>
                <w:sz w:val="18"/>
              </w:rPr>
            </w:pPr>
          </w:p>
        </w:tc>
        <w:tc>
          <w:tcPr>
            <w:tcW w:w="868" w:type="dxa"/>
            <w:vAlign w:val="center"/>
          </w:tcPr>
          <w:p w14:paraId="7853AC11" w14:textId="77777777" w:rsidR="002337F9" w:rsidRPr="00133050" w:rsidRDefault="002337F9" w:rsidP="0026218C">
            <w:pPr>
              <w:jc w:val="center"/>
              <w:rPr>
                <w:b/>
                <w:noProof/>
                <w:sz w:val="18"/>
              </w:rPr>
            </w:pPr>
          </w:p>
        </w:tc>
        <w:tc>
          <w:tcPr>
            <w:tcW w:w="868" w:type="dxa"/>
            <w:vAlign w:val="center"/>
          </w:tcPr>
          <w:p w14:paraId="3CFD10FF" w14:textId="77777777" w:rsidR="002337F9" w:rsidRPr="00133050" w:rsidRDefault="002337F9" w:rsidP="0026218C">
            <w:pPr>
              <w:jc w:val="center"/>
              <w:rPr>
                <w:b/>
                <w:noProof/>
                <w:sz w:val="18"/>
              </w:rPr>
            </w:pPr>
          </w:p>
        </w:tc>
        <w:tc>
          <w:tcPr>
            <w:tcW w:w="1777" w:type="dxa"/>
            <w:vAlign w:val="center"/>
          </w:tcPr>
          <w:p w14:paraId="5381D430" w14:textId="77777777" w:rsidR="002337F9" w:rsidRPr="00133050" w:rsidRDefault="002337F9" w:rsidP="0026218C">
            <w:pPr>
              <w:jc w:val="center"/>
              <w:rPr>
                <w:b/>
                <w:noProof/>
                <w:sz w:val="20"/>
              </w:rPr>
            </w:pPr>
            <w:r w:rsidRPr="00133050">
              <w:rPr>
                <w:b/>
                <w:noProof/>
                <w:sz w:val="20"/>
              </w:rPr>
              <w:t>ОБЩО</w:t>
            </w:r>
          </w:p>
        </w:tc>
      </w:tr>
      <w:tr w:rsidR="002337F9" w:rsidRPr="00133050" w14:paraId="0BE3AFCA" w14:textId="77777777" w:rsidTr="0026218C">
        <w:trPr>
          <w:gridAfter w:val="8"/>
          <w:wAfter w:w="7735" w:type="dxa"/>
        </w:trPr>
        <w:tc>
          <w:tcPr>
            <w:tcW w:w="3960" w:type="dxa"/>
            <w:vAlign w:val="center"/>
          </w:tcPr>
          <w:p w14:paraId="01720899" w14:textId="77777777" w:rsidR="002337F9" w:rsidRPr="00133050" w:rsidRDefault="002337F9" w:rsidP="0026218C">
            <w:pPr>
              <w:spacing w:before="60" w:after="60"/>
              <w:jc w:val="center"/>
              <w:rPr>
                <w:noProof/>
              </w:rPr>
            </w:pPr>
            <w:r w:rsidRPr="00133050">
              <w:rPr>
                <w:noProof/>
              </w:rPr>
              <w:t>ГД „Енергетика“</w:t>
            </w:r>
          </w:p>
        </w:tc>
        <w:tc>
          <w:tcPr>
            <w:tcW w:w="2212" w:type="dxa"/>
            <w:gridSpan w:val="2"/>
          </w:tcPr>
          <w:p w14:paraId="0EC08CBC" w14:textId="77777777" w:rsidR="002337F9" w:rsidRPr="00133050" w:rsidRDefault="002337F9" w:rsidP="0026218C">
            <w:pPr>
              <w:spacing w:before="60" w:after="60"/>
              <w:jc w:val="center"/>
              <w:rPr>
                <w:noProof/>
              </w:rPr>
            </w:pPr>
          </w:p>
        </w:tc>
      </w:tr>
      <w:tr w:rsidR="002337F9" w:rsidRPr="00133050" w14:paraId="07264BC0" w14:textId="77777777" w:rsidTr="0026218C">
        <w:trPr>
          <w:trHeight w:val="313"/>
        </w:trPr>
        <w:tc>
          <w:tcPr>
            <w:tcW w:w="6172" w:type="dxa"/>
            <w:gridSpan w:val="3"/>
            <w:vAlign w:val="center"/>
          </w:tcPr>
          <w:p w14:paraId="38DB8CCC" w14:textId="77777777" w:rsidR="002337F9" w:rsidRPr="00133050" w:rsidRDefault="002337F9" w:rsidP="0026218C">
            <w:pPr>
              <w:spacing w:before="20" w:after="20"/>
              <w:rPr>
                <w:noProof/>
              </w:rPr>
            </w:pPr>
            <w:r w:rsidRPr="00133050">
              <w:rPr>
                <w:noProof/>
              </w:rPr>
              <w:sym w:font="Wingdings" w:char="F09F"/>
            </w:r>
            <w:r w:rsidRPr="00133050">
              <w:rPr>
                <w:noProof/>
              </w:rPr>
              <w:t xml:space="preserve"> Човешки ресурси </w:t>
            </w:r>
          </w:p>
        </w:tc>
        <w:tc>
          <w:tcPr>
            <w:tcW w:w="750" w:type="dxa"/>
            <w:vAlign w:val="center"/>
          </w:tcPr>
          <w:p w14:paraId="59B536FA" w14:textId="77777777" w:rsidR="002337F9" w:rsidRPr="00133050" w:rsidRDefault="002337F9" w:rsidP="0026218C">
            <w:pPr>
              <w:spacing w:before="20" w:after="20"/>
              <w:jc w:val="center"/>
              <w:rPr>
                <w:noProof/>
                <w:sz w:val="20"/>
              </w:rPr>
            </w:pPr>
            <w:r w:rsidRPr="00133050">
              <w:rPr>
                <w:noProof/>
                <w:sz w:val="20"/>
              </w:rPr>
              <w:t>0,017</w:t>
            </w:r>
          </w:p>
        </w:tc>
        <w:tc>
          <w:tcPr>
            <w:tcW w:w="868" w:type="dxa"/>
            <w:vAlign w:val="center"/>
          </w:tcPr>
          <w:p w14:paraId="180AF448" w14:textId="77777777" w:rsidR="002337F9" w:rsidRPr="00133050" w:rsidRDefault="002337F9" w:rsidP="0026218C">
            <w:pPr>
              <w:spacing w:before="20" w:after="20"/>
              <w:jc w:val="center"/>
              <w:rPr>
                <w:noProof/>
                <w:sz w:val="20"/>
              </w:rPr>
            </w:pPr>
            <w:r w:rsidRPr="00133050">
              <w:rPr>
                <w:noProof/>
                <w:sz w:val="20"/>
              </w:rPr>
              <w:t>0,017</w:t>
            </w:r>
          </w:p>
        </w:tc>
        <w:tc>
          <w:tcPr>
            <w:tcW w:w="868" w:type="dxa"/>
            <w:vAlign w:val="center"/>
          </w:tcPr>
          <w:p w14:paraId="774A315D" w14:textId="77777777" w:rsidR="002337F9" w:rsidRPr="00133050" w:rsidRDefault="002337F9" w:rsidP="0026218C">
            <w:pPr>
              <w:spacing w:before="20" w:after="20"/>
              <w:jc w:val="right"/>
              <w:rPr>
                <w:noProof/>
                <w:sz w:val="20"/>
              </w:rPr>
            </w:pPr>
          </w:p>
        </w:tc>
        <w:tc>
          <w:tcPr>
            <w:tcW w:w="868" w:type="dxa"/>
            <w:vAlign w:val="center"/>
          </w:tcPr>
          <w:p w14:paraId="7454BA5D" w14:textId="77777777" w:rsidR="002337F9" w:rsidRPr="00133050" w:rsidRDefault="002337F9" w:rsidP="0026218C">
            <w:pPr>
              <w:spacing w:before="20" w:after="20"/>
              <w:jc w:val="right"/>
              <w:rPr>
                <w:noProof/>
                <w:sz w:val="20"/>
              </w:rPr>
            </w:pPr>
          </w:p>
        </w:tc>
        <w:tc>
          <w:tcPr>
            <w:tcW w:w="868" w:type="dxa"/>
            <w:vAlign w:val="center"/>
          </w:tcPr>
          <w:p w14:paraId="717E6C1B" w14:textId="77777777" w:rsidR="002337F9" w:rsidRPr="00133050" w:rsidRDefault="002337F9" w:rsidP="0026218C">
            <w:pPr>
              <w:spacing w:before="20" w:after="20"/>
              <w:jc w:val="right"/>
              <w:rPr>
                <w:noProof/>
                <w:sz w:val="20"/>
              </w:rPr>
            </w:pPr>
          </w:p>
        </w:tc>
        <w:tc>
          <w:tcPr>
            <w:tcW w:w="868" w:type="dxa"/>
            <w:vAlign w:val="center"/>
          </w:tcPr>
          <w:p w14:paraId="1A063E6C" w14:textId="77777777" w:rsidR="002337F9" w:rsidRPr="00133050" w:rsidRDefault="002337F9" w:rsidP="0026218C">
            <w:pPr>
              <w:spacing w:before="20" w:after="20"/>
              <w:jc w:val="right"/>
              <w:rPr>
                <w:noProof/>
                <w:sz w:val="20"/>
              </w:rPr>
            </w:pPr>
          </w:p>
        </w:tc>
        <w:tc>
          <w:tcPr>
            <w:tcW w:w="868" w:type="dxa"/>
            <w:vAlign w:val="center"/>
          </w:tcPr>
          <w:p w14:paraId="7C957D63" w14:textId="77777777" w:rsidR="002337F9" w:rsidRPr="00133050" w:rsidRDefault="002337F9" w:rsidP="0026218C">
            <w:pPr>
              <w:spacing w:before="20" w:after="20"/>
              <w:jc w:val="right"/>
              <w:rPr>
                <w:b/>
                <w:noProof/>
                <w:sz w:val="20"/>
              </w:rPr>
            </w:pPr>
          </w:p>
        </w:tc>
        <w:tc>
          <w:tcPr>
            <w:tcW w:w="1777" w:type="dxa"/>
            <w:vAlign w:val="center"/>
          </w:tcPr>
          <w:p w14:paraId="0DF83C19" w14:textId="77777777" w:rsidR="002337F9" w:rsidRPr="00133050" w:rsidRDefault="002337F9" w:rsidP="0026218C">
            <w:pPr>
              <w:spacing w:before="20" w:after="20"/>
              <w:jc w:val="center"/>
              <w:rPr>
                <w:b/>
                <w:noProof/>
                <w:sz w:val="20"/>
              </w:rPr>
            </w:pPr>
            <w:r w:rsidRPr="00133050">
              <w:rPr>
                <w:b/>
                <w:noProof/>
                <w:sz w:val="20"/>
              </w:rPr>
              <w:t>0,034</w:t>
            </w:r>
          </w:p>
        </w:tc>
      </w:tr>
      <w:tr w:rsidR="002337F9" w:rsidRPr="00133050" w14:paraId="69E9E192" w14:textId="77777777" w:rsidTr="0026218C">
        <w:trPr>
          <w:trHeight w:val="351"/>
        </w:trPr>
        <w:tc>
          <w:tcPr>
            <w:tcW w:w="6172" w:type="dxa"/>
            <w:gridSpan w:val="3"/>
            <w:vAlign w:val="center"/>
          </w:tcPr>
          <w:p w14:paraId="6334AEDC" w14:textId="77777777" w:rsidR="002337F9" w:rsidRPr="00133050" w:rsidRDefault="002337F9" w:rsidP="0026218C">
            <w:pPr>
              <w:spacing w:before="20" w:after="20"/>
              <w:rPr>
                <w:noProof/>
              </w:rPr>
            </w:pPr>
            <w:r w:rsidRPr="00133050">
              <w:rPr>
                <w:noProof/>
              </w:rPr>
              <w:sym w:font="Wingdings" w:char="F09F"/>
            </w:r>
            <w:r w:rsidRPr="00133050">
              <w:rPr>
                <w:noProof/>
              </w:rPr>
              <w:t> Други административни разходи</w:t>
            </w:r>
          </w:p>
        </w:tc>
        <w:tc>
          <w:tcPr>
            <w:tcW w:w="750" w:type="dxa"/>
            <w:vAlign w:val="center"/>
          </w:tcPr>
          <w:p w14:paraId="77250AE8" w14:textId="77777777" w:rsidR="002337F9" w:rsidRPr="00133050" w:rsidRDefault="002337F9" w:rsidP="0026218C">
            <w:pPr>
              <w:spacing w:before="20" w:after="20"/>
              <w:jc w:val="center"/>
              <w:rPr>
                <w:noProof/>
                <w:sz w:val="20"/>
              </w:rPr>
            </w:pPr>
          </w:p>
        </w:tc>
        <w:tc>
          <w:tcPr>
            <w:tcW w:w="868" w:type="dxa"/>
            <w:vAlign w:val="center"/>
          </w:tcPr>
          <w:p w14:paraId="63205014" w14:textId="77777777" w:rsidR="002337F9" w:rsidRPr="00133050" w:rsidRDefault="002337F9" w:rsidP="0026218C">
            <w:pPr>
              <w:spacing w:before="20" w:after="20"/>
              <w:jc w:val="center"/>
              <w:rPr>
                <w:noProof/>
                <w:sz w:val="20"/>
              </w:rPr>
            </w:pPr>
          </w:p>
        </w:tc>
        <w:tc>
          <w:tcPr>
            <w:tcW w:w="868" w:type="dxa"/>
            <w:vAlign w:val="center"/>
          </w:tcPr>
          <w:p w14:paraId="69ACFB63" w14:textId="77777777" w:rsidR="002337F9" w:rsidRPr="00133050" w:rsidRDefault="002337F9" w:rsidP="0026218C">
            <w:pPr>
              <w:spacing w:before="20" w:after="20"/>
              <w:jc w:val="right"/>
              <w:rPr>
                <w:noProof/>
                <w:sz w:val="20"/>
              </w:rPr>
            </w:pPr>
          </w:p>
        </w:tc>
        <w:tc>
          <w:tcPr>
            <w:tcW w:w="868" w:type="dxa"/>
            <w:vAlign w:val="center"/>
          </w:tcPr>
          <w:p w14:paraId="2C34E2ED" w14:textId="77777777" w:rsidR="002337F9" w:rsidRPr="00133050" w:rsidRDefault="002337F9" w:rsidP="0026218C">
            <w:pPr>
              <w:spacing w:before="20" w:after="20"/>
              <w:jc w:val="right"/>
              <w:rPr>
                <w:noProof/>
                <w:sz w:val="20"/>
              </w:rPr>
            </w:pPr>
          </w:p>
        </w:tc>
        <w:tc>
          <w:tcPr>
            <w:tcW w:w="868" w:type="dxa"/>
            <w:vAlign w:val="center"/>
          </w:tcPr>
          <w:p w14:paraId="03F26F66" w14:textId="77777777" w:rsidR="002337F9" w:rsidRPr="00133050" w:rsidRDefault="002337F9" w:rsidP="0026218C">
            <w:pPr>
              <w:spacing w:before="20" w:after="20"/>
              <w:jc w:val="right"/>
              <w:rPr>
                <w:noProof/>
                <w:sz w:val="20"/>
              </w:rPr>
            </w:pPr>
          </w:p>
        </w:tc>
        <w:tc>
          <w:tcPr>
            <w:tcW w:w="868" w:type="dxa"/>
            <w:vAlign w:val="center"/>
          </w:tcPr>
          <w:p w14:paraId="06A8529B" w14:textId="77777777" w:rsidR="002337F9" w:rsidRPr="00133050" w:rsidRDefault="002337F9" w:rsidP="0026218C">
            <w:pPr>
              <w:spacing w:before="20" w:after="20"/>
              <w:jc w:val="right"/>
              <w:rPr>
                <w:noProof/>
                <w:sz w:val="20"/>
              </w:rPr>
            </w:pPr>
          </w:p>
        </w:tc>
        <w:tc>
          <w:tcPr>
            <w:tcW w:w="868" w:type="dxa"/>
            <w:vAlign w:val="center"/>
          </w:tcPr>
          <w:p w14:paraId="0275C0C8" w14:textId="77777777" w:rsidR="002337F9" w:rsidRPr="00133050" w:rsidRDefault="002337F9" w:rsidP="0026218C">
            <w:pPr>
              <w:spacing w:before="20" w:after="20"/>
              <w:jc w:val="right"/>
              <w:rPr>
                <w:noProof/>
                <w:sz w:val="20"/>
              </w:rPr>
            </w:pPr>
          </w:p>
        </w:tc>
        <w:tc>
          <w:tcPr>
            <w:tcW w:w="1777" w:type="dxa"/>
            <w:vAlign w:val="center"/>
          </w:tcPr>
          <w:p w14:paraId="7A715C2B" w14:textId="77777777" w:rsidR="002337F9" w:rsidRPr="00133050" w:rsidRDefault="002337F9" w:rsidP="0026218C">
            <w:pPr>
              <w:spacing w:before="20" w:after="20"/>
              <w:jc w:val="center"/>
              <w:rPr>
                <w:b/>
                <w:noProof/>
                <w:sz w:val="20"/>
              </w:rPr>
            </w:pPr>
          </w:p>
        </w:tc>
      </w:tr>
      <w:tr w:rsidR="002337F9" w:rsidRPr="00133050" w14:paraId="00717A9A" w14:textId="77777777" w:rsidTr="0026218C">
        <w:tc>
          <w:tcPr>
            <w:tcW w:w="3960" w:type="dxa"/>
            <w:vAlign w:val="center"/>
          </w:tcPr>
          <w:p w14:paraId="4C7F89DC" w14:textId="77777777" w:rsidR="002337F9" w:rsidRPr="00133050" w:rsidRDefault="002337F9" w:rsidP="0026218C">
            <w:pPr>
              <w:jc w:val="center"/>
              <w:rPr>
                <w:b/>
                <w:noProof/>
              </w:rPr>
            </w:pPr>
            <w:r w:rsidRPr="00133050">
              <w:rPr>
                <w:b/>
                <w:noProof/>
              </w:rPr>
              <w:t xml:space="preserve">ОБЩО </w:t>
            </w:r>
          </w:p>
        </w:tc>
        <w:tc>
          <w:tcPr>
            <w:tcW w:w="2212" w:type="dxa"/>
            <w:gridSpan w:val="2"/>
            <w:vAlign w:val="center"/>
          </w:tcPr>
          <w:p w14:paraId="53D8A55F" w14:textId="77777777" w:rsidR="002337F9" w:rsidRPr="00133050" w:rsidRDefault="002337F9" w:rsidP="0026218C">
            <w:pPr>
              <w:rPr>
                <w:noProof/>
                <w:sz w:val="14"/>
              </w:rPr>
            </w:pPr>
            <w:r w:rsidRPr="00133050">
              <w:rPr>
                <w:noProof/>
                <w:sz w:val="18"/>
              </w:rPr>
              <w:t xml:space="preserve">Бюджетни кредити </w:t>
            </w:r>
          </w:p>
        </w:tc>
        <w:tc>
          <w:tcPr>
            <w:tcW w:w="750" w:type="dxa"/>
            <w:vAlign w:val="center"/>
          </w:tcPr>
          <w:p w14:paraId="394D0F4B" w14:textId="77777777" w:rsidR="002337F9" w:rsidRPr="00133050" w:rsidRDefault="002337F9" w:rsidP="0026218C">
            <w:pPr>
              <w:spacing w:before="60" w:after="60"/>
              <w:jc w:val="center"/>
              <w:rPr>
                <w:noProof/>
                <w:sz w:val="20"/>
              </w:rPr>
            </w:pPr>
            <w:r w:rsidRPr="00133050">
              <w:rPr>
                <w:noProof/>
                <w:sz w:val="20"/>
              </w:rPr>
              <w:t>0,017</w:t>
            </w:r>
          </w:p>
        </w:tc>
        <w:tc>
          <w:tcPr>
            <w:tcW w:w="868" w:type="dxa"/>
            <w:vAlign w:val="center"/>
          </w:tcPr>
          <w:p w14:paraId="5C508BA8" w14:textId="77777777" w:rsidR="002337F9" w:rsidRPr="00133050" w:rsidRDefault="002337F9" w:rsidP="0026218C">
            <w:pPr>
              <w:spacing w:before="20" w:after="20"/>
              <w:jc w:val="center"/>
              <w:rPr>
                <w:noProof/>
                <w:sz w:val="20"/>
              </w:rPr>
            </w:pPr>
            <w:r w:rsidRPr="00133050">
              <w:rPr>
                <w:noProof/>
                <w:sz w:val="20"/>
              </w:rPr>
              <w:t>0,017</w:t>
            </w:r>
          </w:p>
        </w:tc>
        <w:tc>
          <w:tcPr>
            <w:tcW w:w="868" w:type="dxa"/>
            <w:vAlign w:val="center"/>
          </w:tcPr>
          <w:p w14:paraId="190A9CF3" w14:textId="77777777" w:rsidR="002337F9" w:rsidRPr="00133050" w:rsidRDefault="002337F9" w:rsidP="0026218C">
            <w:pPr>
              <w:spacing w:before="20" w:after="20"/>
              <w:jc w:val="right"/>
              <w:rPr>
                <w:noProof/>
                <w:sz w:val="20"/>
              </w:rPr>
            </w:pPr>
          </w:p>
        </w:tc>
        <w:tc>
          <w:tcPr>
            <w:tcW w:w="868" w:type="dxa"/>
            <w:vAlign w:val="center"/>
          </w:tcPr>
          <w:p w14:paraId="4733E5DA" w14:textId="77777777" w:rsidR="002337F9" w:rsidRPr="00133050" w:rsidRDefault="002337F9" w:rsidP="0026218C">
            <w:pPr>
              <w:spacing w:before="20" w:after="20"/>
              <w:jc w:val="right"/>
              <w:rPr>
                <w:noProof/>
                <w:sz w:val="20"/>
              </w:rPr>
            </w:pPr>
          </w:p>
        </w:tc>
        <w:tc>
          <w:tcPr>
            <w:tcW w:w="868" w:type="dxa"/>
            <w:vAlign w:val="center"/>
          </w:tcPr>
          <w:p w14:paraId="2D05B24A" w14:textId="77777777" w:rsidR="002337F9" w:rsidRPr="00133050" w:rsidRDefault="002337F9" w:rsidP="0026218C">
            <w:pPr>
              <w:spacing w:before="20" w:after="20"/>
              <w:jc w:val="right"/>
              <w:rPr>
                <w:noProof/>
                <w:sz w:val="20"/>
              </w:rPr>
            </w:pPr>
          </w:p>
        </w:tc>
        <w:tc>
          <w:tcPr>
            <w:tcW w:w="868" w:type="dxa"/>
            <w:vAlign w:val="center"/>
          </w:tcPr>
          <w:p w14:paraId="4E958F68" w14:textId="77777777" w:rsidR="002337F9" w:rsidRPr="00133050" w:rsidRDefault="002337F9" w:rsidP="0026218C">
            <w:pPr>
              <w:spacing w:before="20" w:after="20"/>
              <w:jc w:val="right"/>
              <w:rPr>
                <w:noProof/>
                <w:sz w:val="20"/>
              </w:rPr>
            </w:pPr>
          </w:p>
        </w:tc>
        <w:tc>
          <w:tcPr>
            <w:tcW w:w="868" w:type="dxa"/>
            <w:vAlign w:val="center"/>
          </w:tcPr>
          <w:p w14:paraId="5AAB7068" w14:textId="77777777" w:rsidR="002337F9" w:rsidRPr="00133050" w:rsidRDefault="002337F9" w:rsidP="0026218C">
            <w:pPr>
              <w:spacing w:before="20" w:after="20"/>
              <w:jc w:val="right"/>
              <w:rPr>
                <w:noProof/>
                <w:sz w:val="20"/>
              </w:rPr>
            </w:pPr>
          </w:p>
        </w:tc>
        <w:tc>
          <w:tcPr>
            <w:tcW w:w="1777" w:type="dxa"/>
            <w:vAlign w:val="center"/>
          </w:tcPr>
          <w:p w14:paraId="7E0427A2" w14:textId="77777777" w:rsidR="002337F9" w:rsidRPr="00133050" w:rsidRDefault="002337F9" w:rsidP="0026218C">
            <w:pPr>
              <w:spacing w:before="20" w:after="20"/>
              <w:jc w:val="center"/>
              <w:rPr>
                <w:b/>
                <w:noProof/>
                <w:sz w:val="20"/>
              </w:rPr>
            </w:pPr>
            <w:r w:rsidRPr="00133050">
              <w:rPr>
                <w:b/>
                <w:noProof/>
                <w:sz w:val="20"/>
              </w:rPr>
              <w:t>0,034</w:t>
            </w:r>
          </w:p>
        </w:tc>
      </w:tr>
    </w:tbl>
    <w:p w14:paraId="1C790618" w14:textId="77777777" w:rsidR="002337F9" w:rsidRPr="00133050" w:rsidRDefault="002337F9" w:rsidP="002337F9">
      <w:pPr>
        <w:rPr>
          <w:noProof/>
        </w:rPr>
      </w:pPr>
    </w:p>
    <w:tbl>
      <w:tblPr>
        <w:tblW w:w="1390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652"/>
        <w:gridCol w:w="750"/>
        <w:gridCol w:w="868"/>
        <w:gridCol w:w="868"/>
        <w:gridCol w:w="868"/>
        <w:gridCol w:w="868"/>
        <w:gridCol w:w="868"/>
        <w:gridCol w:w="868"/>
        <w:gridCol w:w="1777"/>
      </w:tblGrid>
      <w:tr w:rsidR="002337F9" w:rsidRPr="00133050" w14:paraId="212CB3E3" w14:textId="77777777" w:rsidTr="0026218C">
        <w:tc>
          <w:tcPr>
            <w:tcW w:w="3960" w:type="dxa"/>
            <w:tcBorders>
              <w:top w:val="nil"/>
              <w:left w:val="nil"/>
              <w:right w:val="nil"/>
            </w:tcBorders>
            <w:vAlign w:val="center"/>
          </w:tcPr>
          <w:p w14:paraId="69EB7745" w14:textId="77777777" w:rsidR="002337F9" w:rsidRPr="00133050" w:rsidRDefault="002337F9" w:rsidP="0026218C">
            <w:pPr>
              <w:jc w:val="center"/>
              <w:rPr>
                <w:noProof/>
              </w:rPr>
            </w:pPr>
          </w:p>
        </w:tc>
        <w:tc>
          <w:tcPr>
            <w:tcW w:w="1560" w:type="dxa"/>
            <w:tcBorders>
              <w:top w:val="nil"/>
              <w:left w:val="nil"/>
              <w:right w:val="nil"/>
            </w:tcBorders>
          </w:tcPr>
          <w:p w14:paraId="094B9263" w14:textId="77777777" w:rsidR="002337F9" w:rsidRPr="00133050" w:rsidRDefault="002337F9" w:rsidP="0026218C">
            <w:pPr>
              <w:rPr>
                <w:noProof/>
                <w:sz w:val="20"/>
              </w:rPr>
            </w:pPr>
          </w:p>
        </w:tc>
        <w:tc>
          <w:tcPr>
            <w:tcW w:w="652" w:type="dxa"/>
            <w:tcBorders>
              <w:top w:val="nil"/>
              <w:left w:val="nil"/>
            </w:tcBorders>
          </w:tcPr>
          <w:p w14:paraId="333B8295" w14:textId="77777777" w:rsidR="002337F9" w:rsidRPr="00133050" w:rsidRDefault="002337F9" w:rsidP="0026218C">
            <w:pPr>
              <w:jc w:val="center"/>
              <w:rPr>
                <w:noProof/>
                <w:sz w:val="20"/>
              </w:rPr>
            </w:pPr>
          </w:p>
        </w:tc>
        <w:tc>
          <w:tcPr>
            <w:tcW w:w="750" w:type="dxa"/>
            <w:vAlign w:val="center"/>
          </w:tcPr>
          <w:p w14:paraId="0D0D64D3" w14:textId="77777777" w:rsidR="002337F9" w:rsidRPr="00133050" w:rsidRDefault="002337F9" w:rsidP="0026218C">
            <w:pPr>
              <w:jc w:val="center"/>
              <w:rPr>
                <w:noProof/>
                <w:sz w:val="20"/>
              </w:rPr>
            </w:pPr>
            <w:r w:rsidRPr="00133050">
              <w:rPr>
                <w:b/>
                <w:noProof/>
                <w:sz w:val="20"/>
              </w:rPr>
              <w:t>2026 г.</w:t>
            </w:r>
          </w:p>
        </w:tc>
        <w:tc>
          <w:tcPr>
            <w:tcW w:w="868" w:type="dxa"/>
            <w:vAlign w:val="center"/>
          </w:tcPr>
          <w:p w14:paraId="55E1AC32" w14:textId="77777777" w:rsidR="002337F9" w:rsidRPr="00133050" w:rsidRDefault="002337F9" w:rsidP="0026218C">
            <w:pPr>
              <w:jc w:val="center"/>
              <w:rPr>
                <w:noProof/>
                <w:sz w:val="20"/>
              </w:rPr>
            </w:pPr>
            <w:r w:rsidRPr="00133050">
              <w:rPr>
                <w:b/>
                <w:noProof/>
                <w:sz w:val="20"/>
              </w:rPr>
              <w:t>2027 г.</w:t>
            </w:r>
          </w:p>
        </w:tc>
        <w:tc>
          <w:tcPr>
            <w:tcW w:w="868" w:type="dxa"/>
            <w:vAlign w:val="center"/>
          </w:tcPr>
          <w:p w14:paraId="4D97E72F" w14:textId="77777777" w:rsidR="002337F9" w:rsidRPr="00133050" w:rsidRDefault="002337F9" w:rsidP="0026218C">
            <w:pPr>
              <w:jc w:val="center"/>
              <w:rPr>
                <w:noProof/>
                <w:sz w:val="20"/>
              </w:rPr>
            </w:pPr>
          </w:p>
        </w:tc>
        <w:tc>
          <w:tcPr>
            <w:tcW w:w="868" w:type="dxa"/>
            <w:vAlign w:val="center"/>
          </w:tcPr>
          <w:p w14:paraId="578CDAED" w14:textId="77777777" w:rsidR="002337F9" w:rsidRPr="00133050" w:rsidRDefault="002337F9" w:rsidP="0026218C">
            <w:pPr>
              <w:jc w:val="center"/>
              <w:rPr>
                <w:noProof/>
                <w:sz w:val="20"/>
              </w:rPr>
            </w:pPr>
          </w:p>
        </w:tc>
        <w:tc>
          <w:tcPr>
            <w:tcW w:w="868" w:type="dxa"/>
            <w:vAlign w:val="center"/>
          </w:tcPr>
          <w:p w14:paraId="51B7A2AB" w14:textId="77777777" w:rsidR="002337F9" w:rsidRPr="00133050" w:rsidRDefault="002337F9" w:rsidP="0026218C">
            <w:pPr>
              <w:jc w:val="center"/>
              <w:rPr>
                <w:b/>
                <w:noProof/>
                <w:sz w:val="18"/>
              </w:rPr>
            </w:pPr>
          </w:p>
        </w:tc>
        <w:tc>
          <w:tcPr>
            <w:tcW w:w="868" w:type="dxa"/>
            <w:vAlign w:val="center"/>
          </w:tcPr>
          <w:p w14:paraId="0CE85B88" w14:textId="77777777" w:rsidR="002337F9" w:rsidRPr="00133050" w:rsidRDefault="002337F9" w:rsidP="0026218C">
            <w:pPr>
              <w:jc w:val="center"/>
              <w:rPr>
                <w:b/>
                <w:noProof/>
                <w:sz w:val="18"/>
              </w:rPr>
            </w:pPr>
          </w:p>
        </w:tc>
        <w:tc>
          <w:tcPr>
            <w:tcW w:w="868" w:type="dxa"/>
            <w:vAlign w:val="center"/>
          </w:tcPr>
          <w:p w14:paraId="490C28FA" w14:textId="77777777" w:rsidR="002337F9" w:rsidRPr="00133050" w:rsidRDefault="002337F9" w:rsidP="0026218C">
            <w:pPr>
              <w:jc w:val="center"/>
              <w:rPr>
                <w:b/>
                <w:noProof/>
                <w:sz w:val="18"/>
              </w:rPr>
            </w:pPr>
          </w:p>
        </w:tc>
        <w:tc>
          <w:tcPr>
            <w:tcW w:w="1777" w:type="dxa"/>
            <w:vAlign w:val="center"/>
          </w:tcPr>
          <w:p w14:paraId="728CDDFA" w14:textId="77777777" w:rsidR="002337F9" w:rsidRPr="00133050" w:rsidRDefault="002337F9" w:rsidP="0026218C">
            <w:pPr>
              <w:jc w:val="center"/>
              <w:rPr>
                <w:b/>
                <w:noProof/>
                <w:sz w:val="20"/>
              </w:rPr>
            </w:pPr>
            <w:r w:rsidRPr="00133050">
              <w:rPr>
                <w:b/>
                <w:noProof/>
                <w:sz w:val="20"/>
              </w:rPr>
              <w:t>ОБЩО</w:t>
            </w:r>
          </w:p>
        </w:tc>
      </w:tr>
      <w:tr w:rsidR="002337F9" w:rsidRPr="00133050" w14:paraId="56FF54C2" w14:textId="77777777" w:rsidTr="0026218C">
        <w:trPr>
          <w:gridAfter w:val="8"/>
          <w:wAfter w:w="7735" w:type="dxa"/>
        </w:trPr>
        <w:tc>
          <w:tcPr>
            <w:tcW w:w="3960" w:type="dxa"/>
            <w:vAlign w:val="center"/>
          </w:tcPr>
          <w:p w14:paraId="4AFDCCE0" w14:textId="77777777" w:rsidR="002337F9" w:rsidRPr="00133050" w:rsidRDefault="002337F9" w:rsidP="0026218C">
            <w:pPr>
              <w:spacing w:before="60" w:after="60"/>
              <w:jc w:val="center"/>
              <w:rPr>
                <w:noProof/>
              </w:rPr>
            </w:pPr>
            <w:r w:rsidRPr="00133050">
              <w:rPr>
                <w:noProof/>
              </w:rPr>
              <w:t>ГД Орган за готовност и реакция при извънредни здравни ситуации</w:t>
            </w:r>
          </w:p>
        </w:tc>
        <w:tc>
          <w:tcPr>
            <w:tcW w:w="2212" w:type="dxa"/>
            <w:gridSpan w:val="2"/>
          </w:tcPr>
          <w:p w14:paraId="05A99D2C" w14:textId="77777777" w:rsidR="002337F9" w:rsidRPr="00133050" w:rsidRDefault="002337F9" w:rsidP="0026218C">
            <w:pPr>
              <w:spacing w:before="60" w:after="60"/>
              <w:jc w:val="center"/>
              <w:rPr>
                <w:noProof/>
              </w:rPr>
            </w:pPr>
          </w:p>
        </w:tc>
      </w:tr>
      <w:tr w:rsidR="002337F9" w:rsidRPr="00133050" w14:paraId="05665543" w14:textId="77777777" w:rsidTr="0026218C">
        <w:trPr>
          <w:trHeight w:val="313"/>
        </w:trPr>
        <w:tc>
          <w:tcPr>
            <w:tcW w:w="6172" w:type="dxa"/>
            <w:gridSpan w:val="3"/>
            <w:vAlign w:val="center"/>
          </w:tcPr>
          <w:p w14:paraId="1C638406" w14:textId="77777777" w:rsidR="002337F9" w:rsidRPr="00133050" w:rsidRDefault="002337F9" w:rsidP="0026218C">
            <w:pPr>
              <w:spacing w:before="20" w:after="20"/>
              <w:rPr>
                <w:noProof/>
              </w:rPr>
            </w:pPr>
            <w:r w:rsidRPr="00133050">
              <w:rPr>
                <w:noProof/>
              </w:rPr>
              <w:sym w:font="Wingdings" w:char="F09F"/>
            </w:r>
            <w:r w:rsidRPr="00133050">
              <w:rPr>
                <w:noProof/>
              </w:rPr>
              <w:t xml:space="preserve"> Човешки ресурси </w:t>
            </w:r>
          </w:p>
        </w:tc>
        <w:tc>
          <w:tcPr>
            <w:tcW w:w="750" w:type="dxa"/>
            <w:vAlign w:val="center"/>
          </w:tcPr>
          <w:p w14:paraId="30CCA316" w14:textId="77777777" w:rsidR="002337F9" w:rsidRPr="00133050" w:rsidRDefault="002337F9" w:rsidP="0026218C">
            <w:pPr>
              <w:spacing w:before="20" w:after="20"/>
              <w:jc w:val="center"/>
              <w:rPr>
                <w:noProof/>
                <w:sz w:val="20"/>
              </w:rPr>
            </w:pPr>
            <w:r w:rsidRPr="00133050">
              <w:rPr>
                <w:noProof/>
                <w:sz w:val="20"/>
              </w:rPr>
              <w:t>0,017</w:t>
            </w:r>
          </w:p>
        </w:tc>
        <w:tc>
          <w:tcPr>
            <w:tcW w:w="868" w:type="dxa"/>
            <w:vAlign w:val="center"/>
          </w:tcPr>
          <w:p w14:paraId="359952B8" w14:textId="77777777" w:rsidR="002337F9" w:rsidRPr="00133050" w:rsidRDefault="002337F9" w:rsidP="0026218C">
            <w:pPr>
              <w:spacing w:before="20" w:after="20"/>
              <w:jc w:val="center"/>
              <w:rPr>
                <w:noProof/>
                <w:sz w:val="20"/>
              </w:rPr>
            </w:pPr>
            <w:r w:rsidRPr="00133050">
              <w:rPr>
                <w:noProof/>
                <w:sz w:val="20"/>
              </w:rPr>
              <w:t>0,017</w:t>
            </w:r>
          </w:p>
        </w:tc>
        <w:tc>
          <w:tcPr>
            <w:tcW w:w="868" w:type="dxa"/>
            <w:vAlign w:val="center"/>
          </w:tcPr>
          <w:p w14:paraId="56071A82" w14:textId="77777777" w:rsidR="002337F9" w:rsidRPr="00133050" w:rsidRDefault="002337F9" w:rsidP="0026218C">
            <w:pPr>
              <w:spacing w:before="20" w:after="20"/>
              <w:jc w:val="right"/>
              <w:rPr>
                <w:noProof/>
                <w:sz w:val="20"/>
              </w:rPr>
            </w:pPr>
          </w:p>
        </w:tc>
        <w:tc>
          <w:tcPr>
            <w:tcW w:w="868" w:type="dxa"/>
            <w:vAlign w:val="center"/>
          </w:tcPr>
          <w:p w14:paraId="6990D9DF" w14:textId="77777777" w:rsidR="002337F9" w:rsidRPr="00133050" w:rsidRDefault="002337F9" w:rsidP="0026218C">
            <w:pPr>
              <w:spacing w:before="20" w:after="20"/>
              <w:jc w:val="right"/>
              <w:rPr>
                <w:noProof/>
                <w:sz w:val="20"/>
              </w:rPr>
            </w:pPr>
          </w:p>
        </w:tc>
        <w:tc>
          <w:tcPr>
            <w:tcW w:w="868" w:type="dxa"/>
            <w:vAlign w:val="center"/>
          </w:tcPr>
          <w:p w14:paraId="75032862" w14:textId="77777777" w:rsidR="002337F9" w:rsidRPr="00133050" w:rsidRDefault="002337F9" w:rsidP="0026218C">
            <w:pPr>
              <w:spacing w:before="20" w:after="20"/>
              <w:jc w:val="right"/>
              <w:rPr>
                <w:noProof/>
                <w:sz w:val="20"/>
              </w:rPr>
            </w:pPr>
          </w:p>
        </w:tc>
        <w:tc>
          <w:tcPr>
            <w:tcW w:w="868" w:type="dxa"/>
            <w:vAlign w:val="center"/>
          </w:tcPr>
          <w:p w14:paraId="153138C8" w14:textId="77777777" w:rsidR="002337F9" w:rsidRPr="00133050" w:rsidRDefault="002337F9" w:rsidP="0026218C">
            <w:pPr>
              <w:spacing w:before="20" w:after="20"/>
              <w:jc w:val="right"/>
              <w:rPr>
                <w:noProof/>
                <w:sz w:val="20"/>
              </w:rPr>
            </w:pPr>
          </w:p>
        </w:tc>
        <w:tc>
          <w:tcPr>
            <w:tcW w:w="868" w:type="dxa"/>
            <w:vAlign w:val="center"/>
          </w:tcPr>
          <w:p w14:paraId="1C5C09D4" w14:textId="77777777" w:rsidR="002337F9" w:rsidRPr="00133050" w:rsidRDefault="002337F9" w:rsidP="0026218C">
            <w:pPr>
              <w:spacing w:before="20" w:after="20"/>
              <w:jc w:val="right"/>
              <w:rPr>
                <w:b/>
                <w:noProof/>
                <w:sz w:val="20"/>
              </w:rPr>
            </w:pPr>
          </w:p>
        </w:tc>
        <w:tc>
          <w:tcPr>
            <w:tcW w:w="1777" w:type="dxa"/>
            <w:vAlign w:val="center"/>
          </w:tcPr>
          <w:p w14:paraId="11F1D433" w14:textId="77777777" w:rsidR="002337F9" w:rsidRPr="00133050" w:rsidRDefault="002337F9" w:rsidP="0026218C">
            <w:pPr>
              <w:spacing w:before="20" w:after="20"/>
              <w:jc w:val="center"/>
              <w:rPr>
                <w:b/>
                <w:noProof/>
                <w:sz w:val="20"/>
              </w:rPr>
            </w:pPr>
            <w:r w:rsidRPr="00133050">
              <w:rPr>
                <w:b/>
                <w:noProof/>
                <w:sz w:val="20"/>
              </w:rPr>
              <w:t>0,034</w:t>
            </w:r>
          </w:p>
        </w:tc>
      </w:tr>
      <w:tr w:rsidR="002337F9" w:rsidRPr="00133050" w14:paraId="4C7EAFB2" w14:textId="77777777" w:rsidTr="0026218C">
        <w:trPr>
          <w:trHeight w:val="351"/>
        </w:trPr>
        <w:tc>
          <w:tcPr>
            <w:tcW w:w="6172" w:type="dxa"/>
            <w:gridSpan w:val="3"/>
            <w:vAlign w:val="center"/>
          </w:tcPr>
          <w:p w14:paraId="41E1AFAD" w14:textId="77777777" w:rsidR="002337F9" w:rsidRPr="00133050" w:rsidRDefault="002337F9" w:rsidP="0026218C">
            <w:pPr>
              <w:spacing w:before="20" w:after="20"/>
              <w:rPr>
                <w:noProof/>
              </w:rPr>
            </w:pPr>
            <w:r w:rsidRPr="00133050">
              <w:rPr>
                <w:noProof/>
              </w:rPr>
              <w:sym w:font="Wingdings" w:char="F09F"/>
            </w:r>
            <w:r w:rsidRPr="00133050">
              <w:rPr>
                <w:noProof/>
              </w:rPr>
              <w:t> Други административни разходи</w:t>
            </w:r>
          </w:p>
        </w:tc>
        <w:tc>
          <w:tcPr>
            <w:tcW w:w="750" w:type="dxa"/>
            <w:vAlign w:val="center"/>
          </w:tcPr>
          <w:p w14:paraId="0A1D4C81" w14:textId="77777777" w:rsidR="002337F9" w:rsidRPr="00133050" w:rsidRDefault="002337F9" w:rsidP="0026218C">
            <w:pPr>
              <w:spacing w:before="20" w:after="20"/>
              <w:jc w:val="center"/>
              <w:rPr>
                <w:noProof/>
                <w:sz w:val="20"/>
              </w:rPr>
            </w:pPr>
          </w:p>
        </w:tc>
        <w:tc>
          <w:tcPr>
            <w:tcW w:w="868" w:type="dxa"/>
            <w:vAlign w:val="center"/>
          </w:tcPr>
          <w:p w14:paraId="210C9D5F" w14:textId="77777777" w:rsidR="002337F9" w:rsidRPr="00133050" w:rsidRDefault="002337F9" w:rsidP="0026218C">
            <w:pPr>
              <w:spacing w:before="20" w:after="20"/>
              <w:jc w:val="center"/>
              <w:rPr>
                <w:noProof/>
                <w:sz w:val="20"/>
              </w:rPr>
            </w:pPr>
          </w:p>
        </w:tc>
        <w:tc>
          <w:tcPr>
            <w:tcW w:w="868" w:type="dxa"/>
            <w:vAlign w:val="center"/>
          </w:tcPr>
          <w:p w14:paraId="7BFE1B4D" w14:textId="77777777" w:rsidR="002337F9" w:rsidRPr="00133050" w:rsidRDefault="002337F9" w:rsidP="0026218C">
            <w:pPr>
              <w:spacing w:before="20" w:after="20"/>
              <w:jc w:val="right"/>
              <w:rPr>
                <w:noProof/>
                <w:sz w:val="20"/>
              </w:rPr>
            </w:pPr>
          </w:p>
        </w:tc>
        <w:tc>
          <w:tcPr>
            <w:tcW w:w="868" w:type="dxa"/>
            <w:vAlign w:val="center"/>
          </w:tcPr>
          <w:p w14:paraId="5E6A5859" w14:textId="77777777" w:rsidR="002337F9" w:rsidRPr="00133050" w:rsidRDefault="002337F9" w:rsidP="0026218C">
            <w:pPr>
              <w:spacing w:before="20" w:after="20"/>
              <w:jc w:val="right"/>
              <w:rPr>
                <w:noProof/>
                <w:sz w:val="20"/>
              </w:rPr>
            </w:pPr>
          </w:p>
        </w:tc>
        <w:tc>
          <w:tcPr>
            <w:tcW w:w="868" w:type="dxa"/>
            <w:vAlign w:val="center"/>
          </w:tcPr>
          <w:p w14:paraId="30CC4671" w14:textId="77777777" w:rsidR="002337F9" w:rsidRPr="00133050" w:rsidRDefault="002337F9" w:rsidP="0026218C">
            <w:pPr>
              <w:spacing w:before="20" w:after="20"/>
              <w:jc w:val="right"/>
              <w:rPr>
                <w:noProof/>
                <w:sz w:val="20"/>
              </w:rPr>
            </w:pPr>
          </w:p>
        </w:tc>
        <w:tc>
          <w:tcPr>
            <w:tcW w:w="868" w:type="dxa"/>
            <w:vAlign w:val="center"/>
          </w:tcPr>
          <w:p w14:paraId="27B73D69" w14:textId="77777777" w:rsidR="002337F9" w:rsidRPr="00133050" w:rsidRDefault="002337F9" w:rsidP="0026218C">
            <w:pPr>
              <w:spacing w:before="20" w:after="20"/>
              <w:jc w:val="right"/>
              <w:rPr>
                <w:noProof/>
                <w:sz w:val="20"/>
              </w:rPr>
            </w:pPr>
          </w:p>
        </w:tc>
        <w:tc>
          <w:tcPr>
            <w:tcW w:w="868" w:type="dxa"/>
            <w:vAlign w:val="center"/>
          </w:tcPr>
          <w:p w14:paraId="3BBBAF40" w14:textId="77777777" w:rsidR="002337F9" w:rsidRPr="00133050" w:rsidRDefault="002337F9" w:rsidP="0026218C">
            <w:pPr>
              <w:spacing w:before="20" w:after="20"/>
              <w:jc w:val="right"/>
              <w:rPr>
                <w:noProof/>
                <w:sz w:val="20"/>
              </w:rPr>
            </w:pPr>
          </w:p>
        </w:tc>
        <w:tc>
          <w:tcPr>
            <w:tcW w:w="1777" w:type="dxa"/>
            <w:vAlign w:val="center"/>
          </w:tcPr>
          <w:p w14:paraId="2A3EF661" w14:textId="77777777" w:rsidR="002337F9" w:rsidRPr="00133050" w:rsidRDefault="002337F9" w:rsidP="0026218C">
            <w:pPr>
              <w:spacing w:before="20" w:after="20"/>
              <w:jc w:val="center"/>
              <w:rPr>
                <w:b/>
                <w:noProof/>
                <w:sz w:val="20"/>
              </w:rPr>
            </w:pPr>
          </w:p>
        </w:tc>
      </w:tr>
      <w:tr w:rsidR="002337F9" w:rsidRPr="00133050" w14:paraId="21859466" w14:textId="77777777" w:rsidTr="0026218C">
        <w:tc>
          <w:tcPr>
            <w:tcW w:w="3960" w:type="dxa"/>
            <w:vAlign w:val="center"/>
          </w:tcPr>
          <w:p w14:paraId="33270BF1" w14:textId="77777777" w:rsidR="002337F9" w:rsidRPr="00133050" w:rsidRDefault="002337F9" w:rsidP="0026218C">
            <w:pPr>
              <w:jc w:val="center"/>
              <w:rPr>
                <w:b/>
                <w:noProof/>
              </w:rPr>
            </w:pPr>
            <w:r w:rsidRPr="00133050">
              <w:rPr>
                <w:b/>
                <w:noProof/>
              </w:rPr>
              <w:t xml:space="preserve">ОБЩО </w:t>
            </w:r>
          </w:p>
        </w:tc>
        <w:tc>
          <w:tcPr>
            <w:tcW w:w="2212" w:type="dxa"/>
            <w:gridSpan w:val="2"/>
            <w:vAlign w:val="center"/>
          </w:tcPr>
          <w:p w14:paraId="7C01F2F1" w14:textId="77777777" w:rsidR="002337F9" w:rsidRPr="00133050" w:rsidRDefault="002337F9" w:rsidP="0026218C">
            <w:pPr>
              <w:rPr>
                <w:noProof/>
                <w:sz w:val="14"/>
              </w:rPr>
            </w:pPr>
            <w:r w:rsidRPr="00133050">
              <w:rPr>
                <w:noProof/>
                <w:sz w:val="18"/>
              </w:rPr>
              <w:t xml:space="preserve">Бюджетни кредити </w:t>
            </w:r>
          </w:p>
        </w:tc>
        <w:tc>
          <w:tcPr>
            <w:tcW w:w="750" w:type="dxa"/>
            <w:vAlign w:val="center"/>
          </w:tcPr>
          <w:p w14:paraId="71D1F1F2" w14:textId="77777777" w:rsidR="002337F9" w:rsidRPr="00133050" w:rsidRDefault="002337F9" w:rsidP="0026218C">
            <w:pPr>
              <w:spacing w:before="60" w:after="60"/>
              <w:jc w:val="center"/>
              <w:rPr>
                <w:noProof/>
                <w:sz w:val="20"/>
              </w:rPr>
            </w:pPr>
            <w:r w:rsidRPr="00133050">
              <w:rPr>
                <w:noProof/>
                <w:sz w:val="20"/>
              </w:rPr>
              <w:t>0,017</w:t>
            </w:r>
          </w:p>
        </w:tc>
        <w:tc>
          <w:tcPr>
            <w:tcW w:w="868" w:type="dxa"/>
            <w:vAlign w:val="center"/>
          </w:tcPr>
          <w:p w14:paraId="1E3BCE6C" w14:textId="77777777" w:rsidR="002337F9" w:rsidRPr="00133050" w:rsidRDefault="002337F9" w:rsidP="0026218C">
            <w:pPr>
              <w:spacing w:before="20" w:after="20"/>
              <w:jc w:val="center"/>
              <w:rPr>
                <w:noProof/>
                <w:sz w:val="20"/>
              </w:rPr>
            </w:pPr>
            <w:r w:rsidRPr="00133050">
              <w:rPr>
                <w:noProof/>
                <w:sz w:val="20"/>
              </w:rPr>
              <w:t>0,017</w:t>
            </w:r>
          </w:p>
        </w:tc>
        <w:tc>
          <w:tcPr>
            <w:tcW w:w="868" w:type="dxa"/>
            <w:vAlign w:val="center"/>
          </w:tcPr>
          <w:p w14:paraId="776AC24C" w14:textId="77777777" w:rsidR="002337F9" w:rsidRPr="00133050" w:rsidRDefault="002337F9" w:rsidP="0026218C">
            <w:pPr>
              <w:spacing w:before="20" w:after="20"/>
              <w:jc w:val="right"/>
              <w:rPr>
                <w:noProof/>
                <w:sz w:val="20"/>
              </w:rPr>
            </w:pPr>
          </w:p>
        </w:tc>
        <w:tc>
          <w:tcPr>
            <w:tcW w:w="868" w:type="dxa"/>
            <w:vAlign w:val="center"/>
          </w:tcPr>
          <w:p w14:paraId="55ACDF3C" w14:textId="77777777" w:rsidR="002337F9" w:rsidRPr="00133050" w:rsidRDefault="002337F9" w:rsidP="0026218C">
            <w:pPr>
              <w:spacing w:before="20" w:after="20"/>
              <w:jc w:val="right"/>
              <w:rPr>
                <w:noProof/>
                <w:sz w:val="20"/>
              </w:rPr>
            </w:pPr>
          </w:p>
        </w:tc>
        <w:tc>
          <w:tcPr>
            <w:tcW w:w="868" w:type="dxa"/>
            <w:vAlign w:val="center"/>
          </w:tcPr>
          <w:p w14:paraId="63FCE3ED" w14:textId="77777777" w:rsidR="002337F9" w:rsidRPr="00133050" w:rsidRDefault="002337F9" w:rsidP="0026218C">
            <w:pPr>
              <w:spacing w:before="20" w:after="20"/>
              <w:jc w:val="right"/>
              <w:rPr>
                <w:noProof/>
                <w:sz w:val="20"/>
              </w:rPr>
            </w:pPr>
          </w:p>
        </w:tc>
        <w:tc>
          <w:tcPr>
            <w:tcW w:w="868" w:type="dxa"/>
            <w:vAlign w:val="center"/>
          </w:tcPr>
          <w:p w14:paraId="77C0E0D9" w14:textId="77777777" w:rsidR="002337F9" w:rsidRPr="00133050" w:rsidRDefault="002337F9" w:rsidP="0026218C">
            <w:pPr>
              <w:spacing w:before="20" w:after="20"/>
              <w:jc w:val="right"/>
              <w:rPr>
                <w:noProof/>
                <w:sz w:val="20"/>
              </w:rPr>
            </w:pPr>
          </w:p>
        </w:tc>
        <w:tc>
          <w:tcPr>
            <w:tcW w:w="868" w:type="dxa"/>
            <w:vAlign w:val="center"/>
          </w:tcPr>
          <w:p w14:paraId="3D7ED84C" w14:textId="77777777" w:rsidR="002337F9" w:rsidRPr="00133050" w:rsidRDefault="002337F9" w:rsidP="0026218C">
            <w:pPr>
              <w:spacing w:before="20" w:after="20"/>
              <w:jc w:val="right"/>
              <w:rPr>
                <w:noProof/>
                <w:sz w:val="20"/>
              </w:rPr>
            </w:pPr>
          </w:p>
        </w:tc>
        <w:tc>
          <w:tcPr>
            <w:tcW w:w="1777" w:type="dxa"/>
            <w:vAlign w:val="center"/>
          </w:tcPr>
          <w:p w14:paraId="463CB200" w14:textId="77777777" w:rsidR="002337F9" w:rsidRPr="00133050" w:rsidRDefault="002337F9" w:rsidP="0026218C">
            <w:pPr>
              <w:spacing w:before="20" w:after="20"/>
              <w:jc w:val="center"/>
              <w:rPr>
                <w:b/>
                <w:noProof/>
                <w:sz w:val="20"/>
              </w:rPr>
            </w:pPr>
            <w:r w:rsidRPr="00133050">
              <w:rPr>
                <w:b/>
                <w:noProof/>
                <w:sz w:val="20"/>
              </w:rPr>
              <w:t>0,034</w:t>
            </w:r>
          </w:p>
        </w:tc>
      </w:tr>
    </w:tbl>
    <w:p w14:paraId="1C9AE433" w14:textId="77777777" w:rsidR="002337F9" w:rsidRPr="00133050" w:rsidRDefault="002337F9" w:rsidP="002337F9">
      <w:pPr>
        <w:rPr>
          <w:noProof/>
        </w:rPr>
      </w:pPr>
    </w:p>
    <w:tbl>
      <w:tblPr>
        <w:tblW w:w="1390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652"/>
        <w:gridCol w:w="750"/>
        <w:gridCol w:w="868"/>
        <w:gridCol w:w="868"/>
        <w:gridCol w:w="868"/>
        <w:gridCol w:w="868"/>
        <w:gridCol w:w="868"/>
        <w:gridCol w:w="868"/>
        <w:gridCol w:w="1777"/>
      </w:tblGrid>
      <w:tr w:rsidR="002337F9" w:rsidRPr="00133050" w14:paraId="538D559D" w14:textId="77777777" w:rsidTr="0026218C">
        <w:tc>
          <w:tcPr>
            <w:tcW w:w="3960" w:type="dxa"/>
            <w:tcBorders>
              <w:top w:val="nil"/>
              <w:left w:val="nil"/>
              <w:right w:val="nil"/>
            </w:tcBorders>
            <w:vAlign w:val="center"/>
          </w:tcPr>
          <w:p w14:paraId="7D313584" w14:textId="77777777" w:rsidR="002337F9" w:rsidRPr="00133050" w:rsidRDefault="002337F9" w:rsidP="0026218C">
            <w:pPr>
              <w:jc w:val="center"/>
              <w:rPr>
                <w:noProof/>
              </w:rPr>
            </w:pPr>
          </w:p>
        </w:tc>
        <w:tc>
          <w:tcPr>
            <w:tcW w:w="1560" w:type="dxa"/>
            <w:tcBorders>
              <w:top w:val="nil"/>
              <w:left w:val="nil"/>
              <w:right w:val="nil"/>
            </w:tcBorders>
          </w:tcPr>
          <w:p w14:paraId="63DF039C" w14:textId="77777777" w:rsidR="002337F9" w:rsidRPr="00133050" w:rsidRDefault="002337F9" w:rsidP="0026218C">
            <w:pPr>
              <w:rPr>
                <w:noProof/>
                <w:sz w:val="20"/>
              </w:rPr>
            </w:pPr>
          </w:p>
        </w:tc>
        <w:tc>
          <w:tcPr>
            <w:tcW w:w="652" w:type="dxa"/>
            <w:tcBorders>
              <w:top w:val="nil"/>
              <w:left w:val="nil"/>
            </w:tcBorders>
          </w:tcPr>
          <w:p w14:paraId="7D9A5ED8" w14:textId="77777777" w:rsidR="002337F9" w:rsidRPr="00133050" w:rsidRDefault="002337F9" w:rsidP="0026218C">
            <w:pPr>
              <w:jc w:val="center"/>
              <w:rPr>
                <w:noProof/>
                <w:sz w:val="20"/>
              </w:rPr>
            </w:pPr>
          </w:p>
        </w:tc>
        <w:tc>
          <w:tcPr>
            <w:tcW w:w="750" w:type="dxa"/>
            <w:vAlign w:val="center"/>
          </w:tcPr>
          <w:p w14:paraId="2635893E" w14:textId="77777777" w:rsidR="002337F9" w:rsidRPr="00133050" w:rsidRDefault="002337F9" w:rsidP="0026218C">
            <w:pPr>
              <w:jc w:val="center"/>
              <w:rPr>
                <w:noProof/>
                <w:sz w:val="20"/>
              </w:rPr>
            </w:pPr>
            <w:r w:rsidRPr="00133050">
              <w:rPr>
                <w:b/>
                <w:noProof/>
                <w:sz w:val="20"/>
              </w:rPr>
              <w:t>2026 г.</w:t>
            </w:r>
          </w:p>
        </w:tc>
        <w:tc>
          <w:tcPr>
            <w:tcW w:w="868" w:type="dxa"/>
            <w:vAlign w:val="center"/>
          </w:tcPr>
          <w:p w14:paraId="6EDEE444" w14:textId="77777777" w:rsidR="002337F9" w:rsidRPr="00133050" w:rsidRDefault="002337F9" w:rsidP="0026218C">
            <w:pPr>
              <w:jc w:val="center"/>
              <w:rPr>
                <w:noProof/>
                <w:sz w:val="20"/>
              </w:rPr>
            </w:pPr>
            <w:r w:rsidRPr="00133050">
              <w:rPr>
                <w:b/>
                <w:noProof/>
                <w:sz w:val="20"/>
              </w:rPr>
              <w:t>2027 г.</w:t>
            </w:r>
          </w:p>
        </w:tc>
        <w:tc>
          <w:tcPr>
            <w:tcW w:w="868" w:type="dxa"/>
            <w:vAlign w:val="center"/>
          </w:tcPr>
          <w:p w14:paraId="77E7EF40" w14:textId="77777777" w:rsidR="002337F9" w:rsidRPr="00133050" w:rsidRDefault="002337F9" w:rsidP="0026218C">
            <w:pPr>
              <w:jc w:val="center"/>
              <w:rPr>
                <w:noProof/>
                <w:sz w:val="20"/>
              </w:rPr>
            </w:pPr>
          </w:p>
        </w:tc>
        <w:tc>
          <w:tcPr>
            <w:tcW w:w="868" w:type="dxa"/>
            <w:vAlign w:val="center"/>
          </w:tcPr>
          <w:p w14:paraId="17D24F7B" w14:textId="77777777" w:rsidR="002337F9" w:rsidRPr="00133050" w:rsidRDefault="002337F9" w:rsidP="0026218C">
            <w:pPr>
              <w:jc w:val="center"/>
              <w:rPr>
                <w:noProof/>
                <w:sz w:val="20"/>
              </w:rPr>
            </w:pPr>
          </w:p>
        </w:tc>
        <w:tc>
          <w:tcPr>
            <w:tcW w:w="868" w:type="dxa"/>
            <w:vAlign w:val="center"/>
          </w:tcPr>
          <w:p w14:paraId="7A3FE471" w14:textId="77777777" w:rsidR="002337F9" w:rsidRPr="00133050" w:rsidRDefault="002337F9" w:rsidP="0026218C">
            <w:pPr>
              <w:jc w:val="center"/>
              <w:rPr>
                <w:b/>
                <w:noProof/>
                <w:sz w:val="18"/>
              </w:rPr>
            </w:pPr>
          </w:p>
        </w:tc>
        <w:tc>
          <w:tcPr>
            <w:tcW w:w="868" w:type="dxa"/>
            <w:vAlign w:val="center"/>
          </w:tcPr>
          <w:p w14:paraId="002BBD30" w14:textId="77777777" w:rsidR="002337F9" w:rsidRPr="00133050" w:rsidRDefault="002337F9" w:rsidP="0026218C">
            <w:pPr>
              <w:jc w:val="center"/>
              <w:rPr>
                <w:b/>
                <w:noProof/>
                <w:sz w:val="18"/>
              </w:rPr>
            </w:pPr>
          </w:p>
        </w:tc>
        <w:tc>
          <w:tcPr>
            <w:tcW w:w="868" w:type="dxa"/>
            <w:vAlign w:val="center"/>
          </w:tcPr>
          <w:p w14:paraId="290590E9" w14:textId="77777777" w:rsidR="002337F9" w:rsidRPr="00133050" w:rsidRDefault="002337F9" w:rsidP="0026218C">
            <w:pPr>
              <w:jc w:val="center"/>
              <w:rPr>
                <w:b/>
                <w:noProof/>
                <w:sz w:val="18"/>
              </w:rPr>
            </w:pPr>
          </w:p>
        </w:tc>
        <w:tc>
          <w:tcPr>
            <w:tcW w:w="1777" w:type="dxa"/>
            <w:vAlign w:val="center"/>
          </w:tcPr>
          <w:p w14:paraId="55951682" w14:textId="77777777" w:rsidR="002337F9" w:rsidRPr="00133050" w:rsidRDefault="002337F9" w:rsidP="0026218C">
            <w:pPr>
              <w:jc w:val="center"/>
              <w:rPr>
                <w:b/>
                <w:noProof/>
                <w:sz w:val="20"/>
              </w:rPr>
            </w:pPr>
            <w:r w:rsidRPr="00133050">
              <w:rPr>
                <w:b/>
                <w:noProof/>
                <w:sz w:val="20"/>
              </w:rPr>
              <w:t>ОБЩО</w:t>
            </w:r>
          </w:p>
        </w:tc>
      </w:tr>
      <w:tr w:rsidR="002337F9" w:rsidRPr="00133050" w14:paraId="13FAC9E7" w14:textId="77777777" w:rsidTr="0026218C">
        <w:trPr>
          <w:gridAfter w:val="8"/>
          <w:wAfter w:w="7735" w:type="dxa"/>
        </w:trPr>
        <w:tc>
          <w:tcPr>
            <w:tcW w:w="3960" w:type="dxa"/>
            <w:vAlign w:val="center"/>
          </w:tcPr>
          <w:p w14:paraId="701A4073" w14:textId="77777777" w:rsidR="002337F9" w:rsidRPr="00133050" w:rsidRDefault="002337F9" w:rsidP="0026218C">
            <w:pPr>
              <w:spacing w:before="60" w:after="60"/>
              <w:jc w:val="center"/>
              <w:rPr>
                <w:noProof/>
              </w:rPr>
            </w:pPr>
            <w:r w:rsidRPr="00133050">
              <w:rPr>
                <w:noProof/>
              </w:rPr>
              <w:t>ГД „Правосъдие и потребители“</w:t>
            </w:r>
          </w:p>
        </w:tc>
        <w:tc>
          <w:tcPr>
            <w:tcW w:w="2212" w:type="dxa"/>
            <w:gridSpan w:val="2"/>
          </w:tcPr>
          <w:p w14:paraId="3A276281" w14:textId="77777777" w:rsidR="002337F9" w:rsidRPr="00133050" w:rsidRDefault="002337F9" w:rsidP="0026218C">
            <w:pPr>
              <w:spacing w:before="60" w:after="60"/>
              <w:jc w:val="center"/>
              <w:rPr>
                <w:noProof/>
              </w:rPr>
            </w:pPr>
          </w:p>
        </w:tc>
      </w:tr>
      <w:tr w:rsidR="002337F9" w:rsidRPr="00133050" w14:paraId="651808C3" w14:textId="77777777" w:rsidTr="0026218C">
        <w:trPr>
          <w:trHeight w:val="313"/>
        </w:trPr>
        <w:tc>
          <w:tcPr>
            <w:tcW w:w="6172" w:type="dxa"/>
            <w:gridSpan w:val="3"/>
            <w:vAlign w:val="center"/>
          </w:tcPr>
          <w:p w14:paraId="172070FF" w14:textId="77777777" w:rsidR="002337F9" w:rsidRPr="00133050" w:rsidRDefault="002337F9" w:rsidP="0026218C">
            <w:pPr>
              <w:spacing w:before="20" w:after="20"/>
              <w:rPr>
                <w:noProof/>
              </w:rPr>
            </w:pPr>
            <w:r w:rsidRPr="00133050">
              <w:rPr>
                <w:noProof/>
              </w:rPr>
              <w:sym w:font="Wingdings" w:char="F09F"/>
            </w:r>
            <w:r w:rsidRPr="00133050">
              <w:rPr>
                <w:noProof/>
              </w:rPr>
              <w:t xml:space="preserve"> Човешки ресурси </w:t>
            </w:r>
          </w:p>
        </w:tc>
        <w:tc>
          <w:tcPr>
            <w:tcW w:w="750" w:type="dxa"/>
            <w:vAlign w:val="center"/>
          </w:tcPr>
          <w:p w14:paraId="529BA474" w14:textId="77777777" w:rsidR="002337F9" w:rsidRPr="00133050" w:rsidRDefault="002337F9" w:rsidP="0026218C">
            <w:pPr>
              <w:spacing w:before="20" w:after="20"/>
              <w:jc w:val="center"/>
              <w:rPr>
                <w:noProof/>
                <w:sz w:val="20"/>
              </w:rPr>
            </w:pPr>
            <w:r w:rsidRPr="00133050">
              <w:rPr>
                <w:noProof/>
                <w:sz w:val="20"/>
              </w:rPr>
              <w:t>0,017</w:t>
            </w:r>
          </w:p>
        </w:tc>
        <w:tc>
          <w:tcPr>
            <w:tcW w:w="868" w:type="dxa"/>
            <w:vAlign w:val="center"/>
          </w:tcPr>
          <w:p w14:paraId="3800CA5C" w14:textId="77777777" w:rsidR="002337F9" w:rsidRPr="00133050" w:rsidRDefault="002337F9" w:rsidP="0026218C">
            <w:pPr>
              <w:spacing w:before="20" w:after="20"/>
              <w:jc w:val="center"/>
              <w:rPr>
                <w:noProof/>
                <w:sz w:val="20"/>
              </w:rPr>
            </w:pPr>
            <w:r w:rsidRPr="00133050">
              <w:rPr>
                <w:noProof/>
                <w:sz w:val="20"/>
              </w:rPr>
              <w:t>0,017</w:t>
            </w:r>
          </w:p>
        </w:tc>
        <w:tc>
          <w:tcPr>
            <w:tcW w:w="868" w:type="dxa"/>
            <w:vAlign w:val="center"/>
          </w:tcPr>
          <w:p w14:paraId="11600B8F" w14:textId="77777777" w:rsidR="002337F9" w:rsidRPr="00133050" w:rsidRDefault="002337F9" w:rsidP="0026218C">
            <w:pPr>
              <w:spacing w:before="20" w:after="20"/>
              <w:jc w:val="right"/>
              <w:rPr>
                <w:noProof/>
                <w:sz w:val="20"/>
              </w:rPr>
            </w:pPr>
          </w:p>
        </w:tc>
        <w:tc>
          <w:tcPr>
            <w:tcW w:w="868" w:type="dxa"/>
            <w:vAlign w:val="center"/>
          </w:tcPr>
          <w:p w14:paraId="2CA82226" w14:textId="77777777" w:rsidR="002337F9" w:rsidRPr="00133050" w:rsidRDefault="002337F9" w:rsidP="0026218C">
            <w:pPr>
              <w:spacing w:before="20" w:after="20"/>
              <w:jc w:val="right"/>
              <w:rPr>
                <w:noProof/>
                <w:sz w:val="20"/>
              </w:rPr>
            </w:pPr>
          </w:p>
        </w:tc>
        <w:tc>
          <w:tcPr>
            <w:tcW w:w="868" w:type="dxa"/>
            <w:vAlign w:val="center"/>
          </w:tcPr>
          <w:p w14:paraId="4932E44B" w14:textId="77777777" w:rsidR="002337F9" w:rsidRPr="00133050" w:rsidRDefault="002337F9" w:rsidP="0026218C">
            <w:pPr>
              <w:spacing w:before="20" w:after="20"/>
              <w:jc w:val="right"/>
              <w:rPr>
                <w:noProof/>
                <w:sz w:val="20"/>
              </w:rPr>
            </w:pPr>
          </w:p>
        </w:tc>
        <w:tc>
          <w:tcPr>
            <w:tcW w:w="868" w:type="dxa"/>
            <w:vAlign w:val="center"/>
          </w:tcPr>
          <w:p w14:paraId="406CFEF1" w14:textId="77777777" w:rsidR="002337F9" w:rsidRPr="00133050" w:rsidRDefault="002337F9" w:rsidP="0026218C">
            <w:pPr>
              <w:spacing w:before="20" w:after="20"/>
              <w:jc w:val="right"/>
              <w:rPr>
                <w:noProof/>
                <w:sz w:val="20"/>
              </w:rPr>
            </w:pPr>
          </w:p>
        </w:tc>
        <w:tc>
          <w:tcPr>
            <w:tcW w:w="868" w:type="dxa"/>
            <w:vAlign w:val="center"/>
          </w:tcPr>
          <w:p w14:paraId="307D3A65" w14:textId="77777777" w:rsidR="002337F9" w:rsidRPr="00133050" w:rsidRDefault="002337F9" w:rsidP="0026218C">
            <w:pPr>
              <w:spacing w:before="20" w:after="20"/>
              <w:jc w:val="right"/>
              <w:rPr>
                <w:b/>
                <w:noProof/>
                <w:sz w:val="20"/>
              </w:rPr>
            </w:pPr>
          </w:p>
        </w:tc>
        <w:tc>
          <w:tcPr>
            <w:tcW w:w="1777" w:type="dxa"/>
            <w:vAlign w:val="center"/>
          </w:tcPr>
          <w:p w14:paraId="4F35FC2C" w14:textId="77777777" w:rsidR="002337F9" w:rsidRPr="00133050" w:rsidRDefault="002337F9" w:rsidP="0026218C">
            <w:pPr>
              <w:spacing w:before="20" w:after="20"/>
              <w:jc w:val="center"/>
              <w:rPr>
                <w:b/>
                <w:noProof/>
                <w:sz w:val="20"/>
              </w:rPr>
            </w:pPr>
            <w:r w:rsidRPr="00133050">
              <w:rPr>
                <w:b/>
                <w:noProof/>
                <w:sz w:val="20"/>
              </w:rPr>
              <w:t>0,034</w:t>
            </w:r>
          </w:p>
        </w:tc>
      </w:tr>
      <w:tr w:rsidR="002337F9" w:rsidRPr="00133050" w14:paraId="0246C28F" w14:textId="77777777" w:rsidTr="0026218C">
        <w:trPr>
          <w:trHeight w:val="351"/>
        </w:trPr>
        <w:tc>
          <w:tcPr>
            <w:tcW w:w="6172" w:type="dxa"/>
            <w:gridSpan w:val="3"/>
            <w:vAlign w:val="center"/>
          </w:tcPr>
          <w:p w14:paraId="66150671" w14:textId="77777777" w:rsidR="002337F9" w:rsidRPr="00133050" w:rsidRDefault="002337F9" w:rsidP="0026218C">
            <w:pPr>
              <w:spacing w:before="20" w:after="20"/>
              <w:rPr>
                <w:noProof/>
              </w:rPr>
            </w:pPr>
            <w:r w:rsidRPr="00133050">
              <w:rPr>
                <w:noProof/>
              </w:rPr>
              <w:sym w:font="Wingdings" w:char="F09F"/>
            </w:r>
            <w:r w:rsidRPr="00133050">
              <w:rPr>
                <w:noProof/>
              </w:rPr>
              <w:t> Други административни разходи</w:t>
            </w:r>
          </w:p>
        </w:tc>
        <w:tc>
          <w:tcPr>
            <w:tcW w:w="750" w:type="dxa"/>
            <w:vAlign w:val="center"/>
          </w:tcPr>
          <w:p w14:paraId="4FA50294" w14:textId="77777777" w:rsidR="002337F9" w:rsidRPr="00133050" w:rsidRDefault="002337F9" w:rsidP="0026218C">
            <w:pPr>
              <w:spacing w:before="20" w:after="20"/>
              <w:jc w:val="center"/>
              <w:rPr>
                <w:noProof/>
                <w:sz w:val="20"/>
              </w:rPr>
            </w:pPr>
          </w:p>
        </w:tc>
        <w:tc>
          <w:tcPr>
            <w:tcW w:w="868" w:type="dxa"/>
            <w:vAlign w:val="center"/>
          </w:tcPr>
          <w:p w14:paraId="0860C654" w14:textId="77777777" w:rsidR="002337F9" w:rsidRPr="00133050" w:rsidRDefault="002337F9" w:rsidP="0026218C">
            <w:pPr>
              <w:spacing w:before="20" w:after="20"/>
              <w:jc w:val="center"/>
              <w:rPr>
                <w:noProof/>
                <w:sz w:val="20"/>
              </w:rPr>
            </w:pPr>
          </w:p>
        </w:tc>
        <w:tc>
          <w:tcPr>
            <w:tcW w:w="868" w:type="dxa"/>
            <w:vAlign w:val="center"/>
          </w:tcPr>
          <w:p w14:paraId="03A540D6" w14:textId="77777777" w:rsidR="002337F9" w:rsidRPr="00133050" w:rsidRDefault="002337F9" w:rsidP="0026218C">
            <w:pPr>
              <w:spacing w:before="20" w:after="20"/>
              <w:jc w:val="right"/>
              <w:rPr>
                <w:noProof/>
                <w:sz w:val="20"/>
              </w:rPr>
            </w:pPr>
          </w:p>
        </w:tc>
        <w:tc>
          <w:tcPr>
            <w:tcW w:w="868" w:type="dxa"/>
            <w:vAlign w:val="center"/>
          </w:tcPr>
          <w:p w14:paraId="75B50DAF" w14:textId="77777777" w:rsidR="002337F9" w:rsidRPr="00133050" w:rsidRDefault="002337F9" w:rsidP="0026218C">
            <w:pPr>
              <w:spacing w:before="20" w:after="20"/>
              <w:jc w:val="right"/>
              <w:rPr>
                <w:noProof/>
                <w:sz w:val="20"/>
              </w:rPr>
            </w:pPr>
          </w:p>
        </w:tc>
        <w:tc>
          <w:tcPr>
            <w:tcW w:w="868" w:type="dxa"/>
            <w:vAlign w:val="center"/>
          </w:tcPr>
          <w:p w14:paraId="3DDAD867" w14:textId="77777777" w:rsidR="002337F9" w:rsidRPr="00133050" w:rsidRDefault="002337F9" w:rsidP="0026218C">
            <w:pPr>
              <w:spacing w:before="20" w:after="20"/>
              <w:jc w:val="right"/>
              <w:rPr>
                <w:noProof/>
                <w:sz w:val="20"/>
              </w:rPr>
            </w:pPr>
          </w:p>
        </w:tc>
        <w:tc>
          <w:tcPr>
            <w:tcW w:w="868" w:type="dxa"/>
            <w:vAlign w:val="center"/>
          </w:tcPr>
          <w:p w14:paraId="0FACBB91" w14:textId="77777777" w:rsidR="002337F9" w:rsidRPr="00133050" w:rsidRDefault="002337F9" w:rsidP="0026218C">
            <w:pPr>
              <w:spacing w:before="20" w:after="20"/>
              <w:jc w:val="right"/>
              <w:rPr>
                <w:noProof/>
                <w:sz w:val="20"/>
              </w:rPr>
            </w:pPr>
          </w:p>
        </w:tc>
        <w:tc>
          <w:tcPr>
            <w:tcW w:w="868" w:type="dxa"/>
            <w:vAlign w:val="center"/>
          </w:tcPr>
          <w:p w14:paraId="70A45C79" w14:textId="77777777" w:rsidR="002337F9" w:rsidRPr="00133050" w:rsidRDefault="002337F9" w:rsidP="0026218C">
            <w:pPr>
              <w:spacing w:before="20" w:after="20"/>
              <w:jc w:val="right"/>
              <w:rPr>
                <w:noProof/>
                <w:sz w:val="20"/>
              </w:rPr>
            </w:pPr>
          </w:p>
        </w:tc>
        <w:tc>
          <w:tcPr>
            <w:tcW w:w="1777" w:type="dxa"/>
            <w:vAlign w:val="center"/>
          </w:tcPr>
          <w:p w14:paraId="6C7C9400" w14:textId="77777777" w:rsidR="002337F9" w:rsidRPr="00133050" w:rsidRDefault="002337F9" w:rsidP="0026218C">
            <w:pPr>
              <w:spacing w:before="20" w:after="20"/>
              <w:jc w:val="center"/>
              <w:rPr>
                <w:b/>
                <w:noProof/>
                <w:sz w:val="20"/>
              </w:rPr>
            </w:pPr>
          </w:p>
        </w:tc>
      </w:tr>
      <w:tr w:rsidR="002337F9" w:rsidRPr="00133050" w14:paraId="4ECE9FF3" w14:textId="77777777" w:rsidTr="0026218C">
        <w:tc>
          <w:tcPr>
            <w:tcW w:w="3960" w:type="dxa"/>
            <w:vAlign w:val="center"/>
          </w:tcPr>
          <w:p w14:paraId="6FA2937B" w14:textId="77777777" w:rsidR="002337F9" w:rsidRPr="00133050" w:rsidRDefault="002337F9" w:rsidP="0026218C">
            <w:pPr>
              <w:jc w:val="center"/>
              <w:rPr>
                <w:b/>
                <w:noProof/>
              </w:rPr>
            </w:pPr>
            <w:r w:rsidRPr="00133050">
              <w:rPr>
                <w:b/>
                <w:noProof/>
              </w:rPr>
              <w:t xml:space="preserve">ОБЩО </w:t>
            </w:r>
          </w:p>
        </w:tc>
        <w:tc>
          <w:tcPr>
            <w:tcW w:w="2212" w:type="dxa"/>
            <w:gridSpan w:val="2"/>
            <w:vAlign w:val="center"/>
          </w:tcPr>
          <w:p w14:paraId="4B00C3FB" w14:textId="77777777" w:rsidR="002337F9" w:rsidRPr="00133050" w:rsidRDefault="002337F9" w:rsidP="0026218C">
            <w:pPr>
              <w:rPr>
                <w:noProof/>
                <w:sz w:val="14"/>
              </w:rPr>
            </w:pPr>
            <w:r w:rsidRPr="00133050">
              <w:rPr>
                <w:noProof/>
                <w:sz w:val="18"/>
              </w:rPr>
              <w:t xml:space="preserve">Бюджетни кредити </w:t>
            </w:r>
          </w:p>
        </w:tc>
        <w:tc>
          <w:tcPr>
            <w:tcW w:w="750" w:type="dxa"/>
            <w:vAlign w:val="center"/>
          </w:tcPr>
          <w:p w14:paraId="776B4D1F" w14:textId="77777777" w:rsidR="002337F9" w:rsidRPr="00133050" w:rsidRDefault="002337F9" w:rsidP="0026218C">
            <w:pPr>
              <w:spacing w:before="60" w:after="60"/>
              <w:jc w:val="center"/>
              <w:rPr>
                <w:noProof/>
                <w:sz w:val="20"/>
              </w:rPr>
            </w:pPr>
            <w:r w:rsidRPr="00133050">
              <w:rPr>
                <w:noProof/>
                <w:sz w:val="20"/>
              </w:rPr>
              <w:t>0,017</w:t>
            </w:r>
          </w:p>
        </w:tc>
        <w:tc>
          <w:tcPr>
            <w:tcW w:w="868" w:type="dxa"/>
            <w:vAlign w:val="center"/>
          </w:tcPr>
          <w:p w14:paraId="6A7A8F67" w14:textId="77777777" w:rsidR="002337F9" w:rsidRPr="00133050" w:rsidRDefault="002337F9" w:rsidP="0026218C">
            <w:pPr>
              <w:spacing w:before="20" w:after="20"/>
              <w:jc w:val="center"/>
              <w:rPr>
                <w:noProof/>
                <w:sz w:val="20"/>
              </w:rPr>
            </w:pPr>
            <w:r w:rsidRPr="00133050">
              <w:rPr>
                <w:noProof/>
                <w:sz w:val="20"/>
              </w:rPr>
              <w:t>0,017</w:t>
            </w:r>
          </w:p>
        </w:tc>
        <w:tc>
          <w:tcPr>
            <w:tcW w:w="868" w:type="dxa"/>
            <w:vAlign w:val="center"/>
          </w:tcPr>
          <w:p w14:paraId="7ADC470B" w14:textId="77777777" w:rsidR="002337F9" w:rsidRPr="00133050" w:rsidRDefault="002337F9" w:rsidP="0026218C">
            <w:pPr>
              <w:spacing w:before="20" w:after="20"/>
              <w:jc w:val="right"/>
              <w:rPr>
                <w:noProof/>
                <w:sz w:val="20"/>
              </w:rPr>
            </w:pPr>
          </w:p>
        </w:tc>
        <w:tc>
          <w:tcPr>
            <w:tcW w:w="868" w:type="dxa"/>
            <w:vAlign w:val="center"/>
          </w:tcPr>
          <w:p w14:paraId="6F9E6F06" w14:textId="77777777" w:rsidR="002337F9" w:rsidRPr="00133050" w:rsidRDefault="002337F9" w:rsidP="0026218C">
            <w:pPr>
              <w:spacing w:before="20" w:after="20"/>
              <w:jc w:val="right"/>
              <w:rPr>
                <w:noProof/>
                <w:sz w:val="20"/>
              </w:rPr>
            </w:pPr>
          </w:p>
        </w:tc>
        <w:tc>
          <w:tcPr>
            <w:tcW w:w="868" w:type="dxa"/>
            <w:vAlign w:val="center"/>
          </w:tcPr>
          <w:p w14:paraId="2C16271A" w14:textId="77777777" w:rsidR="002337F9" w:rsidRPr="00133050" w:rsidRDefault="002337F9" w:rsidP="0026218C">
            <w:pPr>
              <w:spacing w:before="20" w:after="20"/>
              <w:jc w:val="right"/>
              <w:rPr>
                <w:noProof/>
                <w:sz w:val="20"/>
              </w:rPr>
            </w:pPr>
          </w:p>
        </w:tc>
        <w:tc>
          <w:tcPr>
            <w:tcW w:w="868" w:type="dxa"/>
            <w:vAlign w:val="center"/>
          </w:tcPr>
          <w:p w14:paraId="68E6D5E7" w14:textId="77777777" w:rsidR="002337F9" w:rsidRPr="00133050" w:rsidRDefault="002337F9" w:rsidP="0026218C">
            <w:pPr>
              <w:spacing w:before="20" w:after="20"/>
              <w:jc w:val="right"/>
              <w:rPr>
                <w:noProof/>
                <w:sz w:val="20"/>
              </w:rPr>
            </w:pPr>
          </w:p>
        </w:tc>
        <w:tc>
          <w:tcPr>
            <w:tcW w:w="868" w:type="dxa"/>
            <w:vAlign w:val="center"/>
          </w:tcPr>
          <w:p w14:paraId="7AA8E75D" w14:textId="77777777" w:rsidR="002337F9" w:rsidRPr="00133050" w:rsidRDefault="002337F9" w:rsidP="0026218C">
            <w:pPr>
              <w:spacing w:before="20" w:after="20"/>
              <w:jc w:val="right"/>
              <w:rPr>
                <w:noProof/>
                <w:sz w:val="20"/>
              </w:rPr>
            </w:pPr>
          </w:p>
        </w:tc>
        <w:tc>
          <w:tcPr>
            <w:tcW w:w="1777" w:type="dxa"/>
            <w:vAlign w:val="center"/>
          </w:tcPr>
          <w:p w14:paraId="3CC0E2EE" w14:textId="77777777" w:rsidR="002337F9" w:rsidRPr="00133050" w:rsidRDefault="002337F9" w:rsidP="0026218C">
            <w:pPr>
              <w:spacing w:before="20" w:after="20"/>
              <w:jc w:val="center"/>
              <w:rPr>
                <w:b/>
                <w:noProof/>
                <w:sz w:val="20"/>
              </w:rPr>
            </w:pPr>
            <w:r w:rsidRPr="00133050">
              <w:rPr>
                <w:b/>
                <w:noProof/>
                <w:sz w:val="20"/>
              </w:rPr>
              <w:t>0,034</w:t>
            </w:r>
          </w:p>
        </w:tc>
      </w:tr>
    </w:tbl>
    <w:p w14:paraId="67DAFECC" w14:textId="77777777" w:rsidR="002337F9" w:rsidRPr="00133050" w:rsidRDefault="002337F9" w:rsidP="002337F9">
      <w:pPr>
        <w:rPr>
          <w:noProof/>
        </w:rPr>
      </w:pPr>
    </w:p>
    <w:tbl>
      <w:tblPr>
        <w:tblW w:w="1390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652"/>
        <w:gridCol w:w="750"/>
        <w:gridCol w:w="868"/>
        <w:gridCol w:w="868"/>
        <w:gridCol w:w="868"/>
        <w:gridCol w:w="868"/>
        <w:gridCol w:w="868"/>
        <w:gridCol w:w="868"/>
        <w:gridCol w:w="1777"/>
      </w:tblGrid>
      <w:tr w:rsidR="002337F9" w:rsidRPr="00133050" w14:paraId="45563B4F" w14:textId="77777777" w:rsidTr="0026218C">
        <w:tc>
          <w:tcPr>
            <w:tcW w:w="3960" w:type="dxa"/>
            <w:tcBorders>
              <w:top w:val="nil"/>
              <w:left w:val="nil"/>
              <w:right w:val="nil"/>
            </w:tcBorders>
            <w:vAlign w:val="center"/>
          </w:tcPr>
          <w:p w14:paraId="576DC9ED" w14:textId="77777777" w:rsidR="002337F9" w:rsidRPr="00133050" w:rsidRDefault="002337F9" w:rsidP="0026218C">
            <w:pPr>
              <w:jc w:val="center"/>
              <w:rPr>
                <w:noProof/>
              </w:rPr>
            </w:pPr>
          </w:p>
        </w:tc>
        <w:tc>
          <w:tcPr>
            <w:tcW w:w="1560" w:type="dxa"/>
            <w:tcBorders>
              <w:top w:val="nil"/>
              <w:left w:val="nil"/>
              <w:right w:val="nil"/>
            </w:tcBorders>
          </w:tcPr>
          <w:p w14:paraId="29E85F91" w14:textId="77777777" w:rsidR="002337F9" w:rsidRPr="00133050" w:rsidRDefault="002337F9" w:rsidP="0026218C">
            <w:pPr>
              <w:rPr>
                <w:noProof/>
                <w:sz w:val="20"/>
              </w:rPr>
            </w:pPr>
          </w:p>
        </w:tc>
        <w:tc>
          <w:tcPr>
            <w:tcW w:w="652" w:type="dxa"/>
            <w:tcBorders>
              <w:top w:val="nil"/>
              <w:left w:val="nil"/>
            </w:tcBorders>
          </w:tcPr>
          <w:p w14:paraId="52A708AE" w14:textId="77777777" w:rsidR="002337F9" w:rsidRPr="00133050" w:rsidRDefault="002337F9" w:rsidP="0026218C">
            <w:pPr>
              <w:jc w:val="center"/>
              <w:rPr>
                <w:noProof/>
                <w:sz w:val="20"/>
              </w:rPr>
            </w:pPr>
          </w:p>
        </w:tc>
        <w:tc>
          <w:tcPr>
            <w:tcW w:w="750" w:type="dxa"/>
            <w:vAlign w:val="center"/>
          </w:tcPr>
          <w:p w14:paraId="6D04CE3B" w14:textId="77777777" w:rsidR="002337F9" w:rsidRPr="00133050" w:rsidRDefault="002337F9" w:rsidP="0026218C">
            <w:pPr>
              <w:jc w:val="center"/>
              <w:rPr>
                <w:noProof/>
                <w:sz w:val="20"/>
              </w:rPr>
            </w:pPr>
            <w:r w:rsidRPr="00133050">
              <w:rPr>
                <w:b/>
                <w:noProof/>
                <w:sz w:val="20"/>
              </w:rPr>
              <w:t>2026 г.</w:t>
            </w:r>
          </w:p>
        </w:tc>
        <w:tc>
          <w:tcPr>
            <w:tcW w:w="868" w:type="dxa"/>
            <w:vAlign w:val="center"/>
          </w:tcPr>
          <w:p w14:paraId="6C689129" w14:textId="77777777" w:rsidR="002337F9" w:rsidRPr="00133050" w:rsidRDefault="002337F9" w:rsidP="0026218C">
            <w:pPr>
              <w:jc w:val="center"/>
              <w:rPr>
                <w:noProof/>
                <w:sz w:val="20"/>
              </w:rPr>
            </w:pPr>
            <w:r w:rsidRPr="00133050">
              <w:rPr>
                <w:b/>
                <w:noProof/>
                <w:sz w:val="20"/>
              </w:rPr>
              <w:t>2027 г.</w:t>
            </w:r>
          </w:p>
        </w:tc>
        <w:tc>
          <w:tcPr>
            <w:tcW w:w="868" w:type="dxa"/>
            <w:vAlign w:val="center"/>
          </w:tcPr>
          <w:p w14:paraId="0295C91C" w14:textId="77777777" w:rsidR="002337F9" w:rsidRPr="00133050" w:rsidRDefault="002337F9" w:rsidP="0026218C">
            <w:pPr>
              <w:jc w:val="center"/>
              <w:rPr>
                <w:noProof/>
                <w:sz w:val="20"/>
              </w:rPr>
            </w:pPr>
          </w:p>
        </w:tc>
        <w:tc>
          <w:tcPr>
            <w:tcW w:w="868" w:type="dxa"/>
            <w:vAlign w:val="center"/>
          </w:tcPr>
          <w:p w14:paraId="4750EA59" w14:textId="77777777" w:rsidR="002337F9" w:rsidRPr="00133050" w:rsidRDefault="002337F9" w:rsidP="0026218C">
            <w:pPr>
              <w:jc w:val="center"/>
              <w:rPr>
                <w:noProof/>
                <w:sz w:val="20"/>
              </w:rPr>
            </w:pPr>
          </w:p>
        </w:tc>
        <w:tc>
          <w:tcPr>
            <w:tcW w:w="868" w:type="dxa"/>
            <w:vAlign w:val="center"/>
          </w:tcPr>
          <w:p w14:paraId="063B3480" w14:textId="77777777" w:rsidR="002337F9" w:rsidRPr="00133050" w:rsidRDefault="002337F9" w:rsidP="0026218C">
            <w:pPr>
              <w:jc w:val="center"/>
              <w:rPr>
                <w:b/>
                <w:noProof/>
                <w:sz w:val="18"/>
              </w:rPr>
            </w:pPr>
          </w:p>
        </w:tc>
        <w:tc>
          <w:tcPr>
            <w:tcW w:w="868" w:type="dxa"/>
            <w:vAlign w:val="center"/>
          </w:tcPr>
          <w:p w14:paraId="2859C6A7" w14:textId="77777777" w:rsidR="002337F9" w:rsidRPr="00133050" w:rsidRDefault="002337F9" w:rsidP="0026218C">
            <w:pPr>
              <w:jc w:val="center"/>
              <w:rPr>
                <w:b/>
                <w:noProof/>
                <w:sz w:val="18"/>
              </w:rPr>
            </w:pPr>
          </w:p>
        </w:tc>
        <w:tc>
          <w:tcPr>
            <w:tcW w:w="868" w:type="dxa"/>
            <w:vAlign w:val="center"/>
          </w:tcPr>
          <w:p w14:paraId="1726B855" w14:textId="77777777" w:rsidR="002337F9" w:rsidRPr="00133050" w:rsidRDefault="002337F9" w:rsidP="0026218C">
            <w:pPr>
              <w:jc w:val="center"/>
              <w:rPr>
                <w:b/>
                <w:noProof/>
                <w:sz w:val="18"/>
              </w:rPr>
            </w:pPr>
          </w:p>
        </w:tc>
        <w:tc>
          <w:tcPr>
            <w:tcW w:w="1777" w:type="dxa"/>
            <w:vAlign w:val="center"/>
          </w:tcPr>
          <w:p w14:paraId="437A492E" w14:textId="77777777" w:rsidR="002337F9" w:rsidRPr="00133050" w:rsidRDefault="002337F9" w:rsidP="0026218C">
            <w:pPr>
              <w:jc w:val="center"/>
              <w:rPr>
                <w:b/>
                <w:noProof/>
                <w:sz w:val="20"/>
              </w:rPr>
            </w:pPr>
            <w:r w:rsidRPr="00133050">
              <w:rPr>
                <w:b/>
                <w:noProof/>
                <w:sz w:val="20"/>
              </w:rPr>
              <w:t>ОБЩО</w:t>
            </w:r>
          </w:p>
        </w:tc>
      </w:tr>
      <w:tr w:rsidR="002337F9" w:rsidRPr="00133050" w14:paraId="740F3F0C" w14:textId="77777777" w:rsidTr="0026218C">
        <w:trPr>
          <w:gridAfter w:val="8"/>
          <w:wAfter w:w="7735" w:type="dxa"/>
        </w:trPr>
        <w:tc>
          <w:tcPr>
            <w:tcW w:w="3960" w:type="dxa"/>
            <w:vAlign w:val="center"/>
          </w:tcPr>
          <w:p w14:paraId="182E1820" w14:textId="77777777" w:rsidR="002337F9" w:rsidRPr="00133050" w:rsidRDefault="002337F9" w:rsidP="0026218C">
            <w:pPr>
              <w:spacing w:before="60" w:after="60"/>
              <w:jc w:val="center"/>
              <w:rPr>
                <w:noProof/>
              </w:rPr>
            </w:pPr>
            <w:r w:rsidRPr="00133050">
              <w:rPr>
                <w:noProof/>
              </w:rPr>
              <w:t>ГД „Здравеопазване и безопасност на храните“</w:t>
            </w:r>
          </w:p>
        </w:tc>
        <w:tc>
          <w:tcPr>
            <w:tcW w:w="2212" w:type="dxa"/>
            <w:gridSpan w:val="2"/>
          </w:tcPr>
          <w:p w14:paraId="3B602F9C" w14:textId="77777777" w:rsidR="002337F9" w:rsidRPr="00133050" w:rsidRDefault="002337F9" w:rsidP="0026218C">
            <w:pPr>
              <w:spacing w:before="60" w:after="60"/>
              <w:jc w:val="center"/>
              <w:rPr>
                <w:noProof/>
              </w:rPr>
            </w:pPr>
          </w:p>
        </w:tc>
      </w:tr>
      <w:tr w:rsidR="002337F9" w:rsidRPr="00133050" w14:paraId="058E7676" w14:textId="77777777" w:rsidTr="0026218C">
        <w:trPr>
          <w:trHeight w:val="313"/>
        </w:trPr>
        <w:tc>
          <w:tcPr>
            <w:tcW w:w="6172" w:type="dxa"/>
            <w:gridSpan w:val="3"/>
            <w:vAlign w:val="center"/>
          </w:tcPr>
          <w:p w14:paraId="07F2A53A" w14:textId="77777777" w:rsidR="002337F9" w:rsidRPr="00133050" w:rsidRDefault="002337F9" w:rsidP="0026218C">
            <w:pPr>
              <w:spacing w:before="20" w:after="20"/>
              <w:rPr>
                <w:noProof/>
              </w:rPr>
            </w:pPr>
            <w:r w:rsidRPr="00133050">
              <w:rPr>
                <w:noProof/>
              </w:rPr>
              <w:sym w:font="Wingdings" w:char="F09F"/>
            </w:r>
            <w:r w:rsidRPr="00133050">
              <w:rPr>
                <w:noProof/>
              </w:rPr>
              <w:t xml:space="preserve"> Човешки ресурси </w:t>
            </w:r>
          </w:p>
        </w:tc>
        <w:tc>
          <w:tcPr>
            <w:tcW w:w="750" w:type="dxa"/>
            <w:vAlign w:val="center"/>
          </w:tcPr>
          <w:p w14:paraId="02B94AE9" w14:textId="77777777" w:rsidR="002337F9" w:rsidRPr="00133050" w:rsidRDefault="002337F9" w:rsidP="0026218C">
            <w:pPr>
              <w:spacing w:before="20" w:after="20"/>
              <w:jc w:val="center"/>
              <w:rPr>
                <w:noProof/>
                <w:sz w:val="20"/>
              </w:rPr>
            </w:pPr>
            <w:r w:rsidRPr="00133050">
              <w:rPr>
                <w:noProof/>
                <w:sz w:val="20"/>
              </w:rPr>
              <w:t>0,017</w:t>
            </w:r>
          </w:p>
        </w:tc>
        <w:tc>
          <w:tcPr>
            <w:tcW w:w="868" w:type="dxa"/>
            <w:vAlign w:val="center"/>
          </w:tcPr>
          <w:p w14:paraId="197B7FE6" w14:textId="77777777" w:rsidR="002337F9" w:rsidRPr="00133050" w:rsidRDefault="002337F9" w:rsidP="0026218C">
            <w:pPr>
              <w:spacing w:before="20" w:after="20"/>
              <w:jc w:val="center"/>
              <w:rPr>
                <w:noProof/>
                <w:sz w:val="20"/>
              </w:rPr>
            </w:pPr>
            <w:r w:rsidRPr="00133050">
              <w:rPr>
                <w:noProof/>
                <w:sz w:val="20"/>
              </w:rPr>
              <w:t>0,017</w:t>
            </w:r>
          </w:p>
        </w:tc>
        <w:tc>
          <w:tcPr>
            <w:tcW w:w="868" w:type="dxa"/>
            <w:vAlign w:val="center"/>
          </w:tcPr>
          <w:p w14:paraId="31E65753" w14:textId="77777777" w:rsidR="002337F9" w:rsidRPr="00133050" w:rsidRDefault="002337F9" w:rsidP="0026218C">
            <w:pPr>
              <w:spacing w:before="20" w:after="20"/>
              <w:jc w:val="right"/>
              <w:rPr>
                <w:noProof/>
                <w:sz w:val="20"/>
              </w:rPr>
            </w:pPr>
          </w:p>
        </w:tc>
        <w:tc>
          <w:tcPr>
            <w:tcW w:w="868" w:type="dxa"/>
            <w:vAlign w:val="center"/>
          </w:tcPr>
          <w:p w14:paraId="6CB0E18B" w14:textId="77777777" w:rsidR="002337F9" w:rsidRPr="00133050" w:rsidRDefault="002337F9" w:rsidP="0026218C">
            <w:pPr>
              <w:spacing w:before="20" w:after="20"/>
              <w:jc w:val="right"/>
              <w:rPr>
                <w:noProof/>
                <w:sz w:val="20"/>
              </w:rPr>
            </w:pPr>
          </w:p>
        </w:tc>
        <w:tc>
          <w:tcPr>
            <w:tcW w:w="868" w:type="dxa"/>
            <w:vAlign w:val="center"/>
          </w:tcPr>
          <w:p w14:paraId="58C97BE5" w14:textId="77777777" w:rsidR="002337F9" w:rsidRPr="00133050" w:rsidRDefault="002337F9" w:rsidP="0026218C">
            <w:pPr>
              <w:spacing w:before="20" w:after="20"/>
              <w:jc w:val="right"/>
              <w:rPr>
                <w:noProof/>
                <w:sz w:val="20"/>
              </w:rPr>
            </w:pPr>
          </w:p>
        </w:tc>
        <w:tc>
          <w:tcPr>
            <w:tcW w:w="868" w:type="dxa"/>
            <w:vAlign w:val="center"/>
          </w:tcPr>
          <w:p w14:paraId="44A2D755" w14:textId="77777777" w:rsidR="002337F9" w:rsidRPr="00133050" w:rsidRDefault="002337F9" w:rsidP="0026218C">
            <w:pPr>
              <w:spacing w:before="20" w:after="20"/>
              <w:jc w:val="right"/>
              <w:rPr>
                <w:noProof/>
                <w:sz w:val="20"/>
              </w:rPr>
            </w:pPr>
          </w:p>
        </w:tc>
        <w:tc>
          <w:tcPr>
            <w:tcW w:w="868" w:type="dxa"/>
            <w:vAlign w:val="center"/>
          </w:tcPr>
          <w:p w14:paraId="362BBB3C" w14:textId="77777777" w:rsidR="002337F9" w:rsidRPr="00133050" w:rsidRDefault="002337F9" w:rsidP="0026218C">
            <w:pPr>
              <w:spacing w:before="20" w:after="20"/>
              <w:jc w:val="right"/>
              <w:rPr>
                <w:b/>
                <w:noProof/>
                <w:sz w:val="20"/>
              </w:rPr>
            </w:pPr>
          </w:p>
        </w:tc>
        <w:tc>
          <w:tcPr>
            <w:tcW w:w="1777" w:type="dxa"/>
            <w:vAlign w:val="center"/>
          </w:tcPr>
          <w:p w14:paraId="46BAC117" w14:textId="77777777" w:rsidR="002337F9" w:rsidRPr="00133050" w:rsidRDefault="002337F9" w:rsidP="0026218C">
            <w:pPr>
              <w:spacing w:before="20" w:after="20"/>
              <w:jc w:val="center"/>
              <w:rPr>
                <w:b/>
                <w:noProof/>
                <w:sz w:val="20"/>
              </w:rPr>
            </w:pPr>
            <w:r w:rsidRPr="00133050">
              <w:rPr>
                <w:b/>
                <w:noProof/>
                <w:sz w:val="20"/>
              </w:rPr>
              <w:t>0,034</w:t>
            </w:r>
          </w:p>
        </w:tc>
      </w:tr>
      <w:tr w:rsidR="002337F9" w:rsidRPr="00133050" w14:paraId="26B847CD" w14:textId="77777777" w:rsidTr="0026218C">
        <w:trPr>
          <w:trHeight w:val="351"/>
        </w:trPr>
        <w:tc>
          <w:tcPr>
            <w:tcW w:w="6172" w:type="dxa"/>
            <w:gridSpan w:val="3"/>
            <w:vAlign w:val="center"/>
          </w:tcPr>
          <w:p w14:paraId="45633DF2" w14:textId="77777777" w:rsidR="002337F9" w:rsidRPr="00133050" w:rsidRDefault="002337F9" w:rsidP="0026218C">
            <w:pPr>
              <w:spacing w:before="20" w:after="20"/>
              <w:rPr>
                <w:noProof/>
              </w:rPr>
            </w:pPr>
            <w:r w:rsidRPr="00133050">
              <w:rPr>
                <w:noProof/>
              </w:rPr>
              <w:sym w:font="Wingdings" w:char="F09F"/>
            </w:r>
            <w:r w:rsidRPr="00133050">
              <w:rPr>
                <w:noProof/>
              </w:rPr>
              <w:t> Други административни разходи</w:t>
            </w:r>
          </w:p>
        </w:tc>
        <w:tc>
          <w:tcPr>
            <w:tcW w:w="750" w:type="dxa"/>
            <w:vAlign w:val="center"/>
          </w:tcPr>
          <w:p w14:paraId="0B4C45C8" w14:textId="77777777" w:rsidR="002337F9" w:rsidRPr="00133050" w:rsidRDefault="002337F9" w:rsidP="0026218C">
            <w:pPr>
              <w:spacing w:before="20" w:after="20"/>
              <w:jc w:val="center"/>
              <w:rPr>
                <w:noProof/>
                <w:sz w:val="20"/>
              </w:rPr>
            </w:pPr>
          </w:p>
        </w:tc>
        <w:tc>
          <w:tcPr>
            <w:tcW w:w="868" w:type="dxa"/>
            <w:vAlign w:val="center"/>
          </w:tcPr>
          <w:p w14:paraId="081DCD78" w14:textId="77777777" w:rsidR="002337F9" w:rsidRPr="00133050" w:rsidRDefault="002337F9" w:rsidP="0026218C">
            <w:pPr>
              <w:spacing w:before="20" w:after="20"/>
              <w:jc w:val="center"/>
              <w:rPr>
                <w:noProof/>
                <w:sz w:val="20"/>
              </w:rPr>
            </w:pPr>
          </w:p>
        </w:tc>
        <w:tc>
          <w:tcPr>
            <w:tcW w:w="868" w:type="dxa"/>
            <w:vAlign w:val="center"/>
          </w:tcPr>
          <w:p w14:paraId="7A6036D4" w14:textId="77777777" w:rsidR="002337F9" w:rsidRPr="00133050" w:rsidRDefault="002337F9" w:rsidP="0026218C">
            <w:pPr>
              <w:spacing w:before="20" w:after="20"/>
              <w:jc w:val="right"/>
              <w:rPr>
                <w:noProof/>
                <w:sz w:val="20"/>
              </w:rPr>
            </w:pPr>
          </w:p>
        </w:tc>
        <w:tc>
          <w:tcPr>
            <w:tcW w:w="868" w:type="dxa"/>
            <w:vAlign w:val="center"/>
          </w:tcPr>
          <w:p w14:paraId="582452BC" w14:textId="77777777" w:rsidR="002337F9" w:rsidRPr="00133050" w:rsidRDefault="002337F9" w:rsidP="0026218C">
            <w:pPr>
              <w:spacing w:before="20" w:after="20"/>
              <w:jc w:val="right"/>
              <w:rPr>
                <w:noProof/>
                <w:sz w:val="20"/>
              </w:rPr>
            </w:pPr>
          </w:p>
        </w:tc>
        <w:tc>
          <w:tcPr>
            <w:tcW w:w="868" w:type="dxa"/>
            <w:vAlign w:val="center"/>
          </w:tcPr>
          <w:p w14:paraId="0486C98C" w14:textId="77777777" w:rsidR="002337F9" w:rsidRPr="00133050" w:rsidRDefault="002337F9" w:rsidP="0026218C">
            <w:pPr>
              <w:spacing w:before="20" w:after="20"/>
              <w:jc w:val="right"/>
              <w:rPr>
                <w:noProof/>
                <w:sz w:val="20"/>
              </w:rPr>
            </w:pPr>
          </w:p>
        </w:tc>
        <w:tc>
          <w:tcPr>
            <w:tcW w:w="868" w:type="dxa"/>
            <w:vAlign w:val="center"/>
          </w:tcPr>
          <w:p w14:paraId="41EEABC4" w14:textId="77777777" w:rsidR="002337F9" w:rsidRPr="00133050" w:rsidRDefault="002337F9" w:rsidP="0026218C">
            <w:pPr>
              <w:spacing w:before="20" w:after="20"/>
              <w:jc w:val="right"/>
              <w:rPr>
                <w:noProof/>
                <w:sz w:val="20"/>
              </w:rPr>
            </w:pPr>
          </w:p>
        </w:tc>
        <w:tc>
          <w:tcPr>
            <w:tcW w:w="868" w:type="dxa"/>
            <w:vAlign w:val="center"/>
          </w:tcPr>
          <w:p w14:paraId="7C4068F9" w14:textId="77777777" w:rsidR="002337F9" w:rsidRPr="00133050" w:rsidRDefault="002337F9" w:rsidP="0026218C">
            <w:pPr>
              <w:spacing w:before="20" w:after="20"/>
              <w:jc w:val="right"/>
              <w:rPr>
                <w:noProof/>
                <w:sz w:val="20"/>
              </w:rPr>
            </w:pPr>
          </w:p>
        </w:tc>
        <w:tc>
          <w:tcPr>
            <w:tcW w:w="1777" w:type="dxa"/>
            <w:vAlign w:val="center"/>
          </w:tcPr>
          <w:p w14:paraId="4E081271" w14:textId="77777777" w:rsidR="002337F9" w:rsidRPr="00133050" w:rsidRDefault="002337F9" w:rsidP="0026218C">
            <w:pPr>
              <w:spacing w:before="20" w:after="20"/>
              <w:jc w:val="center"/>
              <w:rPr>
                <w:b/>
                <w:noProof/>
                <w:sz w:val="20"/>
              </w:rPr>
            </w:pPr>
          </w:p>
        </w:tc>
      </w:tr>
      <w:tr w:rsidR="002337F9" w:rsidRPr="00133050" w14:paraId="12284EB8" w14:textId="77777777" w:rsidTr="0026218C">
        <w:tc>
          <w:tcPr>
            <w:tcW w:w="3960" w:type="dxa"/>
            <w:vAlign w:val="center"/>
          </w:tcPr>
          <w:p w14:paraId="06A759A5" w14:textId="77777777" w:rsidR="002337F9" w:rsidRPr="00133050" w:rsidRDefault="002337F9" w:rsidP="0026218C">
            <w:pPr>
              <w:jc w:val="center"/>
              <w:rPr>
                <w:b/>
                <w:noProof/>
              </w:rPr>
            </w:pPr>
            <w:r w:rsidRPr="00133050">
              <w:rPr>
                <w:b/>
                <w:noProof/>
              </w:rPr>
              <w:t xml:space="preserve">ОБЩО </w:t>
            </w:r>
          </w:p>
        </w:tc>
        <w:tc>
          <w:tcPr>
            <w:tcW w:w="2212" w:type="dxa"/>
            <w:gridSpan w:val="2"/>
            <w:vAlign w:val="center"/>
          </w:tcPr>
          <w:p w14:paraId="5D26BE12" w14:textId="77777777" w:rsidR="002337F9" w:rsidRPr="00133050" w:rsidRDefault="002337F9" w:rsidP="0026218C">
            <w:pPr>
              <w:rPr>
                <w:noProof/>
                <w:sz w:val="14"/>
              </w:rPr>
            </w:pPr>
            <w:r w:rsidRPr="00133050">
              <w:rPr>
                <w:noProof/>
                <w:sz w:val="18"/>
              </w:rPr>
              <w:t xml:space="preserve">Бюджетни кредити </w:t>
            </w:r>
          </w:p>
        </w:tc>
        <w:tc>
          <w:tcPr>
            <w:tcW w:w="750" w:type="dxa"/>
            <w:vAlign w:val="center"/>
          </w:tcPr>
          <w:p w14:paraId="32569C0C" w14:textId="77777777" w:rsidR="002337F9" w:rsidRPr="00133050" w:rsidRDefault="002337F9" w:rsidP="0026218C">
            <w:pPr>
              <w:spacing w:before="60" w:after="60"/>
              <w:jc w:val="center"/>
              <w:rPr>
                <w:noProof/>
                <w:sz w:val="20"/>
              </w:rPr>
            </w:pPr>
            <w:r w:rsidRPr="00133050">
              <w:rPr>
                <w:noProof/>
                <w:sz w:val="20"/>
              </w:rPr>
              <w:t>0,017</w:t>
            </w:r>
          </w:p>
        </w:tc>
        <w:tc>
          <w:tcPr>
            <w:tcW w:w="868" w:type="dxa"/>
            <w:vAlign w:val="center"/>
          </w:tcPr>
          <w:p w14:paraId="3FAD343A" w14:textId="77777777" w:rsidR="002337F9" w:rsidRPr="00133050" w:rsidRDefault="002337F9" w:rsidP="0026218C">
            <w:pPr>
              <w:spacing w:before="20" w:after="20"/>
              <w:jc w:val="center"/>
              <w:rPr>
                <w:noProof/>
                <w:sz w:val="20"/>
              </w:rPr>
            </w:pPr>
            <w:r w:rsidRPr="00133050">
              <w:rPr>
                <w:noProof/>
                <w:sz w:val="20"/>
              </w:rPr>
              <w:t>0,017</w:t>
            </w:r>
          </w:p>
        </w:tc>
        <w:tc>
          <w:tcPr>
            <w:tcW w:w="868" w:type="dxa"/>
            <w:vAlign w:val="center"/>
          </w:tcPr>
          <w:p w14:paraId="72B973ED" w14:textId="77777777" w:rsidR="002337F9" w:rsidRPr="00133050" w:rsidRDefault="002337F9" w:rsidP="0026218C">
            <w:pPr>
              <w:spacing w:before="20" w:after="20"/>
              <w:jc w:val="right"/>
              <w:rPr>
                <w:noProof/>
                <w:sz w:val="20"/>
              </w:rPr>
            </w:pPr>
          </w:p>
        </w:tc>
        <w:tc>
          <w:tcPr>
            <w:tcW w:w="868" w:type="dxa"/>
            <w:vAlign w:val="center"/>
          </w:tcPr>
          <w:p w14:paraId="4FA149A7" w14:textId="77777777" w:rsidR="002337F9" w:rsidRPr="00133050" w:rsidRDefault="002337F9" w:rsidP="0026218C">
            <w:pPr>
              <w:spacing w:before="20" w:after="20"/>
              <w:jc w:val="right"/>
              <w:rPr>
                <w:noProof/>
                <w:sz w:val="20"/>
              </w:rPr>
            </w:pPr>
          </w:p>
        </w:tc>
        <w:tc>
          <w:tcPr>
            <w:tcW w:w="868" w:type="dxa"/>
            <w:vAlign w:val="center"/>
          </w:tcPr>
          <w:p w14:paraId="79935D90" w14:textId="77777777" w:rsidR="002337F9" w:rsidRPr="00133050" w:rsidRDefault="002337F9" w:rsidP="0026218C">
            <w:pPr>
              <w:spacing w:before="20" w:after="20"/>
              <w:jc w:val="right"/>
              <w:rPr>
                <w:noProof/>
                <w:sz w:val="20"/>
              </w:rPr>
            </w:pPr>
          </w:p>
        </w:tc>
        <w:tc>
          <w:tcPr>
            <w:tcW w:w="868" w:type="dxa"/>
            <w:vAlign w:val="center"/>
          </w:tcPr>
          <w:p w14:paraId="25794B9C" w14:textId="77777777" w:rsidR="002337F9" w:rsidRPr="00133050" w:rsidRDefault="002337F9" w:rsidP="0026218C">
            <w:pPr>
              <w:spacing w:before="20" w:after="20"/>
              <w:jc w:val="right"/>
              <w:rPr>
                <w:noProof/>
                <w:sz w:val="20"/>
              </w:rPr>
            </w:pPr>
          </w:p>
        </w:tc>
        <w:tc>
          <w:tcPr>
            <w:tcW w:w="868" w:type="dxa"/>
            <w:vAlign w:val="center"/>
          </w:tcPr>
          <w:p w14:paraId="39566189" w14:textId="77777777" w:rsidR="002337F9" w:rsidRPr="00133050" w:rsidRDefault="002337F9" w:rsidP="0026218C">
            <w:pPr>
              <w:spacing w:before="20" w:after="20"/>
              <w:jc w:val="right"/>
              <w:rPr>
                <w:noProof/>
                <w:sz w:val="20"/>
              </w:rPr>
            </w:pPr>
          </w:p>
        </w:tc>
        <w:tc>
          <w:tcPr>
            <w:tcW w:w="1777" w:type="dxa"/>
            <w:vAlign w:val="center"/>
          </w:tcPr>
          <w:p w14:paraId="41E891A5" w14:textId="77777777" w:rsidR="002337F9" w:rsidRPr="00133050" w:rsidRDefault="002337F9" w:rsidP="0026218C">
            <w:pPr>
              <w:spacing w:before="20" w:after="20"/>
              <w:jc w:val="center"/>
              <w:rPr>
                <w:b/>
                <w:noProof/>
                <w:sz w:val="20"/>
              </w:rPr>
            </w:pPr>
            <w:r w:rsidRPr="00133050">
              <w:rPr>
                <w:b/>
                <w:noProof/>
                <w:sz w:val="20"/>
              </w:rPr>
              <w:t>0,034</w:t>
            </w:r>
          </w:p>
        </w:tc>
      </w:tr>
    </w:tbl>
    <w:p w14:paraId="2F60B246" w14:textId="77777777" w:rsidR="002337F9" w:rsidRPr="00133050" w:rsidRDefault="002337F9" w:rsidP="002337F9">
      <w:pPr>
        <w:rPr>
          <w:noProof/>
        </w:rPr>
      </w:pPr>
    </w:p>
    <w:tbl>
      <w:tblPr>
        <w:tblW w:w="1390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652"/>
        <w:gridCol w:w="750"/>
        <w:gridCol w:w="868"/>
        <w:gridCol w:w="868"/>
        <w:gridCol w:w="868"/>
        <w:gridCol w:w="868"/>
        <w:gridCol w:w="868"/>
        <w:gridCol w:w="868"/>
        <w:gridCol w:w="1777"/>
      </w:tblGrid>
      <w:tr w:rsidR="002337F9" w:rsidRPr="00133050" w14:paraId="0DA8D656" w14:textId="77777777" w:rsidTr="0026218C">
        <w:tc>
          <w:tcPr>
            <w:tcW w:w="3960" w:type="dxa"/>
            <w:tcBorders>
              <w:top w:val="nil"/>
              <w:left w:val="nil"/>
              <w:right w:val="nil"/>
            </w:tcBorders>
            <w:vAlign w:val="center"/>
          </w:tcPr>
          <w:p w14:paraId="2BA40192" w14:textId="77777777" w:rsidR="002337F9" w:rsidRPr="00133050" w:rsidRDefault="002337F9" w:rsidP="0026218C">
            <w:pPr>
              <w:jc w:val="center"/>
              <w:rPr>
                <w:noProof/>
              </w:rPr>
            </w:pPr>
          </w:p>
        </w:tc>
        <w:tc>
          <w:tcPr>
            <w:tcW w:w="1560" w:type="dxa"/>
            <w:tcBorders>
              <w:top w:val="nil"/>
              <w:left w:val="nil"/>
              <w:right w:val="nil"/>
            </w:tcBorders>
          </w:tcPr>
          <w:p w14:paraId="4DDD0538" w14:textId="77777777" w:rsidR="002337F9" w:rsidRPr="00133050" w:rsidRDefault="002337F9" w:rsidP="0026218C">
            <w:pPr>
              <w:rPr>
                <w:noProof/>
                <w:sz w:val="20"/>
              </w:rPr>
            </w:pPr>
          </w:p>
        </w:tc>
        <w:tc>
          <w:tcPr>
            <w:tcW w:w="652" w:type="dxa"/>
            <w:tcBorders>
              <w:top w:val="nil"/>
              <w:left w:val="nil"/>
            </w:tcBorders>
          </w:tcPr>
          <w:p w14:paraId="331E249D" w14:textId="77777777" w:rsidR="002337F9" w:rsidRPr="00133050" w:rsidRDefault="002337F9" w:rsidP="0026218C">
            <w:pPr>
              <w:jc w:val="center"/>
              <w:rPr>
                <w:noProof/>
                <w:sz w:val="20"/>
              </w:rPr>
            </w:pPr>
          </w:p>
        </w:tc>
        <w:tc>
          <w:tcPr>
            <w:tcW w:w="750" w:type="dxa"/>
            <w:vAlign w:val="center"/>
          </w:tcPr>
          <w:p w14:paraId="266F6AC3" w14:textId="77777777" w:rsidR="002337F9" w:rsidRPr="00133050" w:rsidRDefault="002337F9" w:rsidP="0026218C">
            <w:pPr>
              <w:jc w:val="center"/>
              <w:rPr>
                <w:noProof/>
                <w:sz w:val="20"/>
              </w:rPr>
            </w:pPr>
            <w:r w:rsidRPr="00133050">
              <w:rPr>
                <w:b/>
                <w:noProof/>
                <w:sz w:val="20"/>
              </w:rPr>
              <w:t>2026 г.</w:t>
            </w:r>
          </w:p>
        </w:tc>
        <w:tc>
          <w:tcPr>
            <w:tcW w:w="868" w:type="dxa"/>
            <w:vAlign w:val="center"/>
          </w:tcPr>
          <w:p w14:paraId="1B5F7882" w14:textId="77777777" w:rsidR="002337F9" w:rsidRPr="00133050" w:rsidRDefault="002337F9" w:rsidP="0026218C">
            <w:pPr>
              <w:jc w:val="center"/>
              <w:rPr>
                <w:noProof/>
                <w:sz w:val="20"/>
              </w:rPr>
            </w:pPr>
            <w:r w:rsidRPr="00133050">
              <w:rPr>
                <w:b/>
                <w:noProof/>
                <w:sz w:val="20"/>
              </w:rPr>
              <w:t>2027 г.</w:t>
            </w:r>
          </w:p>
        </w:tc>
        <w:tc>
          <w:tcPr>
            <w:tcW w:w="868" w:type="dxa"/>
            <w:vAlign w:val="center"/>
          </w:tcPr>
          <w:p w14:paraId="389ED983" w14:textId="77777777" w:rsidR="002337F9" w:rsidRPr="00133050" w:rsidRDefault="002337F9" w:rsidP="0026218C">
            <w:pPr>
              <w:jc w:val="center"/>
              <w:rPr>
                <w:noProof/>
                <w:sz w:val="20"/>
              </w:rPr>
            </w:pPr>
          </w:p>
        </w:tc>
        <w:tc>
          <w:tcPr>
            <w:tcW w:w="868" w:type="dxa"/>
            <w:vAlign w:val="center"/>
          </w:tcPr>
          <w:p w14:paraId="410B389A" w14:textId="77777777" w:rsidR="002337F9" w:rsidRPr="00133050" w:rsidRDefault="002337F9" w:rsidP="0026218C">
            <w:pPr>
              <w:jc w:val="center"/>
              <w:rPr>
                <w:noProof/>
                <w:sz w:val="20"/>
              </w:rPr>
            </w:pPr>
          </w:p>
        </w:tc>
        <w:tc>
          <w:tcPr>
            <w:tcW w:w="868" w:type="dxa"/>
            <w:vAlign w:val="center"/>
          </w:tcPr>
          <w:p w14:paraId="668746C2" w14:textId="77777777" w:rsidR="002337F9" w:rsidRPr="00133050" w:rsidRDefault="002337F9" w:rsidP="0026218C">
            <w:pPr>
              <w:jc w:val="center"/>
              <w:rPr>
                <w:b/>
                <w:noProof/>
                <w:sz w:val="18"/>
              </w:rPr>
            </w:pPr>
          </w:p>
        </w:tc>
        <w:tc>
          <w:tcPr>
            <w:tcW w:w="868" w:type="dxa"/>
            <w:vAlign w:val="center"/>
          </w:tcPr>
          <w:p w14:paraId="6EB26002" w14:textId="77777777" w:rsidR="002337F9" w:rsidRPr="00133050" w:rsidRDefault="002337F9" w:rsidP="0026218C">
            <w:pPr>
              <w:jc w:val="center"/>
              <w:rPr>
                <w:b/>
                <w:noProof/>
                <w:sz w:val="18"/>
              </w:rPr>
            </w:pPr>
          </w:p>
        </w:tc>
        <w:tc>
          <w:tcPr>
            <w:tcW w:w="868" w:type="dxa"/>
            <w:vAlign w:val="center"/>
          </w:tcPr>
          <w:p w14:paraId="4C1A1D45" w14:textId="77777777" w:rsidR="002337F9" w:rsidRPr="00133050" w:rsidRDefault="002337F9" w:rsidP="0026218C">
            <w:pPr>
              <w:jc w:val="center"/>
              <w:rPr>
                <w:b/>
                <w:noProof/>
                <w:sz w:val="18"/>
              </w:rPr>
            </w:pPr>
          </w:p>
        </w:tc>
        <w:tc>
          <w:tcPr>
            <w:tcW w:w="1777" w:type="dxa"/>
            <w:vAlign w:val="center"/>
          </w:tcPr>
          <w:p w14:paraId="20E1B350" w14:textId="77777777" w:rsidR="002337F9" w:rsidRPr="00133050" w:rsidRDefault="002337F9" w:rsidP="0026218C">
            <w:pPr>
              <w:jc w:val="center"/>
              <w:rPr>
                <w:b/>
                <w:noProof/>
                <w:sz w:val="20"/>
              </w:rPr>
            </w:pPr>
            <w:r w:rsidRPr="00133050">
              <w:rPr>
                <w:b/>
                <w:noProof/>
                <w:sz w:val="20"/>
              </w:rPr>
              <w:t>ОБЩО</w:t>
            </w:r>
          </w:p>
        </w:tc>
      </w:tr>
      <w:tr w:rsidR="002337F9" w:rsidRPr="00133050" w14:paraId="741F64A1" w14:textId="77777777" w:rsidTr="0026218C">
        <w:trPr>
          <w:gridAfter w:val="8"/>
          <w:wAfter w:w="7735" w:type="dxa"/>
        </w:trPr>
        <w:tc>
          <w:tcPr>
            <w:tcW w:w="3960" w:type="dxa"/>
            <w:vAlign w:val="center"/>
          </w:tcPr>
          <w:p w14:paraId="213365A7" w14:textId="77777777" w:rsidR="002337F9" w:rsidRPr="00133050" w:rsidRDefault="002337F9" w:rsidP="0026218C">
            <w:pPr>
              <w:spacing w:before="60" w:after="60"/>
              <w:jc w:val="center"/>
              <w:rPr>
                <w:noProof/>
              </w:rPr>
            </w:pPr>
            <w:r w:rsidRPr="00133050">
              <w:rPr>
                <w:noProof/>
              </w:rPr>
              <w:t>ГД „Миграция и вътрешни работи“</w:t>
            </w:r>
          </w:p>
        </w:tc>
        <w:tc>
          <w:tcPr>
            <w:tcW w:w="2212" w:type="dxa"/>
            <w:gridSpan w:val="2"/>
          </w:tcPr>
          <w:p w14:paraId="4BCF8B4A" w14:textId="77777777" w:rsidR="002337F9" w:rsidRPr="00133050" w:rsidRDefault="002337F9" w:rsidP="0026218C">
            <w:pPr>
              <w:spacing w:before="60" w:after="60"/>
              <w:jc w:val="center"/>
              <w:rPr>
                <w:noProof/>
              </w:rPr>
            </w:pPr>
          </w:p>
        </w:tc>
      </w:tr>
      <w:tr w:rsidR="002337F9" w:rsidRPr="00133050" w14:paraId="39E7CCAF" w14:textId="77777777" w:rsidTr="0026218C">
        <w:trPr>
          <w:trHeight w:val="313"/>
        </w:trPr>
        <w:tc>
          <w:tcPr>
            <w:tcW w:w="6172" w:type="dxa"/>
            <w:gridSpan w:val="3"/>
            <w:vAlign w:val="center"/>
          </w:tcPr>
          <w:p w14:paraId="73647104" w14:textId="77777777" w:rsidR="002337F9" w:rsidRPr="00133050" w:rsidRDefault="002337F9" w:rsidP="0026218C">
            <w:pPr>
              <w:spacing w:before="20" w:after="20"/>
              <w:rPr>
                <w:noProof/>
              </w:rPr>
            </w:pPr>
            <w:r w:rsidRPr="00133050">
              <w:rPr>
                <w:noProof/>
              </w:rPr>
              <w:sym w:font="Wingdings" w:char="F09F"/>
            </w:r>
            <w:r w:rsidRPr="00133050">
              <w:rPr>
                <w:noProof/>
              </w:rPr>
              <w:t xml:space="preserve"> Човешки ресурси </w:t>
            </w:r>
          </w:p>
        </w:tc>
        <w:tc>
          <w:tcPr>
            <w:tcW w:w="750" w:type="dxa"/>
            <w:vAlign w:val="center"/>
          </w:tcPr>
          <w:p w14:paraId="6F50A275" w14:textId="77777777" w:rsidR="002337F9" w:rsidRPr="00133050" w:rsidRDefault="002337F9" w:rsidP="0026218C">
            <w:pPr>
              <w:spacing w:before="20" w:after="20"/>
              <w:jc w:val="center"/>
              <w:rPr>
                <w:noProof/>
                <w:sz w:val="20"/>
              </w:rPr>
            </w:pPr>
            <w:r w:rsidRPr="00133050">
              <w:rPr>
                <w:noProof/>
                <w:sz w:val="20"/>
              </w:rPr>
              <w:t>0,017</w:t>
            </w:r>
          </w:p>
        </w:tc>
        <w:tc>
          <w:tcPr>
            <w:tcW w:w="868" w:type="dxa"/>
            <w:vAlign w:val="center"/>
          </w:tcPr>
          <w:p w14:paraId="03755406" w14:textId="77777777" w:rsidR="002337F9" w:rsidRPr="00133050" w:rsidRDefault="002337F9" w:rsidP="0026218C">
            <w:pPr>
              <w:spacing w:before="20" w:after="20"/>
              <w:jc w:val="center"/>
              <w:rPr>
                <w:noProof/>
                <w:sz w:val="20"/>
              </w:rPr>
            </w:pPr>
            <w:r w:rsidRPr="00133050">
              <w:rPr>
                <w:noProof/>
                <w:sz w:val="20"/>
              </w:rPr>
              <w:t>0,017</w:t>
            </w:r>
          </w:p>
        </w:tc>
        <w:tc>
          <w:tcPr>
            <w:tcW w:w="868" w:type="dxa"/>
            <w:vAlign w:val="center"/>
          </w:tcPr>
          <w:p w14:paraId="472524D9" w14:textId="77777777" w:rsidR="002337F9" w:rsidRPr="00133050" w:rsidRDefault="002337F9" w:rsidP="0026218C">
            <w:pPr>
              <w:spacing w:before="20" w:after="20"/>
              <w:jc w:val="right"/>
              <w:rPr>
                <w:noProof/>
                <w:sz w:val="20"/>
              </w:rPr>
            </w:pPr>
          </w:p>
        </w:tc>
        <w:tc>
          <w:tcPr>
            <w:tcW w:w="868" w:type="dxa"/>
            <w:vAlign w:val="center"/>
          </w:tcPr>
          <w:p w14:paraId="77037B49" w14:textId="77777777" w:rsidR="002337F9" w:rsidRPr="00133050" w:rsidRDefault="002337F9" w:rsidP="0026218C">
            <w:pPr>
              <w:spacing w:before="20" w:after="20"/>
              <w:jc w:val="right"/>
              <w:rPr>
                <w:noProof/>
                <w:sz w:val="20"/>
              </w:rPr>
            </w:pPr>
          </w:p>
        </w:tc>
        <w:tc>
          <w:tcPr>
            <w:tcW w:w="868" w:type="dxa"/>
            <w:vAlign w:val="center"/>
          </w:tcPr>
          <w:p w14:paraId="5B9D9348" w14:textId="77777777" w:rsidR="002337F9" w:rsidRPr="00133050" w:rsidRDefault="002337F9" w:rsidP="0026218C">
            <w:pPr>
              <w:spacing w:before="20" w:after="20"/>
              <w:jc w:val="right"/>
              <w:rPr>
                <w:noProof/>
                <w:sz w:val="20"/>
              </w:rPr>
            </w:pPr>
          </w:p>
        </w:tc>
        <w:tc>
          <w:tcPr>
            <w:tcW w:w="868" w:type="dxa"/>
            <w:vAlign w:val="center"/>
          </w:tcPr>
          <w:p w14:paraId="4728236C" w14:textId="77777777" w:rsidR="002337F9" w:rsidRPr="00133050" w:rsidRDefault="002337F9" w:rsidP="0026218C">
            <w:pPr>
              <w:spacing w:before="20" w:after="20"/>
              <w:jc w:val="right"/>
              <w:rPr>
                <w:noProof/>
                <w:sz w:val="20"/>
              </w:rPr>
            </w:pPr>
          </w:p>
        </w:tc>
        <w:tc>
          <w:tcPr>
            <w:tcW w:w="868" w:type="dxa"/>
            <w:vAlign w:val="center"/>
          </w:tcPr>
          <w:p w14:paraId="69E3C025" w14:textId="77777777" w:rsidR="002337F9" w:rsidRPr="00133050" w:rsidRDefault="002337F9" w:rsidP="0026218C">
            <w:pPr>
              <w:spacing w:before="20" w:after="20"/>
              <w:jc w:val="right"/>
              <w:rPr>
                <w:b/>
                <w:noProof/>
                <w:sz w:val="20"/>
              </w:rPr>
            </w:pPr>
          </w:p>
        </w:tc>
        <w:tc>
          <w:tcPr>
            <w:tcW w:w="1777" w:type="dxa"/>
            <w:vAlign w:val="center"/>
          </w:tcPr>
          <w:p w14:paraId="614F4A71" w14:textId="77777777" w:rsidR="002337F9" w:rsidRPr="00133050" w:rsidRDefault="002337F9" w:rsidP="0026218C">
            <w:pPr>
              <w:spacing w:before="20" w:after="20"/>
              <w:jc w:val="center"/>
              <w:rPr>
                <w:b/>
                <w:noProof/>
                <w:sz w:val="20"/>
              </w:rPr>
            </w:pPr>
            <w:r w:rsidRPr="00133050">
              <w:rPr>
                <w:b/>
                <w:noProof/>
                <w:sz w:val="20"/>
              </w:rPr>
              <w:t>0,034</w:t>
            </w:r>
          </w:p>
        </w:tc>
      </w:tr>
      <w:tr w:rsidR="002337F9" w:rsidRPr="00133050" w14:paraId="0D55737F" w14:textId="77777777" w:rsidTr="0026218C">
        <w:trPr>
          <w:trHeight w:val="351"/>
        </w:trPr>
        <w:tc>
          <w:tcPr>
            <w:tcW w:w="6172" w:type="dxa"/>
            <w:gridSpan w:val="3"/>
            <w:vAlign w:val="center"/>
          </w:tcPr>
          <w:p w14:paraId="0CA4242D" w14:textId="77777777" w:rsidR="002337F9" w:rsidRPr="00133050" w:rsidRDefault="002337F9" w:rsidP="0026218C">
            <w:pPr>
              <w:spacing w:before="20" w:after="20"/>
              <w:rPr>
                <w:noProof/>
              </w:rPr>
            </w:pPr>
            <w:r w:rsidRPr="00133050">
              <w:rPr>
                <w:noProof/>
              </w:rPr>
              <w:sym w:font="Wingdings" w:char="F09F"/>
            </w:r>
            <w:r w:rsidRPr="00133050">
              <w:rPr>
                <w:noProof/>
              </w:rPr>
              <w:t> Други административни разходи</w:t>
            </w:r>
          </w:p>
        </w:tc>
        <w:tc>
          <w:tcPr>
            <w:tcW w:w="750" w:type="dxa"/>
            <w:vAlign w:val="center"/>
          </w:tcPr>
          <w:p w14:paraId="100C9A95" w14:textId="77777777" w:rsidR="002337F9" w:rsidRPr="00133050" w:rsidRDefault="002337F9" w:rsidP="0026218C">
            <w:pPr>
              <w:spacing w:before="20" w:after="20"/>
              <w:jc w:val="center"/>
              <w:rPr>
                <w:noProof/>
                <w:sz w:val="20"/>
              </w:rPr>
            </w:pPr>
          </w:p>
        </w:tc>
        <w:tc>
          <w:tcPr>
            <w:tcW w:w="868" w:type="dxa"/>
            <w:vAlign w:val="center"/>
          </w:tcPr>
          <w:p w14:paraId="4E92FD80" w14:textId="77777777" w:rsidR="002337F9" w:rsidRPr="00133050" w:rsidRDefault="002337F9" w:rsidP="0026218C">
            <w:pPr>
              <w:spacing w:before="20" w:after="20"/>
              <w:jc w:val="center"/>
              <w:rPr>
                <w:noProof/>
                <w:sz w:val="20"/>
              </w:rPr>
            </w:pPr>
          </w:p>
        </w:tc>
        <w:tc>
          <w:tcPr>
            <w:tcW w:w="868" w:type="dxa"/>
            <w:vAlign w:val="center"/>
          </w:tcPr>
          <w:p w14:paraId="7813FA41" w14:textId="77777777" w:rsidR="002337F9" w:rsidRPr="00133050" w:rsidRDefault="002337F9" w:rsidP="0026218C">
            <w:pPr>
              <w:spacing w:before="20" w:after="20"/>
              <w:jc w:val="right"/>
              <w:rPr>
                <w:noProof/>
                <w:sz w:val="20"/>
              </w:rPr>
            </w:pPr>
          </w:p>
        </w:tc>
        <w:tc>
          <w:tcPr>
            <w:tcW w:w="868" w:type="dxa"/>
            <w:vAlign w:val="center"/>
          </w:tcPr>
          <w:p w14:paraId="317478E4" w14:textId="77777777" w:rsidR="002337F9" w:rsidRPr="00133050" w:rsidRDefault="002337F9" w:rsidP="0026218C">
            <w:pPr>
              <w:spacing w:before="20" w:after="20"/>
              <w:jc w:val="right"/>
              <w:rPr>
                <w:noProof/>
                <w:sz w:val="20"/>
              </w:rPr>
            </w:pPr>
          </w:p>
        </w:tc>
        <w:tc>
          <w:tcPr>
            <w:tcW w:w="868" w:type="dxa"/>
            <w:vAlign w:val="center"/>
          </w:tcPr>
          <w:p w14:paraId="5C4E7E3F" w14:textId="77777777" w:rsidR="002337F9" w:rsidRPr="00133050" w:rsidRDefault="002337F9" w:rsidP="0026218C">
            <w:pPr>
              <w:spacing w:before="20" w:after="20"/>
              <w:jc w:val="right"/>
              <w:rPr>
                <w:noProof/>
                <w:sz w:val="20"/>
              </w:rPr>
            </w:pPr>
          </w:p>
        </w:tc>
        <w:tc>
          <w:tcPr>
            <w:tcW w:w="868" w:type="dxa"/>
            <w:vAlign w:val="center"/>
          </w:tcPr>
          <w:p w14:paraId="4A4E124D" w14:textId="77777777" w:rsidR="002337F9" w:rsidRPr="00133050" w:rsidRDefault="002337F9" w:rsidP="0026218C">
            <w:pPr>
              <w:spacing w:before="20" w:after="20"/>
              <w:jc w:val="right"/>
              <w:rPr>
                <w:noProof/>
                <w:sz w:val="20"/>
              </w:rPr>
            </w:pPr>
          </w:p>
        </w:tc>
        <w:tc>
          <w:tcPr>
            <w:tcW w:w="868" w:type="dxa"/>
            <w:vAlign w:val="center"/>
          </w:tcPr>
          <w:p w14:paraId="3020DE87" w14:textId="77777777" w:rsidR="002337F9" w:rsidRPr="00133050" w:rsidRDefault="002337F9" w:rsidP="0026218C">
            <w:pPr>
              <w:spacing w:before="20" w:after="20"/>
              <w:jc w:val="right"/>
              <w:rPr>
                <w:noProof/>
                <w:sz w:val="20"/>
              </w:rPr>
            </w:pPr>
          </w:p>
        </w:tc>
        <w:tc>
          <w:tcPr>
            <w:tcW w:w="1777" w:type="dxa"/>
            <w:vAlign w:val="center"/>
          </w:tcPr>
          <w:p w14:paraId="7805B09D" w14:textId="77777777" w:rsidR="002337F9" w:rsidRPr="00133050" w:rsidRDefault="002337F9" w:rsidP="0026218C">
            <w:pPr>
              <w:spacing w:before="20" w:after="20"/>
              <w:jc w:val="center"/>
              <w:rPr>
                <w:b/>
                <w:noProof/>
                <w:sz w:val="20"/>
              </w:rPr>
            </w:pPr>
          </w:p>
        </w:tc>
      </w:tr>
      <w:tr w:rsidR="002337F9" w:rsidRPr="00133050" w14:paraId="2791BD50" w14:textId="77777777" w:rsidTr="0026218C">
        <w:tc>
          <w:tcPr>
            <w:tcW w:w="3960" w:type="dxa"/>
            <w:vAlign w:val="center"/>
          </w:tcPr>
          <w:p w14:paraId="223C7760" w14:textId="77777777" w:rsidR="002337F9" w:rsidRPr="00133050" w:rsidRDefault="002337F9" w:rsidP="0026218C">
            <w:pPr>
              <w:jc w:val="center"/>
              <w:rPr>
                <w:b/>
                <w:noProof/>
              </w:rPr>
            </w:pPr>
            <w:r w:rsidRPr="00133050">
              <w:rPr>
                <w:b/>
                <w:noProof/>
              </w:rPr>
              <w:t xml:space="preserve">ОБЩО </w:t>
            </w:r>
          </w:p>
        </w:tc>
        <w:tc>
          <w:tcPr>
            <w:tcW w:w="2212" w:type="dxa"/>
            <w:gridSpan w:val="2"/>
            <w:vAlign w:val="center"/>
          </w:tcPr>
          <w:p w14:paraId="04BC661C" w14:textId="77777777" w:rsidR="002337F9" w:rsidRPr="00133050" w:rsidRDefault="002337F9" w:rsidP="0026218C">
            <w:pPr>
              <w:rPr>
                <w:noProof/>
                <w:sz w:val="14"/>
              </w:rPr>
            </w:pPr>
            <w:r w:rsidRPr="00133050">
              <w:rPr>
                <w:noProof/>
                <w:sz w:val="18"/>
              </w:rPr>
              <w:t xml:space="preserve">Бюджетни кредити </w:t>
            </w:r>
          </w:p>
        </w:tc>
        <w:tc>
          <w:tcPr>
            <w:tcW w:w="750" w:type="dxa"/>
            <w:vAlign w:val="center"/>
          </w:tcPr>
          <w:p w14:paraId="4AA5F78B" w14:textId="77777777" w:rsidR="002337F9" w:rsidRPr="00133050" w:rsidRDefault="002337F9" w:rsidP="0026218C">
            <w:pPr>
              <w:spacing w:before="60" w:after="60"/>
              <w:jc w:val="center"/>
              <w:rPr>
                <w:noProof/>
                <w:sz w:val="20"/>
              </w:rPr>
            </w:pPr>
            <w:r w:rsidRPr="00133050">
              <w:rPr>
                <w:noProof/>
                <w:sz w:val="20"/>
              </w:rPr>
              <w:t>0,017</w:t>
            </w:r>
          </w:p>
        </w:tc>
        <w:tc>
          <w:tcPr>
            <w:tcW w:w="868" w:type="dxa"/>
            <w:vAlign w:val="center"/>
          </w:tcPr>
          <w:p w14:paraId="5C167240" w14:textId="77777777" w:rsidR="002337F9" w:rsidRPr="00133050" w:rsidRDefault="002337F9" w:rsidP="0026218C">
            <w:pPr>
              <w:spacing w:before="20" w:after="20"/>
              <w:jc w:val="center"/>
              <w:rPr>
                <w:noProof/>
                <w:sz w:val="20"/>
              </w:rPr>
            </w:pPr>
            <w:r w:rsidRPr="00133050">
              <w:rPr>
                <w:noProof/>
                <w:sz w:val="20"/>
              </w:rPr>
              <w:t>0,017</w:t>
            </w:r>
          </w:p>
        </w:tc>
        <w:tc>
          <w:tcPr>
            <w:tcW w:w="868" w:type="dxa"/>
            <w:vAlign w:val="center"/>
          </w:tcPr>
          <w:p w14:paraId="6429EA86" w14:textId="77777777" w:rsidR="002337F9" w:rsidRPr="00133050" w:rsidRDefault="002337F9" w:rsidP="0026218C">
            <w:pPr>
              <w:spacing w:before="20" w:after="20"/>
              <w:jc w:val="right"/>
              <w:rPr>
                <w:noProof/>
                <w:sz w:val="20"/>
              </w:rPr>
            </w:pPr>
          </w:p>
        </w:tc>
        <w:tc>
          <w:tcPr>
            <w:tcW w:w="868" w:type="dxa"/>
            <w:vAlign w:val="center"/>
          </w:tcPr>
          <w:p w14:paraId="3716F863" w14:textId="77777777" w:rsidR="002337F9" w:rsidRPr="00133050" w:rsidRDefault="002337F9" w:rsidP="0026218C">
            <w:pPr>
              <w:spacing w:before="20" w:after="20"/>
              <w:jc w:val="right"/>
              <w:rPr>
                <w:noProof/>
                <w:sz w:val="20"/>
              </w:rPr>
            </w:pPr>
          </w:p>
        </w:tc>
        <w:tc>
          <w:tcPr>
            <w:tcW w:w="868" w:type="dxa"/>
            <w:vAlign w:val="center"/>
          </w:tcPr>
          <w:p w14:paraId="0743C26A" w14:textId="77777777" w:rsidR="002337F9" w:rsidRPr="00133050" w:rsidRDefault="002337F9" w:rsidP="0026218C">
            <w:pPr>
              <w:spacing w:before="20" w:after="20"/>
              <w:jc w:val="right"/>
              <w:rPr>
                <w:noProof/>
                <w:sz w:val="20"/>
              </w:rPr>
            </w:pPr>
          </w:p>
        </w:tc>
        <w:tc>
          <w:tcPr>
            <w:tcW w:w="868" w:type="dxa"/>
            <w:vAlign w:val="center"/>
          </w:tcPr>
          <w:p w14:paraId="4D8604D2" w14:textId="77777777" w:rsidR="002337F9" w:rsidRPr="00133050" w:rsidRDefault="002337F9" w:rsidP="0026218C">
            <w:pPr>
              <w:spacing w:before="20" w:after="20"/>
              <w:jc w:val="right"/>
              <w:rPr>
                <w:noProof/>
                <w:sz w:val="20"/>
              </w:rPr>
            </w:pPr>
          </w:p>
        </w:tc>
        <w:tc>
          <w:tcPr>
            <w:tcW w:w="868" w:type="dxa"/>
            <w:vAlign w:val="center"/>
          </w:tcPr>
          <w:p w14:paraId="2973BB7D" w14:textId="77777777" w:rsidR="002337F9" w:rsidRPr="00133050" w:rsidRDefault="002337F9" w:rsidP="0026218C">
            <w:pPr>
              <w:spacing w:before="20" w:after="20"/>
              <w:jc w:val="right"/>
              <w:rPr>
                <w:noProof/>
                <w:sz w:val="20"/>
              </w:rPr>
            </w:pPr>
          </w:p>
        </w:tc>
        <w:tc>
          <w:tcPr>
            <w:tcW w:w="1777" w:type="dxa"/>
            <w:vAlign w:val="center"/>
          </w:tcPr>
          <w:p w14:paraId="57EC8406" w14:textId="77777777" w:rsidR="002337F9" w:rsidRPr="00133050" w:rsidRDefault="002337F9" w:rsidP="0026218C">
            <w:pPr>
              <w:spacing w:before="20" w:after="20"/>
              <w:jc w:val="center"/>
              <w:rPr>
                <w:b/>
                <w:noProof/>
                <w:sz w:val="20"/>
              </w:rPr>
            </w:pPr>
            <w:r w:rsidRPr="00133050">
              <w:rPr>
                <w:b/>
                <w:noProof/>
                <w:sz w:val="20"/>
              </w:rPr>
              <w:t>0,034</w:t>
            </w:r>
          </w:p>
        </w:tc>
      </w:tr>
    </w:tbl>
    <w:p w14:paraId="1D186574" w14:textId="77777777" w:rsidR="002337F9" w:rsidRPr="00133050" w:rsidRDefault="002337F9" w:rsidP="002337F9">
      <w:pPr>
        <w:rPr>
          <w:noProof/>
        </w:rPr>
      </w:pPr>
    </w:p>
    <w:tbl>
      <w:tblPr>
        <w:tblW w:w="1390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652"/>
        <w:gridCol w:w="750"/>
        <w:gridCol w:w="868"/>
        <w:gridCol w:w="868"/>
        <w:gridCol w:w="868"/>
        <w:gridCol w:w="868"/>
        <w:gridCol w:w="868"/>
        <w:gridCol w:w="868"/>
        <w:gridCol w:w="1777"/>
      </w:tblGrid>
      <w:tr w:rsidR="002337F9" w:rsidRPr="00133050" w14:paraId="029F84B2" w14:textId="77777777" w:rsidTr="0026218C">
        <w:tc>
          <w:tcPr>
            <w:tcW w:w="3960" w:type="dxa"/>
            <w:tcBorders>
              <w:top w:val="nil"/>
              <w:left w:val="nil"/>
              <w:right w:val="nil"/>
            </w:tcBorders>
            <w:vAlign w:val="center"/>
          </w:tcPr>
          <w:p w14:paraId="4BF8E03E" w14:textId="77777777" w:rsidR="002337F9" w:rsidRPr="00133050" w:rsidRDefault="002337F9" w:rsidP="0026218C">
            <w:pPr>
              <w:jc w:val="center"/>
              <w:rPr>
                <w:noProof/>
              </w:rPr>
            </w:pPr>
          </w:p>
        </w:tc>
        <w:tc>
          <w:tcPr>
            <w:tcW w:w="1560" w:type="dxa"/>
            <w:tcBorders>
              <w:top w:val="nil"/>
              <w:left w:val="nil"/>
              <w:right w:val="nil"/>
            </w:tcBorders>
          </w:tcPr>
          <w:p w14:paraId="25BF80D8" w14:textId="77777777" w:rsidR="002337F9" w:rsidRPr="00133050" w:rsidRDefault="002337F9" w:rsidP="0026218C">
            <w:pPr>
              <w:rPr>
                <w:noProof/>
                <w:sz w:val="20"/>
              </w:rPr>
            </w:pPr>
          </w:p>
        </w:tc>
        <w:tc>
          <w:tcPr>
            <w:tcW w:w="652" w:type="dxa"/>
            <w:tcBorders>
              <w:top w:val="nil"/>
              <w:left w:val="nil"/>
            </w:tcBorders>
          </w:tcPr>
          <w:p w14:paraId="3EBE9B89" w14:textId="77777777" w:rsidR="002337F9" w:rsidRPr="00133050" w:rsidRDefault="002337F9" w:rsidP="0026218C">
            <w:pPr>
              <w:jc w:val="center"/>
              <w:rPr>
                <w:noProof/>
                <w:sz w:val="20"/>
              </w:rPr>
            </w:pPr>
          </w:p>
        </w:tc>
        <w:tc>
          <w:tcPr>
            <w:tcW w:w="750" w:type="dxa"/>
            <w:vAlign w:val="center"/>
          </w:tcPr>
          <w:p w14:paraId="3161B209" w14:textId="77777777" w:rsidR="002337F9" w:rsidRPr="00133050" w:rsidRDefault="002337F9" w:rsidP="0026218C">
            <w:pPr>
              <w:jc w:val="center"/>
              <w:rPr>
                <w:noProof/>
                <w:sz w:val="20"/>
              </w:rPr>
            </w:pPr>
            <w:r w:rsidRPr="00133050">
              <w:rPr>
                <w:b/>
                <w:noProof/>
                <w:sz w:val="20"/>
              </w:rPr>
              <w:t>2026 г.</w:t>
            </w:r>
          </w:p>
        </w:tc>
        <w:tc>
          <w:tcPr>
            <w:tcW w:w="868" w:type="dxa"/>
            <w:vAlign w:val="center"/>
          </w:tcPr>
          <w:p w14:paraId="0BF7BFE4" w14:textId="77777777" w:rsidR="002337F9" w:rsidRPr="00133050" w:rsidRDefault="002337F9" w:rsidP="0026218C">
            <w:pPr>
              <w:jc w:val="center"/>
              <w:rPr>
                <w:noProof/>
                <w:sz w:val="20"/>
              </w:rPr>
            </w:pPr>
            <w:r w:rsidRPr="00133050">
              <w:rPr>
                <w:b/>
                <w:noProof/>
                <w:sz w:val="20"/>
              </w:rPr>
              <w:t>2027 г.</w:t>
            </w:r>
          </w:p>
        </w:tc>
        <w:tc>
          <w:tcPr>
            <w:tcW w:w="868" w:type="dxa"/>
            <w:vAlign w:val="center"/>
          </w:tcPr>
          <w:p w14:paraId="3A893F48" w14:textId="77777777" w:rsidR="002337F9" w:rsidRPr="00133050" w:rsidRDefault="002337F9" w:rsidP="0026218C">
            <w:pPr>
              <w:jc w:val="center"/>
              <w:rPr>
                <w:noProof/>
                <w:sz w:val="20"/>
              </w:rPr>
            </w:pPr>
          </w:p>
        </w:tc>
        <w:tc>
          <w:tcPr>
            <w:tcW w:w="868" w:type="dxa"/>
            <w:vAlign w:val="center"/>
          </w:tcPr>
          <w:p w14:paraId="3E4D8280" w14:textId="77777777" w:rsidR="002337F9" w:rsidRPr="00133050" w:rsidRDefault="002337F9" w:rsidP="0026218C">
            <w:pPr>
              <w:jc w:val="center"/>
              <w:rPr>
                <w:noProof/>
                <w:sz w:val="20"/>
              </w:rPr>
            </w:pPr>
          </w:p>
        </w:tc>
        <w:tc>
          <w:tcPr>
            <w:tcW w:w="868" w:type="dxa"/>
            <w:vAlign w:val="center"/>
          </w:tcPr>
          <w:p w14:paraId="3E943E12" w14:textId="77777777" w:rsidR="002337F9" w:rsidRPr="00133050" w:rsidRDefault="002337F9" w:rsidP="0026218C">
            <w:pPr>
              <w:jc w:val="center"/>
              <w:rPr>
                <w:b/>
                <w:noProof/>
                <w:sz w:val="18"/>
              </w:rPr>
            </w:pPr>
          </w:p>
        </w:tc>
        <w:tc>
          <w:tcPr>
            <w:tcW w:w="868" w:type="dxa"/>
            <w:vAlign w:val="center"/>
          </w:tcPr>
          <w:p w14:paraId="581DFCA6" w14:textId="77777777" w:rsidR="002337F9" w:rsidRPr="00133050" w:rsidRDefault="002337F9" w:rsidP="0026218C">
            <w:pPr>
              <w:jc w:val="center"/>
              <w:rPr>
                <w:b/>
                <w:noProof/>
                <w:sz w:val="18"/>
              </w:rPr>
            </w:pPr>
          </w:p>
        </w:tc>
        <w:tc>
          <w:tcPr>
            <w:tcW w:w="868" w:type="dxa"/>
            <w:vAlign w:val="center"/>
          </w:tcPr>
          <w:p w14:paraId="11724A6B" w14:textId="77777777" w:rsidR="002337F9" w:rsidRPr="00133050" w:rsidRDefault="002337F9" w:rsidP="0026218C">
            <w:pPr>
              <w:jc w:val="center"/>
              <w:rPr>
                <w:b/>
                <w:noProof/>
                <w:sz w:val="18"/>
              </w:rPr>
            </w:pPr>
          </w:p>
        </w:tc>
        <w:tc>
          <w:tcPr>
            <w:tcW w:w="1777" w:type="dxa"/>
            <w:vAlign w:val="center"/>
          </w:tcPr>
          <w:p w14:paraId="689DA3BD" w14:textId="77777777" w:rsidR="002337F9" w:rsidRPr="00133050" w:rsidRDefault="002337F9" w:rsidP="0026218C">
            <w:pPr>
              <w:jc w:val="center"/>
              <w:rPr>
                <w:b/>
                <w:noProof/>
                <w:sz w:val="20"/>
              </w:rPr>
            </w:pPr>
            <w:r w:rsidRPr="00133050">
              <w:rPr>
                <w:b/>
                <w:noProof/>
                <w:sz w:val="20"/>
              </w:rPr>
              <w:t>ОБЩО</w:t>
            </w:r>
          </w:p>
        </w:tc>
      </w:tr>
      <w:tr w:rsidR="002337F9" w:rsidRPr="00133050" w14:paraId="20950DEE" w14:textId="77777777" w:rsidTr="0026218C">
        <w:trPr>
          <w:gridAfter w:val="8"/>
          <w:wAfter w:w="7735" w:type="dxa"/>
        </w:trPr>
        <w:tc>
          <w:tcPr>
            <w:tcW w:w="3960" w:type="dxa"/>
            <w:vAlign w:val="center"/>
          </w:tcPr>
          <w:p w14:paraId="3CB25DE2" w14:textId="77777777" w:rsidR="002337F9" w:rsidRPr="00133050" w:rsidRDefault="002337F9" w:rsidP="0026218C">
            <w:pPr>
              <w:spacing w:before="60" w:after="60"/>
              <w:jc w:val="center"/>
              <w:rPr>
                <w:noProof/>
              </w:rPr>
            </w:pPr>
            <w:r w:rsidRPr="00133050">
              <w:rPr>
                <w:noProof/>
              </w:rPr>
              <w:t>ГД „Мобилност и транспорт“</w:t>
            </w:r>
          </w:p>
        </w:tc>
        <w:tc>
          <w:tcPr>
            <w:tcW w:w="2212" w:type="dxa"/>
            <w:gridSpan w:val="2"/>
          </w:tcPr>
          <w:p w14:paraId="21C869F1" w14:textId="77777777" w:rsidR="002337F9" w:rsidRPr="00133050" w:rsidRDefault="002337F9" w:rsidP="0026218C">
            <w:pPr>
              <w:spacing w:before="60" w:after="60"/>
              <w:jc w:val="center"/>
              <w:rPr>
                <w:noProof/>
              </w:rPr>
            </w:pPr>
          </w:p>
        </w:tc>
      </w:tr>
      <w:tr w:rsidR="002337F9" w:rsidRPr="00133050" w14:paraId="49A994D2" w14:textId="77777777" w:rsidTr="0026218C">
        <w:trPr>
          <w:trHeight w:val="313"/>
        </w:trPr>
        <w:tc>
          <w:tcPr>
            <w:tcW w:w="6172" w:type="dxa"/>
            <w:gridSpan w:val="3"/>
            <w:vAlign w:val="center"/>
          </w:tcPr>
          <w:p w14:paraId="114432F7" w14:textId="77777777" w:rsidR="002337F9" w:rsidRPr="00133050" w:rsidRDefault="002337F9" w:rsidP="0026218C">
            <w:pPr>
              <w:spacing w:before="20" w:after="20"/>
              <w:rPr>
                <w:noProof/>
              </w:rPr>
            </w:pPr>
            <w:r w:rsidRPr="00133050">
              <w:rPr>
                <w:noProof/>
              </w:rPr>
              <w:sym w:font="Wingdings" w:char="F09F"/>
            </w:r>
            <w:r w:rsidRPr="00133050">
              <w:rPr>
                <w:noProof/>
              </w:rPr>
              <w:t xml:space="preserve"> Човешки ресурси </w:t>
            </w:r>
          </w:p>
        </w:tc>
        <w:tc>
          <w:tcPr>
            <w:tcW w:w="750" w:type="dxa"/>
            <w:vAlign w:val="center"/>
          </w:tcPr>
          <w:p w14:paraId="0063D67F" w14:textId="77777777" w:rsidR="002337F9" w:rsidRPr="00133050" w:rsidRDefault="002337F9" w:rsidP="0026218C">
            <w:pPr>
              <w:spacing w:before="20" w:after="20"/>
              <w:jc w:val="center"/>
              <w:rPr>
                <w:noProof/>
                <w:sz w:val="20"/>
              </w:rPr>
            </w:pPr>
            <w:r w:rsidRPr="00133050">
              <w:rPr>
                <w:noProof/>
                <w:sz w:val="20"/>
              </w:rPr>
              <w:t>0,017</w:t>
            </w:r>
          </w:p>
        </w:tc>
        <w:tc>
          <w:tcPr>
            <w:tcW w:w="868" w:type="dxa"/>
            <w:vAlign w:val="center"/>
          </w:tcPr>
          <w:p w14:paraId="1128726C" w14:textId="77777777" w:rsidR="002337F9" w:rsidRPr="00133050" w:rsidRDefault="002337F9" w:rsidP="0026218C">
            <w:pPr>
              <w:spacing w:before="20" w:after="20"/>
              <w:jc w:val="center"/>
              <w:rPr>
                <w:noProof/>
                <w:sz w:val="20"/>
              </w:rPr>
            </w:pPr>
            <w:r w:rsidRPr="00133050">
              <w:rPr>
                <w:noProof/>
                <w:sz w:val="20"/>
              </w:rPr>
              <w:t>0,017</w:t>
            </w:r>
          </w:p>
        </w:tc>
        <w:tc>
          <w:tcPr>
            <w:tcW w:w="868" w:type="dxa"/>
            <w:vAlign w:val="center"/>
          </w:tcPr>
          <w:p w14:paraId="57BA5A1F" w14:textId="77777777" w:rsidR="002337F9" w:rsidRPr="00133050" w:rsidRDefault="002337F9" w:rsidP="0026218C">
            <w:pPr>
              <w:spacing w:before="20" w:after="20"/>
              <w:jc w:val="right"/>
              <w:rPr>
                <w:noProof/>
                <w:sz w:val="20"/>
              </w:rPr>
            </w:pPr>
          </w:p>
        </w:tc>
        <w:tc>
          <w:tcPr>
            <w:tcW w:w="868" w:type="dxa"/>
            <w:vAlign w:val="center"/>
          </w:tcPr>
          <w:p w14:paraId="23204B02" w14:textId="77777777" w:rsidR="002337F9" w:rsidRPr="00133050" w:rsidRDefault="002337F9" w:rsidP="0026218C">
            <w:pPr>
              <w:spacing w:before="20" w:after="20"/>
              <w:jc w:val="right"/>
              <w:rPr>
                <w:noProof/>
                <w:sz w:val="20"/>
              </w:rPr>
            </w:pPr>
          </w:p>
        </w:tc>
        <w:tc>
          <w:tcPr>
            <w:tcW w:w="868" w:type="dxa"/>
            <w:vAlign w:val="center"/>
          </w:tcPr>
          <w:p w14:paraId="28EA5F6C" w14:textId="77777777" w:rsidR="002337F9" w:rsidRPr="00133050" w:rsidRDefault="002337F9" w:rsidP="0026218C">
            <w:pPr>
              <w:spacing w:before="20" w:after="20"/>
              <w:jc w:val="right"/>
              <w:rPr>
                <w:noProof/>
                <w:sz w:val="20"/>
              </w:rPr>
            </w:pPr>
          </w:p>
        </w:tc>
        <w:tc>
          <w:tcPr>
            <w:tcW w:w="868" w:type="dxa"/>
            <w:vAlign w:val="center"/>
          </w:tcPr>
          <w:p w14:paraId="425B87F4" w14:textId="77777777" w:rsidR="002337F9" w:rsidRPr="00133050" w:rsidRDefault="002337F9" w:rsidP="0026218C">
            <w:pPr>
              <w:spacing w:before="20" w:after="20"/>
              <w:jc w:val="right"/>
              <w:rPr>
                <w:noProof/>
                <w:sz w:val="20"/>
              </w:rPr>
            </w:pPr>
          </w:p>
        </w:tc>
        <w:tc>
          <w:tcPr>
            <w:tcW w:w="868" w:type="dxa"/>
            <w:vAlign w:val="center"/>
          </w:tcPr>
          <w:p w14:paraId="4C7B6DB0" w14:textId="77777777" w:rsidR="002337F9" w:rsidRPr="00133050" w:rsidRDefault="002337F9" w:rsidP="0026218C">
            <w:pPr>
              <w:spacing w:before="20" w:after="20"/>
              <w:jc w:val="right"/>
              <w:rPr>
                <w:b/>
                <w:noProof/>
                <w:sz w:val="20"/>
              </w:rPr>
            </w:pPr>
          </w:p>
        </w:tc>
        <w:tc>
          <w:tcPr>
            <w:tcW w:w="1777" w:type="dxa"/>
            <w:vAlign w:val="center"/>
          </w:tcPr>
          <w:p w14:paraId="362BCECE" w14:textId="77777777" w:rsidR="002337F9" w:rsidRPr="00133050" w:rsidRDefault="002337F9" w:rsidP="0026218C">
            <w:pPr>
              <w:spacing w:before="20" w:after="20"/>
              <w:jc w:val="center"/>
              <w:rPr>
                <w:b/>
                <w:noProof/>
                <w:sz w:val="20"/>
              </w:rPr>
            </w:pPr>
            <w:r w:rsidRPr="00133050">
              <w:rPr>
                <w:b/>
                <w:noProof/>
                <w:sz w:val="20"/>
              </w:rPr>
              <w:t>0,034</w:t>
            </w:r>
          </w:p>
        </w:tc>
      </w:tr>
      <w:tr w:rsidR="002337F9" w:rsidRPr="00133050" w14:paraId="7627A434" w14:textId="77777777" w:rsidTr="0026218C">
        <w:trPr>
          <w:trHeight w:val="351"/>
        </w:trPr>
        <w:tc>
          <w:tcPr>
            <w:tcW w:w="6172" w:type="dxa"/>
            <w:gridSpan w:val="3"/>
            <w:vAlign w:val="center"/>
          </w:tcPr>
          <w:p w14:paraId="09BF09EB" w14:textId="77777777" w:rsidR="002337F9" w:rsidRPr="00133050" w:rsidRDefault="002337F9" w:rsidP="0026218C">
            <w:pPr>
              <w:spacing w:before="20" w:after="20"/>
              <w:rPr>
                <w:noProof/>
              </w:rPr>
            </w:pPr>
            <w:r w:rsidRPr="00133050">
              <w:rPr>
                <w:noProof/>
              </w:rPr>
              <w:sym w:font="Wingdings" w:char="F09F"/>
            </w:r>
            <w:r w:rsidRPr="00133050">
              <w:rPr>
                <w:noProof/>
              </w:rPr>
              <w:t> Други административни разходи</w:t>
            </w:r>
          </w:p>
        </w:tc>
        <w:tc>
          <w:tcPr>
            <w:tcW w:w="750" w:type="dxa"/>
            <w:vAlign w:val="center"/>
          </w:tcPr>
          <w:p w14:paraId="00EC36BF" w14:textId="77777777" w:rsidR="002337F9" w:rsidRPr="00133050" w:rsidRDefault="002337F9" w:rsidP="0026218C">
            <w:pPr>
              <w:spacing w:before="20" w:after="20"/>
              <w:jc w:val="center"/>
              <w:rPr>
                <w:noProof/>
                <w:sz w:val="20"/>
              </w:rPr>
            </w:pPr>
          </w:p>
        </w:tc>
        <w:tc>
          <w:tcPr>
            <w:tcW w:w="868" w:type="dxa"/>
            <w:vAlign w:val="center"/>
          </w:tcPr>
          <w:p w14:paraId="00FCDD9C" w14:textId="77777777" w:rsidR="002337F9" w:rsidRPr="00133050" w:rsidRDefault="002337F9" w:rsidP="0026218C">
            <w:pPr>
              <w:spacing w:before="20" w:after="20"/>
              <w:jc w:val="center"/>
              <w:rPr>
                <w:noProof/>
                <w:sz w:val="20"/>
              </w:rPr>
            </w:pPr>
          </w:p>
        </w:tc>
        <w:tc>
          <w:tcPr>
            <w:tcW w:w="868" w:type="dxa"/>
            <w:vAlign w:val="center"/>
          </w:tcPr>
          <w:p w14:paraId="7FCE6131" w14:textId="77777777" w:rsidR="002337F9" w:rsidRPr="00133050" w:rsidRDefault="002337F9" w:rsidP="0026218C">
            <w:pPr>
              <w:spacing w:before="20" w:after="20"/>
              <w:jc w:val="right"/>
              <w:rPr>
                <w:noProof/>
                <w:sz w:val="20"/>
              </w:rPr>
            </w:pPr>
          </w:p>
        </w:tc>
        <w:tc>
          <w:tcPr>
            <w:tcW w:w="868" w:type="dxa"/>
            <w:vAlign w:val="center"/>
          </w:tcPr>
          <w:p w14:paraId="2B7390FE" w14:textId="77777777" w:rsidR="002337F9" w:rsidRPr="00133050" w:rsidRDefault="002337F9" w:rsidP="0026218C">
            <w:pPr>
              <w:spacing w:before="20" w:after="20"/>
              <w:jc w:val="right"/>
              <w:rPr>
                <w:noProof/>
                <w:sz w:val="20"/>
              </w:rPr>
            </w:pPr>
          </w:p>
        </w:tc>
        <w:tc>
          <w:tcPr>
            <w:tcW w:w="868" w:type="dxa"/>
            <w:vAlign w:val="center"/>
          </w:tcPr>
          <w:p w14:paraId="0B8E3911" w14:textId="77777777" w:rsidR="002337F9" w:rsidRPr="00133050" w:rsidRDefault="002337F9" w:rsidP="0026218C">
            <w:pPr>
              <w:spacing w:before="20" w:after="20"/>
              <w:jc w:val="right"/>
              <w:rPr>
                <w:noProof/>
                <w:sz w:val="20"/>
              </w:rPr>
            </w:pPr>
          </w:p>
        </w:tc>
        <w:tc>
          <w:tcPr>
            <w:tcW w:w="868" w:type="dxa"/>
            <w:vAlign w:val="center"/>
          </w:tcPr>
          <w:p w14:paraId="6A2FFE04" w14:textId="77777777" w:rsidR="002337F9" w:rsidRPr="00133050" w:rsidRDefault="002337F9" w:rsidP="0026218C">
            <w:pPr>
              <w:spacing w:before="20" w:after="20"/>
              <w:jc w:val="right"/>
              <w:rPr>
                <w:noProof/>
                <w:sz w:val="20"/>
              </w:rPr>
            </w:pPr>
          </w:p>
        </w:tc>
        <w:tc>
          <w:tcPr>
            <w:tcW w:w="868" w:type="dxa"/>
            <w:vAlign w:val="center"/>
          </w:tcPr>
          <w:p w14:paraId="4E30CC2C" w14:textId="77777777" w:rsidR="002337F9" w:rsidRPr="00133050" w:rsidRDefault="002337F9" w:rsidP="0026218C">
            <w:pPr>
              <w:spacing w:before="20" w:after="20"/>
              <w:jc w:val="right"/>
              <w:rPr>
                <w:noProof/>
                <w:sz w:val="20"/>
              </w:rPr>
            </w:pPr>
          </w:p>
        </w:tc>
        <w:tc>
          <w:tcPr>
            <w:tcW w:w="1777" w:type="dxa"/>
            <w:vAlign w:val="center"/>
          </w:tcPr>
          <w:p w14:paraId="4115A354" w14:textId="77777777" w:rsidR="002337F9" w:rsidRPr="00133050" w:rsidRDefault="002337F9" w:rsidP="0026218C">
            <w:pPr>
              <w:spacing w:before="20" w:after="20"/>
              <w:jc w:val="center"/>
              <w:rPr>
                <w:b/>
                <w:noProof/>
                <w:sz w:val="20"/>
              </w:rPr>
            </w:pPr>
          </w:p>
        </w:tc>
      </w:tr>
      <w:tr w:rsidR="002337F9" w:rsidRPr="00133050" w14:paraId="033D56C5" w14:textId="77777777" w:rsidTr="0026218C">
        <w:tc>
          <w:tcPr>
            <w:tcW w:w="3960" w:type="dxa"/>
            <w:vAlign w:val="center"/>
          </w:tcPr>
          <w:p w14:paraId="69D36529" w14:textId="77777777" w:rsidR="002337F9" w:rsidRPr="00133050" w:rsidRDefault="002337F9" w:rsidP="0026218C">
            <w:pPr>
              <w:jc w:val="center"/>
              <w:rPr>
                <w:b/>
                <w:noProof/>
              </w:rPr>
            </w:pPr>
            <w:r w:rsidRPr="00133050">
              <w:rPr>
                <w:b/>
                <w:noProof/>
              </w:rPr>
              <w:t xml:space="preserve">ОБЩО </w:t>
            </w:r>
          </w:p>
        </w:tc>
        <w:tc>
          <w:tcPr>
            <w:tcW w:w="2212" w:type="dxa"/>
            <w:gridSpan w:val="2"/>
            <w:vAlign w:val="center"/>
          </w:tcPr>
          <w:p w14:paraId="6DDCC2EA" w14:textId="77777777" w:rsidR="002337F9" w:rsidRPr="00133050" w:rsidRDefault="002337F9" w:rsidP="0026218C">
            <w:pPr>
              <w:rPr>
                <w:noProof/>
                <w:sz w:val="14"/>
              </w:rPr>
            </w:pPr>
            <w:r w:rsidRPr="00133050">
              <w:rPr>
                <w:noProof/>
                <w:sz w:val="18"/>
              </w:rPr>
              <w:t xml:space="preserve">Бюджетни кредити </w:t>
            </w:r>
          </w:p>
        </w:tc>
        <w:tc>
          <w:tcPr>
            <w:tcW w:w="750" w:type="dxa"/>
            <w:vAlign w:val="center"/>
          </w:tcPr>
          <w:p w14:paraId="492E6FDC" w14:textId="77777777" w:rsidR="002337F9" w:rsidRPr="00133050" w:rsidRDefault="002337F9" w:rsidP="0026218C">
            <w:pPr>
              <w:spacing w:before="60" w:after="60"/>
              <w:jc w:val="center"/>
              <w:rPr>
                <w:noProof/>
                <w:sz w:val="20"/>
              </w:rPr>
            </w:pPr>
            <w:r w:rsidRPr="00133050">
              <w:rPr>
                <w:noProof/>
                <w:sz w:val="20"/>
              </w:rPr>
              <w:t>0,017</w:t>
            </w:r>
          </w:p>
        </w:tc>
        <w:tc>
          <w:tcPr>
            <w:tcW w:w="868" w:type="dxa"/>
            <w:vAlign w:val="center"/>
          </w:tcPr>
          <w:p w14:paraId="158637A5" w14:textId="77777777" w:rsidR="002337F9" w:rsidRPr="00133050" w:rsidRDefault="002337F9" w:rsidP="0026218C">
            <w:pPr>
              <w:spacing w:before="20" w:after="20"/>
              <w:jc w:val="center"/>
              <w:rPr>
                <w:noProof/>
                <w:sz w:val="20"/>
              </w:rPr>
            </w:pPr>
            <w:r w:rsidRPr="00133050">
              <w:rPr>
                <w:noProof/>
                <w:sz w:val="20"/>
              </w:rPr>
              <w:t>0,017</w:t>
            </w:r>
          </w:p>
        </w:tc>
        <w:tc>
          <w:tcPr>
            <w:tcW w:w="868" w:type="dxa"/>
            <w:vAlign w:val="center"/>
          </w:tcPr>
          <w:p w14:paraId="59117DEC" w14:textId="77777777" w:rsidR="002337F9" w:rsidRPr="00133050" w:rsidRDefault="002337F9" w:rsidP="0026218C">
            <w:pPr>
              <w:spacing w:before="20" w:after="20"/>
              <w:jc w:val="right"/>
              <w:rPr>
                <w:noProof/>
                <w:sz w:val="20"/>
              </w:rPr>
            </w:pPr>
          </w:p>
        </w:tc>
        <w:tc>
          <w:tcPr>
            <w:tcW w:w="868" w:type="dxa"/>
            <w:vAlign w:val="center"/>
          </w:tcPr>
          <w:p w14:paraId="0F189D6E" w14:textId="77777777" w:rsidR="002337F9" w:rsidRPr="00133050" w:rsidRDefault="002337F9" w:rsidP="0026218C">
            <w:pPr>
              <w:spacing w:before="20" w:after="20"/>
              <w:jc w:val="right"/>
              <w:rPr>
                <w:noProof/>
                <w:sz w:val="20"/>
              </w:rPr>
            </w:pPr>
          </w:p>
        </w:tc>
        <w:tc>
          <w:tcPr>
            <w:tcW w:w="868" w:type="dxa"/>
            <w:vAlign w:val="center"/>
          </w:tcPr>
          <w:p w14:paraId="3E5C3E82" w14:textId="77777777" w:rsidR="002337F9" w:rsidRPr="00133050" w:rsidRDefault="002337F9" w:rsidP="0026218C">
            <w:pPr>
              <w:spacing w:before="20" w:after="20"/>
              <w:jc w:val="right"/>
              <w:rPr>
                <w:noProof/>
                <w:sz w:val="20"/>
              </w:rPr>
            </w:pPr>
          </w:p>
        </w:tc>
        <w:tc>
          <w:tcPr>
            <w:tcW w:w="868" w:type="dxa"/>
            <w:vAlign w:val="center"/>
          </w:tcPr>
          <w:p w14:paraId="73D6C7E2" w14:textId="77777777" w:rsidR="002337F9" w:rsidRPr="00133050" w:rsidRDefault="002337F9" w:rsidP="0026218C">
            <w:pPr>
              <w:spacing w:before="20" w:after="20"/>
              <w:jc w:val="right"/>
              <w:rPr>
                <w:noProof/>
                <w:sz w:val="20"/>
              </w:rPr>
            </w:pPr>
          </w:p>
        </w:tc>
        <w:tc>
          <w:tcPr>
            <w:tcW w:w="868" w:type="dxa"/>
            <w:vAlign w:val="center"/>
          </w:tcPr>
          <w:p w14:paraId="11BF0DF5" w14:textId="77777777" w:rsidR="002337F9" w:rsidRPr="00133050" w:rsidRDefault="002337F9" w:rsidP="0026218C">
            <w:pPr>
              <w:spacing w:before="20" w:after="20"/>
              <w:jc w:val="right"/>
              <w:rPr>
                <w:noProof/>
                <w:sz w:val="20"/>
              </w:rPr>
            </w:pPr>
          </w:p>
        </w:tc>
        <w:tc>
          <w:tcPr>
            <w:tcW w:w="1777" w:type="dxa"/>
            <w:vAlign w:val="center"/>
          </w:tcPr>
          <w:p w14:paraId="6987365C" w14:textId="77777777" w:rsidR="002337F9" w:rsidRPr="00133050" w:rsidRDefault="002337F9" w:rsidP="0026218C">
            <w:pPr>
              <w:spacing w:before="20" w:after="20"/>
              <w:jc w:val="center"/>
              <w:rPr>
                <w:b/>
                <w:noProof/>
                <w:sz w:val="20"/>
              </w:rPr>
            </w:pPr>
            <w:r w:rsidRPr="00133050">
              <w:rPr>
                <w:b/>
                <w:noProof/>
                <w:sz w:val="20"/>
              </w:rPr>
              <w:t>0,034</w:t>
            </w:r>
          </w:p>
        </w:tc>
      </w:tr>
    </w:tbl>
    <w:p w14:paraId="633673E5" w14:textId="77777777" w:rsidR="002337F9" w:rsidRPr="00133050" w:rsidRDefault="002337F9" w:rsidP="002337F9">
      <w:pPr>
        <w:rPr>
          <w:noProof/>
        </w:rPr>
      </w:pPr>
    </w:p>
    <w:tbl>
      <w:tblPr>
        <w:tblW w:w="1390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652"/>
        <w:gridCol w:w="750"/>
        <w:gridCol w:w="868"/>
        <w:gridCol w:w="868"/>
        <w:gridCol w:w="868"/>
        <w:gridCol w:w="868"/>
        <w:gridCol w:w="868"/>
        <w:gridCol w:w="868"/>
        <w:gridCol w:w="1777"/>
      </w:tblGrid>
      <w:tr w:rsidR="002337F9" w:rsidRPr="00133050" w14:paraId="1847FB47" w14:textId="77777777" w:rsidTr="0026218C">
        <w:tc>
          <w:tcPr>
            <w:tcW w:w="3960" w:type="dxa"/>
            <w:tcBorders>
              <w:top w:val="nil"/>
              <w:left w:val="nil"/>
              <w:right w:val="nil"/>
            </w:tcBorders>
            <w:vAlign w:val="center"/>
          </w:tcPr>
          <w:p w14:paraId="3B08F81A" w14:textId="77777777" w:rsidR="002337F9" w:rsidRPr="00133050" w:rsidRDefault="002337F9" w:rsidP="0026218C">
            <w:pPr>
              <w:jc w:val="center"/>
              <w:rPr>
                <w:noProof/>
              </w:rPr>
            </w:pPr>
          </w:p>
        </w:tc>
        <w:tc>
          <w:tcPr>
            <w:tcW w:w="1560" w:type="dxa"/>
            <w:tcBorders>
              <w:top w:val="nil"/>
              <w:left w:val="nil"/>
              <w:right w:val="nil"/>
            </w:tcBorders>
          </w:tcPr>
          <w:p w14:paraId="6222DB1B" w14:textId="77777777" w:rsidR="002337F9" w:rsidRPr="00133050" w:rsidRDefault="002337F9" w:rsidP="0026218C">
            <w:pPr>
              <w:rPr>
                <w:noProof/>
                <w:sz w:val="20"/>
              </w:rPr>
            </w:pPr>
          </w:p>
        </w:tc>
        <w:tc>
          <w:tcPr>
            <w:tcW w:w="652" w:type="dxa"/>
            <w:tcBorders>
              <w:top w:val="nil"/>
              <w:left w:val="nil"/>
            </w:tcBorders>
          </w:tcPr>
          <w:p w14:paraId="6E3C7698" w14:textId="77777777" w:rsidR="002337F9" w:rsidRPr="00133050" w:rsidRDefault="002337F9" w:rsidP="0026218C">
            <w:pPr>
              <w:jc w:val="center"/>
              <w:rPr>
                <w:noProof/>
                <w:sz w:val="20"/>
              </w:rPr>
            </w:pPr>
          </w:p>
        </w:tc>
        <w:tc>
          <w:tcPr>
            <w:tcW w:w="750" w:type="dxa"/>
            <w:vAlign w:val="center"/>
          </w:tcPr>
          <w:p w14:paraId="209E929E" w14:textId="77777777" w:rsidR="002337F9" w:rsidRPr="00133050" w:rsidRDefault="002337F9" w:rsidP="0026218C">
            <w:pPr>
              <w:jc w:val="center"/>
              <w:rPr>
                <w:noProof/>
                <w:sz w:val="20"/>
              </w:rPr>
            </w:pPr>
            <w:r w:rsidRPr="00133050">
              <w:rPr>
                <w:b/>
                <w:noProof/>
                <w:sz w:val="20"/>
              </w:rPr>
              <w:t>2026 г.</w:t>
            </w:r>
          </w:p>
        </w:tc>
        <w:tc>
          <w:tcPr>
            <w:tcW w:w="868" w:type="dxa"/>
            <w:vAlign w:val="center"/>
          </w:tcPr>
          <w:p w14:paraId="7E6B725D" w14:textId="77777777" w:rsidR="002337F9" w:rsidRPr="00133050" w:rsidRDefault="002337F9" w:rsidP="0026218C">
            <w:pPr>
              <w:jc w:val="center"/>
              <w:rPr>
                <w:noProof/>
                <w:sz w:val="20"/>
              </w:rPr>
            </w:pPr>
            <w:r w:rsidRPr="00133050">
              <w:rPr>
                <w:b/>
                <w:noProof/>
                <w:sz w:val="20"/>
              </w:rPr>
              <w:t>2027 г.</w:t>
            </w:r>
          </w:p>
        </w:tc>
        <w:tc>
          <w:tcPr>
            <w:tcW w:w="868" w:type="dxa"/>
            <w:vAlign w:val="center"/>
          </w:tcPr>
          <w:p w14:paraId="7B0F581C" w14:textId="77777777" w:rsidR="002337F9" w:rsidRPr="00133050" w:rsidRDefault="002337F9" w:rsidP="0026218C">
            <w:pPr>
              <w:jc w:val="center"/>
              <w:rPr>
                <w:noProof/>
                <w:sz w:val="20"/>
              </w:rPr>
            </w:pPr>
          </w:p>
        </w:tc>
        <w:tc>
          <w:tcPr>
            <w:tcW w:w="868" w:type="dxa"/>
            <w:vAlign w:val="center"/>
          </w:tcPr>
          <w:p w14:paraId="16B433F8" w14:textId="77777777" w:rsidR="002337F9" w:rsidRPr="00133050" w:rsidRDefault="002337F9" w:rsidP="0026218C">
            <w:pPr>
              <w:jc w:val="center"/>
              <w:rPr>
                <w:noProof/>
                <w:sz w:val="20"/>
              </w:rPr>
            </w:pPr>
          </w:p>
        </w:tc>
        <w:tc>
          <w:tcPr>
            <w:tcW w:w="868" w:type="dxa"/>
            <w:vAlign w:val="center"/>
          </w:tcPr>
          <w:p w14:paraId="1A3A6612" w14:textId="77777777" w:rsidR="002337F9" w:rsidRPr="00133050" w:rsidRDefault="002337F9" w:rsidP="0026218C">
            <w:pPr>
              <w:jc w:val="center"/>
              <w:rPr>
                <w:b/>
                <w:noProof/>
                <w:sz w:val="18"/>
              </w:rPr>
            </w:pPr>
          </w:p>
        </w:tc>
        <w:tc>
          <w:tcPr>
            <w:tcW w:w="868" w:type="dxa"/>
            <w:vAlign w:val="center"/>
          </w:tcPr>
          <w:p w14:paraId="4D6A8420" w14:textId="77777777" w:rsidR="002337F9" w:rsidRPr="00133050" w:rsidRDefault="002337F9" w:rsidP="0026218C">
            <w:pPr>
              <w:jc w:val="center"/>
              <w:rPr>
                <w:b/>
                <w:noProof/>
                <w:sz w:val="18"/>
              </w:rPr>
            </w:pPr>
          </w:p>
        </w:tc>
        <w:tc>
          <w:tcPr>
            <w:tcW w:w="868" w:type="dxa"/>
            <w:vAlign w:val="center"/>
          </w:tcPr>
          <w:p w14:paraId="0A5B9353" w14:textId="77777777" w:rsidR="002337F9" w:rsidRPr="00133050" w:rsidRDefault="002337F9" w:rsidP="0026218C">
            <w:pPr>
              <w:jc w:val="center"/>
              <w:rPr>
                <w:b/>
                <w:noProof/>
                <w:sz w:val="18"/>
              </w:rPr>
            </w:pPr>
          </w:p>
        </w:tc>
        <w:tc>
          <w:tcPr>
            <w:tcW w:w="1777" w:type="dxa"/>
            <w:vAlign w:val="center"/>
          </w:tcPr>
          <w:p w14:paraId="762F8681" w14:textId="77777777" w:rsidR="002337F9" w:rsidRPr="00133050" w:rsidRDefault="002337F9" w:rsidP="0026218C">
            <w:pPr>
              <w:jc w:val="center"/>
              <w:rPr>
                <w:b/>
                <w:noProof/>
                <w:sz w:val="20"/>
              </w:rPr>
            </w:pPr>
            <w:r w:rsidRPr="00133050">
              <w:rPr>
                <w:b/>
                <w:noProof/>
                <w:sz w:val="20"/>
              </w:rPr>
              <w:t>ОБЩО</w:t>
            </w:r>
          </w:p>
        </w:tc>
      </w:tr>
      <w:tr w:rsidR="002337F9" w:rsidRPr="00133050" w14:paraId="7C4367BB" w14:textId="77777777" w:rsidTr="0026218C">
        <w:trPr>
          <w:gridAfter w:val="8"/>
          <w:wAfter w:w="7735" w:type="dxa"/>
        </w:trPr>
        <w:tc>
          <w:tcPr>
            <w:tcW w:w="3960" w:type="dxa"/>
            <w:vAlign w:val="center"/>
          </w:tcPr>
          <w:p w14:paraId="1C7F8260" w14:textId="77777777" w:rsidR="002337F9" w:rsidRPr="00133050" w:rsidRDefault="002337F9" w:rsidP="0026218C">
            <w:pPr>
              <w:spacing w:before="60" w:after="60"/>
              <w:jc w:val="center"/>
              <w:rPr>
                <w:noProof/>
              </w:rPr>
            </w:pPr>
            <w:r w:rsidRPr="00133050">
              <w:rPr>
                <w:noProof/>
              </w:rPr>
              <w:t>ГД Генерален секретариат на Европейския парламент</w:t>
            </w:r>
          </w:p>
        </w:tc>
        <w:tc>
          <w:tcPr>
            <w:tcW w:w="2212" w:type="dxa"/>
            <w:gridSpan w:val="2"/>
          </w:tcPr>
          <w:p w14:paraId="62B95D76" w14:textId="77777777" w:rsidR="002337F9" w:rsidRPr="00133050" w:rsidRDefault="002337F9" w:rsidP="0026218C">
            <w:pPr>
              <w:spacing w:before="60" w:after="60"/>
              <w:jc w:val="center"/>
              <w:rPr>
                <w:noProof/>
              </w:rPr>
            </w:pPr>
          </w:p>
        </w:tc>
      </w:tr>
      <w:tr w:rsidR="002337F9" w:rsidRPr="00133050" w14:paraId="6EA517C9" w14:textId="77777777" w:rsidTr="0026218C">
        <w:trPr>
          <w:trHeight w:val="313"/>
        </w:trPr>
        <w:tc>
          <w:tcPr>
            <w:tcW w:w="6172" w:type="dxa"/>
            <w:gridSpan w:val="3"/>
            <w:vAlign w:val="center"/>
          </w:tcPr>
          <w:p w14:paraId="40EF7867" w14:textId="77777777" w:rsidR="002337F9" w:rsidRPr="00133050" w:rsidRDefault="002337F9" w:rsidP="0026218C">
            <w:pPr>
              <w:spacing w:before="20" w:after="20"/>
              <w:rPr>
                <w:noProof/>
              </w:rPr>
            </w:pPr>
            <w:r w:rsidRPr="00133050">
              <w:rPr>
                <w:noProof/>
              </w:rPr>
              <w:sym w:font="Wingdings" w:char="F09F"/>
            </w:r>
            <w:r w:rsidRPr="00133050">
              <w:rPr>
                <w:noProof/>
              </w:rPr>
              <w:t xml:space="preserve"> Човешки ресурси </w:t>
            </w:r>
          </w:p>
        </w:tc>
        <w:tc>
          <w:tcPr>
            <w:tcW w:w="750" w:type="dxa"/>
            <w:vAlign w:val="center"/>
          </w:tcPr>
          <w:p w14:paraId="3DEAF0D8" w14:textId="77777777" w:rsidR="002337F9" w:rsidRPr="00133050" w:rsidRDefault="002337F9" w:rsidP="0026218C">
            <w:pPr>
              <w:spacing w:before="20" w:after="20"/>
              <w:jc w:val="center"/>
              <w:rPr>
                <w:noProof/>
                <w:sz w:val="20"/>
              </w:rPr>
            </w:pPr>
            <w:r w:rsidRPr="00133050">
              <w:rPr>
                <w:noProof/>
                <w:sz w:val="20"/>
              </w:rPr>
              <w:t>0,017</w:t>
            </w:r>
          </w:p>
        </w:tc>
        <w:tc>
          <w:tcPr>
            <w:tcW w:w="868" w:type="dxa"/>
            <w:vAlign w:val="center"/>
          </w:tcPr>
          <w:p w14:paraId="792657BF" w14:textId="77777777" w:rsidR="002337F9" w:rsidRPr="00133050" w:rsidRDefault="002337F9" w:rsidP="0026218C">
            <w:pPr>
              <w:spacing w:before="20" w:after="20"/>
              <w:jc w:val="center"/>
              <w:rPr>
                <w:noProof/>
                <w:sz w:val="20"/>
              </w:rPr>
            </w:pPr>
            <w:r w:rsidRPr="00133050">
              <w:rPr>
                <w:noProof/>
                <w:sz w:val="20"/>
              </w:rPr>
              <w:t>0,017</w:t>
            </w:r>
          </w:p>
        </w:tc>
        <w:tc>
          <w:tcPr>
            <w:tcW w:w="868" w:type="dxa"/>
            <w:vAlign w:val="center"/>
          </w:tcPr>
          <w:p w14:paraId="4F012CF4" w14:textId="77777777" w:rsidR="002337F9" w:rsidRPr="00133050" w:rsidRDefault="002337F9" w:rsidP="0026218C">
            <w:pPr>
              <w:spacing w:before="20" w:after="20"/>
              <w:jc w:val="right"/>
              <w:rPr>
                <w:noProof/>
                <w:sz w:val="20"/>
              </w:rPr>
            </w:pPr>
          </w:p>
        </w:tc>
        <w:tc>
          <w:tcPr>
            <w:tcW w:w="868" w:type="dxa"/>
            <w:vAlign w:val="center"/>
          </w:tcPr>
          <w:p w14:paraId="7B265C23" w14:textId="77777777" w:rsidR="002337F9" w:rsidRPr="00133050" w:rsidRDefault="002337F9" w:rsidP="0026218C">
            <w:pPr>
              <w:spacing w:before="20" w:after="20"/>
              <w:jc w:val="right"/>
              <w:rPr>
                <w:noProof/>
                <w:sz w:val="20"/>
              </w:rPr>
            </w:pPr>
          </w:p>
        </w:tc>
        <w:tc>
          <w:tcPr>
            <w:tcW w:w="868" w:type="dxa"/>
            <w:vAlign w:val="center"/>
          </w:tcPr>
          <w:p w14:paraId="09A9A035" w14:textId="77777777" w:rsidR="002337F9" w:rsidRPr="00133050" w:rsidRDefault="002337F9" w:rsidP="0026218C">
            <w:pPr>
              <w:spacing w:before="20" w:after="20"/>
              <w:jc w:val="right"/>
              <w:rPr>
                <w:noProof/>
                <w:sz w:val="20"/>
              </w:rPr>
            </w:pPr>
          </w:p>
        </w:tc>
        <w:tc>
          <w:tcPr>
            <w:tcW w:w="868" w:type="dxa"/>
            <w:vAlign w:val="center"/>
          </w:tcPr>
          <w:p w14:paraId="4B73BD89" w14:textId="77777777" w:rsidR="002337F9" w:rsidRPr="00133050" w:rsidRDefault="002337F9" w:rsidP="0026218C">
            <w:pPr>
              <w:spacing w:before="20" w:after="20"/>
              <w:jc w:val="right"/>
              <w:rPr>
                <w:noProof/>
                <w:sz w:val="20"/>
              </w:rPr>
            </w:pPr>
          </w:p>
        </w:tc>
        <w:tc>
          <w:tcPr>
            <w:tcW w:w="868" w:type="dxa"/>
            <w:vAlign w:val="center"/>
          </w:tcPr>
          <w:p w14:paraId="323B1806" w14:textId="77777777" w:rsidR="002337F9" w:rsidRPr="00133050" w:rsidRDefault="002337F9" w:rsidP="0026218C">
            <w:pPr>
              <w:spacing w:before="20" w:after="20"/>
              <w:jc w:val="right"/>
              <w:rPr>
                <w:b/>
                <w:noProof/>
                <w:sz w:val="20"/>
              </w:rPr>
            </w:pPr>
          </w:p>
        </w:tc>
        <w:tc>
          <w:tcPr>
            <w:tcW w:w="1777" w:type="dxa"/>
            <w:vAlign w:val="center"/>
          </w:tcPr>
          <w:p w14:paraId="20155D32" w14:textId="77777777" w:rsidR="002337F9" w:rsidRPr="00133050" w:rsidRDefault="002337F9" w:rsidP="0026218C">
            <w:pPr>
              <w:spacing w:before="20" w:after="20"/>
              <w:jc w:val="center"/>
              <w:rPr>
                <w:b/>
                <w:noProof/>
                <w:sz w:val="20"/>
              </w:rPr>
            </w:pPr>
            <w:r w:rsidRPr="00133050">
              <w:rPr>
                <w:b/>
                <w:noProof/>
                <w:sz w:val="20"/>
              </w:rPr>
              <w:t>0,034</w:t>
            </w:r>
          </w:p>
        </w:tc>
      </w:tr>
      <w:tr w:rsidR="002337F9" w:rsidRPr="00133050" w14:paraId="008DA363" w14:textId="77777777" w:rsidTr="0026218C">
        <w:trPr>
          <w:trHeight w:val="351"/>
        </w:trPr>
        <w:tc>
          <w:tcPr>
            <w:tcW w:w="6172" w:type="dxa"/>
            <w:gridSpan w:val="3"/>
            <w:vAlign w:val="center"/>
          </w:tcPr>
          <w:p w14:paraId="4E8E64F1" w14:textId="77777777" w:rsidR="002337F9" w:rsidRPr="00133050" w:rsidRDefault="002337F9" w:rsidP="0026218C">
            <w:pPr>
              <w:spacing w:before="20" w:after="20"/>
              <w:rPr>
                <w:noProof/>
              </w:rPr>
            </w:pPr>
            <w:r w:rsidRPr="00133050">
              <w:rPr>
                <w:noProof/>
              </w:rPr>
              <w:sym w:font="Wingdings" w:char="F09F"/>
            </w:r>
            <w:r w:rsidRPr="00133050">
              <w:rPr>
                <w:noProof/>
              </w:rPr>
              <w:t> Други административни разходи</w:t>
            </w:r>
          </w:p>
        </w:tc>
        <w:tc>
          <w:tcPr>
            <w:tcW w:w="750" w:type="dxa"/>
            <w:vAlign w:val="center"/>
          </w:tcPr>
          <w:p w14:paraId="47C3532F" w14:textId="77777777" w:rsidR="002337F9" w:rsidRPr="00133050" w:rsidRDefault="002337F9" w:rsidP="0026218C">
            <w:pPr>
              <w:spacing w:before="20" w:after="20"/>
              <w:jc w:val="center"/>
              <w:rPr>
                <w:noProof/>
                <w:sz w:val="20"/>
              </w:rPr>
            </w:pPr>
          </w:p>
        </w:tc>
        <w:tc>
          <w:tcPr>
            <w:tcW w:w="868" w:type="dxa"/>
            <w:vAlign w:val="center"/>
          </w:tcPr>
          <w:p w14:paraId="2B5AFF8D" w14:textId="77777777" w:rsidR="002337F9" w:rsidRPr="00133050" w:rsidRDefault="002337F9" w:rsidP="0026218C">
            <w:pPr>
              <w:spacing w:before="20" w:after="20"/>
              <w:jc w:val="center"/>
              <w:rPr>
                <w:noProof/>
                <w:sz w:val="20"/>
              </w:rPr>
            </w:pPr>
          </w:p>
        </w:tc>
        <w:tc>
          <w:tcPr>
            <w:tcW w:w="868" w:type="dxa"/>
            <w:vAlign w:val="center"/>
          </w:tcPr>
          <w:p w14:paraId="5D0A9704" w14:textId="77777777" w:rsidR="002337F9" w:rsidRPr="00133050" w:rsidRDefault="002337F9" w:rsidP="0026218C">
            <w:pPr>
              <w:spacing w:before="20" w:after="20"/>
              <w:jc w:val="right"/>
              <w:rPr>
                <w:noProof/>
                <w:sz w:val="20"/>
              </w:rPr>
            </w:pPr>
          </w:p>
        </w:tc>
        <w:tc>
          <w:tcPr>
            <w:tcW w:w="868" w:type="dxa"/>
            <w:vAlign w:val="center"/>
          </w:tcPr>
          <w:p w14:paraId="7A5069A3" w14:textId="77777777" w:rsidR="002337F9" w:rsidRPr="00133050" w:rsidRDefault="002337F9" w:rsidP="0026218C">
            <w:pPr>
              <w:spacing w:before="20" w:after="20"/>
              <w:jc w:val="right"/>
              <w:rPr>
                <w:noProof/>
                <w:sz w:val="20"/>
              </w:rPr>
            </w:pPr>
          </w:p>
        </w:tc>
        <w:tc>
          <w:tcPr>
            <w:tcW w:w="868" w:type="dxa"/>
            <w:vAlign w:val="center"/>
          </w:tcPr>
          <w:p w14:paraId="79F195B6" w14:textId="77777777" w:rsidR="002337F9" w:rsidRPr="00133050" w:rsidRDefault="002337F9" w:rsidP="0026218C">
            <w:pPr>
              <w:spacing w:before="20" w:after="20"/>
              <w:jc w:val="right"/>
              <w:rPr>
                <w:noProof/>
                <w:sz w:val="20"/>
              </w:rPr>
            </w:pPr>
          </w:p>
        </w:tc>
        <w:tc>
          <w:tcPr>
            <w:tcW w:w="868" w:type="dxa"/>
            <w:vAlign w:val="center"/>
          </w:tcPr>
          <w:p w14:paraId="44095EED" w14:textId="77777777" w:rsidR="002337F9" w:rsidRPr="00133050" w:rsidRDefault="002337F9" w:rsidP="0026218C">
            <w:pPr>
              <w:spacing w:before="20" w:after="20"/>
              <w:jc w:val="right"/>
              <w:rPr>
                <w:noProof/>
                <w:sz w:val="20"/>
              </w:rPr>
            </w:pPr>
          </w:p>
        </w:tc>
        <w:tc>
          <w:tcPr>
            <w:tcW w:w="868" w:type="dxa"/>
            <w:vAlign w:val="center"/>
          </w:tcPr>
          <w:p w14:paraId="368B9505" w14:textId="77777777" w:rsidR="002337F9" w:rsidRPr="00133050" w:rsidRDefault="002337F9" w:rsidP="0026218C">
            <w:pPr>
              <w:spacing w:before="20" w:after="20"/>
              <w:jc w:val="right"/>
              <w:rPr>
                <w:noProof/>
                <w:sz w:val="20"/>
              </w:rPr>
            </w:pPr>
          </w:p>
        </w:tc>
        <w:tc>
          <w:tcPr>
            <w:tcW w:w="1777" w:type="dxa"/>
            <w:vAlign w:val="center"/>
          </w:tcPr>
          <w:p w14:paraId="23E0C260" w14:textId="77777777" w:rsidR="002337F9" w:rsidRPr="00133050" w:rsidRDefault="002337F9" w:rsidP="0026218C">
            <w:pPr>
              <w:spacing w:before="20" w:after="20"/>
              <w:jc w:val="center"/>
              <w:rPr>
                <w:b/>
                <w:noProof/>
                <w:sz w:val="20"/>
              </w:rPr>
            </w:pPr>
          </w:p>
        </w:tc>
      </w:tr>
      <w:tr w:rsidR="002337F9" w:rsidRPr="00133050" w14:paraId="2A914404" w14:textId="77777777" w:rsidTr="0026218C">
        <w:tc>
          <w:tcPr>
            <w:tcW w:w="3960" w:type="dxa"/>
            <w:vAlign w:val="center"/>
          </w:tcPr>
          <w:p w14:paraId="54C1BD84" w14:textId="77777777" w:rsidR="002337F9" w:rsidRPr="00133050" w:rsidRDefault="002337F9" w:rsidP="0026218C">
            <w:pPr>
              <w:jc w:val="center"/>
              <w:rPr>
                <w:b/>
                <w:noProof/>
              </w:rPr>
            </w:pPr>
            <w:r w:rsidRPr="00133050">
              <w:rPr>
                <w:b/>
                <w:noProof/>
              </w:rPr>
              <w:t xml:space="preserve">ОБЩО </w:t>
            </w:r>
          </w:p>
        </w:tc>
        <w:tc>
          <w:tcPr>
            <w:tcW w:w="2212" w:type="dxa"/>
            <w:gridSpan w:val="2"/>
            <w:vAlign w:val="center"/>
          </w:tcPr>
          <w:p w14:paraId="279065C5" w14:textId="77777777" w:rsidR="002337F9" w:rsidRPr="00133050" w:rsidRDefault="002337F9" w:rsidP="0026218C">
            <w:pPr>
              <w:rPr>
                <w:noProof/>
                <w:sz w:val="14"/>
              </w:rPr>
            </w:pPr>
            <w:r w:rsidRPr="00133050">
              <w:rPr>
                <w:noProof/>
                <w:sz w:val="18"/>
              </w:rPr>
              <w:t xml:space="preserve">Бюджетни кредити </w:t>
            </w:r>
          </w:p>
        </w:tc>
        <w:tc>
          <w:tcPr>
            <w:tcW w:w="750" w:type="dxa"/>
            <w:vAlign w:val="center"/>
          </w:tcPr>
          <w:p w14:paraId="699CFC53" w14:textId="77777777" w:rsidR="002337F9" w:rsidRPr="00133050" w:rsidRDefault="002337F9" w:rsidP="0026218C">
            <w:pPr>
              <w:spacing w:before="60" w:after="60"/>
              <w:jc w:val="center"/>
              <w:rPr>
                <w:noProof/>
                <w:sz w:val="20"/>
              </w:rPr>
            </w:pPr>
            <w:r w:rsidRPr="00133050">
              <w:rPr>
                <w:noProof/>
                <w:sz w:val="20"/>
              </w:rPr>
              <w:t>0,017</w:t>
            </w:r>
          </w:p>
        </w:tc>
        <w:tc>
          <w:tcPr>
            <w:tcW w:w="868" w:type="dxa"/>
            <w:vAlign w:val="center"/>
          </w:tcPr>
          <w:p w14:paraId="4688DA1D" w14:textId="77777777" w:rsidR="002337F9" w:rsidRPr="00133050" w:rsidRDefault="002337F9" w:rsidP="0026218C">
            <w:pPr>
              <w:spacing w:before="20" w:after="20"/>
              <w:jc w:val="center"/>
              <w:rPr>
                <w:noProof/>
                <w:sz w:val="20"/>
              </w:rPr>
            </w:pPr>
            <w:r w:rsidRPr="00133050">
              <w:rPr>
                <w:noProof/>
                <w:sz w:val="20"/>
              </w:rPr>
              <w:t>0,017</w:t>
            </w:r>
          </w:p>
        </w:tc>
        <w:tc>
          <w:tcPr>
            <w:tcW w:w="868" w:type="dxa"/>
            <w:vAlign w:val="center"/>
          </w:tcPr>
          <w:p w14:paraId="0B245BD6" w14:textId="77777777" w:rsidR="002337F9" w:rsidRPr="00133050" w:rsidRDefault="002337F9" w:rsidP="0026218C">
            <w:pPr>
              <w:spacing w:before="20" w:after="20"/>
              <w:jc w:val="right"/>
              <w:rPr>
                <w:noProof/>
                <w:sz w:val="20"/>
              </w:rPr>
            </w:pPr>
          </w:p>
        </w:tc>
        <w:tc>
          <w:tcPr>
            <w:tcW w:w="868" w:type="dxa"/>
            <w:vAlign w:val="center"/>
          </w:tcPr>
          <w:p w14:paraId="0CE3D74B" w14:textId="77777777" w:rsidR="002337F9" w:rsidRPr="00133050" w:rsidRDefault="002337F9" w:rsidP="0026218C">
            <w:pPr>
              <w:spacing w:before="20" w:after="20"/>
              <w:jc w:val="right"/>
              <w:rPr>
                <w:noProof/>
                <w:sz w:val="20"/>
              </w:rPr>
            </w:pPr>
          </w:p>
        </w:tc>
        <w:tc>
          <w:tcPr>
            <w:tcW w:w="868" w:type="dxa"/>
            <w:vAlign w:val="center"/>
          </w:tcPr>
          <w:p w14:paraId="1BC714B7" w14:textId="77777777" w:rsidR="002337F9" w:rsidRPr="00133050" w:rsidRDefault="002337F9" w:rsidP="0026218C">
            <w:pPr>
              <w:spacing w:before="20" w:after="20"/>
              <w:jc w:val="right"/>
              <w:rPr>
                <w:noProof/>
                <w:sz w:val="20"/>
              </w:rPr>
            </w:pPr>
          </w:p>
        </w:tc>
        <w:tc>
          <w:tcPr>
            <w:tcW w:w="868" w:type="dxa"/>
            <w:vAlign w:val="center"/>
          </w:tcPr>
          <w:p w14:paraId="3F727A5C" w14:textId="77777777" w:rsidR="002337F9" w:rsidRPr="00133050" w:rsidRDefault="002337F9" w:rsidP="0026218C">
            <w:pPr>
              <w:spacing w:before="20" w:after="20"/>
              <w:jc w:val="right"/>
              <w:rPr>
                <w:noProof/>
                <w:sz w:val="20"/>
              </w:rPr>
            </w:pPr>
          </w:p>
        </w:tc>
        <w:tc>
          <w:tcPr>
            <w:tcW w:w="868" w:type="dxa"/>
            <w:vAlign w:val="center"/>
          </w:tcPr>
          <w:p w14:paraId="25CCF902" w14:textId="77777777" w:rsidR="002337F9" w:rsidRPr="00133050" w:rsidRDefault="002337F9" w:rsidP="0026218C">
            <w:pPr>
              <w:spacing w:before="20" w:after="20"/>
              <w:jc w:val="right"/>
              <w:rPr>
                <w:noProof/>
                <w:sz w:val="20"/>
              </w:rPr>
            </w:pPr>
          </w:p>
        </w:tc>
        <w:tc>
          <w:tcPr>
            <w:tcW w:w="1777" w:type="dxa"/>
            <w:vAlign w:val="center"/>
          </w:tcPr>
          <w:p w14:paraId="4379968C" w14:textId="77777777" w:rsidR="002337F9" w:rsidRPr="00133050" w:rsidRDefault="002337F9" w:rsidP="0026218C">
            <w:pPr>
              <w:spacing w:before="20" w:after="20"/>
              <w:jc w:val="center"/>
              <w:rPr>
                <w:b/>
                <w:noProof/>
                <w:sz w:val="20"/>
              </w:rPr>
            </w:pPr>
            <w:r w:rsidRPr="00133050">
              <w:rPr>
                <w:b/>
                <w:noProof/>
                <w:sz w:val="20"/>
              </w:rPr>
              <w:t>0,034</w:t>
            </w:r>
          </w:p>
        </w:tc>
      </w:tr>
    </w:tbl>
    <w:p w14:paraId="21EB080D" w14:textId="77777777" w:rsidR="002337F9" w:rsidRPr="00133050" w:rsidRDefault="002337F9" w:rsidP="002337F9">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868"/>
        <w:gridCol w:w="868"/>
        <w:gridCol w:w="868"/>
        <w:gridCol w:w="1777"/>
      </w:tblGrid>
      <w:tr w:rsidR="002337F9" w:rsidRPr="00133050" w14:paraId="1729ACE4" w14:textId="77777777" w:rsidTr="0026218C">
        <w:tc>
          <w:tcPr>
            <w:tcW w:w="3960" w:type="dxa"/>
            <w:shd w:val="thinDiagStripe" w:color="C0C0C0" w:fill="auto"/>
            <w:vAlign w:val="center"/>
          </w:tcPr>
          <w:p w14:paraId="50A08FD9" w14:textId="77777777" w:rsidR="002337F9" w:rsidRPr="00133050" w:rsidRDefault="002337F9" w:rsidP="0026218C">
            <w:pPr>
              <w:jc w:val="center"/>
              <w:rPr>
                <w:b/>
                <w:noProof/>
              </w:rPr>
            </w:pPr>
            <w:r w:rsidRPr="00133050">
              <w:rPr>
                <w:b/>
                <w:noProof/>
              </w:rPr>
              <w:t>ОБЩО бюджетни кредити</w:t>
            </w:r>
            <w:r w:rsidRPr="00133050">
              <w:rPr>
                <w:noProof/>
              </w:rPr>
              <w:t xml:space="preserve"> </w:t>
            </w:r>
            <w:r w:rsidRPr="00133050">
              <w:rPr>
                <w:noProof/>
              </w:rPr>
              <w:cr/>
            </w:r>
            <w:r w:rsidRPr="00133050">
              <w:rPr>
                <w:noProof/>
              </w:rPr>
              <w:br/>
            </w:r>
            <w:r w:rsidRPr="00133050">
              <w:rPr>
                <w:b/>
                <w:noProof/>
              </w:rPr>
              <w:t>по ФУНКЦИЯ 7</w:t>
            </w:r>
            <w:r w:rsidRPr="00133050">
              <w:rPr>
                <w:noProof/>
              </w:rPr>
              <w:t xml:space="preserve"> </w:t>
            </w:r>
            <w:r w:rsidRPr="00133050">
              <w:rPr>
                <w:noProof/>
              </w:rPr>
              <w:cr/>
            </w:r>
            <w:r w:rsidRPr="00133050">
              <w:rPr>
                <w:noProof/>
              </w:rPr>
              <w:br/>
              <w:t>от многогодишната финансова рамка</w:t>
            </w:r>
            <w:r w:rsidRPr="00133050">
              <w:rPr>
                <w:b/>
                <w:noProof/>
              </w:rPr>
              <w:t xml:space="preserve"> </w:t>
            </w:r>
          </w:p>
        </w:tc>
        <w:tc>
          <w:tcPr>
            <w:tcW w:w="2094" w:type="dxa"/>
            <w:vAlign w:val="center"/>
          </w:tcPr>
          <w:p w14:paraId="3ABB495B" w14:textId="77777777" w:rsidR="002337F9" w:rsidRPr="00133050" w:rsidRDefault="002337F9" w:rsidP="0026218C">
            <w:pPr>
              <w:spacing w:before="40" w:after="40"/>
              <w:rPr>
                <w:noProof/>
              </w:rPr>
            </w:pPr>
            <w:r w:rsidRPr="00133050">
              <w:rPr>
                <w:noProof/>
                <w:sz w:val="18"/>
              </w:rPr>
              <w:t>(Общо поети задължения = Общо плащания)</w:t>
            </w:r>
          </w:p>
        </w:tc>
        <w:tc>
          <w:tcPr>
            <w:tcW w:w="868" w:type="dxa"/>
            <w:vAlign w:val="center"/>
          </w:tcPr>
          <w:p w14:paraId="3DF9F383" w14:textId="77777777" w:rsidR="002337F9" w:rsidRPr="00133050" w:rsidRDefault="002337F9" w:rsidP="0026218C">
            <w:pPr>
              <w:spacing w:before="20" w:after="20"/>
              <w:jc w:val="center"/>
              <w:rPr>
                <w:noProof/>
                <w:sz w:val="20"/>
              </w:rPr>
            </w:pPr>
            <w:r w:rsidRPr="00133050">
              <w:rPr>
                <w:noProof/>
                <w:sz w:val="20"/>
              </w:rPr>
              <w:t xml:space="preserve">5,194 </w:t>
            </w:r>
          </w:p>
        </w:tc>
        <w:tc>
          <w:tcPr>
            <w:tcW w:w="868" w:type="dxa"/>
            <w:vAlign w:val="center"/>
          </w:tcPr>
          <w:p w14:paraId="38FFBF0F" w14:textId="77777777" w:rsidR="002337F9" w:rsidRPr="00133050" w:rsidRDefault="002337F9" w:rsidP="0026218C">
            <w:pPr>
              <w:spacing w:before="20" w:after="20"/>
              <w:jc w:val="center"/>
              <w:rPr>
                <w:noProof/>
                <w:sz w:val="20"/>
              </w:rPr>
            </w:pPr>
            <w:r w:rsidRPr="00133050">
              <w:rPr>
                <w:noProof/>
                <w:sz w:val="20"/>
              </w:rPr>
              <w:t xml:space="preserve">5,194 </w:t>
            </w:r>
          </w:p>
        </w:tc>
        <w:tc>
          <w:tcPr>
            <w:tcW w:w="868" w:type="dxa"/>
            <w:vAlign w:val="center"/>
          </w:tcPr>
          <w:p w14:paraId="46516D74" w14:textId="77777777" w:rsidR="002337F9" w:rsidRPr="00133050" w:rsidRDefault="002337F9" w:rsidP="0026218C">
            <w:pPr>
              <w:spacing w:before="20" w:after="20"/>
              <w:jc w:val="center"/>
              <w:rPr>
                <w:noProof/>
                <w:sz w:val="20"/>
              </w:rPr>
            </w:pPr>
          </w:p>
        </w:tc>
        <w:tc>
          <w:tcPr>
            <w:tcW w:w="868" w:type="dxa"/>
            <w:vAlign w:val="center"/>
          </w:tcPr>
          <w:p w14:paraId="3CE0CE29" w14:textId="77777777" w:rsidR="002337F9" w:rsidRPr="00133050" w:rsidRDefault="002337F9" w:rsidP="0026218C">
            <w:pPr>
              <w:spacing w:before="20" w:after="20"/>
              <w:jc w:val="center"/>
              <w:rPr>
                <w:noProof/>
                <w:sz w:val="20"/>
              </w:rPr>
            </w:pPr>
          </w:p>
        </w:tc>
        <w:tc>
          <w:tcPr>
            <w:tcW w:w="868" w:type="dxa"/>
            <w:vAlign w:val="center"/>
          </w:tcPr>
          <w:p w14:paraId="1751DEA0" w14:textId="77777777" w:rsidR="002337F9" w:rsidRPr="00133050" w:rsidRDefault="002337F9" w:rsidP="0026218C">
            <w:pPr>
              <w:spacing w:before="20" w:after="20"/>
              <w:jc w:val="center"/>
              <w:rPr>
                <w:noProof/>
                <w:sz w:val="20"/>
              </w:rPr>
            </w:pPr>
          </w:p>
        </w:tc>
        <w:tc>
          <w:tcPr>
            <w:tcW w:w="868" w:type="dxa"/>
            <w:vAlign w:val="center"/>
          </w:tcPr>
          <w:p w14:paraId="3AD670E6" w14:textId="77777777" w:rsidR="002337F9" w:rsidRPr="00133050" w:rsidRDefault="002337F9" w:rsidP="0026218C">
            <w:pPr>
              <w:spacing w:before="20" w:after="20"/>
              <w:jc w:val="center"/>
              <w:rPr>
                <w:noProof/>
                <w:sz w:val="20"/>
              </w:rPr>
            </w:pPr>
          </w:p>
        </w:tc>
        <w:tc>
          <w:tcPr>
            <w:tcW w:w="868" w:type="dxa"/>
            <w:vAlign w:val="center"/>
          </w:tcPr>
          <w:p w14:paraId="4FB5FA0D" w14:textId="77777777" w:rsidR="002337F9" w:rsidRPr="00133050" w:rsidRDefault="002337F9" w:rsidP="0026218C">
            <w:pPr>
              <w:spacing w:before="20" w:after="20"/>
              <w:jc w:val="center"/>
              <w:rPr>
                <w:b/>
                <w:noProof/>
                <w:sz w:val="20"/>
              </w:rPr>
            </w:pPr>
          </w:p>
        </w:tc>
        <w:tc>
          <w:tcPr>
            <w:tcW w:w="1777" w:type="dxa"/>
            <w:vAlign w:val="center"/>
          </w:tcPr>
          <w:p w14:paraId="13469E0A" w14:textId="77777777" w:rsidR="002337F9" w:rsidRPr="00133050" w:rsidRDefault="002337F9" w:rsidP="0026218C">
            <w:pPr>
              <w:spacing w:before="20" w:after="20"/>
              <w:jc w:val="center"/>
              <w:rPr>
                <w:b/>
                <w:noProof/>
                <w:sz w:val="20"/>
              </w:rPr>
            </w:pPr>
            <w:r w:rsidRPr="00133050">
              <w:rPr>
                <w:b/>
                <w:noProof/>
                <w:sz w:val="20"/>
              </w:rPr>
              <w:t xml:space="preserve">10,388 </w:t>
            </w:r>
          </w:p>
        </w:tc>
      </w:tr>
    </w:tbl>
    <w:p w14:paraId="34DA76B4" w14:textId="77777777" w:rsidR="002337F9" w:rsidRPr="00133050" w:rsidRDefault="002337F9" w:rsidP="002337F9">
      <w:pPr>
        <w:jc w:val="right"/>
        <w:rPr>
          <w:noProof/>
          <w:sz w:val="20"/>
        </w:rPr>
      </w:pPr>
    </w:p>
    <w:p w14:paraId="3C08A2FE" w14:textId="77777777" w:rsidR="002337F9" w:rsidRPr="00133050" w:rsidRDefault="002337F9" w:rsidP="002337F9">
      <w:pPr>
        <w:jc w:val="right"/>
        <w:rPr>
          <w:noProof/>
          <w:sz w:val="20"/>
        </w:rPr>
      </w:pPr>
      <w:r w:rsidRPr="00133050">
        <w:rPr>
          <w:noProof/>
          <w:sz w:val="20"/>
        </w:rPr>
        <w:t>млн. евро (до 3-тия знак след десетичната запетая)</w:t>
      </w:r>
    </w:p>
    <w:tbl>
      <w:tblPr>
        <w:tblW w:w="1390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rsidR="002337F9" w:rsidRPr="00133050" w14:paraId="2DD557E0" w14:textId="77777777" w:rsidTr="0026218C">
        <w:tc>
          <w:tcPr>
            <w:tcW w:w="3960" w:type="dxa"/>
            <w:tcBorders>
              <w:top w:val="nil"/>
              <w:left w:val="nil"/>
              <w:right w:val="nil"/>
            </w:tcBorders>
            <w:vAlign w:val="center"/>
          </w:tcPr>
          <w:p w14:paraId="3261CEAE" w14:textId="77777777" w:rsidR="002337F9" w:rsidRPr="00133050" w:rsidRDefault="002337F9" w:rsidP="0026218C">
            <w:pPr>
              <w:jc w:val="center"/>
              <w:rPr>
                <w:noProof/>
              </w:rPr>
            </w:pPr>
          </w:p>
        </w:tc>
        <w:tc>
          <w:tcPr>
            <w:tcW w:w="1560" w:type="dxa"/>
            <w:tcBorders>
              <w:top w:val="nil"/>
              <w:left w:val="nil"/>
              <w:right w:val="nil"/>
            </w:tcBorders>
          </w:tcPr>
          <w:p w14:paraId="6D42ABF8" w14:textId="77777777" w:rsidR="002337F9" w:rsidRPr="00133050" w:rsidRDefault="002337F9" w:rsidP="0026218C">
            <w:pPr>
              <w:rPr>
                <w:noProof/>
                <w:sz w:val="20"/>
              </w:rPr>
            </w:pPr>
          </w:p>
        </w:tc>
        <w:tc>
          <w:tcPr>
            <w:tcW w:w="534" w:type="dxa"/>
            <w:tcBorders>
              <w:top w:val="nil"/>
              <w:left w:val="nil"/>
            </w:tcBorders>
          </w:tcPr>
          <w:p w14:paraId="31CC433A" w14:textId="77777777" w:rsidR="002337F9" w:rsidRPr="00133050" w:rsidRDefault="002337F9" w:rsidP="0026218C">
            <w:pPr>
              <w:jc w:val="center"/>
              <w:rPr>
                <w:noProof/>
                <w:sz w:val="20"/>
              </w:rPr>
            </w:pPr>
          </w:p>
        </w:tc>
        <w:tc>
          <w:tcPr>
            <w:tcW w:w="868" w:type="dxa"/>
            <w:vAlign w:val="center"/>
          </w:tcPr>
          <w:p w14:paraId="043BE4E9" w14:textId="77777777" w:rsidR="002337F9" w:rsidRPr="00133050" w:rsidRDefault="002337F9" w:rsidP="0026218C">
            <w:pPr>
              <w:jc w:val="center"/>
              <w:rPr>
                <w:noProof/>
                <w:sz w:val="20"/>
              </w:rPr>
            </w:pPr>
            <w:r w:rsidRPr="00133050">
              <w:rPr>
                <w:b/>
                <w:noProof/>
                <w:sz w:val="20"/>
              </w:rPr>
              <w:t>2026 г.</w:t>
            </w:r>
          </w:p>
        </w:tc>
        <w:tc>
          <w:tcPr>
            <w:tcW w:w="868" w:type="dxa"/>
            <w:vAlign w:val="center"/>
          </w:tcPr>
          <w:p w14:paraId="08C97426" w14:textId="77777777" w:rsidR="002337F9" w:rsidRPr="00133050" w:rsidRDefault="002337F9" w:rsidP="0026218C">
            <w:pPr>
              <w:jc w:val="center"/>
              <w:rPr>
                <w:noProof/>
                <w:sz w:val="20"/>
              </w:rPr>
            </w:pPr>
            <w:r w:rsidRPr="00133050">
              <w:rPr>
                <w:b/>
                <w:noProof/>
                <w:sz w:val="20"/>
              </w:rPr>
              <w:t>2027 г.</w:t>
            </w:r>
          </w:p>
        </w:tc>
        <w:tc>
          <w:tcPr>
            <w:tcW w:w="868" w:type="dxa"/>
            <w:vAlign w:val="center"/>
          </w:tcPr>
          <w:p w14:paraId="33797D71" w14:textId="77777777" w:rsidR="002337F9" w:rsidRPr="00133050" w:rsidRDefault="002337F9" w:rsidP="0026218C">
            <w:pPr>
              <w:jc w:val="center"/>
              <w:rPr>
                <w:noProof/>
                <w:sz w:val="20"/>
              </w:rPr>
            </w:pPr>
            <w:r w:rsidRPr="00133050">
              <w:rPr>
                <w:b/>
                <w:noProof/>
                <w:sz w:val="20"/>
              </w:rPr>
              <w:t>2028 г.</w:t>
            </w:r>
          </w:p>
        </w:tc>
        <w:tc>
          <w:tcPr>
            <w:tcW w:w="868" w:type="dxa"/>
            <w:vAlign w:val="center"/>
          </w:tcPr>
          <w:p w14:paraId="56CE3543" w14:textId="77777777" w:rsidR="002337F9" w:rsidRPr="00133050" w:rsidRDefault="002337F9" w:rsidP="0026218C">
            <w:pPr>
              <w:jc w:val="center"/>
              <w:rPr>
                <w:noProof/>
                <w:sz w:val="20"/>
              </w:rPr>
            </w:pPr>
            <w:r w:rsidRPr="00133050">
              <w:rPr>
                <w:b/>
                <w:noProof/>
                <w:sz w:val="20"/>
              </w:rPr>
              <w:t>2029 г.</w:t>
            </w:r>
          </w:p>
        </w:tc>
        <w:tc>
          <w:tcPr>
            <w:tcW w:w="868" w:type="dxa"/>
            <w:vAlign w:val="center"/>
          </w:tcPr>
          <w:p w14:paraId="3FDE23AE" w14:textId="77777777" w:rsidR="002337F9" w:rsidRPr="00133050" w:rsidRDefault="002337F9" w:rsidP="0026218C">
            <w:pPr>
              <w:jc w:val="center"/>
              <w:rPr>
                <w:b/>
                <w:noProof/>
                <w:sz w:val="18"/>
              </w:rPr>
            </w:pPr>
            <w:r w:rsidRPr="00133050">
              <w:rPr>
                <w:b/>
                <w:noProof/>
                <w:sz w:val="20"/>
              </w:rPr>
              <w:t>2030 г.</w:t>
            </w:r>
          </w:p>
        </w:tc>
        <w:tc>
          <w:tcPr>
            <w:tcW w:w="868" w:type="dxa"/>
            <w:vAlign w:val="center"/>
          </w:tcPr>
          <w:p w14:paraId="480BA9F8" w14:textId="77777777" w:rsidR="002337F9" w:rsidRPr="00133050" w:rsidRDefault="002337F9" w:rsidP="0026218C">
            <w:pPr>
              <w:jc w:val="center"/>
              <w:rPr>
                <w:b/>
                <w:noProof/>
                <w:sz w:val="18"/>
              </w:rPr>
            </w:pPr>
            <w:r w:rsidRPr="00133050">
              <w:rPr>
                <w:b/>
                <w:noProof/>
                <w:sz w:val="20"/>
              </w:rPr>
              <w:t>2031 г.</w:t>
            </w:r>
          </w:p>
        </w:tc>
        <w:tc>
          <w:tcPr>
            <w:tcW w:w="868" w:type="dxa"/>
            <w:vAlign w:val="center"/>
          </w:tcPr>
          <w:p w14:paraId="02846E2F" w14:textId="77777777" w:rsidR="002337F9" w:rsidRPr="00133050" w:rsidRDefault="002337F9" w:rsidP="0026218C">
            <w:pPr>
              <w:jc w:val="center"/>
              <w:rPr>
                <w:b/>
                <w:noProof/>
                <w:sz w:val="18"/>
              </w:rPr>
            </w:pPr>
            <w:r w:rsidRPr="00133050">
              <w:rPr>
                <w:b/>
                <w:noProof/>
                <w:sz w:val="20"/>
              </w:rPr>
              <w:t>2032 г.</w:t>
            </w:r>
          </w:p>
        </w:tc>
        <w:tc>
          <w:tcPr>
            <w:tcW w:w="1777" w:type="dxa"/>
            <w:vAlign w:val="center"/>
          </w:tcPr>
          <w:p w14:paraId="2D83A172" w14:textId="77777777" w:rsidR="002337F9" w:rsidRPr="00133050" w:rsidRDefault="002337F9" w:rsidP="0026218C">
            <w:pPr>
              <w:jc w:val="center"/>
              <w:rPr>
                <w:b/>
                <w:noProof/>
                <w:sz w:val="20"/>
              </w:rPr>
            </w:pPr>
            <w:r w:rsidRPr="00133050">
              <w:rPr>
                <w:b/>
                <w:noProof/>
                <w:sz w:val="20"/>
              </w:rPr>
              <w:t>ОБЩО</w:t>
            </w:r>
          </w:p>
        </w:tc>
      </w:tr>
      <w:tr w:rsidR="002337F9" w:rsidRPr="00133050" w14:paraId="181FF284" w14:textId="77777777" w:rsidTr="0026218C">
        <w:tc>
          <w:tcPr>
            <w:tcW w:w="3960" w:type="dxa"/>
            <w:vMerge w:val="restart"/>
            <w:shd w:val="clear" w:color="auto" w:fill="C0C0C0"/>
            <w:vAlign w:val="center"/>
          </w:tcPr>
          <w:p w14:paraId="6C990576" w14:textId="77777777" w:rsidR="002337F9" w:rsidRPr="00133050" w:rsidRDefault="002337F9" w:rsidP="0026218C">
            <w:pPr>
              <w:jc w:val="center"/>
              <w:rPr>
                <w:b/>
                <w:noProof/>
              </w:rPr>
            </w:pPr>
            <w:r w:rsidRPr="00133050">
              <w:rPr>
                <w:b/>
                <w:noProof/>
              </w:rPr>
              <w:t xml:space="preserve">ОБЩО бюджетни кредити </w:t>
            </w:r>
            <w:r w:rsidRPr="00133050">
              <w:rPr>
                <w:noProof/>
              </w:rPr>
              <w:t xml:space="preserve"> </w:t>
            </w:r>
            <w:r w:rsidRPr="00133050">
              <w:rPr>
                <w:noProof/>
              </w:rPr>
              <w:cr/>
            </w:r>
            <w:r w:rsidRPr="00133050">
              <w:rPr>
                <w:noProof/>
              </w:rPr>
              <w:br/>
            </w:r>
            <w:r w:rsidRPr="00133050">
              <w:rPr>
                <w:b/>
                <w:noProof/>
              </w:rPr>
              <w:t>по ФУНКЦИИ 1—7</w:t>
            </w:r>
            <w:r w:rsidRPr="00133050">
              <w:rPr>
                <w:noProof/>
              </w:rPr>
              <w:t xml:space="preserve"> </w:t>
            </w:r>
            <w:r w:rsidRPr="00133050">
              <w:rPr>
                <w:noProof/>
              </w:rPr>
              <w:cr/>
            </w:r>
            <w:r w:rsidRPr="00133050">
              <w:rPr>
                <w:noProof/>
              </w:rPr>
              <w:br/>
              <w:t>от многогодишната финансова рамка</w:t>
            </w:r>
            <w:r w:rsidRPr="00133050">
              <w:rPr>
                <w:b/>
                <w:noProof/>
              </w:rPr>
              <w:t xml:space="preserve"> </w:t>
            </w:r>
          </w:p>
        </w:tc>
        <w:tc>
          <w:tcPr>
            <w:tcW w:w="2094" w:type="dxa"/>
            <w:gridSpan w:val="2"/>
            <w:vAlign w:val="center"/>
          </w:tcPr>
          <w:p w14:paraId="45737EF2" w14:textId="77777777" w:rsidR="002337F9" w:rsidRPr="00133050" w:rsidRDefault="002337F9" w:rsidP="0026218C">
            <w:pPr>
              <w:rPr>
                <w:noProof/>
                <w:sz w:val="14"/>
              </w:rPr>
            </w:pPr>
            <w:r w:rsidRPr="00133050">
              <w:rPr>
                <w:noProof/>
                <w:sz w:val="18"/>
              </w:rPr>
              <w:t>Поети задължения</w:t>
            </w:r>
          </w:p>
        </w:tc>
        <w:tc>
          <w:tcPr>
            <w:tcW w:w="868" w:type="dxa"/>
          </w:tcPr>
          <w:p w14:paraId="7AD9E626" w14:textId="77777777" w:rsidR="002337F9" w:rsidRPr="00133050" w:rsidRDefault="002337F9" w:rsidP="0026218C">
            <w:pPr>
              <w:spacing w:before="60" w:after="60"/>
              <w:jc w:val="right"/>
              <w:rPr>
                <w:noProof/>
                <w:sz w:val="20"/>
              </w:rPr>
            </w:pPr>
            <w:r w:rsidRPr="00133050">
              <w:rPr>
                <w:noProof/>
              </w:rPr>
              <w:t>5,687</w:t>
            </w:r>
          </w:p>
        </w:tc>
        <w:tc>
          <w:tcPr>
            <w:tcW w:w="868" w:type="dxa"/>
          </w:tcPr>
          <w:p w14:paraId="145F30A6" w14:textId="77777777" w:rsidR="002337F9" w:rsidRPr="00133050" w:rsidRDefault="002337F9" w:rsidP="0026218C">
            <w:pPr>
              <w:spacing w:before="60" w:after="60"/>
              <w:jc w:val="right"/>
              <w:rPr>
                <w:noProof/>
                <w:sz w:val="20"/>
              </w:rPr>
            </w:pPr>
            <w:r w:rsidRPr="00133050">
              <w:rPr>
                <w:noProof/>
              </w:rPr>
              <w:t>5,444</w:t>
            </w:r>
          </w:p>
        </w:tc>
        <w:tc>
          <w:tcPr>
            <w:tcW w:w="868" w:type="dxa"/>
          </w:tcPr>
          <w:p w14:paraId="22DA1910" w14:textId="77777777" w:rsidR="002337F9" w:rsidRPr="00133050" w:rsidRDefault="002337F9" w:rsidP="0026218C">
            <w:pPr>
              <w:spacing w:before="60" w:after="60"/>
              <w:jc w:val="right"/>
              <w:rPr>
                <w:noProof/>
                <w:sz w:val="20"/>
              </w:rPr>
            </w:pPr>
          </w:p>
        </w:tc>
        <w:tc>
          <w:tcPr>
            <w:tcW w:w="868" w:type="dxa"/>
          </w:tcPr>
          <w:p w14:paraId="24003C9A" w14:textId="77777777" w:rsidR="002337F9" w:rsidRPr="00133050" w:rsidRDefault="002337F9" w:rsidP="0026218C">
            <w:pPr>
              <w:spacing w:before="60" w:after="60"/>
              <w:jc w:val="right"/>
              <w:rPr>
                <w:noProof/>
                <w:sz w:val="20"/>
              </w:rPr>
            </w:pPr>
          </w:p>
        </w:tc>
        <w:tc>
          <w:tcPr>
            <w:tcW w:w="868" w:type="dxa"/>
          </w:tcPr>
          <w:p w14:paraId="3821A5DB" w14:textId="77777777" w:rsidR="002337F9" w:rsidRPr="00133050" w:rsidRDefault="002337F9" w:rsidP="0026218C">
            <w:pPr>
              <w:spacing w:before="60" w:after="60"/>
              <w:jc w:val="right"/>
              <w:rPr>
                <w:noProof/>
                <w:sz w:val="20"/>
              </w:rPr>
            </w:pPr>
          </w:p>
        </w:tc>
        <w:tc>
          <w:tcPr>
            <w:tcW w:w="868" w:type="dxa"/>
          </w:tcPr>
          <w:p w14:paraId="7DE48817" w14:textId="77777777" w:rsidR="002337F9" w:rsidRPr="00133050" w:rsidRDefault="002337F9" w:rsidP="0026218C">
            <w:pPr>
              <w:spacing w:before="60" w:after="60"/>
              <w:jc w:val="right"/>
              <w:rPr>
                <w:noProof/>
                <w:sz w:val="20"/>
              </w:rPr>
            </w:pPr>
          </w:p>
        </w:tc>
        <w:tc>
          <w:tcPr>
            <w:tcW w:w="868" w:type="dxa"/>
          </w:tcPr>
          <w:p w14:paraId="4345C9C6" w14:textId="77777777" w:rsidR="002337F9" w:rsidRPr="00133050" w:rsidRDefault="002337F9" w:rsidP="0026218C">
            <w:pPr>
              <w:spacing w:before="60" w:after="60"/>
              <w:jc w:val="right"/>
              <w:rPr>
                <w:b/>
                <w:noProof/>
                <w:sz w:val="20"/>
              </w:rPr>
            </w:pPr>
          </w:p>
        </w:tc>
        <w:tc>
          <w:tcPr>
            <w:tcW w:w="1777" w:type="dxa"/>
          </w:tcPr>
          <w:p w14:paraId="675A8EAA" w14:textId="77777777" w:rsidR="002337F9" w:rsidRPr="00133050" w:rsidRDefault="002337F9" w:rsidP="0026218C">
            <w:pPr>
              <w:spacing w:before="60" w:after="60"/>
              <w:jc w:val="right"/>
              <w:rPr>
                <w:b/>
                <w:noProof/>
                <w:sz w:val="20"/>
              </w:rPr>
            </w:pPr>
            <w:r w:rsidRPr="00133050">
              <w:rPr>
                <w:noProof/>
              </w:rPr>
              <w:t xml:space="preserve">11,131 </w:t>
            </w:r>
          </w:p>
        </w:tc>
      </w:tr>
      <w:tr w:rsidR="002337F9" w:rsidRPr="00133050" w14:paraId="62AABECE" w14:textId="77777777" w:rsidTr="0026218C">
        <w:tc>
          <w:tcPr>
            <w:tcW w:w="3960" w:type="dxa"/>
            <w:vMerge/>
            <w:shd w:val="clear" w:color="auto" w:fill="C0C0C0"/>
          </w:tcPr>
          <w:p w14:paraId="1CA774DE" w14:textId="77777777" w:rsidR="002337F9" w:rsidRPr="00133050" w:rsidRDefault="002337F9" w:rsidP="0026218C">
            <w:pPr>
              <w:rPr>
                <w:noProof/>
                <w:sz w:val="20"/>
              </w:rPr>
            </w:pPr>
          </w:p>
        </w:tc>
        <w:tc>
          <w:tcPr>
            <w:tcW w:w="2094" w:type="dxa"/>
            <w:gridSpan w:val="2"/>
            <w:vAlign w:val="center"/>
          </w:tcPr>
          <w:p w14:paraId="5F3B23FD" w14:textId="77777777" w:rsidR="002337F9" w:rsidRPr="00133050" w:rsidRDefault="002337F9" w:rsidP="0026218C">
            <w:pPr>
              <w:rPr>
                <w:noProof/>
                <w:sz w:val="14"/>
              </w:rPr>
            </w:pPr>
            <w:r w:rsidRPr="00133050">
              <w:rPr>
                <w:noProof/>
                <w:sz w:val="18"/>
              </w:rPr>
              <w:t>Плащания</w:t>
            </w:r>
          </w:p>
        </w:tc>
        <w:tc>
          <w:tcPr>
            <w:tcW w:w="868" w:type="dxa"/>
          </w:tcPr>
          <w:p w14:paraId="7AE09BB7" w14:textId="77777777" w:rsidR="002337F9" w:rsidRPr="00133050" w:rsidRDefault="002337F9" w:rsidP="0026218C">
            <w:pPr>
              <w:spacing w:before="60" w:after="60"/>
              <w:jc w:val="right"/>
              <w:rPr>
                <w:noProof/>
                <w:sz w:val="20"/>
              </w:rPr>
            </w:pPr>
            <w:r w:rsidRPr="00133050">
              <w:rPr>
                <w:noProof/>
              </w:rPr>
              <w:t>5,441</w:t>
            </w:r>
          </w:p>
        </w:tc>
        <w:tc>
          <w:tcPr>
            <w:tcW w:w="868" w:type="dxa"/>
          </w:tcPr>
          <w:p w14:paraId="15C2B085" w14:textId="77777777" w:rsidR="002337F9" w:rsidRPr="00133050" w:rsidRDefault="002337F9" w:rsidP="0026218C">
            <w:pPr>
              <w:spacing w:before="60" w:after="60"/>
              <w:jc w:val="right"/>
              <w:rPr>
                <w:noProof/>
                <w:sz w:val="20"/>
              </w:rPr>
            </w:pPr>
            <w:r w:rsidRPr="00133050">
              <w:rPr>
                <w:noProof/>
              </w:rPr>
              <w:t>5,566</w:t>
            </w:r>
          </w:p>
        </w:tc>
        <w:tc>
          <w:tcPr>
            <w:tcW w:w="868" w:type="dxa"/>
          </w:tcPr>
          <w:p w14:paraId="68FAADAA" w14:textId="77777777" w:rsidR="002337F9" w:rsidRPr="00133050" w:rsidRDefault="002337F9" w:rsidP="0026218C">
            <w:pPr>
              <w:spacing w:before="60" w:after="60"/>
              <w:jc w:val="right"/>
              <w:rPr>
                <w:noProof/>
                <w:sz w:val="20"/>
              </w:rPr>
            </w:pPr>
          </w:p>
        </w:tc>
        <w:tc>
          <w:tcPr>
            <w:tcW w:w="868" w:type="dxa"/>
          </w:tcPr>
          <w:p w14:paraId="73E53A4E" w14:textId="77777777" w:rsidR="002337F9" w:rsidRPr="00133050" w:rsidRDefault="002337F9" w:rsidP="0026218C">
            <w:pPr>
              <w:spacing w:before="60" w:after="60"/>
              <w:jc w:val="right"/>
              <w:rPr>
                <w:noProof/>
                <w:sz w:val="20"/>
              </w:rPr>
            </w:pPr>
          </w:p>
        </w:tc>
        <w:tc>
          <w:tcPr>
            <w:tcW w:w="868" w:type="dxa"/>
          </w:tcPr>
          <w:p w14:paraId="3BFAC396" w14:textId="77777777" w:rsidR="002337F9" w:rsidRPr="00133050" w:rsidRDefault="002337F9" w:rsidP="0026218C">
            <w:pPr>
              <w:spacing w:before="60" w:after="60"/>
              <w:jc w:val="right"/>
              <w:rPr>
                <w:noProof/>
                <w:sz w:val="20"/>
              </w:rPr>
            </w:pPr>
          </w:p>
        </w:tc>
        <w:tc>
          <w:tcPr>
            <w:tcW w:w="868" w:type="dxa"/>
          </w:tcPr>
          <w:p w14:paraId="1E2E3812" w14:textId="77777777" w:rsidR="002337F9" w:rsidRPr="00133050" w:rsidRDefault="002337F9" w:rsidP="0026218C">
            <w:pPr>
              <w:spacing w:before="60" w:after="60"/>
              <w:jc w:val="right"/>
              <w:rPr>
                <w:noProof/>
                <w:sz w:val="20"/>
              </w:rPr>
            </w:pPr>
          </w:p>
        </w:tc>
        <w:tc>
          <w:tcPr>
            <w:tcW w:w="868" w:type="dxa"/>
          </w:tcPr>
          <w:p w14:paraId="6E29D790" w14:textId="77777777" w:rsidR="002337F9" w:rsidRPr="00133050" w:rsidRDefault="002337F9" w:rsidP="0026218C">
            <w:pPr>
              <w:spacing w:before="60" w:after="60"/>
              <w:jc w:val="right"/>
              <w:rPr>
                <w:b/>
                <w:noProof/>
                <w:sz w:val="20"/>
              </w:rPr>
            </w:pPr>
          </w:p>
        </w:tc>
        <w:tc>
          <w:tcPr>
            <w:tcW w:w="1777" w:type="dxa"/>
          </w:tcPr>
          <w:p w14:paraId="563FA506" w14:textId="77777777" w:rsidR="002337F9" w:rsidRPr="00133050" w:rsidRDefault="002337F9" w:rsidP="0026218C">
            <w:pPr>
              <w:spacing w:before="60" w:after="60"/>
              <w:jc w:val="right"/>
              <w:rPr>
                <w:b/>
                <w:noProof/>
                <w:sz w:val="20"/>
              </w:rPr>
            </w:pPr>
            <w:r w:rsidRPr="00133050">
              <w:rPr>
                <w:noProof/>
              </w:rPr>
              <w:t xml:space="preserve">11,007 </w:t>
            </w:r>
          </w:p>
        </w:tc>
      </w:tr>
    </w:tbl>
    <w:p w14:paraId="4B66C6B1" w14:textId="77777777" w:rsidR="002337F9" w:rsidRPr="00133050" w:rsidRDefault="002337F9" w:rsidP="002337F9">
      <w:pPr>
        <w:rPr>
          <w:noProof/>
        </w:rPr>
      </w:pPr>
    </w:p>
    <w:p w14:paraId="40E156AF" w14:textId="77777777" w:rsidR="002337F9" w:rsidRPr="00133050" w:rsidRDefault="002337F9" w:rsidP="00070956">
      <w:pPr>
        <w:pStyle w:val="ManualHeading3"/>
        <w:rPr>
          <w:noProof/>
        </w:rPr>
      </w:pPr>
      <w:r>
        <w:rPr>
          <w:noProof/>
        </w:rPr>
        <w:t>3.2.2.</w:t>
      </w:r>
      <w:r>
        <w:rPr>
          <w:noProof/>
        </w:rPr>
        <w:tab/>
      </w:r>
      <w:r w:rsidRPr="00133050">
        <w:rPr>
          <w:noProof/>
        </w:rPr>
        <w:t xml:space="preserve">Очакван резултат, финансиран с бюджетни кредити за оперативни разходи </w:t>
      </w:r>
    </w:p>
    <w:p w14:paraId="1FC73E02" w14:textId="77777777" w:rsidR="002337F9" w:rsidRPr="00133050" w:rsidRDefault="002337F9" w:rsidP="002337F9">
      <w:pPr>
        <w:jc w:val="right"/>
        <w:rPr>
          <w:noProof/>
          <w:sz w:val="20"/>
        </w:rPr>
      </w:pPr>
      <w:r w:rsidRPr="00133050">
        <w:rPr>
          <w:noProof/>
          <w:sz w:val="20"/>
        </w:rPr>
        <w:t>Бюджетни кредити за поети задължения, в млн. евро (до 3-тия знак след десетичната запетая)</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900"/>
        <w:gridCol w:w="51"/>
        <w:gridCol w:w="669"/>
        <w:gridCol w:w="540"/>
        <w:gridCol w:w="648"/>
        <w:gridCol w:w="432"/>
        <w:gridCol w:w="720"/>
        <w:gridCol w:w="540"/>
        <w:gridCol w:w="720"/>
        <w:gridCol w:w="720"/>
        <w:gridCol w:w="900"/>
      </w:tblGrid>
      <w:tr w:rsidR="002337F9" w:rsidRPr="00133050" w14:paraId="233A40BF" w14:textId="77777777" w:rsidTr="0026218C">
        <w:trPr>
          <w:jc w:val="center"/>
        </w:trPr>
        <w:tc>
          <w:tcPr>
            <w:tcW w:w="1423" w:type="dxa"/>
            <w:vMerge w:val="restart"/>
            <w:vAlign w:val="center"/>
          </w:tcPr>
          <w:p w14:paraId="39A2A2AD" w14:textId="77777777" w:rsidR="002337F9" w:rsidRPr="00133050" w:rsidRDefault="002337F9" w:rsidP="0026218C">
            <w:pPr>
              <w:ind w:right="-29"/>
              <w:jc w:val="center"/>
              <w:rPr>
                <w:b/>
                <w:noProof/>
                <w:sz w:val="18"/>
              </w:rPr>
            </w:pPr>
            <w:r w:rsidRPr="00133050">
              <w:rPr>
                <w:b/>
                <w:noProof/>
                <w:sz w:val="18"/>
              </w:rPr>
              <w:t xml:space="preserve">Да се посочат целите и резултатите </w:t>
            </w:r>
          </w:p>
          <w:p w14:paraId="2F47996C" w14:textId="77777777" w:rsidR="002337F9" w:rsidRPr="00133050" w:rsidRDefault="002337F9" w:rsidP="0026218C">
            <w:pPr>
              <w:ind w:right="-29"/>
              <w:jc w:val="center"/>
              <w:rPr>
                <w:b/>
                <w:noProof/>
                <w:sz w:val="18"/>
              </w:rPr>
            </w:pPr>
          </w:p>
          <w:p w14:paraId="68D57E27" w14:textId="77777777" w:rsidR="002337F9" w:rsidRPr="00133050" w:rsidRDefault="002337F9" w:rsidP="0026218C">
            <w:pPr>
              <w:ind w:right="-29"/>
              <w:jc w:val="center"/>
              <w:rPr>
                <w:noProof/>
                <w:sz w:val="18"/>
              </w:rPr>
            </w:pPr>
            <w:r w:rsidRPr="00133050">
              <w:rPr>
                <w:noProof/>
                <w:sz w:val="18"/>
              </w:rPr>
              <w:sym w:font="Wingdings" w:char="F0F2"/>
            </w:r>
          </w:p>
        </w:tc>
        <w:tc>
          <w:tcPr>
            <w:tcW w:w="720" w:type="dxa"/>
            <w:vAlign w:val="center"/>
          </w:tcPr>
          <w:p w14:paraId="615587AA" w14:textId="77777777" w:rsidR="002337F9" w:rsidRPr="00133050" w:rsidRDefault="002337F9" w:rsidP="0026218C">
            <w:pPr>
              <w:ind w:right="-29"/>
              <w:jc w:val="center"/>
              <w:rPr>
                <w:noProof/>
                <w:sz w:val="18"/>
              </w:rPr>
            </w:pPr>
          </w:p>
        </w:tc>
        <w:tc>
          <w:tcPr>
            <w:tcW w:w="701" w:type="dxa"/>
            <w:vAlign w:val="center"/>
          </w:tcPr>
          <w:p w14:paraId="29427B5F" w14:textId="77777777" w:rsidR="002337F9" w:rsidRPr="00133050" w:rsidRDefault="002337F9" w:rsidP="0026218C">
            <w:pPr>
              <w:ind w:right="-29"/>
              <w:jc w:val="center"/>
              <w:rPr>
                <w:noProof/>
                <w:sz w:val="18"/>
              </w:rPr>
            </w:pPr>
          </w:p>
        </w:tc>
        <w:tc>
          <w:tcPr>
            <w:tcW w:w="1224" w:type="dxa"/>
            <w:gridSpan w:val="2"/>
            <w:tcBorders>
              <w:left w:val="nil"/>
            </w:tcBorders>
            <w:vAlign w:val="center"/>
          </w:tcPr>
          <w:p w14:paraId="7683B397" w14:textId="77777777" w:rsidR="002337F9" w:rsidRPr="00133050" w:rsidRDefault="002337F9" w:rsidP="0026218C">
            <w:pPr>
              <w:ind w:right="-29"/>
              <w:jc w:val="center"/>
              <w:rPr>
                <w:noProof/>
                <w:sz w:val="18"/>
              </w:rPr>
            </w:pPr>
            <w:r w:rsidRPr="00133050">
              <w:rPr>
                <w:noProof/>
                <w:sz w:val="18"/>
              </w:rPr>
              <w:t>Година</w:t>
            </w:r>
            <w:r w:rsidRPr="00133050">
              <w:rPr>
                <w:noProof/>
              </w:rPr>
              <w:t xml:space="preserve"> </w:t>
            </w:r>
            <w:r w:rsidRPr="00133050">
              <w:rPr>
                <w:noProof/>
              </w:rPr>
              <w:cr/>
            </w:r>
            <w:r w:rsidRPr="00133050">
              <w:rPr>
                <w:noProof/>
              </w:rPr>
              <w:br/>
            </w:r>
            <w:r w:rsidRPr="00133050">
              <w:rPr>
                <w:b/>
                <w:noProof/>
                <w:sz w:val="18"/>
              </w:rPr>
              <w:t>N</w:t>
            </w:r>
          </w:p>
        </w:tc>
        <w:tc>
          <w:tcPr>
            <w:tcW w:w="1260" w:type="dxa"/>
            <w:gridSpan w:val="2"/>
            <w:vAlign w:val="center"/>
          </w:tcPr>
          <w:p w14:paraId="358D9E05" w14:textId="77777777" w:rsidR="002337F9" w:rsidRPr="00133050" w:rsidRDefault="002337F9" w:rsidP="0026218C">
            <w:pPr>
              <w:ind w:right="-29"/>
              <w:jc w:val="center"/>
              <w:rPr>
                <w:noProof/>
                <w:sz w:val="18"/>
              </w:rPr>
            </w:pPr>
            <w:r w:rsidRPr="00133050">
              <w:rPr>
                <w:noProof/>
                <w:sz w:val="18"/>
              </w:rPr>
              <w:t>Година</w:t>
            </w:r>
            <w:r w:rsidRPr="00133050">
              <w:rPr>
                <w:noProof/>
              </w:rPr>
              <w:t xml:space="preserve"> </w:t>
            </w:r>
            <w:r w:rsidRPr="00133050">
              <w:rPr>
                <w:noProof/>
              </w:rPr>
              <w:cr/>
            </w:r>
            <w:r w:rsidRPr="00133050">
              <w:rPr>
                <w:noProof/>
              </w:rPr>
              <w:br/>
            </w:r>
            <w:r w:rsidRPr="00133050">
              <w:rPr>
                <w:b/>
                <w:noProof/>
                <w:sz w:val="18"/>
              </w:rPr>
              <w:t>N+1</w:t>
            </w:r>
          </w:p>
        </w:tc>
        <w:tc>
          <w:tcPr>
            <w:tcW w:w="1440" w:type="dxa"/>
            <w:gridSpan w:val="2"/>
            <w:vAlign w:val="center"/>
          </w:tcPr>
          <w:p w14:paraId="14F3EA87" w14:textId="77777777" w:rsidR="002337F9" w:rsidRPr="00133050" w:rsidRDefault="002337F9" w:rsidP="0026218C">
            <w:pPr>
              <w:ind w:right="-29"/>
              <w:jc w:val="center"/>
              <w:rPr>
                <w:noProof/>
                <w:sz w:val="18"/>
              </w:rPr>
            </w:pPr>
            <w:r w:rsidRPr="00133050">
              <w:rPr>
                <w:noProof/>
                <w:sz w:val="18"/>
              </w:rPr>
              <w:t>Година</w:t>
            </w:r>
            <w:r w:rsidRPr="00133050">
              <w:rPr>
                <w:noProof/>
              </w:rPr>
              <w:t xml:space="preserve"> </w:t>
            </w:r>
            <w:r w:rsidRPr="00133050">
              <w:rPr>
                <w:noProof/>
              </w:rPr>
              <w:cr/>
            </w:r>
            <w:r w:rsidRPr="00133050">
              <w:rPr>
                <w:noProof/>
              </w:rPr>
              <w:br/>
            </w:r>
            <w:r w:rsidRPr="00133050">
              <w:rPr>
                <w:b/>
                <w:noProof/>
                <w:sz w:val="18"/>
              </w:rPr>
              <w:t>N+2</w:t>
            </w:r>
          </w:p>
        </w:tc>
        <w:tc>
          <w:tcPr>
            <w:tcW w:w="1620" w:type="dxa"/>
            <w:gridSpan w:val="3"/>
            <w:vAlign w:val="center"/>
          </w:tcPr>
          <w:p w14:paraId="6C79062C" w14:textId="77777777" w:rsidR="002337F9" w:rsidRPr="00133050" w:rsidRDefault="002337F9" w:rsidP="0026218C">
            <w:pPr>
              <w:ind w:right="-29"/>
              <w:jc w:val="center"/>
              <w:rPr>
                <w:noProof/>
                <w:sz w:val="18"/>
              </w:rPr>
            </w:pPr>
            <w:r w:rsidRPr="00133050">
              <w:rPr>
                <w:noProof/>
                <w:sz w:val="18"/>
              </w:rPr>
              <w:t>Година</w:t>
            </w:r>
            <w:r w:rsidRPr="00133050">
              <w:rPr>
                <w:noProof/>
              </w:rPr>
              <w:t xml:space="preserve"> </w:t>
            </w:r>
            <w:r w:rsidRPr="00133050">
              <w:rPr>
                <w:noProof/>
              </w:rPr>
              <w:cr/>
            </w:r>
            <w:r w:rsidRPr="00133050">
              <w:rPr>
                <w:noProof/>
              </w:rPr>
              <w:br/>
            </w:r>
            <w:r w:rsidRPr="00133050">
              <w:rPr>
                <w:b/>
                <w:noProof/>
                <w:sz w:val="18"/>
              </w:rPr>
              <w:t>N+3</w:t>
            </w:r>
          </w:p>
        </w:tc>
        <w:tc>
          <w:tcPr>
            <w:tcW w:w="3600" w:type="dxa"/>
            <w:gridSpan w:val="6"/>
            <w:vAlign w:val="center"/>
          </w:tcPr>
          <w:p w14:paraId="79EEAA9C" w14:textId="77777777" w:rsidR="002337F9" w:rsidRPr="00133050" w:rsidRDefault="002337F9" w:rsidP="0026218C">
            <w:pPr>
              <w:jc w:val="center"/>
              <w:rPr>
                <w:noProof/>
                <w:sz w:val="18"/>
              </w:rPr>
            </w:pPr>
            <w:r w:rsidRPr="00133050">
              <w:rPr>
                <w:noProof/>
                <w:sz w:val="18"/>
              </w:rPr>
              <w:t>Да се добавят толкова години, колкото е необходимо, за да се обхване продължителността на отражението (вж. точка 1.6)</w:t>
            </w:r>
          </w:p>
        </w:tc>
        <w:tc>
          <w:tcPr>
            <w:tcW w:w="1620" w:type="dxa"/>
            <w:gridSpan w:val="2"/>
            <w:tcBorders>
              <w:left w:val="nil"/>
              <w:bottom w:val="nil"/>
            </w:tcBorders>
            <w:vAlign w:val="center"/>
          </w:tcPr>
          <w:p w14:paraId="541420C6" w14:textId="77777777" w:rsidR="002337F9" w:rsidRPr="00133050" w:rsidRDefault="002337F9" w:rsidP="0026218C">
            <w:pPr>
              <w:ind w:right="-29"/>
              <w:jc w:val="center"/>
              <w:rPr>
                <w:noProof/>
                <w:sz w:val="18"/>
              </w:rPr>
            </w:pPr>
            <w:r w:rsidRPr="00133050">
              <w:rPr>
                <w:b/>
                <w:noProof/>
                <w:sz w:val="18"/>
              </w:rPr>
              <w:t>ОБЩО</w:t>
            </w:r>
          </w:p>
        </w:tc>
      </w:tr>
      <w:tr w:rsidR="002337F9" w:rsidRPr="00133050" w14:paraId="7481A971" w14:textId="77777777" w:rsidTr="0026218C">
        <w:trPr>
          <w:jc w:val="center"/>
        </w:trPr>
        <w:tc>
          <w:tcPr>
            <w:tcW w:w="1423" w:type="dxa"/>
            <w:vMerge/>
            <w:vAlign w:val="center"/>
          </w:tcPr>
          <w:p w14:paraId="0CD299AF" w14:textId="77777777" w:rsidR="002337F9" w:rsidRPr="00133050" w:rsidRDefault="002337F9" w:rsidP="0026218C">
            <w:pPr>
              <w:ind w:right="-29"/>
              <w:jc w:val="center"/>
              <w:rPr>
                <w:noProof/>
                <w:sz w:val="18"/>
              </w:rPr>
            </w:pPr>
          </w:p>
        </w:tc>
        <w:tc>
          <w:tcPr>
            <w:tcW w:w="12185" w:type="dxa"/>
            <w:gridSpan w:val="19"/>
            <w:vAlign w:val="center"/>
          </w:tcPr>
          <w:p w14:paraId="065E8E31" w14:textId="77777777" w:rsidR="002337F9" w:rsidRPr="00133050" w:rsidRDefault="002337F9" w:rsidP="0026218C">
            <w:pPr>
              <w:spacing w:before="60" w:after="60"/>
              <w:ind w:right="-29"/>
              <w:jc w:val="center"/>
              <w:rPr>
                <w:noProof/>
                <w:sz w:val="18"/>
              </w:rPr>
            </w:pPr>
            <w:r w:rsidRPr="00133050">
              <w:rPr>
                <w:b/>
                <w:noProof/>
                <w:sz w:val="18"/>
              </w:rPr>
              <w:t>РЕЗУЛТАТИ</w:t>
            </w:r>
          </w:p>
        </w:tc>
      </w:tr>
      <w:tr w:rsidR="002337F9" w:rsidRPr="00133050" w14:paraId="4A3F4727" w14:textId="77777777" w:rsidTr="0026218C">
        <w:trPr>
          <w:cantSplit/>
          <w:trHeight w:val="1134"/>
          <w:jc w:val="center"/>
        </w:trPr>
        <w:tc>
          <w:tcPr>
            <w:tcW w:w="1423" w:type="dxa"/>
            <w:vMerge/>
            <w:vAlign w:val="center"/>
          </w:tcPr>
          <w:p w14:paraId="2D4E445F" w14:textId="77777777" w:rsidR="002337F9" w:rsidRPr="00133050" w:rsidRDefault="002337F9" w:rsidP="0026218C">
            <w:pPr>
              <w:rPr>
                <w:noProof/>
                <w:sz w:val="18"/>
              </w:rPr>
            </w:pPr>
          </w:p>
        </w:tc>
        <w:tc>
          <w:tcPr>
            <w:tcW w:w="720" w:type="dxa"/>
            <w:vAlign w:val="center"/>
          </w:tcPr>
          <w:p w14:paraId="2EA1AEC7" w14:textId="77777777" w:rsidR="002337F9" w:rsidRPr="00133050" w:rsidRDefault="002337F9" w:rsidP="0026218C">
            <w:pPr>
              <w:jc w:val="center"/>
              <w:rPr>
                <w:noProof/>
                <w:sz w:val="18"/>
              </w:rPr>
            </w:pPr>
            <w:r w:rsidRPr="00133050">
              <w:rPr>
                <w:noProof/>
                <w:sz w:val="18"/>
              </w:rPr>
              <w:t>Вид</w:t>
            </w:r>
            <w:r w:rsidRPr="00133050">
              <w:rPr>
                <w:rStyle w:val="FootnoteReference"/>
                <w:noProof/>
                <w:sz w:val="18"/>
              </w:rPr>
              <w:footnoteReference w:id="53"/>
            </w:r>
          </w:p>
          <w:p w14:paraId="0BBADFF6" w14:textId="77777777" w:rsidR="002337F9" w:rsidRPr="00133050" w:rsidRDefault="002337F9" w:rsidP="0026218C">
            <w:pPr>
              <w:spacing w:before="0" w:after="0"/>
              <w:jc w:val="center"/>
              <w:rPr>
                <w:noProof/>
                <w:sz w:val="18"/>
              </w:rPr>
            </w:pPr>
          </w:p>
        </w:tc>
        <w:tc>
          <w:tcPr>
            <w:tcW w:w="701" w:type="dxa"/>
            <w:vAlign w:val="center"/>
          </w:tcPr>
          <w:p w14:paraId="1B2EA7C7" w14:textId="77777777" w:rsidR="002337F9" w:rsidRPr="00133050" w:rsidRDefault="002337F9" w:rsidP="0026218C">
            <w:pPr>
              <w:jc w:val="center"/>
              <w:rPr>
                <w:noProof/>
                <w:sz w:val="18"/>
              </w:rPr>
            </w:pPr>
            <w:r w:rsidRPr="00133050">
              <w:rPr>
                <w:noProof/>
                <w:sz w:val="18"/>
              </w:rPr>
              <w:t>Средни разходи</w:t>
            </w:r>
          </w:p>
        </w:tc>
        <w:tc>
          <w:tcPr>
            <w:tcW w:w="504" w:type="dxa"/>
            <w:tcBorders>
              <w:left w:val="nil"/>
              <w:right w:val="dashSmallGap" w:sz="4" w:space="0" w:color="auto"/>
            </w:tcBorders>
            <w:shd w:val="pct10" w:color="auto" w:fill="auto"/>
            <w:textDirection w:val="btLr"/>
            <w:vAlign w:val="center"/>
          </w:tcPr>
          <w:p w14:paraId="67E734BD" w14:textId="77777777" w:rsidR="002337F9" w:rsidRPr="00133050" w:rsidRDefault="002337F9" w:rsidP="0026218C">
            <w:pPr>
              <w:ind w:left="113" w:right="113"/>
              <w:jc w:val="center"/>
              <w:rPr>
                <w:noProof/>
                <w:sz w:val="18"/>
              </w:rPr>
            </w:pPr>
            <w:r w:rsidRPr="00133050">
              <w:rPr>
                <w:noProof/>
                <w:sz w:val="18"/>
              </w:rPr>
              <w:t>Брой</w:t>
            </w:r>
          </w:p>
        </w:tc>
        <w:tc>
          <w:tcPr>
            <w:tcW w:w="720" w:type="dxa"/>
            <w:tcBorders>
              <w:left w:val="dashSmallGap" w:sz="4" w:space="0" w:color="auto"/>
            </w:tcBorders>
            <w:shd w:val="pct10" w:color="auto" w:fill="auto"/>
            <w:vAlign w:val="center"/>
          </w:tcPr>
          <w:p w14:paraId="2BDF2063" w14:textId="77777777" w:rsidR="002337F9" w:rsidRPr="00133050" w:rsidRDefault="002337F9" w:rsidP="0026218C">
            <w:pPr>
              <w:jc w:val="center"/>
              <w:rPr>
                <w:noProof/>
                <w:sz w:val="18"/>
              </w:rPr>
            </w:pPr>
            <w:r w:rsidRPr="00133050">
              <w:rPr>
                <w:noProof/>
                <w:sz w:val="18"/>
              </w:rPr>
              <w:t>Разходи</w:t>
            </w:r>
          </w:p>
        </w:tc>
        <w:tc>
          <w:tcPr>
            <w:tcW w:w="540" w:type="dxa"/>
            <w:tcBorders>
              <w:right w:val="dashSmallGap" w:sz="4" w:space="0" w:color="auto"/>
            </w:tcBorders>
            <w:shd w:val="pct10" w:color="auto" w:fill="auto"/>
            <w:textDirection w:val="btLr"/>
            <w:vAlign w:val="center"/>
          </w:tcPr>
          <w:p w14:paraId="29EA34C2" w14:textId="77777777" w:rsidR="002337F9" w:rsidRPr="00133050" w:rsidRDefault="002337F9" w:rsidP="0026218C">
            <w:pPr>
              <w:ind w:left="113" w:right="113"/>
              <w:jc w:val="center"/>
              <w:rPr>
                <w:noProof/>
                <w:sz w:val="18"/>
              </w:rPr>
            </w:pPr>
            <w:r w:rsidRPr="00133050">
              <w:rPr>
                <w:noProof/>
                <w:sz w:val="18"/>
              </w:rPr>
              <w:t>Брой</w:t>
            </w:r>
          </w:p>
        </w:tc>
        <w:tc>
          <w:tcPr>
            <w:tcW w:w="720" w:type="dxa"/>
            <w:tcBorders>
              <w:left w:val="dashSmallGap" w:sz="4" w:space="0" w:color="auto"/>
            </w:tcBorders>
            <w:shd w:val="pct10" w:color="auto" w:fill="auto"/>
            <w:vAlign w:val="center"/>
          </w:tcPr>
          <w:p w14:paraId="18F6B232" w14:textId="77777777" w:rsidR="002337F9" w:rsidRPr="00133050" w:rsidRDefault="002337F9" w:rsidP="0026218C">
            <w:pPr>
              <w:jc w:val="center"/>
              <w:rPr>
                <w:noProof/>
                <w:sz w:val="18"/>
              </w:rPr>
            </w:pPr>
            <w:r w:rsidRPr="00133050">
              <w:rPr>
                <w:noProof/>
                <w:sz w:val="18"/>
              </w:rPr>
              <w:t>Разходи</w:t>
            </w:r>
          </w:p>
        </w:tc>
        <w:tc>
          <w:tcPr>
            <w:tcW w:w="720" w:type="dxa"/>
            <w:tcBorders>
              <w:right w:val="dashSmallGap" w:sz="4" w:space="0" w:color="auto"/>
            </w:tcBorders>
            <w:shd w:val="pct10" w:color="auto" w:fill="auto"/>
            <w:textDirection w:val="btLr"/>
            <w:vAlign w:val="center"/>
          </w:tcPr>
          <w:p w14:paraId="4B1EF916" w14:textId="77777777" w:rsidR="002337F9" w:rsidRPr="00133050" w:rsidRDefault="002337F9" w:rsidP="0026218C">
            <w:pPr>
              <w:ind w:left="113" w:right="113"/>
              <w:jc w:val="center"/>
              <w:rPr>
                <w:noProof/>
                <w:sz w:val="18"/>
              </w:rPr>
            </w:pPr>
            <w:r w:rsidRPr="00133050">
              <w:rPr>
                <w:noProof/>
                <w:sz w:val="18"/>
              </w:rPr>
              <w:t>Брой</w:t>
            </w:r>
          </w:p>
        </w:tc>
        <w:tc>
          <w:tcPr>
            <w:tcW w:w="720" w:type="dxa"/>
            <w:tcBorders>
              <w:left w:val="dashSmallGap" w:sz="4" w:space="0" w:color="auto"/>
            </w:tcBorders>
            <w:shd w:val="pct10" w:color="auto" w:fill="auto"/>
            <w:vAlign w:val="center"/>
          </w:tcPr>
          <w:p w14:paraId="7E46A16C" w14:textId="77777777" w:rsidR="002337F9" w:rsidRPr="00133050" w:rsidRDefault="002337F9" w:rsidP="0026218C">
            <w:pPr>
              <w:jc w:val="center"/>
              <w:rPr>
                <w:noProof/>
                <w:sz w:val="18"/>
              </w:rPr>
            </w:pPr>
            <w:r w:rsidRPr="00133050">
              <w:rPr>
                <w:noProof/>
                <w:sz w:val="18"/>
              </w:rPr>
              <w:t>Разходи</w:t>
            </w:r>
          </w:p>
        </w:tc>
        <w:tc>
          <w:tcPr>
            <w:tcW w:w="900" w:type="dxa"/>
            <w:tcBorders>
              <w:right w:val="dashSmallGap" w:sz="4" w:space="0" w:color="auto"/>
            </w:tcBorders>
            <w:shd w:val="pct10" w:color="auto" w:fill="auto"/>
            <w:textDirection w:val="btLr"/>
            <w:vAlign w:val="center"/>
          </w:tcPr>
          <w:p w14:paraId="76ABA3AB" w14:textId="77777777" w:rsidR="002337F9" w:rsidRPr="00133050" w:rsidRDefault="002337F9" w:rsidP="0026218C">
            <w:pPr>
              <w:ind w:left="113" w:right="113"/>
              <w:jc w:val="center"/>
              <w:rPr>
                <w:noProof/>
                <w:sz w:val="18"/>
              </w:rPr>
            </w:pPr>
            <w:r w:rsidRPr="00133050">
              <w:rPr>
                <w:noProof/>
                <w:sz w:val="18"/>
              </w:rPr>
              <w:t>Брой</w:t>
            </w:r>
          </w:p>
        </w:tc>
        <w:tc>
          <w:tcPr>
            <w:tcW w:w="720" w:type="dxa"/>
            <w:gridSpan w:val="2"/>
            <w:tcBorders>
              <w:left w:val="dashSmallGap" w:sz="4" w:space="0" w:color="auto"/>
            </w:tcBorders>
            <w:shd w:val="pct10" w:color="auto" w:fill="auto"/>
            <w:vAlign w:val="center"/>
          </w:tcPr>
          <w:p w14:paraId="31B2C5A4" w14:textId="77777777" w:rsidR="002337F9" w:rsidRPr="00133050" w:rsidRDefault="002337F9" w:rsidP="0026218C">
            <w:pPr>
              <w:jc w:val="center"/>
              <w:rPr>
                <w:noProof/>
                <w:sz w:val="18"/>
              </w:rPr>
            </w:pPr>
            <w:r w:rsidRPr="00133050">
              <w:rPr>
                <w:noProof/>
                <w:sz w:val="18"/>
              </w:rPr>
              <w:t>Разходи</w:t>
            </w:r>
          </w:p>
        </w:tc>
        <w:tc>
          <w:tcPr>
            <w:tcW w:w="540" w:type="dxa"/>
            <w:tcBorders>
              <w:right w:val="dashSmallGap" w:sz="4" w:space="0" w:color="auto"/>
            </w:tcBorders>
            <w:shd w:val="pct10" w:color="auto" w:fill="auto"/>
            <w:textDirection w:val="btLr"/>
            <w:vAlign w:val="center"/>
          </w:tcPr>
          <w:p w14:paraId="3254FB6C" w14:textId="77777777" w:rsidR="002337F9" w:rsidRPr="00133050" w:rsidRDefault="002337F9" w:rsidP="0026218C">
            <w:pPr>
              <w:ind w:left="113" w:right="113"/>
              <w:jc w:val="center"/>
              <w:rPr>
                <w:noProof/>
                <w:sz w:val="18"/>
              </w:rPr>
            </w:pPr>
            <w:r w:rsidRPr="00133050">
              <w:rPr>
                <w:noProof/>
                <w:sz w:val="18"/>
              </w:rPr>
              <w:t>Брой</w:t>
            </w:r>
          </w:p>
        </w:tc>
        <w:tc>
          <w:tcPr>
            <w:tcW w:w="648" w:type="dxa"/>
            <w:tcBorders>
              <w:left w:val="dashSmallGap" w:sz="4" w:space="0" w:color="auto"/>
            </w:tcBorders>
            <w:shd w:val="pct10" w:color="auto" w:fill="auto"/>
            <w:vAlign w:val="center"/>
          </w:tcPr>
          <w:p w14:paraId="013E25B8" w14:textId="77777777" w:rsidR="002337F9" w:rsidRPr="00133050" w:rsidRDefault="002337F9" w:rsidP="0026218C">
            <w:pPr>
              <w:jc w:val="center"/>
              <w:rPr>
                <w:noProof/>
                <w:sz w:val="18"/>
              </w:rPr>
            </w:pPr>
            <w:r w:rsidRPr="00133050">
              <w:rPr>
                <w:noProof/>
                <w:sz w:val="18"/>
              </w:rPr>
              <w:t>Разходи</w:t>
            </w:r>
          </w:p>
        </w:tc>
        <w:tc>
          <w:tcPr>
            <w:tcW w:w="432" w:type="dxa"/>
            <w:tcBorders>
              <w:right w:val="dashSmallGap" w:sz="4" w:space="0" w:color="auto"/>
            </w:tcBorders>
            <w:shd w:val="pct10" w:color="auto" w:fill="auto"/>
            <w:textDirection w:val="btLr"/>
            <w:vAlign w:val="center"/>
          </w:tcPr>
          <w:p w14:paraId="4839C242" w14:textId="77777777" w:rsidR="002337F9" w:rsidRPr="00133050" w:rsidRDefault="002337F9" w:rsidP="0026218C">
            <w:pPr>
              <w:ind w:left="113" w:right="113"/>
              <w:jc w:val="center"/>
              <w:rPr>
                <w:noProof/>
                <w:sz w:val="18"/>
              </w:rPr>
            </w:pPr>
            <w:r w:rsidRPr="00133050">
              <w:rPr>
                <w:noProof/>
                <w:sz w:val="18"/>
              </w:rPr>
              <w:t>Брой</w:t>
            </w:r>
          </w:p>
        </w:tc>
        <w:tc>
          <w:tcPr>
            <w:tcW w:w="720" w:type="dxa"/>
            <w:tcBorders>
              <w:left w:val="dashSmallGap" w:sz="4" w:space="0" w:color="auto"/>
            </w:tcBorders>
            <w:shd w:val="pct10" w:color="auto" w:fill="auto"/>
            <w:vAlign w:val="center"/>
          </w:tcPr>
          <w:p w14:paraId="6ADE4394" w14:textId="77777777" w:rsidR="002337F9" w:rsidRPr="00133050" w:rsidRDefault="002337F9" w:rsidP="0026218C">
            <w:pPr>
              <w:jc w:val="center"/>
              <w:rPr>
                <w:noProof/>
                <w:sz w:val="18"/>
              </w:rPr>
            </w:pPr>
            <w:r w:rsidRPr="00133050">
              <w:rPr>
                <w:noProof/>
                <w:sz w:val="18"/>
              </w:rPr>
              <w:t>Разходи</w:t>
            </w:r>
          </w:p>
        </w:tc>
        <w:tc>
          <w:tcPr>
            <w:tcW w:w="540" w:type="dxa"/>
            <w:tcBorders>
              <w:right w:val="dashSmallGap" w:sz="4" w:space="0" w:color="auto"/>
            </w:tcBorders>
            <w:shd w:val="pct10" w:color="auto" w:fill="auto"/>
            <w:textDirection w:val="btLr"/>
            <w:vAlign w:val="center"/>
          </w:tcPr>
          <w:p w14:paraId="6BD375C1" w14:textId="77777777" w:rsidR="002337F9" w:rsidRPr="00133050" w:rsidRDefault="002337F9" w:rsidP="0026218C">
            <w:pPr>
              <w:ind w:left="113" w:right="113"/>
              <w:jc w:val="center"/>
              <w:rPr>
                <w:noProof/>
                <w:sz w:val="18"/>
              </w:rPr>
            </w:pPr>
            <w:r w:rsidRPr="00133050">
              <w:rPr>
                <w:noProof/>
                <w:sz w:val="18"/>
              </w:rPr>
              <w:t>Брой</w:t>
            </w:r>
          </w:p>
        </w:tc>
        <w:tc>
          <w:tcPr>
            <w:tcW w:w="720" w:type="dxa"/>
            <w:tcBorders>
              <w:left w:val="dashSmallGap" w:sz="4" w:space="0" w:color="auto"/>
            </w:tcBorders>
            <w:shd w:val="pct10" w:color="auto" w:fill="auto"/>
            <w:vAlign w:val="center"/>
          </w:tcPr>
          <w:p w14:paraId="2A596A05" w14:textId="77777777" w:rsidR="002337F9" w:rsidRPr="00133050" w:rsidRDefault="002337F9" w:rsidP="0026218C">
            <w:pPr>
              <w:jc w:val="center"/>
              <w:rPr>
                <w:noProof/>
                <w:sz w:val="18"/>
              </w:rPr>
            </w:pPr>
            <w:r w:rsidRPr="00133050">
              <w:rPr>
                <w:noProof/>
                <w:sz w:val="18"/>
              </w:rPr>
              <w:t>Разходи</w:t>
            </w:r>
          </w:p>
        </w:tc>
        <w:tc>
          <w:tcPr>
            <w:tcW w:w="720" w:type="dxa"/>
            <w:tcBorders>
              <w:right w:val="dashSmallGap" w:sz="4" w:space="0" w:color="auto"/>
            </w:tcBorders>
            <w:shd w:val="pct10" w:color="auto" w:fill="auto"/>
            <w:vAlign w:val="center"/>
          </w:tcPr>
          <w:p w14:paraId="434513DD" w14:textId="77777777" w:rsidR="002337F9" w:rsidRPr="00133050" w:rsidRDefault="002337F9" w:rsidP="0026218C">
            <w:pPr>
              <w:jc w:val="center"/>
              <w:rPr>
                <w:noProof/>
                <w:sz w:val="18"/>
              </w:rPr>
            </w:pPr>
            <w:r w:rsidRPr="00133050">
              <w:rPr>
                <w:noProof/>
                <w:sz w:val="18"/>
              </w:rPr>
              <w:t>Общ брой</w:t>
            </w:r>
          </w:p>
        </w:tc>
        <w:tc>
          <w:tcPr>
            <w:tcW w:w="900" w:type="dxa"/>
            <w:tcBorders>
              <w:left w:val="dashSmallGap" w:sz="4" w:space="0" w:color="auto"/>
            </w:tcBorders>
            <w:shd w:val="pct10" w:color="auto" w:fill="auto"/>
            <w:vAlign w:val="center"/>
          </w:tcPr>
          <w:p w14:paraId="4C17DB27" w14:textId="77777777" w:rsidR="002337F9" w:rsidRPr="00133050" w:rsidRDefault="002337F9" w:rsidP="0026218C">
            <w:pPr>
              <w:jc w:val="center"/>
              <w:rPr>
                <w:noProof/>
                <w:sz w:val="18"/>
              </w:rPr>
            </w:pPr>
            <w:r w:rsidRPr="00133050">
              <w:rPr>
                <w:noProof/>
                <w:sz w:val="18"/>
              </w:rPr>
              <w:t>Общо разходи</w:t>
            </w:r>
          </w:p>
        </w:tc>
      </w:tr>
      <w:tr w:rsidR="002337F9" w:rsidRPr="00133050" w14:paraId="24938FA4" w14:textId="77777777" w:rsidTr="0026218C">
        <w:trPr>
          <w:jc w:val="center"/>
        </w:trPr>
        <w:tc>
          <w:tcPr>
            <w:tcW w:w="2844" w:type="dxa"/>
            <w:gridSpan w:val="3"/>
            <w:vAlign w:val="center"/>
          </w:tcPr>
          <w:p w14:paraId="789970CA" w14:textId="77777777" w:rsidR="002337F9" w:rsidRPr="00133050" w:rsidRDefault="002337F9" w:rsidP="0026218C">
            <w:pPr>
              <w:spacing w:before="60" w:after="60"/>
              <w:ind w:right="-29"/>
              <w:jc w:val="center"/>
              <w:rPr>
                <w:noProof/>
                <w:sz w:val="18"/>
              </w:rPr>
            </w:pPr>
            <w:r w:rsidRPr="00133050">
              <w:rPr>
                <w:noProof/>
                <w:sz w:val="18"/>
              </w:rPr>
              <w:t>КОНКРЕТНА ЦЕЛ № 1</w:t>
            </w:r>
            <w:r w:rsidRPr="00133050">
              <w:rPr>
                <w:rStyle w:val="FootnoteReference"/>
                <w:noProof/>
                <w:sz w:val="18"/>
              </w:rPr>
              <w:footnoteReference w:id="54"/>
            </w:r>
            <w:r w:rsidRPr="00133050">
              <w:rPr>
                <w:noProof/>
                <w:sz w:val="18"/>
              </w:rPr>
              <w:t>...</w:t>
            </w:r>
          </w:p>
        </w:tc>
        <w:tc>
          <w:tcPr>
            <w:tcW w:w="504" w:type="dxa"/>
            <w:tcBorders>
              <w:top w:val="nil"/>
              <w:left w:val="nil"/>
              <w:bottom w:val="nil"/>
              <w:right w:val="nil"/>
            </w:tcBorders>
          </w:tcPr>
          <w:p w14:paraId="3188FC7B" w14:textId="77777777" w:rsidR="002337F9" w:rsidRPr="00133050" w:rsidRDefault="002337F9" w:rsidP="0026218C">
            <w:pPr>
              <w:spacing w:before="60" w:after="60"/>
              <w:ind w:right="-29"/>
              <w:jc w:val="center"/>
              <w:rPr>
                <w:noProof/>
                <w:sz w:val="18"/>
              </w:rPr>
            </w:pPr>
          </w:p>
        </w:tc>
        <w:tc>
          <w:tcPr>
            <w:tcW w:w="720" w:type="dxa"/>
            <w:tcBorders>
              <w:top w:val="nil"/>
              <w:left w:val="nil"/>
              <w:bottom w:val="nil"/>
              <w:right w:val="nil"/>
            </w:tcBorders>
          </w:tcPr>
          <w:p w14:paraId="6F4AC157" w14:textId="77777777" w:rsidR="002337F9" w:rsidRPr="00133050" w:rsidRDefault="002337F9" w:rsidP="0026218C">
            <w:pPr>
              <w:spacing w:before="60" w:after="60"/>
              <w:ind w:right="-29"/>
              <w:jc w:val="center"/>
              <w:rPr>
                <w:noProof/>
                <w:sz w:val="18"/>
              </w:rPr>
            </w:pPr>
          </w:p>
        </w:tc>
        <w:tc>
          <w:tcPr>
            <w:tcW w:w="540" w:type="dxa"/>
            <w:tcBorders>
              <w:top w:val="nil"/>
              <w:left w:val="nil"/>
              <w:bottom w:val="nil"/>
              <w:right w:val="nil"/>
            </w:tcBorders>
          </w:tcPr>
          <w:p w14:paraId="21E80B76" w14:textId="77777777" w:rsidR="002337F9" w:rsidRPr="00133050" w:rsidRDefault="002337F9" w:rsidP="0026218C">
            <w:pPr>
              <w:spacing w:before="60" w:after="60"/>
              <w:ind w:right="-29"/>
              <w:jc w:val="center"/>
              <w:rPr>
                <w:noProof/>
                <w:sz w:val="18"/>
              </w:rPr>
            </w:pPr>
          </w:p>
        </w:tc>
        <w:tc>
          <w:tcPr>
            <w:tcW w:w="720" w:type="dxa"/>
            <w:tcBorders>
              <w:top w:val="nil"/>
              <w:left w:val="nil"/>
              <w:bottom w:val="nil"/>
              <w:right w:val="nil"/>
            </w:tcBorders>
          </w:tcPr>
          <w:p w14:paraId="5E0C7439" w14:textId="77777777" w:rsidR="002337F9" w:rsidRPr="00133050" w:rsidRDefault="002337F9" w:rsidP="0026218C">
            <w:pPr>
              <w:spacing w:before="60" w:after="60"/>
              <w:ind w:right="-29"/>
              <w:jc w:val="center"/>
              <w:rPr>
                <w:noProof/>
                <w:sz w:val="18"/>
              </w:rPr>
            </w:pPr>
          </w:p>
        </w:tc>
        <w:tc>
          <w:tcPr>
            <w:tcW w:w="720" w:type="dxa"/>
            <w:tcBorders>
              <w:top w:val="nil"/>
              <w:left w:val="nil"/>
              <w:bottom w:val="nil"/>
              <w:right w:val="nil"/>
            </w:tcBorders>
          </w:tcPr>
          <w:p w14:paraId="1ED39E0E" w14:textId="77777777" w:rsidR="002337F9" w:rsidRPr="00133050" w:rsidRDefault="002337F9" w:rsidP="0026218C">
            <w:pPr>
              <w:spacing w:before="60" w:after="60"/>
              <w:ind w:right="-29"/>
              <w:jc w:val="center"/>
              <w:rPr>
                <w:noProof/>
                <w:sz w:val="18"/>
              </w:rPr>
            </w:pPr>
          </w:p>
        </w:tc>
        <w:tc>
          <w:tcPr>
            <w:tcW w:w="720" w:type="dxa"/>
            <w:tcBorders>
              <w:top w:val="nil"/>
              <w:left w:val="nil"/>
              <w:bottom w:val="nil"/>
              <w:right w:val="nil"/>
            </w:tcBorders>
          </w:tcPr>
          <w:p w14:paraId="37632F6A" w14:textId="77777777" w:rsidR="002337F9" w:rsidRPr="00133050" w:rsidRDefault="002337F9" w:rsidP="0026218C">
            <w:pPr>
              <w:spacing w:before="60" w:after="60"/>
              <w:ind w:right="-29"/>
              <w:jc w:val="center"/>
              <w:rPr>
                <w:noProof/>
                <w:sz w:val="18"/>
              </w:rPr>
            </w:pPr>
          </w:p>
        </w:tc>
        <w:tc>
          <w:tcPr>
            <w:tcW w:w="900" w:type="dxa"/>
            <w:tcBorders>
              <w:top w:val="nil"/>
              <w:left w:val="nil"/>
              <w:bottom w:val="nil"/>
              <w:right w:val="nil"/>
            </w:tcBorders>
          </w:tcPr>
          <w:p w14:paraId="731ED56A" w14:textId="77777777" w:rsidR="002337F9" w:rsidRPr="00133050" w:rsidRDefault="002337F9" w:rsidP="0026218C">
            <w:pPr>
              <w:spacing w:before="60" w:after="60"/>
              <w:ind w:right="-29"/>
              <w:jc w:val="center"/>
              <w:rPr>
                <w:noProof/>
                <w:sz w:val="18"/>
              </w:rPr>
            </w:pPr>
          </w:p>
        </w:tc>
        <w:tc>
          <w:tcPr>
            <w:tcW w:w="720" w:type="dxa"/>
            <w:gridSpan w:val="2"/>
            <w:tcBorders>
              <w:top w:val="nil"/>
              <w:left w:val="nil"/>
              <w:bottom w:val="nil"/>
              <w:right w:val="nil"/>
            </w:tcBorders>
          </w:tcPr>
          <w:p w14:paraId="00EE3088" w14:textId="77777777" w:rsidR="002337F9" w:rsidRPr="00133050" w:rsidRDefault="002337F9" w:rsidP="0026218C">
            <w:pPr>
              <w:spacing w:before="60" w:after="60"/>
              <w:ind w:right="-29"/>
              <w:jc w:val="center"/>
              <w:rPr>
                <w:noProof/>
                <w:sz w:val="18"/>
              </w:rPr>
            </w:pPr>
          </w:p>
        </w:tc>
        <w:tc>
          <w:tcPr>
            <w:tcW w:w="540" w:type="dxa"/>
            <w:tcBorders>
              <w:top w:val="nil"/>
              <w:left w:val="nil"/>
              <w:bottom w:val="nil"/>
              <w:right w:val="nil"/>
            </w:tcBorders>
          </w:tcPr>
          <w:p w14:paraId="4CC88FF9" w14:textId="77777777" w:rsidR="002337F9" w:rsidRPr="00133050" w:rsidRDefault="002337F9" w:rsidP="0026218C">
            <w:pPr>
              <w:spacing w:before="60" w:after="60"/>
              <w:ind w:right="-29"/>
              <w:jc w:val="center"/>
              <w:rPr>
                <w:noProof/>
                <w:sz w:val="18"/>
              </w:rPr>
            </w:pPr>
          </w:p>
        </w:tc>
        <w:tc>
          <w:tcPr>
            <w:tcW w:w="648" w:type="dxa"/>
            <w:tcBorders>
              <w:top w:val="nil"/>
              <w:left w:val="nil"/>
              <w:bottom w:val="nil"/>
              <w:right w:val="nil"/>
            </w:tcBorders>
          </w:tcPr>
          <w:p w14:paraId="454810A2" w14:textId="77777777" w:rsidR="002337F9" w:rsidRPr="00133050" w:rsidRDefault="002337F9" w:rsidP="0026218C">
            <w:pPr>
              <w:spacing w:before="60" w:after="60"/>
              <w:ind w:right="-29"/>
              <w:jc w:val="center"/>
              <w:rPr>
                <w:noProof/>
                <w:sz w:val="18"/>
              </w:rPr>
            </w:pPr>
          </w:p>
        </w:tc>
        <w:tc>
          <w:tcPr>
            <w:tcW w:w="432" w:type="dxa"/>
            <w:tcBorders>
              <w:top w:val="nil"/>
              <w:left w:val="nil"/>
              <w:bottom w:val="nil"/>
              <w:right w:val="nil"/>
            </w:tcBorders>
          </w:tcPr>
          <w:p w14:paraId="78B2FF99" w14:textId="77777777" w:rsidR="002337F9" w:rsidRPr="00133050" w:rsidRDefault="002337F9" w:rsidP="0026218C">
            <w:pPr>
              <w:spacing w:before="60" w:after="60"/>
              <w:ind w:right="-29"/>
              <w:jc w:val="center"/>
              <w:rPr>
                <w:noProof/>
                <w:sz w:val="18"/>
              </w:rPr>
            </w:pPr>
          </w:p>
        </w:tc>
        <w:tc>
          <w:tcPr>
            <w:tcW w:w="720" w:type="dxa"/>
            <w:tcBorders>
              <w:top w:val="nil"/>
              <w:left w:val="nil"/>
              <w:bottom w:val="nil"/>
              <w:right w:val="nil"/>
            </w:tcBorders>
          </w:tcPr>
          <w:p w14:paraId="06048E3E" w14:textId="77777777" w:rsidR="002337F9" w:rsidRPr="00133050" w:rsidRDefault="002337F9" w:rsidP="0026218C">
            <w:pPr>
              <w:spacing w:before="60" w:after="60"/>
              <w:ind w:right="-29"/>
              <w:jc w:val="center"/>
              <w:rPr>
                <w:noProof/>
                <w:sz w:val="18"/>
              </w:rPr>
            </w:pPr>
          </w:p>
        </w:tc>
        <w:tc>
          <w:tcPr>
            <w:tcW w:w="540" w:type="dxa"/>
            <w:tcBorders>
              <w:top w:val="nil"/>
              <w:left w:val="nil"/>
              <w:bottom w:val="nil"/>
              <w:right w:val="nil"/>
            </w:tcBorders>
          </w:tcPr>
          <w:p w14:paraId="77D18529" w14:textId="77777777" w:rsidR="002337F9" w:rsidRPr="00133050" w:rsidRDefault="002337F9" w:rsidP="0026218C">
            <w:pPr>
              <w:spacing w:before="60" w:after="60"/>
              <w:ind w:right="-29"/>
              <w:jc w:val="center"/>
              <w:rPr>
                <w:noProof/>
                <w:sz w:val="18"/>
              </w:rPr>
            </w:pPr>
          </w:p>
        </w:tc>
        <w:tc>
          <w:tcPr>
            <w:tcW w:w="720" w:type="dxa"/>
            <w:tcBorders>
              <w:top w:val="nil"/>
              <w:left w:val="nil"/>
              <w:bottom w:val="nil"/>
              <w:right w:val="nil"/>
            </w:tcBorders>
          </w:tcPr>
          <w:p w14:paraId="3BEE6F47" w14:textId="77777777" w:rsidR="002337F9" w:rsidRPr="00133050" w:rsidRDefault="002337F9" w:rsidP="0026218C">
            <w:pPr>
              <w:spacing w:before="60" w:after="60"/>
              <w:ind w:right="-29"/>
              <w:jc w:val="center"/>
              <w:rPr>
                <w:noProof/>
                <w:sz w:val="18"/>
              </w:rPr>
            </w:pPr>
          </w:p>
        </w:tc>
        <w:tc>
          <w:tcPr>
            <w:tcW w:w="720" w:type="dxa"/>
            <w:tcBorders>
              <w:top w:val="nil"/>
              <w:left w:val="nil"/>
              <w:bottom w:val="nil"/>
              <w:right w:val="nil"/>
            </w:tcBorders>
          </w:tcPr>
          <w:p w14:paraId="452FDA86" w14:textId="77777777" w:rsidR="002337F9" w:rsidRPr="00133050" w:rsidRDefault="002337F9" w:rsidP="0026218C">
            <w:pPr>
              <w:spacing w:before="60" w:after="60"/>
              <w:ind w:right="-29"/>
              <w:jc w:val="center"/>
              <w:rPr>
                <w:noProof/>
                <w:sz w:val="18"/>
              </w:rPr>
            </w:pPr>
          </w:p>
        </w:tc>
        <w:tc>
          <w:tcPr>
            <w:tcW w:w="900" w:type="dxa"/>
            <w:tcBorders>
              <w:top w:val="nil"/>
              <w:left w:val="nil"/>
              <w:bottom w:val="nil"/>
              <w:right w:val="nil"/>
            </w:tcBorders>
          </w:tcPr>
          <w:p w14:paraId="57DF1774" w14:textId="77777777" w:rsidR="002337F9" w:rsidRPr="00133050" w:rsidRDefault="002337F9" w:rsidP="0026218C">
            <w:pPr>
              <w:spacing w:before="60" w:after="60"/>
              <w:ind w:right="-29"/>
              <w:jc w:val="center"/>
              <w:rPr>
                <w:noProof/>
                <w:sz w:val="18"/>
              </w:rPr>
            </w:pPr>
          </w:p>
        </w:tc>
      </w:tr>
      <w:tr w:rsidR="002337F9" w:rsidRPr="00133050" w14:paraId="74C23FC8" w14:textId="77777777" w:rsidTr="0026218C">
        <w:trPr>
          <w:trHeight w:hRule="exact" w:val="369"/>
          <w:jc w:val="center"/>
        </w:trPr>
        <w:tc>
          <w:tcPr>
            <w:tcW w:w="1423" w:type="dxa"/>
          </w:tcPr>
          <w:p w14:paraId="4BFA3987" w14:textId="77777777" w:rsidR="002337F9" w:rsidRPr="00133050" w:rsidRDefault="002337F9" w:rsidP="0026218C">
            <w:pPr>
              <w:ind w:right="-29"/>
              <w:jc w:val="center"/>
              <w:rPr>
                <w:noProof/>
                <w:sz w:val="18"/>
              </w:rPr>
            </w:pPr>
            <w:r w:rsidRPr="00133050">
              <w:rPr>
                <w:noProof/>
                <w:sz w:val="18"/>
              </w:rPr>
              <w:t>- Резултат</w:t>
            </w:r>
          </w:p>
        </w:tc>
        <w:tc>
          <w:tcPr>
            <w:tcW w:w="720" w:type="dxa"/>
          </w:tcPr>
          <w:p w14:paraId="597DDDA9" w14:textId="77777777" w:rsidR="002337F9" w:rsidRPr="00133050" w:rsidRDefault="002337F9" w:rsidP="0026218C">
            <w:pPr>
              <w:ind w:right="-29"/>
              <w:jc w:val="center"/>
              <w:rPr>
                <w:noProof/>
                <w:sz w:val="18"/>
              </w:rPr>
            </w:pPr>
          </w:p>
        </w:tc>
        <w:tc>
          <w:tcPr>
            <w:tcW w:w="701" w:type="dxa"/>
          </w:tcPr>
          <w:p w14:paraId="4CAD92A2" w14:textId="77777777" w:rsidR="002337F9" w:rsidRPr="00133050" w:rsidRDefault="002337F9" w:rsidP="0026218C">
            <w:pPr>
              <w:ind w:right="-29"/>
              <w:jc w:val="center"/>
              <w:rPr>
                <w:noProof/>
                <w:sz w:val="18"/>
              </w:rPr>
            </w:pPr>
          </w:p>
        </w:tc>
        <w:tc>
          <w:tcPr>
            <w:tcW w:w="504" w:type="dxa"/>
            <w:tcBorders>
              <w:right w:val="dashSmallGap" w:sz="4" w:space="0" w:color="auto"/>
            </w:tcBorders>
          </w:tcPr>
          <w:p w14:paraId="39DF1C74" w14:textId="77777777" w:rsidR="002337F9" w:rsidRPr="00133050" w:rsidRDefault="002337F9" w:rsidP="0026218C">
            <w:pPr>
              <w:ind w:right="-29"/>
              <w:jc w:val="center"/>
              <w:rPr>
                <w:noProof/>
                <w:sz w:val="18"/>
              </w:rPr>
            </w:pPr>
          </w:p>
        </w:tc>
        <w:tc>
          <w:tcPr>
            <w:tcW w:w="720" w:type="dxa"/>
            <w:tcBorders>
              <w:left w:val="dashSmallGap" w:sz="4" w:space="0" w:color="auto"/>
            </w:tcBorders>
          </w:tcPr>
          <w:p w14:paraId="3F53728B" w14:textId="77777777" w:rsidR="002337F9" w:rsidRPr="00133050" w:rsidRDefault="002337F9" w:rsidP="0026218C">
            <w:pPr>
              <w:ind w:right="-29"/>
              <w:jc w:val="center"/>
              <w:rPr>
                <w:noProof/>
                <w:sz w:val="18"/>
              </w:rPr>
            </w:pPr>
          </w:p>
        </w:tc>
        <w:tc>
          <w:tcPr>
            <w:tcW w:w="540" w:type="dxa"/>
            <w:tcBorders>
              <w:right w:val="dashSmallGap" w:sz="4" w:space="0" w:color="auto"/>
            </w:tcBorders>
          </w:tcPr>
          <w:p w14:paraId="7F5E279E" w14:textId="77777777" w:rsidR="002337F9" w:rsidRPr="00133050" w:rsidRDefault="002337F9" w:rsidP="0026218C">
            <w:pPr>
              <w:ind w:right="-29"/>
              <w:jc w:val="center"/>
              <w:rPr>
                <w:noProof/>
                <w:sz w:val="18"/>
              </w:rPr>
            </w:pPr>
          </w:p>
        </w:tc>
        <w:tc>
          <w:tcPr>
            <w:tcW w:w="720" w:type="dxa"/>
            <w:tcBorders>
              <w:left w:val="dashSmallGap" w:sz="4" w:space="0" w:color="auto"/>
            </w:tcBorders>
          </w:tcPr>
          <w:p w14:paraId="5A22D288" w14:textId="77777777" w:rsidR="002337F9" w:rsidRPr="00133050" w:rsidRDefault="002337F9" w:rsidP="0026218C">
            <w:pPr>
              <w:ind w:right="-29"/>
              <w:jc w:val="center"/>
              <w:rPr>
                <w:noProof/>
                <w:sz w:val="18"/>
              </w:rPr>
            </w:pPr>
          </w:p>
        </w:tc>
        <w:tc>
          <w:tcPr>
            <w:tcW w:w="720" w:type="dxa"/>
            <w:tcBorders>
              <w:right w:val="dashSmallGap" w:sz="4" w:space="0" w:color="auto"/>
            </w:tcBorders>
          </w:tcPr>
          <w:p w14:paraId="04F3883F" w14:textId="77777777" w:rsidR="002337F9" w:rsidRPr="00133050" w:rsidRDefault="002337F9" w:rsidP="0026218C">
            <w:pPr>
              <w:ind w:right="-29"/>
              <w:jc w:val="center"/>
              <w:rPr>
                <w:noProof/>
                <w:sz w:val="18"/>
              </w:rPr>
            </w:pPr>
          </w:p>
        </w:tc>
        <w:tc>
          <w:tcPr>
            <w:tcW w:w="720" w:type="dxa"/>
            <w:tcBorders>
              <w:left w:val="dashSmallGap" w:sz="4" w:space="0" w:color="auto"/>
            </w:tcBorders>
          </w:tcPr>
          <w:p w14:paraId="0DBE8E64" w14:textId="77777777" w:rsidR="002337F9" w:rsidRPr="00133050" w:rsidRDefault="002337F9" w:rsidP="0026218C">
            <w:pPr>
              <w:ind w:right="-29"/>
              <w:jc w:val="center"/>
              <w:rPr>
                <w:noProof/>
                <w:sz w:val="18"/>
              </w:rPr>
            </w:pPr>
          </w:p>
        </w:tc>
        <w:tc>
          <w:tcPr>
            <w:tcW w:w="900" w:type="dxa"/>
            <w:tcBorders>
              <w:right w:val="dashSmallGap" w:sz="4" w:space="0" w:color="auto"/>
            </w:tcBorders>
          </w:tcPr>
          <w:p w14:paraId="626939F7" w14:textId="77777777" w:rsidR="002337F9" w:rsidRPr="00133050" w:rsidRDefault="002337F9" w:rsidP="0026218C">
            <w:pPr>
              <w:ind w:right="-29"/>
              <w:jc w:val="center"/>
              <w:rPr>
                <w:noProof/>
                <w:sz w:val="18"/>
              </w:rPr>
            </w:pPr>
          </w:p>
        </w:tc>
        <w:tc>
          <w:tcPr>
            <w:tcW w:w="720" w:type="dxa"/>
            <w:gridSpan w:val="2"/>
            <w:tcBorders>
              <w:left w:val="dashSmallGap" w:sz="4" w:space="0" w:color="auto"/>
            </w:tcBorders>
          </w:tcPr>
          <w:p w14:paraId="79E195F0" w14:textId="77777777" w:rsidR="002337F9" w:rsidRPr="00133050" w:rsidRDefault="002337F9" w:rsidP="0026218C">
            <w:pPr>
              <w:ind w:right="-29"/>
              <w:jc w:val="center"/>
              <w:rPr>
                <w:noProof/>
                <w:sz w:val="18"/>
              </w:rPr>
            </w:pPr>
          </w:p>
        </w:tc>
        <w:tc>
          <w:tcPr>
            <w:tcW w:w="540" w:type="dxa"/>
            <w:tcBorders>
              <w:right w:val="dashSmallGap" w:sz="4" w:space="0" w:color="auto"/>
            </w:tcBorders>
          </w:tcPr>
          <w:p w14:paraId="5E4216E4" w14:textId="77777777" w:rsidR="002337F9" w:rsidRPr="00133050" w:rsidRDefault="002337F9" w:rsidP="0026218C">
            <w:pPr>
              <w:ind w:right="-29"/>
              <w:jc w:val="center"/>
              <w:rPr>
                <w:noProof/>
                <w:sz w:val="18"/>
              </w:rPr>
            </w:pPr>
          </w:p>
        </w:tc>
        <w:tc>
          <w:tcPr>
            <w:tcW w:w="648" w:type="dxa"/>
            <w:tcBorders>
              <w:left w:val="dashSmallGap" w:sz="4" w:space="0" w:color="auto"/>
            </w:tcBorders>
          </w:tcPr>
          <w:p w14:paraId="287508AA" w14:textId="77777777" w:rsidR="002337F9" w:rsidRPr="00133050" w:rsidRDefault="002337F9" w:rsidP="0026218C">
            <w:pPr>
              <w:ind w:right="-29"/>
              <w:jc w:val="center"/>
              <w:rPr>
                <w:noProof/>
                <w:sz w:val="18"/>
              </w:rPr>
            </w:pPr>
          </w:p>
        </w:tc>
        <w:tc>
          <w:tcPr>
            <w:tcW w:w="432" w:type="dxa"/>
            <w:tcBorders>
              <w:right w:val="dashSmallGap" w:sz="4" w:space="0" w:color="auto"/>
            </w:tcBorders>
          </w:tcPr>
          <w:p w14:paraId="2CDA2173" w14:textId="77777777" w:rsidR="002337F9" w:rsidRPr="00133050" w:rsidRDefault="002337F9" w:rsidP="0026218C">
            <w:pPr>
              <w:ind w:right="-29"/>
              <w:jc w:val="center"/>
              <w:rPr>
                <w:noProof/>
                <w:sz w:val="18"/>
              </w:rPr>
            </w:pPr>
          </w:p>
        </w:tc>
        <w:tc>
          <w:tcPr>
            <w:tcW w:w="720" w:type="dxa"/>
            <w:tcBorders>
              <w:left w:val="dashSmallGap" w:sz="4" w:space="0" w:color="auto"/>
            </w:tcBorders>
          </w:tcPr>
          <w:p w14:paraId="4741FB63" w14:textId="77777777" w:rsidR="002337F9" w:rsidRPr="00133050" w:rsidRDefault="002337F9" w:rsidP="0026218C">
            <w:pPr>
              <w:ind w:right="-29"/>
              <w:jc w:val="center"/>
              <w:rPr>
                <w:noProof/>
                <w:sz w:val="18"/>
              </w:rPr>
            </w:pPr>
          </w:p>
        </w:tc>
        <w:tc>
          <w:tcPr>
            <w:tcW w:w="540" w:type="dxa"/>
            <w:tcBorders>
              <w:right w:val="dashSmallGap" w:sz="4" w:space="0" w:color="auto"/>
            </w:tcBorders>
          </w:tcPr>
          <w:p w14:paraId="4955F129" w14:textId="77777777" w:rsidR="002337F9" w:rsidRPr="00133050" w:rsidRDefault="002337F9" w:rsidP="0026218C">
            <w:pPr>
              <w:ind w:right="-29"/>
              <w:jc w:val="center"/>
              <w:rPr>
                <w:noProof/>
                <w:sz w:val="18"/>
              </w:rPr>
            </w:pPr>
          </w:p>
        </w:tc>
        <w:tc>
          <w:tcPr>
            <w:tcW w:w="720" w:type="dxa"/>
            <w:tcBorders>
              <w:left w:val="dashSmallGap" w:sz="4" w:space="0" w:color="auto"/>
            </w:tcBorders>
          </w:tcPr>
          <w:p w14:paraId="011196D4" w14:textId="77777777" w:rsidR="002337F9" w:rsidRPr="00133050" w:rsidRDefault="002337F9" w:rsidP="0026218C">
            <w:pPr>
              <w:ind w:right="-29"/>
              <w:jc w:val="center"/>
              <w:rPr>
                <w:noProof/>
                <w:sz w:val="18"/>
              </w:rPr>
            </w:pPr>
          </w:p>
        </w:tc>
        <w:tc>
          <w:tcPr>
            <w:tcW w:w="720" w:type="dxa"/>
          </w:tcPr>
          <w:p w14:paraId="1AD3E9D5" w14:textId="77777777" w:rsidR="002337F9" w:rsidRPr="00133050" w:rsidRDefault="002337F9" w:rsidP="0026218C">
            <w:pPr>
              <w:ind w:right="-29"/>
              <w:jc w:val="center"/>
              <w:rPr>
                <w:noProof/>
                <w:sz w:val="18"/>
              </w:rPr>
            </w:pPr>
          </w:p>
        </w:tc>
        <w:tc>
          <w:tcPr>
            <w:tcW w:w="900" w:type="dxa"/>
          </w:tcPr>
          <w:p w14:paraId="4EBE474D" w14:textId="77777777" w:rsidR="002337F9" w:rsidRPr="00133050" w:rsidRDefault="002337F9" w:rsidP="0026218C">
            <w:pPr>
              <w:ind w:right="-29"/>
              <w:jc w:val="center"/>
              <w:rPr>
                <w:noProof/>
                <w:sz w:val="18"/>
              </w:rPr>
            </w:pPr>
          </w:p>
        </w:tc>
      </w:tr>
      <w:tr w:rsidR="002337F9" w:rsidRPr="00133050" w14:paraId="4D018AB3" w14:textId="77777777" w:rsidTr="0026218C">
        <w:trPr>
          <w:trHeight w:hRule="exact" w:val="369"/>
          <w:jc w:val="center"/>
        </w:trPr>
        <w:tc>
          <w:tcPr>
            <w:tcW w:w="1423" w:type="dxa"/>
          </w:tcPr>
          <w:p w14:paraId="5B15C5E7" w14:textId="77777777" w:rsidR="002337F9" w:rsidRPr="00133050" w:rsidRDefault="002337F9" w:rsidP="0026218C">
            <w:pPr>
              <w:ind w:right="-29"/>
              <w:jc w:val="center"/>
              <w:rPr>
                <w:noProof/>
                <w:sz w:val="18"/>
              </w:rPr>
            </w:pPr>
            <w:r w:rsidRPr="00133050">
              <w:rPr>
                <w:noProof/>
                <w:sz w:val="18"/>
              </w:rPr>
              <w:t>- Резултат</w:t>
            </w:r>
          </w:p>
        </w:tc>
        <w:tc>
          <w:tcPr>
            <w:tcW w:w="720" w:type="dxa"/>
          </w:tcPr>
          <w:p w14:paraId="6D561EA2" w14:textId="77777777" w:rsidR="002337F9" w:rsidRPr="00133050" w:rsidRDefault="002337F9" w:rsidP="0026218C">
            <w:pPr>
              <w:ind w:right="-29"/>
              <w:jc w:val="center"/>
              <w:rPr>
                <w:noProof/>
                <w:sz w:val="18"/>
              </w:rPr>
            </w:pPr>
          </w:p>
        </w:tc>
        <w:tc>
          <w:tcPr>
            <w:tcW w:w="701" w:type="dxa"/>
          </w:tcPr>
          <w:p w14:paraId="1BE22663" w14:textId="77777777" w:rsidR="002337F9" w:rsidRPr="00133050" w:rsidRDefault="002337F9" w:rsidP="0026218C">
            <w:pPr>
              <w:ind w:right="-29"/>
              <w:jc w:val="center"/>
              <w:rPr>
                <w:noProof/>
                <w:sz w:val="18"/>
              </w:rPr>
            </w:pPr>
          </w:p>
        </w:tc>
        <w:tc>
          <w:tcPr>
            <w:tcW w:w="504" w:type="dxa"/>
            <w:tcBorders>
              <w:right w:val="dashSmallGap" w:sz="4" w:space="0" w:color="auto"/>
            </w:tcBorders>
          </w:tcPr>
          <w:p w14:paraId="4DE76F6B" w14:textId="77777777" w:rsidR="002337F9" w:rsidRPr="00133050" w:rsidRDefault="002337F9" w:rsidP="0026218C">
            <w:pPr>
              <w:ind w:right="-29"/>
              <w:jc w:val="center"/>
              <w:rPr>
                <w:noProof/>
                <w:sz w:val="18"/>
              </w:rPr>
            </w:pPr>
          </w:p>
        </w:tc>
        <w:tc>
          <w:tcPr>
            <w:tcW w:w="720" w:type="dxa"/>
            <w:tcBorders>
              <w:left w:val="dashSmallGap" w:sz="4" w:space="0" w:color="auto"/>
            </w:tcBorders>
          </w:tcPr>
          <w:p w14:paraId="42AA3257" w14:textId="77777777" w:rsidR="002337F9" w:rsidRPr="00133050" w:rsidRDefault="002337F9" w:rsidP="0026218C">
            <w:pPr>
              <w:ind w:right="-29"/>
              <w:jc w:val="center"/>
              <w:rPr>
                <w:noProof/>
                <w:sz w:val="18"/>
              </w:rPr>
            </w:pPr>
          </w:p>
        </w:tc>
        <w:tc>
          <w:tcPr>
            <w:tcW w:w="540" w:type="dxa"/>
            <w:tcBorders>
              <w:right w:val="dashSmallGap" w:sz="4" w:space="0" w:color="auto"/>
            </w:tcBorders>
          </w:tcPr>
          <w:p w14:paraId="1659FE9D" w14:textId="77777777" w:rsidR="002337F9" w:rsidRPr="00133050" w:rsidRDefault="002337F9" w:rsidP="0026218C">
            <w:pPr>
              <w:ind w:right="-29"/>
              <w:jc w:val="center"/>
              <w:rPr>
                <w:noProof/>
                <w:sz w:val="18"/>
              </w:rPr>
            </w:pPr>
          </w:p>
        </w:tc>
        <w:tc>
          <w:tcPr>
            <w:tcW w:w="720" w:type="dxa"/>
            <w:tcBorders>
              <w:left w:val="dashSmallGap" w:sz="4" w:space="0" w:color="auto"/>
            </w:tcBorders>
          </w:tcPr>
          <w:p w14:paraId="158979B2" w14:textId="77777777" w:rsidR="002337F9" w:rsidRPr="00133050" w:rsidRDefault="002337F9" w:rsidP="0026218C">
            <w:pPr>
              <w:ind w:right="-29"/>
              <w:jc w:val="center"/>
              <w:rPr>
                <w:noProof/>
                <w:sz w:val="18"/>
              </w:rPr>
            </w:pPr>
          </w:p>
        </w:tc>
        <w:tc>
          <w:tcPr>
            <w:tcW w:w="720" w:type="dxa"/>
            <w:tcBorders>
              <w:right w:val="dashSmallGap" w:sz="4" w:space="0" w:color="auto"/>
            </w:tcBorders>
          </w:tcPr>
          <w:p w14:paraId="560E5F08" w14:textId="77777777" w:rsidR="002337F9" w:rsidRPr="00133050" w:rsidRDefault="002337F9" w:rsidP="0026218C">
            <w:pPr>
              <w:ind w:right="-29"/>
              <w:jc w:val="center"/>
              <w:rPr>
                <w:noProof/>
                <w:sz w:val="18"/>
              </w:rPr>
            </w:pPr>
          </w:p>
        </w:tc>
        <w:tc>
          <w:tcPr>
            <w:tcW w:w="720" w:type="dxa"/>
            <w:tcBorders>
              <w:left w:val="dashSmallGap" w:sz="4" w:space="0" w:color="auto"/>
            </w:tcBorders>
          </w:tcPr>
          <w:p w14:paraId="006086AF" w14:textId="77777777" w:rsidR="002337F9" w:rsidRPr="00133050" w:rsidRDefault="002337F9" w:rsidP="0026218C">
            <w:pPr>
              <w:ind w:right="-29"/>
              <w:jc w:val="center"/>
              <w:rPr>
                <w:noProof/>
                <w:sz w:val="18"/>
              </w:rPr>
            </w:pPr>
          </w:p>
        </w:tc>
        <w:tc>
          <w:tcPr>
            <w:tcW w:w="900" w:type="dxa"/>
            <w:tcBorders>
              <w:right w:val="dashSmallGap" w:sz="4" w:space="0" w:color="auto"/>
            </w:tcBorders>
          </w:tcPr>
          <w:p w14:paraId="121B93B6" w14:textId="77777777" w:rsidR="002337F9" w:rsidRPr="00133050" w:rsidRDefault="002337F9" w:rsidP="0026218C">
            <w:pPr>
              <w:ind w:right="-29"/>
              <w:jc w:val="center"/>
              <w:rPr>
                <w:noProof/>
                <w:sz w:val="18"/>
              </w:rPr>
            </w:pPr>
          </w:p>
        </w:tc>
        <w:tc>
          <w:tcPr>
            <w:tcW w:w="720" w:type="dxa"/>
            <w:gridSpan w:val="2"/>
            <w:tcBorders>
              <w:left w:val="dashSmallGap" w:sz="4" w:space="0" w:color="auto"/>
            </w:tcBorders>
          </w:tcPr>
          <w:p w14:paraId="46FE6012" w14:textId="77777777" w:rsidR="002337F9" w:rsidRPr="00133050" w:rsidRDefault="002337F9" w:rsidP="0026218C">
            <w:pPr>
              <w:ind w:right="-29"/>
              <w:jc w:val="center"/>
              <w:rPr>
                <w:noProof/>
                <w:sz w:val="18"/>
              </w:rPr>
            </w:pPr>
          </w:p>
        </w:tc>
        <w:tc>
          <w:tcPr>
            <w:tcW w:w="540" w:type="dxa"/>
            <w:tcBorders>
              <w:right w:val="dashSmallGap" w:sz="4" w:space="0" w:color="auto"/>
            </w:tcBorders>
          </w:tcPr>
          <w:p w14:paraId="27B8682A" w14:textId="77777777" w:rsidR="002337F9" w:rsidRPr="00133050" w:rsidRDefault="002337F9" w:rsidP="0026218C">
            <w:pPr>
              <w:ind w:right="-29"/>
              <w:jc w:val="center"/>
              <w:rPr>
                <w:noProof/>
                <w:sz w:val="18"/>
              </w:rPr>
            </w:pPr>
          </w:p>
        </w:tc>
        <w:tc>
          <w:tcPr>
            <w:tcW w:w="648" w:type="dxa"/>
            <w:tcBorders>
              <w:left w:val="dashSmallGap" w:sz="4" w:space="0" w:color="auto"/>
            </w:tcBorders>
          </w:tcPr>
          <w:p w14:paraId="6880E634" w14:textId="77777777" w:rsidR="002337F9" w:rsidRPr="00133050" w:rsidRDefault="002337F9" w:rsidP="0026218C">
            <w:pPr>
              <w:ind w:right="-29"/>
              <w:jc w:val="center"/>
              <w:rPr>
                <w:noProof/>
                <w:sz w:val="18"/>
              </w:rPr>
            </w:pPr>
          </w:p>
        </w:tc>
        <w:tc>
          <w:tcPr>
            <w:tcW w:w="432" w:type="dxa"/>
            <w:tcBorders>
              <w:right w:val="dashSmallGap" w:sz="4" w:space="0" w:color="auto"/>
            </w:tcBorders>
          </w:tcPr>
          <w:p w14:paraId="340C35A7" w14:textId="77777777" w:rsidR="002337F9" w:rsidRPr="00133050" w:rsidRDefault="002337F9" w:rsidP="0026218C">
            <w:pPr>
              <w:ind w:right="-29"/>
              <w:jc w:val="center"/>
              <w:rPr>
                <w:noProof/>
                <w:sz w:val="18"/>
              </w:rPr>
            </w:pPr>
          </w:p>
        </w:tc>
        <w:tc>
          <w:tcPr>
            <w:tcW w:w="720" w:type="dxa"/>
            <w:tcBorders>
              <w:left w:val="dashSmallGap" w:sz="4" w:space="0" w:color="auto"/>
            </w:tcBorders>
          </w:tcPr>
          <w:p w14:paraId="53731C90" w14:textId="77777777" w:rsidR="002337F9" w:rsidRPr="00133050" w:rsidRDefault="002337F9" w:rsidP="0026218C">
            <w:pPr>
              <w:ind w:right="-29"/>
              <w:jc w:val="center"/>
              <w:rPr>
                <w:noProof/>
                <w:sz w:val="18"/>
              </w:rPr>
            </w:pPr>
          </w:p>
        </w:tc>
        <w:tc>
          <w:tcPr>
            <w:tcW w:w="540" w:type="dxa"/>
            <w:tcBorders>
              <w:right w:val="dashSmallGap" w:sz="4" w:space="0" w:color="auto"/>
            </w:tcBorders>
          </w:tcPr>
          <w:p w14:paraId="021B9270" w14:textId="77777777" w:rsidR="002337F9" w:rsidRPr="00133050" w:rsidRDefault="002337F9" w:rsidP="0026218C">
            <w:pPr>
              <w:ind w:right="-29"/>
              <w:jc w:val="center"/>
              <w:rPr>
                <w:noProof/>
                <w:sz w:val="18"/>
              </w:rPr>
            </w:pPr>
          </w:p>
        </w:tc>
        <w:tc>
          <w:tcPr>
            <w:tcW w:w="720" w:type="dxa"/>
            <w:tcBorders>
              <w:left w:val="dashSmallGap" w:sz="4" w:space="0" w:color="auto"/>
            </w:tcBorders>
          </w:tcPr>
          <w:p w14:paraId="76CD8928" w14:textId="77777777" w:rsidR="002337F9" w:rsidRPr="00133050" w:rsidRDefault="002337F9" w:rsidP="0026218C">
            <w:pPr>
              <w:ind w:right="-29"/>
              <w:jc w:val="center"/>
              <w:rPr>
                <w:noProof/>
                <w:sz w:val="18"/>
              </w:rPr>
            </w:pPr>
          </w:p>
        </w:tc>
        <w:tc>
          <w:tcPr>
            <w:tcW w:w="720" w:type="dxa"/>
          </w:tcPr>
          <w:p w14:paraId="4613C5C2" w14:textId="77777777" w:rsidR="002337F9" w:rsidRPr="00133050" w:rsidRDefault="002337F9" w:rsidP="0026218C">
            <w:pPr>
              <w:ind w:right="-29"/>
              <w:jc w:val="center"/>
              <w:rPr>
                <w:noProof/>
                <w:sz w:val="18"/>
              </w:rPr>
            </w:pPr>
          </w:p>
        </w:tc>
        <w:tc>
          <w:tcPr>
            <w:tcW w:w="900" w:type="dxa"/>
          </w:tcPr>
          <w:p w14:paraId="7F96888D" w14:textId="77777777" w:rsidR="002337F9" w:rsidRPr="00133050" w:rsidRDefault="002337F9" w:rsidP="0026218C">
            <w:pPr>
              <w:ind w:right="-29"/>
              <w:jc w:val="center"/>
              <w:rPr>
                <w:noProof/>
                <w:sz w:val="18"/>
              </w:rPr>
            </w:pPr>
          </w:p>
        </w:tc>
      </w:tr>
      <w:tr w:rsidR="002337F9" w:rsidRPr="00133050" w14:paraId="345EFEBB" w14:textId="77777777" w:rsidTr="0026218C">
        <w:trPr>
          <w:trHeight w:hRule="exact" w:val="369"/>
          <w:jc w:val="center"/>
        </w:trPr>
        <w:tc>
          <w:tcPr>
            <w:tcW w:w="1423" w:type="dxa"/>
          </w:tcPr>
          <w:p w14:paraId="4F32CA12" w14:textId="77777777" w:rsidR="002337F9" w:rsidRPr="00133050" w:rsidRDefault="002337F9" w:rsidP="0026218C">
            <w:pPr>
              <w:ind w:right="-29"/>
              <w:jc w:val="center"/>
              <w:rPr>
                <w:noProof/>
                <w:sz w:val="18"/>
              </w:rPr>
            </w:pPr>
            <w:r w:rsidRPr="00133050">
              <w:rPr>
                <w:noProof/>
                <w:sz w:val="18"/>
              </w:rPr>
              <w:t>- Резултат</w:t>
            </w:r>
          </w:p>
        </w:tc>
        <w:tc>
          <w:tcPr>
            <w:tcW w:w="720" w:type="dxa"/>
          </w:tcPr>
          <w:p w14:paraId="6A7EF498" w14:textId="77777777" w:rsidR="002337F9" w:rsidRPr="00133050" w:rsidRDefault="002337F9" w:rsidP="0026218C">
            <w:pPr>
              <w:ind w:right="-29"/>
              <w:jc w:val="center"/>
              <w:rPr>
                <w:noProof/>
                <w:sz w:val="18"/>
              </w:rPr>
            </w:pPr>
          </w:p>
        </w:tc>
        <w:tc>
          <w:tcPr>
            <w:tcW w:w="701" w:type="dxa"/>
          </w:tcPr>
          <w:p w14:paraId="237A662E" w14:textId="77777777" w:rsidR="002337F9" w:rsidRPr="00133050" w:rsidRDefault="002337F9" w:rsidP="0026218C">
            <w:pPr>
              <w:ind w:right="-29"/>
              <w:jc w:val="center"/>
              <w:rPr>
                <w:noProof/>
                <w:sz w:val="18"/>
              </w:rPr>
            </w:pPr>
          </w:p>
        </w:tc>
        <w:tc>
          <w:tcPr>
            <w:tcW w:w="504" w:type="dxa"/>
          </w:tcPr>
          <w:p w14:paraId="29AEA8F6" w14:textId="77777777" w:rsidR="002337F9" w:rsidRPr="00133050" w:rsidRDefault="002337F9" w:rsidP="0026218C">
            <w:pPr>
              <w:ind w:right="-29"/>
              <w:jc w:val="center"/>
              <w:rPr>
                <w:noProof/>
                <w:sz w:val="18"/>
              </w:rPr>
            </w:pPr>
          </w:p>
        </w:tc>
        <w:tc>
          <w:tcPr>
            <w:tcW w:w="720" w:type="dxa"/>
          </w:tcPr>
          <w:p w14:paraId="2C94AC53" w14:textId="77777777" w:rsidR="002337F9" w:rsidRPr="00133050" w:rsidRDefault="002337F9" w:rsidP="0026218C">
            <w:pPr>
              <w:ind w:right="-29"/>
              <w:jc w:val="center"/>
              <w:rPr>
                <w:noProof/>
                <w:sz w:val="18"/>
              </w:rPr>
            </w:pPr>
          </w:p>
        </w:tc>
        <w:tc>
          <w:tcPr>
            <w:tcW w:w="540" w:type="dxa"/>
          </w:tcPr>
          <w:p w14:paraId="5EA3C684" w14:textId="77777777" w:rsidR="002337F9" w:rsidRPr="00133050" w:rsidRDefault="002337F9" w:rsidP="0026218C">
            <w:pPr>
              <w:ind w:right="-29"/>
              <w:jc w:val="center"/>
              <w:rPr>
                <w:noProof/>
                <w:sz w:val="18"/>
              </w:rPr>
            </w:pPr>
          </w:p>
        </w:tc>
        <w:tc>
          <w:tcPr>
            <w:tcW w:w="720" w:type="dxa"/>
          </w:tcPr>
          <w:p w14:paraId="4C03920A" w14:textId="77777777" w:rsidR="002337F9" w:rsidRPr="00133050" w:rsidRDefault="002337F9" w:rsidP="0026218C">
            <w:pPr>
              <w:ind w:right="-29"/>
              <w:jc w:val="center"/>
              <w:rPr>
                <w:noProof/>
                <w:sz w:val="18"/>
              </w:rPr>
            </w:pPr>
          </w:p>
        </w:tc>
        <w:tc>
          <w:tcPr>
            <w:tcW w:w="720" w:type="dxa"/>
          </w:tcPr>
          <w:p w14:paraId="40066C8A" w14:textId="77777777" w:rsidR="002337F9" w:rsidRPr="00133050" w:rsidRDefault="002337F9" w:rsidP="0026218C">
            <w:pPr>
              <w:ind w:right="-29"/>
              <w:jc w:val="center"/>
              <w:rPr>
                <w:noProof/>
                <w:sz w:val="18"/>
              </w:rPr>
            </w:pPr>
          </w:p>
        </w:tc>
        <w:tc>
          <w:tcPr>
            <w:tcW w:w="720" w:type="dxa"/>
          </w:tcPr>
          <w:p w14:paraId="517EBAFB" w14:textId="77777777" w:rsidR="002337F9" w:rsidRPr="00133050" w:rsidRDefault="002337F9" w:rsidP="0026218C">
            <w:pPr>
              <w:ind w:right="-29"/>
              <w:jc w:val="center"/>
              <w:rPr>
                <w:noProof/>
                <w:sz w:val="18"/>
              </w:rPr>
            </w:pPr>
          </w:p>
        </w:tc>
        <w:tc>
          <w:tcPr>
            <w:tcW w:w="900" w:type="dxa"/>
          </w:tcPr>
          <w:p w14:paraId="05D808A7" w14:textId="77777777" w:rsidR="002337F9" w:rsidRPr="00133050" w:rsidRDefault="002337F9" w:rsidP="0026218C">
            <w:pPr>
              <w:ind w:right="-29"/>
              <w:jc w:val="center"/>
              <w:rPr>
                <w:noProof/>
                <w:sz w:val="18"/>
              </w:rPr>
            </w:pPr>
          </w:p>
        </w:tc>
        <w:tc>
          <w:tcPr>
            <w:tcW w:w="720" w:type="dxa"/>
            <w:gridSpan w:val="2"/>
          </w:tcPr>
          <w:p w14:paraId="4BD09D7F" w14:textId="77777777" w:rsidR="002337F9" w:rsidRPr="00133050" w:rsidRDefault="002337F9" w:rsidP="0026218C">
            <w:pPr>
              <w:ind w:right="-29"/>
              <w:jc w:val="center"/>
              <w:rPr>
                <w:noProof/>
                <w:sz w:val="18"/>
              </w:rPr>
            </w:pPr>
          </w:p>
        </w:tc>
        <w:tc>
          <w:tcPr>
            <w:tcW w:w="540" w:type="dxa"/>
          </w:tcPr>
          <w:p w14:paraId="1D36FF22" w14:textId="77777777" w:rsidR="002337F9" w:rsidRPr="00133050" w:rsidRDefault="002337F9" w:rsidP="0026218C">
            <w:pPr>
              <w:ind w:right="-29"/>
              <w:jc w:val="center"/>
              <w:rPr>
                <w:noProof/>
                <w:sz w:val="18"/>
              </w:rPr>
            </w:pPr>
          </w:p>
        </w:tc>
        <w:tc>
          <w:tcPr>
            <w:tcW w:w="648" w:type="dxa"/>
          </w:tcPr>
          <w:p w14:paraId="61E687B4" w14:textId="77777777" w:rsidR="002337F9" w:rsidRPr="00133050" w:rsidRDefault="002337F9" w:rsidP="0026218C">
            <w:pPr>
              <w:ind w:right="-29"/>
              <w:jc w:val="center"/>
              <w:rPr>
                <w:noProof/>
                <w:sz w:val="18"/>
              </w:rPr>
            </w:pPr>
          </w:p>
        </w:tc>
        <w:tc>
          <w:tcPr>
            <w:tcW w:w="432" w:type="dxa"/>
          </w:tcPr>
          <w:p w14:paraId="63F0E1C0" w14:textId="77777777" w:rsidR="002337F9" w:rsidRPr="00133050" w:rsidRDefault="002337F9" w:rsidP="0026218C">
            <w:pPr>
              <w:ind w:right="-29"/>
              <w:jc w:val="center"/>
              <w:rPr>
                <w:noProof/>
                <w:sz w:val="18"/>
              </w:rPr>
            </w:pPr>
          </w:p>
        </w:tc>
        <w:tc>
          <w:tcPr>
            <w:tcW w:w="720" w:type="dxa"/>
          </w:tcPr>
          <w:p w14:paraId="2B116907" w14:textId="77777777" w:rsidR="002337F9" w:rsidRPr="00133050" w:rsidRDefault="002337F9" w:rsidP="0026218C">
            <w:pPr>
              <w:ind w:right="-29"/>
              <w:jc w:val="center"/>
              <w:rPr>
                <w:noProof/>
                <w:sz w:val="18"/>
              </w:rPr>
            </w:pPr>
          </w:p>
        </w:tc>
        <w:tc>
          <w:tcPr>
            <w:tcW w:w="540" w:type="dxa"/>
          </w:tcPr>
          <w:p w14:paraId="55F7090F" w14:textId="77777777" w:rsidR="002337F9" w:rsidRPr="00133050" w:rsidRDefault="002337F9" w:rsidP="0026218C">
            <w:pPr>
              <w:ind w:right="-29"/>
              <w:jc w:val="center"/>
              <w:rPr>
                <w:noProof/>
                <w:sz w:val="18"/>
              </w:rPr>
            </w:pPr>
          </w:p>
        </w:tc>
        <w:tc>
          <w:tcPr>
            <w:tcW w:w="720" w:type="dxa"/>
          </w:tcPr>
          <w:p w14:paraId="01236449" w14:textId="77777777" w:rsidR="002337F9" w:rsidRPr="00133050" w:rsidRDefault="002337F9" w:rsidP="0026218C">
            <w:pPr>
              <w:ind w:right="-29"/>
              <w:jc w:val="center"/>
              <w:rPr>
                <w:noProof/>
                <w:sz w:val="18"/>
              </w:rPr>
            </w:pPr>
          </w:p>
        </w:tc>
        <w:tc>
          <w:tcPr>
            <w:tcW w:w="720" w:type="dxa"/>
          </w:tcPr>
          <w:p w14:paraId="45CB0435" w14:textId="77777777" w:rsidR="002337F9" w:rsidRPr="00133050" w:rsidRDefault="002337F9" w:rsidP="0026218C">
            <w:pPr>
              <w:ind w:right="-29"/>
              <w:jc w:val="center"/>
              <w:rPr>
                <w:noProof/>
                <w:sz w:val="18"/>
              </w:rPr>
            </w:pPr>
          </w:p>
        </w:tc>
        <w:tc>
          <w:tcPr>
            <w:tcW w:w="900" w:type="dxa"/>
          </w:tcPr>
          <w:p w14:paraId="186D4E3B" w14:textId="77777777" w:rsidR="002337F9" w:rsidRPr="00133050" w:rsidRDefault="002337F9" w:rsidP="0026218C">
            <w:pPr>
              <w:ind w:right="-29"/>
              <w:jc w:val="center"/>
              <w:rPr>
                <w:noProof/>
                <w:sz w:val="18"/>
              </w:rPr>
            </w:pPr>
          </w:p>
        </w:tc>
      </w:tr>
      <w:tr w:rsidR="002337F9" w:rsidRPr="00133050" w14:paraId="56A45549" w14:textId="77777777" w:rsidTr="0026218C">
        <w:trPr>
          <w:trHeight w:val="77"/>
          <w:jc w:val="center"/>
        </w:trPr>
        <w:tc>
          <w:tcPr>
            <w:tcW w:w="2844" w:type="dxa"/>
            <w:gridSpan w:val="3"/>
            <w:tcBorders>
              <w:bottom w:val="single" w:sz="12" w:space="0" w:color="auto"/>
            </w:tcBorders>
            <w:vAlign w:val="center"/>
          </w:tcPr>
          <w:p w14:paraId="3B5F28D8" w14:textId="77777777" w:rsidR="002337F9" w:rsidRPr="00133050" w:rsidRDefault="002337F9" w:rsidP="0026218C">
            <w:pPr>
              <w:ind w:right="-29"/>
              <w:jc w:val="center"/>
              <w:rPr>
                <w:noProof/>
                <w:sz w:val="18"/>
              </w:rPr>
            </w:pPr>
            <w:r w:rsidRPr="00133050">
              <w:rPr>
                <w:noProof/>
                <w:sz w:val="18"/>
              </w:rPr>
              <w:t>Междинен сбор за конкретна цел № 1</w:t>
            </w:r>
          </w:p>
        </w:tc>
        <w:tc>
          <w:tcPr>
            <w:tcW w:w="504" w:type="dxa"/>
            <w:tcBorders>
              <w:bottom w:val="single" w:sz="12" w:space="0" w:color="auto"/>
            </w:tcBorders>
          </w:tcPr>
          <w:p w14:paraId="4CAEC94C" w14:textId="77777777" w:rsidR="002337F9" w:rsidRPr="00133050" w:rsidRDefault="002337F9" w:rsidP="0026218C">
            <w:pPr>
              <w:ind w:right="-29"/>
              <w:jc w:val="center"/>
              <w:rPr>
                <w:noProof/>
                <w:sz w:val="18"/>
              </w:rPr>
            </w:pPr>
          </w:p>
        </w:tc>
        <w:tc>
          <w:tcPr>
            <w:tcW w:w="720" w:type="dxa"/>
            <w:tcBorders>
              <w:bottom w:val="single" w:sz="12" w:space="0" w:color="auto"/>
            </w:tcBorders>
          </w:tcPr>
          <w:p w14:paraId="686D58DA" w14:textId="77777777" w:rsidR="002337F9" w:rsidRPr="00133050" w:rsidRDefault="002337F9" w:rsidP="0026218C">
            <w:pPr>
              <w:ind w:right="-29"/>
              <w:jc w:val="center"/>
              <w:rPr>
                <w:noProof/>
                <w:sz w:val="18"/>
              </w:rPr>
            </w:pPr>
          </w:p>
        </w:tc>
        <w:tc>
          <w:tcPr>
            <w:tcW w:w="540" w:type="dxa"/>
            <w:tcBorders>
              <w:bottom w:val="single" w:sz="12" w:space="0" w:color="auto"/>
            </w:tcBorders>
          </w:tcPr>
          <w:p w14:paraId="45F680C8" w14:textId="77777777" w:rsidR="002337F9" w:rsidRPr="00133050" w:rsidRDefault="002337F9" w:rsidP="0026218C">
            <w:pPr>
              <w:ind w:right="-29"/>
              <w:jc w:val="center"/>
              <w:rPr>
                <w:noProof/>
                <w:sz w:val="18"/>
              </w:rPr>
            </w:pPr>
          </w:p>
        </w:tc>
        <w:tc>
          <w:tcPr>
            <w:tcW w:w="720" w:type="dxa"/>
            <w:tcBorders>
              <w:bottom w:val="single" w:sz="12" w:space="0" w:color="auto"/>
            </w:tcBorders>
          </w:tcPr>
          <w:p w14:paraId="1CB74D7A" w14:textId="77777777" w:rsidR="002337F9" w:rsidRPr="00133050" w:rsidRDefault="002337F9" w:rsidP="0026218C">
            <w:pPr>
              <w:ind w:right="-29"/>
              <w:jc w:val="center"/>
              <w:rPr>
                <w:noProof/>
                <w:sz w:val="18"/>
              </w:rPr>
            </w:pPr>
          </w:p>
        </w:tc>
        <w:tc>
          <w:tcPr>
            <w:tcW w:w="720" w:type="dxa"/>
            <w:tcBorders>
              <w:bottom w:val="single" w:sz="12" w:space="0" w:color="auto"/>
            </w:tcBorders>
          </w:tcPr>
          <w:p w14:paraId="3F240C79" w14:textId="77777777" w:rsidR="002337F9" w:rsidRPr="00133050" w:rsidRDefault="002337F9" w:rsidP="0026218C">
            <w:pPr>
              <w:ind w:right="-29"/>
              <w:jc w:val="center"/>
              <w:rPr>
                <w:noProof/>
                <w:sz w:val="18"/>
              </w:rPr>
            </w:pPr>
          </w:p>
        </w:tc>
        <w:tc>
          <w:tcPr>
            <w:tcW w:w="720" w:type="dxa"/>
            <w:tcBorders>
              <w:bottom w:val="single" w:sz="12" w:space="0" w:color="auto"/>
            </w:tcBorders>
          </w:tcPr>
          <w:p w14:paraId="64FF5EEA" w14:textId="77777777" w:rsidR="002337F9" w:rsidRPr="00133050" w:rsidRDefault="002337F9" w:rsidP="0026218C">
            <w:pPr>
              <w:ind w:right="-29"/>
              <w:jc w:val="center"/>
              <w:rPr>
                <w:noProof/>
                <w:sz w:val="18"/>
              </w:rPr>
            </w:pPr>
          </w:p>
        </w:tc>
        <w:tc>
          <w:tcPr>
            <w:tcW w:w="900" w:type="dxa"/>
            <w:tcBorders>
              <w:bottom w:val="single" w:sz="12" w:space="0" w:color="auto"/>
            </w:tcBorders>
          </w:tcPr>
          <w:p w14:paraId="33E9127F" w14:textId="77777777" w:rsidR="002337F9" w:rsidRPr="00133050" w:rsidRDefault="002337F9" w:rsidP="0026218C">
            <w:pPr>
              <w:ind w:right="-29"/>
              <w:jc w:val="center"/>
              <w:rPr>
                <w:noProof/>
                <w:sz w:val="18"/>
              </w:rPr>
            </w:pPr>
          </w:p>
        </w:tc>
        <w:tc>
          <w:tcPr>
            <w:tcW w:w="720" w:type="dxa"/>
            <w:gridSpan w:val="2"/>
            <w:tcBorders>
              <w:bottom w:val="single" w:sz="12" w:space="0" w:color="auto"/>
            </w:tcBorders>
          </w:tcPr>
          <w:p w14:paraId="0F7763A9" w14:textId="77777777" w:rsidR="002337F9" w:rsidRPr="00133050" w:rsidRDefault="002337F9" w:rsidP="0026218C">
            <w:pPr>
              <w:ind w:right="-29"/>
              <w:jc w:val="center"/>
              <w:rPr>
                <w:noProof/>
                <w:sz w:val="18"/>
              </w:rPr>
            </w:pPr>
          </w:p>
        </w:tc>
        <w:tc>
          <w:tcPr>
            <w:tcW w:w="540" w:type="dxa"/>
            <w:tcBorders>
              <w:bottom w:val="single" w:sz="12" w:space="0" w:color="auto"/>
            </w:tcBorders>
          </w:tcPr>
          <w:p w14:paraId="723715D8" w14:textId="77777777" w:rsidR="002337F9" w:rsidRPr="00133050" w:rsidRDefault="002337F9" w:rsidP="0026218C">
            <w:pPr>
              <w:ind w:right="-29"/>
              <w:jc w:val="center"/>
              <w:rPr>
                <w:noProof/>
                <w:sz w:val="18"/>
              </w:rPr>
            </w:pPr>
          </w:p>
        </w:tc>
        <w:tc>
          <w:tcPr>
            <w:tcW w:w="648" w:type="dxa"/>
            <w:tcBorders>
              <w:bottom w:val="single" w:sz="12" w:space="0" w:color="auto"/>
            </w:tcBorders>
          </w:tcPr>
          <w:p w14:paraId="464DFC4D" w14:textId="77777777" w:rsidR="002337F9" w:rsidRPr="00133050" w:rsidRDefault="002337F9" w:rsidP="0026218C">
            <w:pPr>
              <w:ind w:right="-29"/>
              <w:jc w:val="center"/>
              <w:rPr>
                <w:noProof/>
                <w:sz w:val="18"/>
              </w:rPr>
            </w:pPr>
          </w:p>
        </w:tc>
        <w:tc>
          <w:tcPr>
            <w:tcW w:w="432" w:type="dxa"/>
            <w:tcBorders>
              <w:bottom w:val="single" w:sz="12" w:space="0" w:color="auto"/>
            </w:tcBorders>
          </w:tcPr>
          <w:p w14:paraId="38D4E120" w14:textId="77777777" w:rsidR="002337F9" w:rsidRPr="00133050" w:rsidRDefault="002337F9" w:rsidP="0026218C">
            <w:pPr>
              <w:ind w:right="-29"/>
              <w:jc w:val="center"/>
              <w:rPr>
                <w:noProof/>
                <w:sz w:val="18"/>
              </w:rPr>
            </w:pPr>
          </w:p>
        </w:tc>
        <w:tc>
          <w:tcPr>
            <w:tcW w:w="720" w:type="dxa"/>
            <w:tcBorders>
              <w:bottom w:val="single" w:sz="12" w:space="0" w:color="auto"/>
            </w:tcBorders>
          </w:tcPr>
          <w:p w14:paraId="59CD6995" w14:textId="77777777" w:rsidR="002337F9" w:rsidRPr="00133050" w:rsidRDefault="002337F9" w:rsidP="0026218C">
            <w:pPr>
              <w:ind w:right="-29"/>
              <w:jc w:val="center"/>
              <w:rPr>
                <w:noProof/>
                <w:sz w:val="18"/>
              </w:rPr>
            </w:pPr>
          </w:p>
        </w:tc>
        <w:tc>
          <w:tcPr>
            <w:tcW w:w="540" w:type="dxa"/>
            <w:tcBorders>
              <w:bottom w:val="single" w:sz="12" w:space="0" w:color="auto"/>
            </w:tcBorders>
          </w:tcPr>
          <w:p w14:paraId="3858549E" w14:textId="77777777" w:rsidR="002337F9" w:rsidRPr="00133050" w:rsidRDefault="002337F9" w:rsidP="0026218C">
            <w:pPr>
              <w:ind w:right="-29"/>
              <w:jc w:val="center"/>
              <w:rPr>
                <w:noProof/>
                <w:sz w:val="18"/>
              </w:rPr>
            </w:pPr>
          </w:p>
        </w:tc>
        <w:tc>
          <w:tcPr>
            <w:tcW w:w="720" w:type="dxa"/>
            <w:tcBorders>
              <w:bottom w:val="single" w:sz="12" w:space="0" w:color="auto"/>
            </w:tcBorders>
          </w:tcPr>
          <w:p w14:paraId="2FB302EC" w14:textId="77777777" w:rsidR="002337F9" w:rsidRPr="00133050" w:rsidRDefault="002337F9" w:rsidP="0026218C">
            <w:pPr>
              <w:ind w:right="-29"/>
              <w:jc w:val="center"/>
              <w:rPr>
                <w:noProof/>
                <w:sz w:val="18"/>
              </w:rPr>
            </w:pPr>
          </w:p>
        </w:tc>
        <w:tc>
          <w:tcPr>
            <w:tcW w:w="720" w:type="dxa"/>
            <w:tcBorders>
              <w:bottom w:val="single" w:sz="12" w:space="0" w:color="auto"/>
            </w:tcBorders>
          </w:tcPr>
          <w:p w14:paraId="0183E331" w14:textId="77777777" w:rsidR="002337F9" w:rsidRPr="00133050" w:rsidRDefault="002337F9" w:rsidP="0026218C">
            <w:pPr>
              <w:ind w:right="-29"/>
              <w:jc w:val="center"/>
              <w:rPr>
                <w:noProof/>
                <w:sz w:val="18"/>
              </w:rPr>
            </w:pPr>
          </w:p>
        </w:tc>
        <w:tc>
          <w:tcPr>
            <w:tcW w:w="900" w:type="dxa"/>
            <w:tcBorders>
              <w:bottom w:val="single" w:sz="12" w:space="0" w:color="auto"/>
            </w:tcBorders>
          </w:tcPr>
          <w:p w14:paraId="3BAF7EE8" w14:textId="77777777" w:rsidR="002337F9" w:rsidRPr="00133050" w:rsidRDefault="002337F9" w:rsidP="0026218C">
            <w:pPr>
              <w:ind w:right="-29"/>
              <w:jc w:val="center"/>
              <w:rPr>
                <w:noProof/>
                <w:sz w:val="18"/>
              </w:rPr>
            </w:pPr>
          </w:p>
        </w:tc>
      </w:tr>
      <w:tr w:rsidR="002337F9" w:rsidRPr="00133050" w14:paraId="0FA72D2B" w14:textId="77777777" w:rsidTr="0026218C">
        <w:trPr>
          <w:jc w:val="center"/>
        </w:trPr>
        <w:tc>
          <w:tcPr>
            <w:tcW w:w="2844" w:type="dxa"/>
            <w:gridSpan w:val="3"/>
            <w:vAlign w:val="center"/>
          </w:tcPr>
          <w:p w14:paraId="7968B000" w14:textId="77777777" w:rsidR="002337F9" w:rsidRPr="00133050" w:rsidRDefault="002337F9" w:rsidP="0026218C">
            <w:pPr>
              <w:spacing w:before="60" w:after="60"/>
              <w:ind w:right="-29"/>
              <w:jc w:val="center"/>
              <w:rPr>
                <w:noProof/>
                <w:sz w:val="18"/>
              </w:rPr>
            </w:pPr>
            <w:r w:rsidRPr="00133050">
              <w:rPr>
                <w:noProof/>
                <w:sz w:val="18"/>
              </w:rPr>
              <w:t>КОНКРЕТНА ЦЕЛ № 2..</w:t>
            </w:r>
          </w:p>
        </w:tc>
        <w:tc>
          <w:tcPr>
            <w:tcW w:w="504" w:type="dxa"/>
            <w:tcBorders>
              <w:top w:val="nil"/>
              <w:left w:val="nil"/>
              <w:bottom w:val="nil"/>
              <w:right w:val="nil"/>
            </w:tcBorders>
          </w:tcPr>
          <w:p w14:paraId="4034F213" w14:textId="77777777" w:rsidR="002337F9" w:rsidRPr="00133050" w:rsidRDefault="002337F9" w:rsidP="0026218C">
            <w:pPr>
              <w:spacing w:before="60" w:after="60"/>
              <w:ind w:right="-29"/>
              <w:jc w:val="center"/>
              <w:rPr>
                <w:noProof/>
                <w:sz w:val="18"/>
              </w:rPr>
            </w:pPr>
          </w:p>
        </w:tc>
        <w:tc>
          <w:tcPr>
            <w:tcW w:w="720" w:type="dxa"/>
            <w:tcBorders>
              <w:top w:val="nil"/>
              <w:left w:val="nil"/>
              <w:bottom w:val="nil"/>
              <w:right w:val="nil"/>
            </w:tcBorders>
          </w:tcPr>
          <w:p w14:paraId="4A37A954" w14:textId="77777777" w:rsidR="002337F9" w:rsidRPr="00133050" w:rsidRDefault="002337F9" w:rsidP="0026218C">
            <w:pPr>
              <w:spacing w:before="60" w:after="60"/>
              <w:ind w:right="-29"/>
              <w:jc w:val="center"/>
              <w:rPr>
                <w:noProof/>
                <w:sz w:val="18"/>
              </w:rPr>
            </w:pPr>
          </w:p>
        </w:tc>
        <w:tc>
          <w:tcPr>
            <w:tcW w:w="540" w:type="dxa"/>
            <w:tcBorders>
              <w:top w:val="nil"/>
              <w:left w:val="nil"/>
              <w:bottom w:val="nil"/>
              <w:right w:val="nil"/>
            </w:tcBorders>
          </w:tcPr>
          <w:p w14:paraId="5467E0F8" w14:textId="77777777" w:rsidR="002337F9" w:rsidRPr="00133050" w:rsidRDefault="002337F9" w:rsidP="0026218C">
            <w:pPr>
              <w:spacing w:before="60" w:after="60"/>
              <w:ind w:right="-29"/>
              <w:jc w:val="center"/>
              <w:rPr>
                <w:noProof/>
                <w:sz w:val="18"/>
              </w:rPr>
            </w:pPr>
          </w:p>
        </w:tc>
        <w:tc>
          <w:tcPr>
            <w:tcW w:w="720" w:type="dxa"/>
            <w:tcBorders>
              <w:top w:val="nil"/>
              <w:left w:val="nil"/>
              <w:bottom w:val="nil"/>
              <w:right w:val="nil"/>
            </w:tcBorders>
          </w:tcPr>
          <w:p w14:paraId="302E61B0" w14:textId="77777777" w:rsidR="002337F9" w:rsidRPr="00133050" w:rsidRDefault="002337F9" w:rsidP="0026218C">
            <w:pPr>
              <w:spacing w:before="60" w:after="60"/>
              <w:ind w:right="-29"/>
              <w:jc w:val="center"/>
              <w:rPr>
                <w:noProof/>
                <w:sz w:val="18"/>
              </w:rPr>
            </w:pPr>
          </w:p>
        </w:tc>
        <w:tc>
          <w:tcPr>
            <w:tcW w:w="720" w:type="dxa"/>
            <w:tcBorders>
              <w:top w:val="nil"/>
              <w:left w:val="nil"/>
              <w:bottom w:val="nil"/>
              <w:right w:val="nil"/>
            </w:tcBorders>
          </w:tcPr>
          <w:p w14:paraId="7E665D5F" w14:textId="77777777" w:rsidR="002337F9" w:rsidRPr="00133050" w:rsidRDefault="002337F9" w:rsidP="0026218C">
            <w:pPr>
              <w:spacing w:before="60" w:after="60"/>
              <w:ind w:right="-29"/>
              <w:jc w:val="center"/>
              <w:rPr>
                <w:noProof/>
                <w:sz w:val="18"/>
              </w:rPr>
            </w:pPr>
          </w:p>
        </w:tc>
        <w:tc>
          <w:tcPr>
            <w:tcW w:w="720" w:type="dxa"/>
            <w:tcBorders>
              <w:top w:val="nil"/>
              <w:left w:val="nil"/>
              <w:bottom w:val="nil"/>
              <w:right w:val="nil"/>
            </w:tcBorders>
          </w:tcPr>
          <w:p w14:paraId="38190DCF" w14:textId="77777777" w:rsidR="002337F9" w:rsidRPr="00133050" w:rsidRDefault="002337F9" w:rsidP="0026218C">
            <w:pPr>
              <w:spacing w:before="60" w:after="60"/>
              <w:ind w:right="-29"/>
              <w:jc w:val="center"/>
              <w:rPr>
                <w:noProof/>
                <w:sz w:val="18"/>
              </w:rPr>
            </w:pPr>
          </w:p>
        </w:tc>
        <w:tc>
          <w:tcPr>
            <w:tcW w:w="900" w:type="dxa"/>
            <w:tcBorders>
              <w:top w:val="nil"/>
              <w:left w:val="nil"/>
              <w:bottom w:val="nil"/>
              <w:right w:val="nil"/>
            </w:tcBorders>
          </w:tcPr>
          <w:p w14:paraId="34338143" w14:textId="77777777" w:rsidR="002337F9" w:rsidRPr="00133050" w:rsidRDefault="002337F9" w:rsidP="0026218C">
            <w:pPr>
              <w:spacing w:before="60" w:after="60"/>
              <w:ind w:right="-29"/>
              <w:jc w:val="center"/>
              <w:rPr>
                <w:noProof/>
                <w:sz w:val="18"/>
              </w:rPr>
            </w:pPr>
          </w:p>
        </w:tc>
        <w:tc>
          <w:tcPr>
            <w:tcW w:w="720" w:type="dxa"/>
            <w:gridSpan w:val="2"/>
            <w:tcBorders>
              <w:top w:val="nil"/>
              <w:left w:val="nil"/>
              <w:bottom w:val="nil"/>
              <w:right w:val="nil"/>
            </w:tcBorders>
          </w:tcPr>
          <w:p w14:paraId="36F2B09F" w14:textId="77777777" w:rsidR="002337F9" w:rsidRPr="00133050" w:rsidRDefault="002337F9" w:rsidP="0026218C">
            <w:pPr>
              <w:spacing w:before="60" w:after="60"/>
              <w:ind w:right="-29"/>
              <w:jc w:val="center"/>
              <w:rPr>
                <w:noProof/>
                <w:sz w:val="18"/>
              </w:rPr>
            </w:pPr>
          </w:p>
        </w:tc>
        <w:tc>
          <w:tcPr>
            <w:tcW w:w="540" w:type="dxa"/>
            <w:tcBorders>
              <w:top w:val="nil"/>
              <w:left w:val="nil"/>
              <w:bottom w:val="nil"/>
              <w:right w:val="nil"/>
            </w:tcBorders>
          </w:tcPr>
          <w:p w14:paraId="176E8FF7" w14:textId="77777777" w:rsidR="002337F9" w:rsidRPr="00133050" w:rsidRDefault="002337F9" w:rsidP="0026218C">
            <w:pPr>
              <w:spacing w:before="60" w:after="60"/>
              <w:ind w:right="-29"/>
              <w:jc w:val="center"/>
              <w:rPr>
                <w:noProof/>
                <w:sz w:val="18"/>
              </w:rPr>
            </w:pPr>
          </w:p>
        </w:tc>
        <w:tc>
          <w:tcPr>
            <w:tcW w:w="648" w:type="dxa"/>
            <w:tcBorders>
              <w:top w:val="nil"/>
              <w:left w:val="nil"/>
              <w:bottom w:val="nil"/>
              <w:right w:val="nil"/>
            </w:tcBorders>
          </w:tcPr>
          <w:p w14:paraId="0795C629" w14:textId="77777777" w:rsidR="002337F9" w:rsidRPr="00133050" w:rsidRDefault="002337F9" w:rsidP="0026218C">
            <w:pPr>
              <w:spacing w:before="60" w:after="60"/>
              <w:ind w:right="-29"/>
              <w:jc w:val="center"/>
              <w:rPr>
                <w:noProof/>
                <w:sz w:val="18"/>
              </w:rPr>
            </w:pPr>
          </w:p>
        </w:tc>
        <w:tc>
          <w:tcPr>
            <w:tcW w:w="432" w:type="dxa"/>
            <w:tcBorders>
              <w:top w:val="nil"/>
              <w:left w:val="nil"/>
              <w:bottom w:val="nil"/>
              <w:right w:val="nil"/>
            </w:tcBorders>
          </w:tcPr>
          <w:p w14:paraId="17DFB4B1" w14:textId="77777777" w:rsidR="002337F9" w:rsidRPr="00133050" w:rsidRDefault="002337F9" w:rsidP="0026218C">
            <w:pPr>
              <w:spacing w:before="60" w:after="60"/>
              <w:ind w:right="-29"/>
              <w:jc w:val="center"/>
              <w:rPr>
                <w:noProof/>
                <w:sz w:val="18"/>
              </w:rPr>
            </w:pPr>
          </w:p>
        </w:tc>
        <w:tc>
          <w:tcPr>
            <w:tcW w:w="720" w:type="dxa"/>
            <w:tcBorders>
              <w:top w:val="nil"/>
              <w:left w:val="nil"/>
              <w:bottom w:val="nil"/>
              <w:right w:val="nil"/>
            </w:tcBorders>
          </w:tcPr>
          <w:p w14:paraId="7C239AB3" w14:textId="77777777" w:rsidR="002337F9" w:rsidRPr="00133050" w:rsidRDefault="002337F9" w:rsidP="0026218C">
            <w:pPr>
              <w:spacing w:before="60" w:after="60"/>
              <w:ind w:right="-29"/>
              <w:jc w:val="center"/>
              <w:rPr>
                <w:noProof/>
                <w:sz w:val="18"/>
              </w:rPr>
            </w:pPr>
          </w:p>
        </w:tc>
        <w:tc>
          <w:tcPr>
            <w:tcW w:w="540" w:type="dxa"/>
            <w:tcBorders>
              <w:top w:val="nil"/>
              <w:left w:val="nil"/>
              <w:bottom w:val="nil"/>
              <w:right w:val="nil"/>
            </w:tcBorders>
          </w:tcPr>
          <w:p w14:paraId="7CF2D244" w14:textId="77777777" w:rsidR="002337F9" w:rsidRPr="00133050" w:rsidRDefault="002337F9" w:rsidP="0026218C">
            <w:pPr>
              <w:spacing w:before="60" w:after="60"/>
              <w:ind w:right="-29"/>
              <w:jc w:val="center"/>
              <w:rPr>
                <w:noProof/>
                <w:sz w:val="18"/>
              </w:rPr>
            </w:pPr>
          </w:p>
        </w:tc>
        <w:tc>
          <w:tcPr>
            <w:tcW w:w="720" w:type="dxa"/>
            <w:tcBorders>
              <w:top w:val="nil"/>
              <w:left w:val="nil"/>
              <w:bottom w:val="nil"/>
              <w:right w:val="nil"/>
            </w:tcBorders>
          </w:tcPr>
          <w:p w14:paraId="0A7963AE" w14:textId="77777777" w:rsidR="002337F9" w:rsidRPr="00133050" w:rsidRDefault="002337F9" w:rsidP="0026218C">
            <w:pPr>
              <w:spacing w:before="60" w:after="60"/>
              <w:ind w:right="-29"/>
              <w:jc w:val="center"/>
              <w:rPr>
                <w:noProof/>
                <w:sz w:val="18"/>
              </w:rPr>
            </w:pPr>
          </w:p>
        </w:tc>
        <w:tc>
          <w:tcPr>
            <w:tcW w:w="720" w:type="dxa"/>
            <w:tcBorders>
              <w:top w:val="nil"/>
              <w:left w:val="nil"/>
              <w:bottom w:val="nil"/>
              <w:right w:val="nil"/>
            </w:tcBorders>
          </w:tcPr>
          <w:p w14:paraId="6DF1D01E" w14:textId="77777777" w:rsidR="002337F9" w:rsidRPr="00133050" w:rsidRDefault="002337F9" w:rsidP="0026218C">
            <w:pPr>
              <w:spacing w:before="60" w:after="60"/>
              <w:ind w:right="-29"/>
              <w:jc w:val="center"/>
              <w:rPr>
                <w:noProof/>
                <w:sz w:val="18"/>
              </w:rPr>
            </w:pPr>
          </w:p>
        </w:tc>
        <w:tc>
          <w:tcPr>
            <w:tcW w:w="900" w:type="dxa"/>
            <w:tcBorders>
              <w:top w:val="nil"/>
              <w:left w:val="nil"/>
              <w:bottom w:val="nil"/>
              <w:right w:val="nil"/>
            </w:tcBorders>
          </w:tcPr>
          <w:p w14:paraId="70C9FACB" w14:textId="77777777" w:rsidR="002337F9" w:rsidRPr="00133050" w:rsidRDefault="002337F9" w:rsidP="0026218C">
            <w:pPr>
              <w:spacing w:before="60" w:after="60"/>
              <w:ind w:right="-29"/>
              <w:jc w:val="center"/>
              <w:rPr>
                <w:noProof/>
                <w:sz w:val="18"/>
              </w:rPr>
            </w:pPr>
          </w:p>
        </w:tc>
      </w:tr>
      <w:tr w:rsidR="002337F9" w:rsidRPr="00133050" w14:paraId="175995C6" w14:textId="77777777" w:rsidTr="0026218C">
        <w:trPr>
          <w:trHeight w:hRule="exact" w:val="369"/>
          <w:jc w:val="center"/>
        </w:trPr>
        <w:tc>
          <w:tcPr>
            <w:tcW w:w="1423" w:type="dxa"/>
          </w:tcPr>
          <w:p w14:paraId="1B7C81FF" w14:textId="77777777" w:rsidR="002337F9" w:rsidRPr="00133050" w:rsidRDefault="002337F9" w:rsidP="0026218C">
            <w:pPr>
              <w:ind w:right="-29"/>
              <w:jc w:val="center"/>
              <w:rPr>
                <w:noProof/>
                <w:sz w:val="18"/>
              </w:rPr>
            </w:pPr>
            <w:r w:rsidRPr="00133050">
              <w:rPr>
                <w:noProof/>
                <w:sz w:val="18"/>
              </w:rPr>
              <w:t>- Резултат</w:t>
            </w:r>
          </w:p>
        </w:tc>
        <w:tc>
          <w:tcPr>
            <w:tcW w:w="720" w:type="dxa"/>
          </w:tcPr>
          <w:p w14:paraId="1293D008" w14:textId="77777777" w:rsidR="002337F9" w:rsidRPr="00133050" w:rsidRDefault="002337F9" w:rsidP="0026218C">
            <w:pPr>
              <w:ind w:right="-29"/>
              <w:jc w:val="center"/>
              <w:rPr>
                <w:noProof/>
                <w:sz w:val="18"/>
              </w:rPr>
            </w:pPr>
          </w:p>
        </w:tc>
        <w:tc>
          <w:tcPr>
            <w:tcW w:w="701" w:type="dxa"/>
          </w:tcPr>
          <w:p w14:paraId="4BA085D1" w14:textId="77777777" w:rsidR="002337F9" w:rsidRPr="00133050" w:rsidRDefault="002337F9" w:rsidP="0026218C">
            <w:pPr>
              <w:ind w:right="-29"/>
              <w:jc w:val="center"/>
              <w:rPr>
                <w:noProof/>
                <w:sz w:val="18"/>
              </w:rPr>
            </w:pPr>
          </w:p>
        </w:tc>
        <w:tc>
          <w:tcPr>
            <w:tcW w:w="504" w:type="dxa"/>
          </w:tcPr>
          <w:p w14:paraId="683A84A1" w14:textId="77777777" w:rsidR="002337F9" w:rsidRPr="00133050" w:rsidRDefault="002337F9" w:rsidP="0026218C">
            <w:pPr>
              <w:ind w:right="-29"/>
              <w:jc w:val="center"/>
              <w:rPr>
                <w:noProof/>
                <w:sz w:val="18"/>
              </w:rPr>
            </w:pPr>
          </w:p>
        </w:tc>
        <w:tc>
          <w:tcPr>
            <w:tcW w:w="720" w:type="dxa"/>
          </w:tcPr>
          <w:p w14:paraId="27FF0F4C" w14:textId="77777777" w:rsidR="002337F9" w:rsidRPr="00133050" w:rsidRDefault="002337F9" w:rsidP="0026218C">
            <w:pPr>
              <w:ind w:right="-29"/>
              <w:jc w:val="center"/>
              <w:rPr>
                <w:noProof/>
                <w:sz w:val="18"/>
              </w:rPr>
            </w:pPr>
          </w:p>
        </w:tc>
        <w:tc>
          <w:tcPr>
            <w:tcW w:w="540" w:type="dxa"/>
          </w:tcPr>
          <w:p w14:paraId="7EFAA548" w14:textId="77777777" w:rsidR="002337F9" w:rsidRPr="00133050" w:rsidRDefault="002337F9" w:rsidP="0026218C">
            <w:pPr>
              <w:ind w:right="-29"/>
              <w:jc w:val="center"/>
              <w:rPr>
                <w:noProof/>
                <w:sz w:val="18"/>
              </w:rPr>
            </w:pPr>
          </w:p>
        </w:tc>
        <w:tc>
          <w:tcPr>
            <w:tcW w:w="720" w:type="dxa"/>
          </w:tcPr>
          <w:p w14:paraId="70A3B0B7" w14:textId="77777777" w:rsidR="002337F9" w:rsidRPr="00133050" w:rsidRDefault="002337F9" w:rsidP="0026218C">
            <w:pPr>
              <w:ind w:right="-29"/>
              <w:jc w:val="center"/>
              <w:rPr>
                <w:noProof/>
                <w:sz w:val="18"/>
              </w:rPr>
            </w:pPr>
          </w:p>
        </w:tc>
        <w:tc>
          <w:tcPr>
            <w:tcW w:w="720" w:type="dxa"/>
          </w:tcPr>
          <w:p w14:paraId="52BF5C88" w14:textId="77777777" w:rsidR="002337F9" w:rsidRPr="00133050" w:rsidRDefault="002337F9" w:rsidP="0026218C">
            <w:pPr>
              <w:ind w:right="-29"/>
              <w:jc w:val="center"/>
              <w:rPr>
                <w:noProof/>
                <w:sz w:val="18"/>
              </w:rPr>
            </w:pPr>
          </w:p>
        </w:tc>
        <w:tc>
          <w:tcPr>
            <w:tcW w:w="720" w:type="dxa"/>
          </w:tcPr>
          <w:p w14:paraId="124DB795" w14:textId="77777777" w:rsidR="002337F9" w:rsidRPr="00133050" w:rsidRDefault="002337F9" w:rsidP="0026218C">
            <w:pPr>
              <w:ind w:right="-29"/>
              <w:jc w:val="center"/>
              <w:rPr>
                <w:noProof/>
                <w:sz w:val="18"/>
              </w:rPr>
            </w:pPr>
          </w:p>
        </w:tc>
        <w:tc>
          <w:tcPr>
            <w:tcW w:w="900" w:type="dxa"/>
          </w:tcPr>
          <w:p w14:paraId="4A88915D" w14:textId="77777777" w:rsidR="002337F9" w:rsidRPr="00133050" w:rsidRDefault="002337F9" w:rsidP="0026218C">
            <w:pPr>
              <w:ind w:right="-29"/>
              <w:jc w:val="center"/>
              <w:rPr>
                <w:noProof/>
                <w:sz w:val="18"/>
              </w:rPr>
            </w:pPr>
          </w:p>
        </w:tc>
        <w:tc>
          <w:tcPr>
            <w:tcW w:w="720" w:type="dxa"/>
            <w:gridSpan w:val="2"/>
          </w:tcPr>
          <w:p w14:paraId="743D8C80" w14:textId="77777777" w:rsidR="002337F9" w:rsidRPr="00133050" w:rsidRDefault="002337F9" w:rsidP="0026218C">
            <w:pPr>
              <w:ind w:right="-29"/>
              <w:jc w:val="center"/>
              <w:rPr>
                <w:noProof/>
                <w:sz w:val="18"/>
              </w:rPr>
            </w:pPr>
          </w:p>
        </w:tc>
        <w:tc>
          <w:tcPr>
            <w:tcW w:w="540" w:type="dxa"/>
          </w:tcPr>
          <w:p w14:paraId="78440408" w14:textId="77777777" w:rsidR="002337F9" w:rsidRPr="00133050" w:rsidRDefault="002337F9" w:rsidP="0026218C">
            <w:pPr>
              <w:ind w:right="-29"/>
              <w:jc w:val="center"/>
              <w:rPr>
                <w:noProof/>
                <w:sz w:val="18"/>
              </w:rPr>
            </w:pPr>
          </w:p>
        </w:tc>
        <w:tc>
          <w:tcPr>
            <w:tcW w:w="648" w:type="dxa"/>
          </w:tcPr>
          <w:p w14:paraId="645B98B8" w14:textId="77777777" w:rsidR="002337F9" w:rsidRPr="00133050" w:rsidRDefault="002337F9" w:rsidP="0026218C">
            <w:pPr>
              <w:ind w:right="-29"/>
              <w:jc w:val="center"/>
              <w:rPr>
                <w:noProof/>
                <w:sz w:val="18"/>
              </w:rPr>
            </w:pPr>
          </w:p>
        </w:tc>
        <w:tc>
          <w:tcPr>
            <w:tcW w:w="432" w:type="dxa"/>
          </w:tcPr>
          <w:p w14:paraId="28FEC7C0" w14:textId="77777777" w:rsidR="002337F9" w:rsidRPr="00133050" w:rsidRDefault="002337F9" w:rsidP="0026218C">
            <w:pPr>
              <w:ind w:right="-29"/>
              <w:jc w:val="center"/>
              <w:rPr>
                <w:noProof/>
                <w:sz w:val="18"/>
              </w:rPr>
            </w:pPr>
          </w:p>
        </w:tc>
        <w:tc>
          <w:tcPr>
            <w:tcW w:w="720" w:type="dxa"/>
          </w:tcPr>
          <w:p w14:paraId="5141E2B9" w14:textId="77777777" w:rsidR="002337F9" w:rsidRPr="00133050" w:rsidRDefault="002337F9" w:rsidP="0026218C">
            <w:pPr>
              <w:ind w:right="-29"/>
              <w:jc w:val="center"/>
              <w:rPr>
                <w:noProof/>
                <w:sz w:val="18"/>
              </w:rPr>
            </w:pPr>
          </w:p>
        </w:tc>
        <w:tc>
          <w:tcPr>
            <w:tcW w:w="540" w:type="dxa"/>
          </w:tcPr>
          <w:p w14:paraId="67A3A21B" w14:textId="77777777" w:rsidR="002337F9" w:rsidRPr="00133050" w:rsidRDefault="002337F9" w:rsidP="0026218C">
            <w:pPr>
              <w:ind w:right="-29"/>
              <w:jc w:val="center"/>
              <w:rPr>
                <w:noProof/>
                <w:sz w:val="18"/>
              </w:rPr>
            </w:pPr>
          </w:p>
        </w:tc>
        <w:tc>
          <w:tcPr>
            <w:tcW w:w="720" w:type="dxa"/>
          </w:tcPr>
          <w:p w14:paraId="0B8EC9EB" w14:textId="77777777" w:rsidR="002337F9" w:rsidRPr="00133050" w:rsidRDefault="002337F9" w:rsidP="0026218C">
            <w:pPr>
              <w:ind w:right="-29"/>
              <w:jc w:val="center"/>
              <w:rPr>
                <w:noProof/>
                <w:sz w:val="18"/>
              </w:rPr>
            </w:pPr>
          </w:p>
        </w:tc>
        <w:tc>
          <w:tcPr>
            <w:tcW w:w="720" w:type="dxa"/>
          </w:tcPr>
          <w:p w14:paraId="7FE4E341" w14:textId="77777777" w:rsidR="002337F9" w:rsidRPr="00133050" w:rsidRDefault="002337F9" w:rsidP="0026218C">
            <w:pPr>
              <w:ind w:right="-29"/>
              <w:jc w:val="center"/>
              <w:rPr>
                <w:noProof/>
                <w:sz w:val="18"/>
              </w:rPr>
            </w:pPr>
          </w:p>
        </w:tc>
        <w:tc>
          <w:tcPr>
            <w:tcW w:w="900" w:type="dxa"/>
          </w:tcPr>
          <w:p w14:paraId="0AEF3F3C" w14:textId="77777777" w:rsidR="002337F9" w:rsidRPr="00133050" w:rsidRDefault="002337F9" w:rsidP="0026218C">
            <w:pPr>
              <w:ind w:right="-29"/>
              <w:jc w:val="center"/>
              <w:rPr>
                <w:noProof/>
                <w:sz w:val="18"/>
              </w:rPr>
            </w:pPr>
          </w:p>
        </w:tc>
      </w:tr>
      <w:tr w:rsidR="002337F9" w:rsidRPr="00133050" w14:paraId="58DD6808" w14:textId="77777777" w:rsidTr="0026218C">
        <w:trPr>
          <w:jc w:val="center"/>
        </w:trPr>
        <w:tc>
          <w:tcPr>
            <w:tcW w:w="2844" w:type="dxa"/>
            <w:gridSpan w:val="3"/>
            <w:tcBorders>
              <w:bottom w:val="single" w:sz="12" w:space="0" w:color="auto"/>
            </w:tcBorders>
            <w:vAlign w:val="center"/>
          </w:tcPr>
          <w:p w14:paraId="62D39083" w14:textId="77777777" w:rsidR="002337F9" w:rsidRPr="00133050" w:rsidRDefault="002337F9" w:rsidP="0026218C">
            <w:pPr>
              <w:jc w:val="center"/>
              <w:rPr>
                <w:noProof/>
                <w:sz w:val="18"/>
              </w:rPr>
            </w:pPr>
            <w:r w:rsidRPr="00133050">
              <w:rPr>
                <w:noProof/>
                <w:sz w:val="18"/>
              </w:rPr>
              <w:t>Междинен сбор за конкретна цел № 2</w:t>
            </w:r>
          </w:p>
        </w:tc>
        <w:tc>
          <w:tcPr>
            <w:tcW w:w="504" w:type="dxa"/>
            <w:tcBorders>
              <w:bottom w:val="single" w:sz="12" w:space="0" w:color="auto"/>
            </w:tcBorders>
          </w:tcPr>
          <w:p w14:paraId="695BEBA5" w14:textId="77777777" w:rsidR="002337F9" w:rsidRPr="00133050" w:rsidRDefault="002337F9" w:rsidP="0026218C">
            <w:pPr>
              <w:ind w:right="-29"/>
              <w:jc w:val="center"/>
              <w:rPr>
                <w:noProof/>
                <w:sz w:val="18"/>
              </w:rPr>
            </w:pPr>
          </w:p>
        </w:tc>
        <w:tc>
          <w:tcPr>
            <w:tcW w:w="720" w:type="dxa"/>
            <w:tcBorders>
              <w:bottom w:val="single" w:sz="12" w:space="0" w:color="auto"/>
            </w:tcBorders>
          </w:tcPr>
          <w:p w14:paraId="066C1507" w14:textId="77777777" w:rsidR="002337F9" w:rsidRPr="00133050" w:rsidRDefault="002337F9" w:rsidP="0026218C">
            <w:pPr>
              <w:ind w:right="-29"/>
              <w:jc w:val="center"/>
              <w:rPr>
                <w:noProof/>
                <w:sz w:val="18"/>
              </w:rPr>
            </w:pPr>
          </w:p>
        </w:tc>
        <w:tc>
          <w:tcPr>
            <w:tcW w:w="540" w:type="dxa"/>
            <w:tcBorders>
              <w:bottom w:val="single" w:sz="12" w:space="0" w:color="auto"/>
            </w:tcBorders>
          </w:tcPr>
          <w:p w14:paraId="7B6F5939" w14:textId="77777777" w:rsidR="002337F9" w:rsidRPr="00133050" w:rsidRDefault="002337F9" w:rsidP="0026218C">
            <w:pPr>
              <w:ind w:right="-29"/>
              <w:jc w:val="center"/>
              <w:rPr>
                <w:noProof/>
                <w:sz w:val="18"/>
              </w:rPr>
            </w:pPr>
          </w:p>
        </w:tc>
        <w:tc>
          <w:tcPr>
            <w:tcW w:w="720" w:type="dxa"/>
            <w:tcBorders>
              <w:bottom w:val="single" w:sz="12" w:space="0" w:color="auto"/>
            </w:tcBorders>
          </w:tcPr>
          <w:p w14:paraId="79BEDBEF" w14:textId="77777777" w:rsidR="002337F9" w:rsidRPr="00133050" w:rsidRDefault="002337F9" w:rsidP="0026218C">
            <w:pPr>
              <w:ind w:right="-29"/>
              <w:jc w:val="center"/>
              <w:rPr>
                <w:noProof/>
                <w:sz w:val="18"/>
              </w:rPr>
            </w:pPr>
          </w:p>
        </w:tc>
        <w:tc>
          <w:tcPr>
            <w:tcW w:w="720" w:type="dxa"/>
            <w:tcBorders>
              <w:bottom w:val="single" w:sz="12" w:space="0" w:color="auto"/>
            </w:tcBorders>
          </w:tcPr>
          <w:p w14:paraId="2A086652" w14:textId="77777777" w:rsidR="002337F9" w:rsidRPr="00133050" w:rsidRDefault="002337F9" w:rsidP="0026218C">
            <w:pPr>
              <w:ind w:right="-29"/>
              <w:jc w:val="center"/>
              <w:rPr>
                <w:noProof/>
                <w:sz w:val="18"/>
              </w:rPr>
            </w:pPr>
          </w:p>
        </w:tc>
        <w:tc>
          <w:tcPr>
            <w:tcW w:w="720" w:type="dxa"/>
            <w:tcBorders>
              <w:bottom w:val="single" w:sz="12" w:space="0" w:color="auto"/>
            </w:tcBorders>
          </w:tcPr>
          <w:p w14:paraId="1F4A336E" w14:textId="77777777" w:rsidR="002337F9" w:rsidRPr="00133050" w:rsidRDefault="002337F9" w:rsidP="0026218C">
            <w:pPr>
              <w:ind w:right="-29"/>
              <w:jc w:val="center"/>
              <w:rPr>
                <w:noProof/>
                <w:sz w:val="18"/>
              </w:rPr>
            </w:pPr>
          </w:p>
        </w:tc>
        <w:tc>
          <w:tcPr>
            <w:tcW w:w="951" w:type="dxa"/>
            <w:gridSpan w:val="2"/>
            <w:tcBorders>
              <w:bottom w:val="single" w:sz="12" w:space="0" w:color="auto"/>
            </w:tcBorders>
          </w:tcPr>
          <w:p w14:paraId="7CA3BC0E" w14:textId="77777777" w:rsidR="002337F9" w:rsidRPr="00133050" w:rsidRDefault="002337F9" w:rsidP="0026218C">
            <w:pPr>
              <w:ind w:right="-29"/>
              <w:jc w:val="center"/>
              <w:rPr>
                <w:noProof/>
                <w:sz w:val="18"/>
              </w:rPr>
            </w:pPr>
          </w:p>
        </w:tc>
        <w:tc>
          <w:tcPr>
            <w:tcW w:w="669" w:type="dxa"/>
            <w:tcBorders>
              <w:bottom w:val="single" w:sz="12" w:space="0" w:color="auto"/>
            </w:tcBorders>
          </w:tcPr>
          <w:p w14:paraId="30724EA9" w14:textId="77777777" w:rsidR="002337F9" w:rsidRPr="00133050" w:rsidRDefault="002337F9" w:rsidP="0026218C">
            <w:pPr>
              <w:ind w:right="-29"/>
              <w:jc w:val="center"/>
              <w:rPr>
                <w:noProof/>
                <w:sz w:val="18"/>
              </w:rPr>
            </w:pPr>
          </w:p>
        </w:tc>
        <w:tc>
          <w:tcPr>
            <w:tcW w:w="540" w:type="dxa"/>
            <w:tcBorders>
              <w:bottom w:val="single" w:sz="12" w:space="0" w:color="auto"/>
            </w:tcBorders>
          </w:tcPr>
          <w:p w14:paraId="2C4080B0" w14:textId="77777777" w:rsidR="002337F9" w:rsidRPr="00133050" w:rsidRDefault="002337F9" w:rsidP="0026218C">
            <w:pPr>
              <w:ind w:right="-29"/>
              <w:jc w:val="center"/>
              <w:rPr>
                <w:noProof/>
                <w:sz w:val="18"/>
              </w:rPr>
            </w:pPr>
          </w:p>
        </w:tc>
        <w:tc>
          <w:tcPr>
            <w:tcW w:w="648" w:type="dxa"/>
            <w:tcBorders>
              <w:bottom w:val="single" w:sz="12" w:space="0" w:color="auto"/>
            </w:tcBorders>
          </w:tcPr>
          <w:p w14:paraId="4195AADE" w14:textId="77777777" w:rsidR="002337F9" w:rsidRPr="00133050" w:rsidRDefault="002337F9" w:rsidP="0026218C">
            <w:pPr>
              <w:ind w:right="-29"/>
              <w:jc w:val="center"/>
              <w:rPr>
                <w:noProof/>
                <w:sz w:val="18"/>
              </w:rPr>
            </w:pPr>
          </w:p>
        </w:tc>
        <w:tc>
          <w:tcPr>
            <w:tcW w:w="432" w:type="dxa"/>
            <w:tcBorders>
              <w:bottom w:val="single" w:sz="12" w:space="0" w:color="auto"/>
            </w:tcBorders>
          </w:tcPr>
          <w:p w14:paraId="25C8D2B4" w14:textId="77777777" w:rsidR="002337F9" w:rsidRPr="00133050" w:rsidRDefault="002337F9" w:rsidP="0026218C">
            <w:pPr>
              <w:ind w:right="-29"/>
              <w:jc w:val="center"/>
              <w:rPr>
                <w:noProof/>
                <w:sz w:val="18"/>
              </w:rPr>
            </w:pPr>
          </w:p>
        </w:tc>
        <w:tc>
          <w:tcPr>
            <w:tcW w:w="720" w:type="dxa"/>
            <w:tcBorders>
              <w:bottom w:val="single" w:sz="12" w:space="0" w:color="auto"/>
            </w:tcBorders>
          </w:tcPr>
          <w:p w14:paraId="244804E1" w14:textId="77777777" w:rsidR="002337F9" w:rsidRPr="00133050" w:rsidRDefault="002337F9" w:rsidP="0026218C">
            <w:pPr>
              <w:ind w:right="-29"/>
              <w:jc w:val="center"/>
              <w:rPr>
                <w:noProof/>
                <w:sz w:val="18"/>
              </w:rPr>
            </w:pPr>
          </w:p>
        </w:tc>
        <w:tc>
          <w:tcPr>
            <w:tcW w:w="540" w:type="dxa"/>
            <w:tcBorders>
              <w:bottom w:val="single" w:sz="12" w:space="0" w:color="auto"/>
            </w:tcBorders>
          </w:tcPr>
          <w:p w14:paraId="79EFFC22" w14:textId="77777777" w:rsidR="002337F9" w:rsidRPr="00133050" w:rsidRDefault="002337F9" w:rsidP="0026218C">
            <w:pPr>
              <w:ind w:right="-29"/>
              <w:jc w:val="center"/>
              <w:rPr>
                <w:noProof/>
                <w:sz w:val="18"/>
              </w:rPr>
            </w:pPr>
          </w:p>
        </w:tc>
        <w:tc>
          <w:tcPr>
            <w:tcW w:w="720" w:type="dxa"/>
            <w:tcBorders>
              <w:bottom w:val="single" w:sz="12" w:space="0" w:color="auto"/>
            </w:tcBorders>
          </w:tcPr>
          <w:p w14:paraId="06A8A0BD" w14:textId="77777777" w:rsidR="002337F9" w:rsidRPr="00133050" w:rsidRDefault="002337F9" w:rsidP="0026218C">
            <w:pPr>
              <w:ind w:right="-29"/>
              <w:jc w:val="center"/>
              <w:rPr>
                <w:noProof/>
                <w:sz w:val="18"/>
              </w:rPr>
            </w:pPr>
          </w:p>
        </w:tc>
        <w:tc>
          <w:tcPr>
            <w:tcW w:w="720" w:type="dxa"/>
            <w:tcBorders>
              <w:bottom w:val="single" w:sz="12" w:space="0" w:color="auto"/>
            </w:tcBorders>
          </w:tcPr>
          <w:p w14:paraId="0E2B13DB" w14:textId="77777777" w:rsidR="002337F9" w:rsidRPr="00133050" w:rsidRDefault="002337F9" w:rsidP="0026218C">
            <w:pPr>
              <w:ind w:right="-29"/>
              <w:jc w:val="center"/>
              <w:rPr>
                <w:noProof/>
                <w:sz w:val="18"/>
              </w:rPr>
            </w:pPr>
          </w:p>
        </w:tc>
        <w:tc>
          <w:tcPr>
            <w:tcW w:w="900" w:type="dxa"/>
            <w:tcBorders>
              <w:bottom w:val="single" w:sz="12" w:space="0" w:color="auto"/>
            </w:tcBorders>
          </w:tcPr>
          <w:p w14:paraId="25A57DF2" w14:textId="77777777" w:rsidR="002337F9" w:rsidRPr="00133050" w:rsidRDefault="002337F9" w:rsidP="0026218C">
            <w:pPr>
              <w:ind w:right="-29"/>
              <w:jc w:val="center"/>
              <w:rPr>
                <w:noProof/>
                <w:sz w:val="18"/>
              </w:rPr>
            </w:pPr>
          </w:p>
        </w:tc>
      </w:tr>
      <w:tr w:rsidR="002337F9" w:rsidRPr="00133050" w14:paraId="315436BF" w14:textId="77777777" w:rsidTr="0026218C">
        <w:trPr>
          <w:jc w:val="center"/>
        </w:trPr>
        <w:tc>
          <w:tcPr>
            <w:tcW w:w="2844" w:type="dxa"/>
            <w:gridSpan w:val="3"/>
            <w:tcBorders>
              <w:top w:val="single" w:sz="12" w:space="0" w:color="auto"/>
              <w:left w:val="single" w:sz="12" w:space="0" w:color="auto"/>
              <w:bottom w:val="single" w:sz="12" w:space="0" w:color="auto"/>
            </w:tcBorders>
            <w:vAlign w:val="center"/>
          </w:tcPr>
          <w:p w14:paraId="40ECE0CF" w14:textId="77777777" w:rsidR="002337F9" w:rsidRPr="00133050" w:rsidRDefault="002337F9" w:rsidP="0026218C">
            <w:pPr>
              <w:ind w:right="-29"/>
              <w:jc w:val="center"/>
              <w:rPr>
                <w:noProof/>
                <w:sz w:val="18"/>
              </w:rPr>
            </w:pPr>
            <w:r w:rsidRPr="00133050">
              <w:rPr>
                <w:b/>
                <w:noProof/>
                <w:sz w:val="18"/>
              </w:rPr>
              <w:t>ОБЩО</w:t>
            </w:r>
          </w:p>
        </w:tc>
        <w:tc>
          <w:tcPr>
            <w:tcW w:w="504" w:type="dxa"/>
            <w:tcBorders>
              <w:top w:val="single" w:sz="12" w:space="0" w:color="auto"/>
              <w:bottom w:val="single" w:sz="12" w:space="0" w:color="auto"/>
            </w:tcBorders>
          </w:tcPr>
          <w:p w14:paraId="5A79403C" w14:textId="77777777" w:rsidR="002337F9" w:rsidRPr="00133050" w:rsidRDefault="002337F9" w:rsidP="0026218C">
            <w:pPr>
              <w:spacing w:before="180" w:after="180"/>
              <w:ind w:right="-29"/>
              <w:jc w:val="center"/>
              <w:rPr>
                <w:noProof/>
                <w:sz w:val="18"/>
              </w:rPr>
            </w:pPr>
          </w:p>
        </w:tc>
        <w:tc>
          <w:tcPr>
            <w:tcW w:w="720" w:type="dxa"/>
            <w:tcBorders>
              <w:top w:val="single" w:sz="12" w:space="0" w:color="auto"/>
              <w:bottom w:val="single" w:sz="12" w:space="0" w:color="auto"/>
            </w:tcBorders>
          </w:tcPr>
          <w:p w14:paraId="78A2323B" w14:textId="77777777" w:rsidR="002337F9" w:rsidRPr="00133050" w:rsidRDefault="002337F9" w:rsidP="0026218C">
            <w:pPr>
              <w:spacing w:before="180" w:after="180"/>
              <w:ind w:right="-29"/>
              <w:jc w:val="center"/>
              <w:rPr>
                <w:noProof/>
                <w:sz w:val="18"/>
              </w:rPr>
            </w:pPr>
          </w:p>
        </w:tc>
        <w:tc>
          <w:tcPr>
            <w:tcW w:w="540" w:type="dxa"/>
            <w:tcBorders>
              <w:top w:val="single" w:sz="12" w:space="0" w:color="auto"/>
              <w:bottom w:val="single" w:sz="12" w:space="0" w:color="auto"/>
            </w:tcBorders>
          </w:tcPr>
          <w:p w14:paraId="016E0BFB" w14:textId="77777777" w:rsidR="002337F9" w:rsidRPr="00133050" w:rsidRDefault="002337F9" w:rsidP="0026218C">
            <w:pPr>
              <w:spacing w:before="180" w:after="180"/>
              <w:ind w:right="-29"/>
              <w:jc w:val="center"/>
              <w:rPr>
                <w:noProof/>
                <w:sz w:val="18"/>
              </w:rPr>
            </w:pPr>
          </w:p>
        </w:tc>
        <w:tc>
          <w:tcPr>
            <w:tcW w:w="720" w:type="dxa"/>
            <w:tcBorders>
              <w:top w:val="single" w:sz="12" w:space="0" w:color="auto"/>
              <w:bottom w:val="single" w:sz="12" w:space="0" w:color="auto"/>
            </w:tcBorders>
          </w:tcPr>
          <w:p w14:paraId="75CE4A1D" w14:textId="77777777" w:rsidR="002337F9" w:rsidRPr="00133050" w:rsidRDefault="002337F9" w:rsidP="0026218C">
            <w:pPr>
              <w:spacing w:before="180" w:after="180"/>
              <w:ind w:right="-29"/>
              <w:jc w:val="center"/>
              <w:rPr>
                <w:noProof/>
                <w:sz w:val="18"/>
              </w:rPr>
            </w:pPr>
          </w:p>
        </w:tc>
        <w:tc>
          <w:tcPr>
            <w:tcW w:w="720" w:type="dxa"/>
            <w:tcBorders>
              <w:top w:val="single" w:sz="12" w:space="0" w:color="auto"/>
              <w:bottom w:val="single" w:sz="12" w:space="0" w:color="auto"/>
            </w:tcBorders>
          </w:tcPr>
          <w:p w14:paraId="05FE21A4" w14:textId="77777777" w:rsidR="002337F9" w:rsidRPr="00133050" w:rsidRDefault="002337F9" w:rsidP="0026218C">
            <w:pPr>
              <w:spacing w:before="180" w:after="180"/>
              <w:ind w:right="-29"/>
              <w:jc w:val="center"/>
              <w:rPr>
                <w:noProof/>
                <w:sz w:val="18"/>
              </w:rPr>
            </w:pPr>
          </w:p>
        </w:tc>
        <w:tc>
          <w:tcPr>
            <w:tcW w:w="720" w:type="dxa"/>
            <w:tcBorders>
              <w:top w:val="single" w:sz="12" w:space="0" w:color="auto"/>
              <w:bottom w:val="single" w:sz="12" w:space="0" w:color="auto"/>
            </w:tcBorders>
          </w:tcPr>
          <w:p w14:paraId="015D4D33" w14:textId="77777777" w:rsidR="002337F9" w:rsidRPr="00133050" w:rsidRDefault="002337F9" w:rsidP="0026218C">
            <w:pPr>
              <w:spacing w:before="180" w:after="180"/>
              <w:ind w:right="-29"/>
              <w:jc w:val="center"/>
              <w:rPr>
                <w:noProof/>
                <w:sz w:val="18"/>
              </w:rPr>
            </w:pPr>
          </w:p>
        </w:tc>
        <w:tc>
          <w:tcPr>
            <w:tcW w:w="900" w:type="dxa"/>
            <w:tcBorders>
              <w:top w:val="single" w:sz="12" w:space="0" w:color="auto"/>
              <w:bottom w:val="single" w:sz="12" w:space="0" w:color="auto"/>
            </w:tcBorders>
          </w:tcPr>
          <w:p w14:paraId="73674EFA" w14:textId="77777777" w:rsidR="002337F9" w:rsidRPr="00133050" w:rsidRDefault="002337F9" w:rsidP="0026218C">
            <w:pPr>
              <w:spacing w:before="180" w:after="180"/>
              <w:ind w:right="-29"/>
              <w:jc w:val="center"/>
              <w:rPr>
                <w:noProof/>
                <w:sz w:val="18"/>
              </w:rPr>
            </w:pPr>
          </w:p>
        </w:tc>
        <w:tc>
          <w:tcPr>
            <w:tcW w:w="720" w:type="dxa"/>
            <w:gridSpan w:val="2"/>
            <w:tcBorders>
              <w:top w:val="single" w:sz="12" w:space="0" w:color="auto"/>
              <w:bottom w:val="single" w:sz="12" w:space="0" w:color="auto"/>
            </w:tcBorders>
          </w:tcPr>
          <w:p w14:paraId="5D4DC887" w14:textId="77777777" w:rsidR="002337F9" w:rsidRPr="00133050" w:rsidRDefault="002337F9" w:rsidP="0026218C">
            <w:pPr>
              <w:spacing w:before="180" w:after="180"/>
              <w:ind w:right="-29"/>
              <w:jc w:val="center"/>
              <w:rPr>
                <w:noProof/>
                <w:sz w:val="18"/>
              </w:rPr>
            </w:pPr>
          </w:p>
        </w:tc>
        <w:tc>
          <w:tcPr>
            <w:tcW w:w="540" w:type="dxa"/>
            <w:tcBorders>
              <w:top w:val="single" w:sz="12" w:space="0" w:color="auto"/>
              <w:bottom w:val="single" w:sz="12" w:space="0" w:color="auto"/>
            </w:tcBorders>
          </w:tcPr>
          <w:p w14:paraId="0C12C43A" w14:textId="77777777" w:rsidR="002337F9" w:rsidRPr="00133050" w:rsidRDefault="002337F9" w:rsidP="0026218C">
            <w:pPr>
              <w:spacing w:before="180" w:after="180"/>
              <w:ind w:right="-29"/>
              <w:jc w:val="center"/>
              <w:rPr>
                <w:noProof/>
                <w:sz w:val="18"/>
              </w:rPr>
            </w:pPr>
          </w:p>
        </w:tc>
        <w:tc>
          <w:tcPr>
            <w:tcW w:w="648" w:type="dxa"/>
            <w:tcBorders>
              <w:top w:val="single" w:sz="12" w:space="0" w:color="auto"/>
              <w:bottom w:val="single" w:sz="12" w:space="0" w:color="auto"/>
            </w:tcBorders>
          </w:tcPr>
          <w:p w14:paraId="46FEAF19" w14:textId="77777777" w:rsidR="002337F9" w:rsidRPr="00133050" w:rsidRDefault="002337F9" w:rsidP="0026218C">
            <w:pPr>
              <w:spacing w:before="180" w:after="180"/>
              <w:ind w:right="-29"/>
              <w:jc w:val="center"/>
              <w:rPr>
                <w:noProof/>
                <w:sz w:val="18"/>
              </w:rPr>
            </w:pPr>
          </w:p>
        </w:tc>
        <w:tc>
          <w:tcPr>
            <w:tcW w:w="432" w:type="dxa"/>
            <w:tcBorders>
              <w:top w:val="single" w:sz="12" w:space="0" w:color="auto"/>
              <w:bottom w:val="single" w:sz="12" w:space="0" w:color="auto"/>
            </w:tcBorders>
          </w:tcPr>
          <w:p w14:paraId="33903D9B" w14:textId="77777777" w:rsidR="002337F9" w:rsidRPr="00133050" w:rsidRDefault="002337F9" w:rsidP="0026218C">
            <w:pPr>
              <w:spacing w:before="180" w:after="180"/>
              <w:ind w:right="-29"/>
              <w:jc w:val="center"/>
              <w:rPr>
                <w:noProof/>
                <w:sz w:val="18"/>
              </w:rPr>
            </w:pPr>
          </w:p>
        </w:tc>
        <w:tc>
          <w:tcPr>
            <w:tcW w:w="720" w:type="dxa"/>
            <w:tcBorders>
              <w:top w:val="single" w:sz="12" w:space="0" w:color="auto"/>
              <w:bottom w:val="single" w:sz="12" w:space="0" w:color="auto"/>
            </w:tcBorders>
          </w:tcPr>
          <w:p w14:paraId="3F982FE3" w14:textId="77777777" w:rsidR="002337F9" w:rsidRPr="00133050" w:rsidRDefault="002337F9" w:rsidP="0026218C">
            <w:pPr>
              <w:spacing w:before="180" w:after="180"/>
              <w:ind w:right="-29"/>
              <w:jc w:val="center"/>
              <w:rPr>
                <w:noProof/>
                <w:sz w:val="18"/>
              </w:rPr>
            </w:pPr>
          </w:p>
        </w:tc>
        <w:tc>
          <w:tcPr>
            <w:tcW w:w="540" w:type="dxa"/>
            <w:tcBorders>
              <w:top w:val="single" w:sz="12" w:space="0" w:color="auto"/>
              <w:bottom w:val="single" w:sz="12" w:space="0" w:color="auto"/>
            </w:tcBorders>
          </w:tcPr>
          <w:p w14:paraId="4C71E35E" w14:textId="77777777" w:rsidR="002337F9" w:rsidRPr="00133050" w:rsidRDefault="002337F9" w:rsidP="0026218C">
            <w:pPr>
              <w:spacing w:before="180" w:after="180"/>
              <w:ind w:right="-29"/>
              <w:jc w:val="center"/>
              <w:rPr>
                <w:noProof/>
                <w:sz w:val="18"/>
              </w:rPr>
            </w:pPr>
          </w:p>
        </w:tc>
        <w:tc>
          <w:tcPr>
            <w:tcW w:w="720" w:type="dxa"/>
            <w:tcBorders>
              <w:top w:val="single" w:sz="12" w:space="0" w:color="auto"/>
              <w:bottom w:val="single" w:sz="12" w:space="0" w:color="auto"/>
            </w:tcBorders>
          </w:tcPr>
          <w:p w14:paraId="482C6710" w14:textId="77777777" w:rsidR="002337F9" w:rsidRPr="00133050" w:rsidRDefault="002337F9" w:rsidP="0026218C">
            <w:pPr>
              <w:spacing w:before="180" w:after="180"/>
              <w:ind w:right="-29"/>
              <w:jc w:val="center"/>
              <w:rPr>
                <w:noProof/>
                <w:sz w:val="18"/>
              </w:rPr>
            </w:pPr>
          </w:p>
        </w:tc>
        <w:tc>
          <w:tcPr>
            <w:tcW w:w="720" w:type="dxa"/>
            <w:tcBorders>
              <w:top w:val="single" w:sz="12" w:space="0" w:color="auto"/>
              <w:bottom w:val="single" w:sz="12" w:space="0" w:color="auto"/>
            </w:tcBorders>
          </w:tcPr>
          <w:p w14:paraId="6A7AA973" w14:textId="77777777" w:rsidR="002337F9" w:rsidRPr="00133050" w:rsidRDefault="002337F9" w:rsidP="0026218C">
            <w:pPr>
              <w:spacing w:before="180" w:after="180"/>
              <w:ind w:right="-29"/>
              <w:jc w:val="center"/>
              <w:rPr>
                <w:noProof/>
                <w:sz w:val="18"/>
              </w:rPr>
            </w:pPr>
          </w:p>
        </w:tc>
        <w:tc>
          <w:tcPr>
            <w:tcW w:w="900" w:type="dxa"/>
            <w:tcBorders>
              <w:top w:val="single" w:sz="12" w:space="0" w:color="auto"/>
              <w:bottom w:val="single" w:sz="12" w:space="0" w:color="auto"/>
              <w:right w:val="single" w:sz="12" w:space="0" w:color="auto"/>
            </w:tcBorders>
          </w:tcPr>
          <w:p w14:paraId="7EC39C68" w14:textId="77777777" w:rsidR="002337F9" w:rsidRPr="00133050" w:rsidRDefault="002337F9" w:rsidP="0026218C">
            <w:pPr>
              <w:spacing w:before="180" w:after="180"/>
              <w:ind w:right="-29"/>
              <w:jc w:val="center"/>
              <w:rPr>
                <w:noProof/>
                <w:sz w:val="18"/>
              </w:rPr>
            </w:pPr>
          </w:p>
        </w:tc>
      </w:tr>
    </w:tbl>
    <w:p w14:paraId="06C505B2" w14:textId="77777777" w:rsidR="002337F9" w:rsidRPr="00133050" w:rsidRDefault="002337F9" w:rsidP="002337F9">
      <w:pPr>
        <w:rPr>
          <w:noProof/>
        </w:rPr>
        <w:sectPr w:rsidR="002337F9" w:rsidRPr="00133050" w:rsidSect="00272311">
          <w:headerReference w:type="default" r:id="rId19"/>
          <w:footerReference w:type="default" r:id="rId20"/>
          <w:footnotePr>
            <w:numRestart w:val="eachSect"/>
          </w:footnotePr>
          <w:pgSz w:w="16840" w:h="11907" w:orient="landscape" w:code="9"/>
          <w:pgMar w:top="1134" w:right="1418" w:bottom="567" w:left="1418" w:header="709" w:footer="709" w:gutter="0"/>
          <w:cols w:space="708"/>
          <w:docGrid w:linePitch="360"/>
        </w:sectPr>
      </w:pPr>
    </w:p>
    <w:p w14:paraId="4F783C01" w14:textId="77777777" w:rsidR="002337F9" w:rsidRPr="00133050" w:rsidRDefault="002337F9" w:rsidP="00070956">
      <w:pPr>
        <w:pStyle w:val="ManualHeading3"/>
        <w:rPr>
          <w:noProof/>
        </w:rPr>
      </w:pPr>
      <w:r>
        <w:rPr>
          <w:noProof/>
        </w:rPr>
        <w:t>3.2.3.</w:t>
      </w:r>
      <w:r>
        <w:rPr>
          <w:noProof/>
        </w:rPr>
        <w:tab/>
      </w:r>
      <w:r w:rsidRPr="00133050">
        <w:rPr>
          <w:noProof/>
        </w:rPr>
        <w:t xml:space="preserve">Обобщение на очакваното отражение върху бюджетните кредити за административни разходи </w:t>
      </w:r>
    </w:p>
    <w:p w14:paraId="52A2D0FF" w14:textId="77777777" w:rsidR="002337F9" w:rsidRPr="00133050" w:rsidRDefault="002337F9" w:rsidP="002337F9">
      <w:pPr>
        <w:pStyle w:val="Tiret1"/>
        <w:rPr>
          <w:noProof/>
        </w:rPr>
      </w:pPr>
      <w:r w:rsidRPr="00133050">
        <w:rPr>
          <w:noProof/>
        </w:rPr>
        <w:sym w:font="Wingdings" w:char="F0A8"/>
      </w:r>
      <w:r w:rsidRPr="00133050">
        <w:rPr>
          <w:noProof/>
        </w:rPr>
        <w:tab/>
        <w:t xml:space="preserve">Предложението/инициативата не налага използване на бюджетни кредити за административни разходи </w:t>
      </w:r>
    </w:p>
    <w:p w14:paraId="4B38B049" w14:textId="77777777" w:rsidR="002337F9" w:rsidRPr="00133050" w:rsidRDefault="002337F9" w:rsidP="002337F9">
      <w:pPr>
        <w:pStyle w:val="Tiret1"/>
        <w:rPr>
          <w:noProof/>
        </w:rPr>
      </w:pPr>
      <w:r w:rsidRPr="00133050">
        <w:rPr>
          <w:noProof/>
        </w:rPr>
        <w:sym w:font="Wingdings" w:char="F0FD"/>
      </w:r>
      <w:r w:rsidRPr="00133050">
        <w:rPr>
          <w:noProof/>
        </w:rPr>
        <w:tab/>
        <w:t>Предложението/инициативата налага използване на бюджетни кредити за административни разходи съгласно обяснението по-долу:</w:t>
      </w:r>
    </w:p>
    <w:p w14:paraId="58CFBEB4" w14:textId="77777777" w:rsidR="002337F9" w:rsidRPr="00133050" w:rsidRDefault="002337F9" w:rsidP="002337F9">
      <w:pPr>
        <w:jc w:val="right"/>
        <w:rPr>
          <w:noProof/>
          <w:sz w:val="20"/>
        </w:rPr>
      </w:pPr>
      <w:r w:rsidRPr="00133050">
        <w:rPr>
          <w:noProof/>
          <w:sz w:val="20"/>
        </w:rPr>
        <w:t>млн. евро (до 3-тия знак след десетичната запетая)</w:t>
      </w: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2337F9" w:rsidRPr="00133050" w14:paraId="43FE38EE" w14:textId="77777777" w:rsidTr="0026218C">
        <w:trPr>
          <w:trHeight w:val="585"/>
        </w:trPr>
        <w:tc>
          <w:tcPr>
            <w:tcW w:w="1980" w:type="dxa"/>
          </w:tcPr>
          <w:p w14:paraId="34D3E598" w14:textId="77777777" w:rsidR="002337F9" w:rsidRPr="00133050" w:rsidRDefault="002337F9" w:rsidP="0026218C">
            <w:pPr>
              <w:spacing w:before="60" w:after="60" w:line="200" w:lineRule="exact"/>
              <w:rPr>
                <w:noProof/>
                <w:sz w:val="16"/>
              </w:rPr>
            </w:pPr>
          </w:p>
        </w:tc>
        <w:tc>
          <w:tcPr>
            <w:tcW w:w="1080" w:type="dxa"/>
            <w:vAlign w:val="center"/>
          </w:tcPr>
          <w:p w14:paraId="401BC8C4" w14:textId="77777777" w:rsidR="002337F9" w:rsidRPr="00133050" w:rsidRDefault="002337F9" w:rsidP="0026218C">
            <w:pPr>
              <w:spacing w:before="60" w:after="60" w:line="200" w:lineRule="exact"/>
              <w:jc w:val="center"/>
              <w:rPr>
                <w:noProof/>
                <w:sz w:val="16"/>
              </w:rPr>
            </w:pPr>
            <w:r w:rsidRPr="00133050">
              <w:rPr>
                <w:b/>
                <w:noProof/>
                <w:sz w:val="20"/>
              </w:rPr>
              <w:t>2026 г.</w:t>
            </w:r>
          </w:p>
        </w:tc>
        <w:tc>
          <w:tcPr>
            <w:tcW w:w="1080" w:type="dxa"/>
            <w:vAlign w:val="center"/>
          </w:tcPr>
          <w:p w14:paraId="04F1EB29" w14:textId="77777777" w:rsidR="002337F9" w:rsidRPr="00133050" w:rsidRDefault="002337F9" w:rsidP="0026218C">
            <w:pPr>
              <w:spacing w:before="60" w:after="60" w:line="200" w:lineRule="exact"/>
              <w:jc w:val="center"/>
              <w:rPr>
                <w:noProof/>
                <w:sz w:val="16"/>
              </w:rPr>
            </w:pPr>
            <w:r w:rsidRPr="00133050">
              <w:rPr>
                <w:b/>
                <w:noProof/>
                <w:sz w:val="20"/>
              </w:rPr>
              <w:t>2027 г.</w:t>
            </w:r>
          </w:p>
        </w:tc>
        <w:tc>
          <w:tcPr>
            <w:tcW w:w="1080" w:type="dxa"/>
            <w:vAlign w:val="center"/>
          </w:tcPr>
          <w:p w14:paraId="4FD74335" w14:textId="77777777" w:rsidR="002337F9" w:rsidRPr="00133050" w:rsidRDefault="002337F9" w:rsidP="0026218C">
            <w:pPr>
              <w:spacing w:before="60" w:after="60" w:line="200" w:lineRule="exact"/>
              <w:jc w:val="center"/>
              <w:rPr>
                <w:noProof/>
                <w:sz w:val="16"/>
              </w:rPr>
            </w:pPr>
          </w:p>
        </w:tc>
        <w:tc>
          <w:tcPr>
            <w:tcW w:w="1080" w:type="dxa"/>
            <w:vAlign w:val="center"/>
          </w:tcPr>
          <w:p w14:paraId="103A34C1" w14:textId="77777777" w:rsidR="002337F9" w:rsidRPr="00133050" w:rsidRDefault="002337F9" w:rsidP="0026218C">
            <w:pPr>
              <w:spacing w:before="60" w:after="60" w:line="200" w:lineRule="exact"/>
              <w:jc w:val="center"/>
              <w:rPr>
                <w:noProof/>
                <w:sz w:val="16"/>
              </w:rPr>
            </w:pPr>
          </w:p>
        </w:tc>
        <w:tc>
          <w:tcPr>
            <w:tcW w:w="1080" w:type="dxa"/>
            <w:vAlign w:val="center"/>
          </w:tcPr>
          <w:p w14:paraId="24068431" w14:textId="77777777" w:rsidR="002337F9" w:rsidRPr="00133050" w:rsidRDefault="002337F9" w:rsidP="0026218C">
            <w:pPr>
              <w:spacing w:line="200" w:lineRule="exact"/>
              <w:jc w:val="center"/>
              <w:rPr>
                <w:b/>
                <w:noProof/>
                <w:sz w:val="16"/>
              </w:rPr>
            </w:pPr>
          </w:p>
        </w:tc>
        <w:tc>
          <w:tcPr>
            <w:tcW w:w="1080" w:type="dxa"/>
            <w:vAlign w:val="center"/>
          </w:tcPr>
          <w:p w14:paraId="290A087F" w14:textId="77777777" w:rsidR="002337F9" w:rsidRPr="00133050" w:rsidRDefault="002337F9" w:rsidP="0026218C">
            <w:pPr>
              <w:spacing w:line="200" w:lineRule="exact"/>
              <w:jc w:val="center"/>
              <w:rPr>
                <w:b/>
                <w:noProof/>
                <w:sz w:val="16"/>
              </w:rPr>
            </w:pPr>
          </w:p>
        </w:tc>
        <w:tc>
          <w:tcPr>
            <w:tcW w:w="1080" w:type="dxa"/>
            <w:vAlign w:val="center"/>
          </w:tcPr>
          <w:p w14:paraId="00F4A890" w14:textId="77777777" w:rsidR="002337F9" w:rsidRPr="00133050" w:rsidRDefault="002337F9" w:rsidP="0026218C">
            <w:pPr>
              <w:spacing w:line="200" w:lineRule="exact"/>
              <w:jc w:val="center"/>
              <w:rPr>
                <w:b/>
                <w:noProof/>
                <w:sz w:val="16"/>
              </w:rPr>
            </w:pPr>
          </w:p>
        </w:tc>
        <w:tc>
          <w:tcPr>
            <w:tcW w:w="1080" w:type="dxa"/>
            <w:vAlign w:val="center"/>
          </w:tcPr>
          <w:p w14:paraId="44F3472C" w14:textId="77777777" w:rsidR="002337F9" w:rsidRPr="00133050" w:rsidRDefault="002337F9" w:rsidP="0026218C">
            <w:pPr>
              <w:spacing w:before="60" w:after="60" w:line="200" w:lineRule="exact"/>
              <w:jc w:val="center"/>
              <w:rPr>
                <w:b/>
                <w:noProof/>
                <w:sz w:val="16"/>
              </w:rPr>
            </w:pPr>
            <w:r w:rsidRPr="00133050">
              <w:rPr>
                <w:b/>
                <w:noProof/>
                <w:sz w:val="16"/>
              </w:rPr>
              <w:t>ОБЩО</w:t>
            </w:r>
          </w:p>
        </w:tc>
      </w:tr>
    </w:tbl>
    <w:p w14:paraId="0ADACE84" w14:textId="77777777" w:rsidR="002337F9" w:rsidRPr="00133050" w:rsidRDefault="002337F9" w:rsidP="002337F9">
      <w:pPr>
        <w:spacing w:line="200" w:lineRule="exact"/>
        <w:rPr>
          <w:noProof/>
          <w:sz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2337F9" w:rsidRPr="00133050" w14:paraId="3B54C44A" w14:textId="77777777" w:rsidTr="0026218C">
        <w:trPr>
          <w:trHeight w:val="585"/>
        </w:trPr>
        <w:tc>
          <w:tcPr>
            <w:tcW w:w="1980" w:type="dxa"/>
            <w:shd w:val="clear" w:color="auto" w:fill="CCCCCC"/>
            <w:vAlign w:val="center"/>
          </w:tcPr>
          <w:p w14:paraId="07315F72" w14:textId="77777777" w:rsidR="002337F9" w:rsidRPr="00133050" w:rsidRDefault="002337F9" w:rsidP="0026218C">
            <w:pPr>
              <w:spacing w:before="60" w:after="60" w:line="200" w:lineRule="exact"/>
              <w:jc w:val="center"/>
              <w:rPr>
                <w:b/>
                <w:noProof/>
                <w:sz w:val="16"/>
              </w:rPr>
            </w:pPr>
            <w:r w:rsidRPr="00133050">
              <w:rPr>
                <w:b/>
                <w:noProof/>
                <w:sz w:val="16"/>
              </w:rPr>
              <w:t>ФУНКЦИЯ 7</w:t>
            </w:r>
            <w:r w:rsidRPr="00133050">
              <w:rPr>
                <w:noProof/>
              </w:rPr>
              <w:t xml:space="preserve"> </w:t>
            </w:r>
            <w:r w:rsidRPr="00133050">
              <w:rPr>
                <w:noProof/>
              </w:rPr>
              <w:cr/>
            </w:r>
            <w:r w:rsidRPr="00133050">
              <w:rPr>
                <w:noProof/>
              </w:rPr>
              <w:br/>
            </w:r>
            <w:r w:rsidRPr="00133050">
              <w:rPr>
                <w:b/>
                <w:noProof/>
                <w:sz w:val="16"/>
              </w:rPr>
              <w:t>от многогодишната финансова рамка</w:t>
            </w:r>
          </w:p>
        </w:tc>
        <w:tc>
          <w:tcPr>
            <w:tcW w:w="1080" w:type="dxa"/>
            <w:vAlign w:val="center"/>
          </w:tcPr>
          <w:p w14:paraId="0C274274" w14:textId="77777777" w:rsidR="002337F9" w:rsidRPr="00133050" w:rsidRDefault="002337F9" w:rsidP="0026218C">
            <w:pPr>
              <w:spacing w:before="60" w:after="60" w:line="200" w:lineRule="exact"/>
              <w:jc w:val="right"/>
              <w:rPr>
                <w:noProof/>
                <w:sz w:val="16"/>
              </w:rPr>
            </w:pPr>
          </w:p>
        </w:tc>
        <w:tc>
          <w:tcPr>
            <w:tcW w:w="1080" w:type="dxa"/>
            <w:vAlign w:val="center"/>
          </w:tcPr>
          <w:p w14:paraId="592D0BCB" w14:textId="77777777" w:rsidR="002337F9" w:rsidRPr="00133050" w:rsidRDefault="002337F9" w:rsidP="0026218C">
            <w:pPr>
              <w:spacing w:before="60" w:after="60" w:line="200" w:lineRule="exact"/>
              <w:jc w:val="right"/>
              <w:rPr>
                <w:noProof/>
                <w:sz w:val="16"/>
              </w:rPr>
            </w:pPr>
          </w:p>
        </w:tc>
        <w:tc>
          <w:tcPr>
            <w:tcW w:w="1080" w:type="dxa"/>
            <w:vAlign w:val="center"/>
          </w:tcPr>
          <w:p w14:paraId="302A58AB" w14:textId="77777777" w:rsidR="002337F9" w:rsidRPr="00133050" w:rsidRDefault="002337F9" w:rsidP="0026218C">
            <w:pPr>
              <w:spacing w:before="60" w:after="60" w:line="200" w:lineRule="exact"/>
              <w:jc w:val="right"/>
              <w:rPr>
                <w:noProof/>
                <w:sz w:val="16"/>
              </w:rPr>
            </w:pPr>
          </w:p>
        </w:tc>
        <w:tc>
          <w:tcPr>
            <w:tcW w:w="1080" w:type="dxa"/>
            <w:vAlign w:val="center"/>
          </w:tcPr>
          <w:p w14:paraId="63985D81" w14:textId="77777777" w:rsidR="002337F9" w:rsidRPr="00133050" w:rsidRDefault="002337F9" w:rsidP="0026218C">
            <w:pPr>
              <w:spacing w:before="60" w:after="60" w:line="200" w:lineRule="exact"/>
              <w:jc w:val="right"/>
              <w:rPr>
                <w:noProof/>
                <w:sz w:val="16"/>
              </w:rPr>
            </w:pPr>
          </w:p>
        </w:tc>
        <w:tc>
          <w:tcPr>
            <w:tcW w:w="1080" w:type="dxa"/>
            <w:vAlign w:val="center"/>
          </w:tcPr>
          <w:p w14:paraId="6747FF58" w14:textId="77777777" w:rsidR="002337F9" w:rsidRPr="00133050" w:rsidRDefault="002337F9" w:rsidP="0026218C">
            <w:pPr>
              <w:spacing w:before="60" w:after="60" w:line="200" w:lineRule="exact"/>
              <w:jc w:val="right"/>
              <w:rPr>
                <w:noProof/>
                <w:sz w:val="16"/>
              </w:rPr>
            </w:pPr>
          </w:p>
        </w:tc>
        <w:tc>
          <w:tcPr>
            <w:tcW w:w="1080" w:type="dxa"/>
            <w:vAlign w:val="center"/>
          </w:tcPr>
          <w:p w14:paraId="501BB8DF" w14:textId="77777777" w:rsidR="002337F9" w:rsidRPr="00133050" w:rsidRDefault="002337F9" w:rsidP="0026218C">
            <w:pPr>
              <w:spacing w:before="60" w:after="60" w:line="200" w:lineRule="exact"/>
              <w:jc w:val="right"/>
              <w:rPr>
                <w:noProof/>
                <w:sz w:val="16"/>
              </w:rPr>
            </w:pPr>
          </w:p>
        </w:tc>
        <w:tc>
          <w:tcPr>
            <w:tcW w:w="1080" w:type="dxa"/>
            <w:vAlign w:val="center"/>
          </w:tcPr>
          <w:p w14:paraId="52901E0C" w14:textId="77777777" w:rsidR="002337F9" w:rsidRPr="00133050" w:rsidRDefault="002337F9" w:rsidP="0026218C">
            <w:pPr>
              <w:spacing w:before="60" w:after="60" w:line="200" w:lineRule="exact"/>
              <w:jc w:val="right"/>
              <w:rPr>
                <w:b/>
                <w:noProof/>
                <w:sz w:val="16"/>
              </w:rPr>
            </w:pPr>
          </w:p>
        </w:tc>
        <w:tc>
          <w:tcPr>
            <w:tcW w:w="1080" w:type="dxa"/>
            <w:vAlign w:val="center"/>
          </w:tcPr>
          <w:p w14:paraId="7DDDA6CB" w14:textId="77777777" w:rsidR="002337F9" w:rsidRPr="00133050" w:rsidRDefault="002337F9" w:rsidP="0026218C">
            <w:pPr>
              <w:spacing w:before="60" w:after="60" w:line="200" w:lineRule="exact"/>
              <w:jc w:val="right"/>
              <w:rPr>
                <w:b/>
                <w:noProof/>
                <w:sz w:val="16"/>
              </w:rPr>
            </w:pPr>
          </w:p>
        </w:tc>
      </w:tr>
      <w:tr w:rsidR="002337F9" w:rsidRPr="00133050" w14:paraId="01B6FFD5" w14:textId="77777777" w:rsidTr="0026218C">
        <w:trPr>
          <w:trHeight w:val="585"/>
        </w:trPr>
        <w:tc>
          <w:tcPr>
            <w:tcW w:w="1980" w:type="dxa"/>
            <w:vAlign w:val="center"/>
          </w:tcPr>
          <w:p w14:paraId="3DFB1F2D" w14:textId="77777777" w:rsidR="002337F9" w:rsidRPr="00133050" w:rsidRDefault="002337F9" w:rsidP="0026218C">
            <w:pPr>
              <w:spacing w:before="60" w:after="60" w:line="200" w:lineRule="exact"/>
              <w:ind w:left="72"/>
              <w:jc w:val="left"/>
              <w:rPr>
                <w:noProof/>
                <w:sz w:val="16"/>
              </w:rPr>
            </w:pPr>
            <w:r w:rsidRPr="00133050">
              <w:rPr>
                <w:noProof/>
                <w:sz w:val="16"/>
              </w:rPr>
              <w:t xml:space="preserve">Човешки ресурси </w:t>
            </w:r>
          </w:p>
        </w:tc>
        <w:tc>
          <w:tcPr>
            <w:tcW w:w="1080" w:type="dxa"/>
            <w:vAlign w:val="center"/>
          </w:tcPr>
          <w:p w14:paraId="65E7E872" w14:textId="77777777" w:rsidR="002337F9" w:rsidRPr="00133050" w:rsidRDefault="002337F9" w:rsidP="0026218C">
            <w:pPr>
              <w:spacing w:before="60" w:after="60" w:line="200" w:lineRule="exact"/>
              <w:jc w:val="right"/>
              <w:rPr>
                <w:noProof/>
                <w:sz w:val="16"/>
              </w:rPr>
            </w:pPr>
            <w:r w:rsidRPr="00133050">
              <w:rPr>
                <w:noProof/>
                <w:sz w:val="20"/>
              </w:rPr>
              <w:t>5,162</w:t>
            </w:r>
          </w:p>
        </w:tc>
        <w:tc>
          <w:tcPr>
            <w:tcW w:w="1080" w:type="dxa"/>
            <w:vAlign w:val="center"/>
          </w:tcPr>
          <w:p w14:paraId="0CCD5B39" w14:textId="77777777" w:rsidR="002337F9" w:rsidRPr="00133050" w:rsidRDefault="002337F9" w:rsidP="0026218C">
            <w:pPr>
              <w:spacing w:before="60" w:after="60" w:line="200" w:lineRule="exact"/>
              <w:jc w:val="right"/>
              <w:rPr>
                <w:noProof/>
                <w:sz w:val="16"/>
              </w:rPr>
            </w:pPr>
            <w:r w:rsidRPr="00133050">
              <w:rPr>
                <w:noProof/>
                <w:sz w:val="20"/>
              </w:rPr>
              <w:t>5,162</w:t>
            </w:r>
          </w:p>
        </w:tc>
        <w:tc>
          <w:tcPr>
            <w:tcW w:w="1080" w:type="dxa"/>
            <w:vAlign w:val="center"/>
          </w:tcPr>
          <w:p w14:paraId="3D314C36" w14:textId="77777777" w:rsidR="002337F9" w:rsidRPr="00133050" w:rsidRDefault="002337F9" w:rsidP="0026218C">
            <w:pPr>
              <w:spacing w:before="60" w:after="60" w:line="200" w:lineRule="exact"/>
              <w:jc w:val="right"/>
              <w:rPr>
                <w:noProof/>
                <w:sz w:val="16"/>
              </w:rPr>
            </w:pPr>
          </w:p>
        </w:tc>
        <w:tc>
          <w:tcPr>
            <w:tcW w:w="1080" w:type="dxa"/>
            <w:vAlign w:val="center"/>
          </w:tcPr>
          <w:p w14:paraId="2745776E" w14:textId="77777777" w:rsidR="002337F9" w:rsidRPr="00133050" w:rsidRDefault="002337F9" w:rsidP="0026218C">
            <w:pPr>
              <w:spacing w:before="60" w:after="60" w:line="200" w:lineRule="exact"/>
              <w:jc w:val="right"/>
              <w:rPr>
                <w:noProof/>
                <w:sz w:val="16"/>
              </w:rPr>
            </w:pPr>
          </w:p>
        </w:tc>
        <w:tc>
          <w:tcPr>
            <w:tcW w:w="1080" w:type="dxa"/>
            <w:vAlign w:val="center"/>
          </w:tcPr>
          <w:p w14:paraId="2F037933" w14:textId="77777777" w:rsidR="002337F9" w:rsidRPr="00133050" w:rsidRDefault="002337F9" w:rsidP="0026218C">
            <w:pPr>
              <w:spacing w:before="60" w:after="60" w:line="200" w:lineRule="exact"/>
              <w:jc w:val="right"/>
              <w:rPr>
                <w:noProof/>
                <w:sz w:val="16"/>
              </w:rPr>
            </w:pPr>
          </w:p>
        </w:tc>
        <w:tc>
          <w:tcPr>
            <w:tcW w:w="1080" w:type="dxa"/>
            <w:vAlign w:val="center"/>
          </w:tcPr>
          <w:p w14:paraId="334D62E2" w14:textId="77777777" w:rsidR="002337F9" w:rsidRPr="00133050" w:rsidRDefault="002337F9" w:rsidP="0026218C">
            <w:pPr>
              <w:spacing w:before="60" w:after="60" w:line="200" w:lineRule="exact"/>
              <w:jc w:val="right"/>
              <w:rPr>
                <w:noProof/>
                <w:sz w:val="16"/>
              </w:rPr>
            </w:pPr>
          </w:p>
        </w:tc>
        <w:tc>
          <w:tcPr>
            <w:tcW w:w="1080" w:type="dxa"/>
            <w:vAlign w:val="center"/>
          </w:tcPr>
          <w:p w14:paraId="3AD74B46" w14:textId="77777777" w:rsidR="002337F9" w:rsidRPr="00133050" w:rsidRDefault="002337F9" w:rsidP="0026218C">
            <w:pPr>
              <w:spacing w:before="60" w:after="60" w:line="200" w:lineRule="exact"/>
              <w:jc w:val="right"/>
              <w:rPr>
                <w:b/>
                <w:noProof/>
                <w:sz w:val="16"/>
              </w:rPr>
            </w:pPr>
          </w:p>
        </w:tc>
        <w:tc>
          <w:tcPr>
            <w:tcW w:w="1080" w:type="dxa"/>
            <w:vAlign w:val="center"/>
          </w:tcPr>
          <w:p w14:paraId="706F87BB" w14:textId="77777777" w:rsidR="002337F9" w:rsidRPr="00133050" w:rsidRDefault="002337F9" w:rsidP="0026218C">
            <w:pPr>
              <w:spacing w:before="60" w:after="60" w:line="200" w:lineRule="exact"/>
              <w:jc w:val="right"/>
              <w:rPr>
                <w:b/>
                <w:noProof/>
                <w:sz w:val="16"/>
              </w:rPr>
            </w:pPr>
            <w:r w:rsidRPr="00133050">
              <w:rPr>
                <w:b/>
                <w:noProof/>
                <w:sz w:val="20"/>
              </w:rPr>
              <w:t>10,324</w:t>
            </w:r>
          </w:p>
        </w:tc>
      </w:tr>
      <w:tr w:rsidR="002337F9" w:rsidRPr="00133050" w14:paraId="2C3C9A2B" w14:textId="77777777" w:rsidTr="0026218C">
        <w:trPr>
          <w:trHeight w:val="585"/>
        </w:trPr>
        <w:tc>
          <w:tcPr>
            <w:tcW w:w="1980" w:type="dxa"/>
            <w:vAlign w:val="center"/>
          </w:tcPr>
          <w:p w14:paraId="64813B42" w14:textId="77777777" w:rsidR="002337F9" w:rsidRPr="00133050" w:rsidRDefault="002337F9" w:rsidP="0026218C">
            <w:pPr>
              <w:spacing w:before="60" w:after="60" w:line="200" w:lineRule="exact"/>
              <w:ind w:left="72"/>
              <w:jc w:val="left"/>
              <w:rPr>
                <w:noProof/>
                <w:sz w:val="16"/>
              </w:rPr>
            </w:pPr>
            <w:r w:rsidRPr="00133050">
              <w:rPr>
                <w:noProof/>
                <w:sz w:val="16"/>
              </w:rPr>
              <w:t xml:space="preserve">Други административни разходи </w:t>
            </w:r>
          </w:p>
        </w:tc>
        <w:tc>
          <w:tcPr>
            <w:tcW w:w="1080" w:type="dxa"/>
            <w:vAlign w:val="center"/>
          </w:tcPr>
          <w:p w14:paraId="4CCB4B9D" w14:textId="77777777" w:rsidR="002337F9" w:rsidRPr="00133050" w:rsidRDefault="002337F9" w:rsidP="0026218C">
            <w:pPr>
              <w:spacing w:before="60" w:after="60" w:line="200" w:lineRule="exact"/>
              <w:jc w:val="right"/>
              <w:rPr>
                <w:noProof/>
                <w:sz w:val="16"/>
              </w:rPr>
            </w:pPr>
            <w:r w:rsidRPr="00133050">
              <w:rPr>
                <w:noProof/>
                <w:sz w:val="20"/>
              </w:rPr>
              <w:t xml:space="preserve">0,032 </w:t>
            </w:r>
          </w:p>
        </w:tc>
        <w:tc>
          <w:tcPr>
            <w:tcW w:w="1080" w:type="dxa"/>
            <w:vAlign w:val="center"/>
          </w:tcPr>
          <w:p w14:paraId="2E20A173" w14:textId="77777777" w:rsidR="002337F9" w:rsidRPr="00133050" w:rsidRDefault="002337F9" w:rsidP="0026218C">
            <w:pPr>
              <w:spacing w:before="60" w:after="60" w:line="200" w:lineRule="exact"/>
              <w:jc w:val="right"/>
              <w:rPr>
                <w:noProof/>
                <w:sz w:val="16"/>
              </w:rPr>
            </w:pPr>
            <w:r w:rsidRPr="00133050">
              <w:rPr>
                <w:noProof/>
                <w:sz w:val="20"/>
              </w:rPr>
              <w:t xml:space="preserve">0,032 </w:t>
            </w:r>
          </w:p>
        </w:tc>
        <w:tc>
          <w:tcPr>
            <w:tcW w:w="1080" w:type="dxa"/>
            <w:vAlign w:val="center"/>
          </w:tcPr>
          <w:p w14:paraId="34DE8355" w14:textId="77777777" w:rsidR="002337F9" w:rsidRPr="00133050" w:rsidRDefault="002337F9" w:rsidP="0026218C">
            <w:pPr>
              <w:spacing w:before="60" w:after="60" w:line="200" w:lineRule="exact"/>
              <w:jc w:val="right"/>
              <w:rPr>
                <w:noProof/>
                <w:sz w:val="16"/>
              </w:rPr>
            </w:pPr>
          </w:p>
        </w:tc>
        <w:tc>
          <w:tcPr>
            <w:tcW w:w="1080" w:type="dxa"/>
            <w:vAlign w:val="center"/>
          </w:tcPr>
          <w:p w14:paraId="57612374" w14:textId="77777777" w:rsidR="002337F9" w:rsidRPr="00133050" w:rsidRDefault="002337F9" w:rsidP="0026218C">
            <w:pPr>
              <w:spacing w:before="60" w:after="60" w:line="200" w:lineRule="exact"/>
              <w:jc w:val="right"/>
              <w:rPr>
                <w:noProof/>
                <w:sz w:val="16"/>
              </w:rPr>
            </w:pPr>
          </w:p>
        </w:tc>
        <w:tc>
          <w:tcPr>
            <w:tcW w:w="1080" w:type="dxa"/>
            <w:vAlign w:val="center"/>
          </w:tcPr>
          <w:p w14:paraId="4499EF3C" w14:textId="77777777" w:rsidR="002337F9" w:rsidRPr="00133050" w:rsidRDefault="002337F9" w:rsidP="0026218C">
            <w:pPr>
              <w:spacing w:before="60" w:after="60" w:line="200" w:lineRule="exact"/>
              <w:jc w:val="right"/>
              <w:rPr>
                <w:noProof/>
                <w:sz w:val="16"/>
              </w:rPr>
            </w:pPr>
          </w:p>
        </w:tc>
        <w:tc>
          <w:tcPr>
            <w:tcW w:w="1080" w:type="dxa"/>
            <w:vAlign w:val="center"/>
          </w:tcPr>
          <w:p w14:paraId="607B9F52" w14:textId="77777777" w:rsidR="002337F9" w:rsidRPr="00133050" w:rsidRDefault="002337F9" w:rsidP="0026218C">
            <w:pPr>
              <w:spacing w:before="60" w:after="60" w:line="200" w:lineRule="exact"/>
              <w:jc w:val="right"/>
              <w:rPr>
                <w:noProof/>
                <w:sz w:val="16"/>
              </w:rPr>
            </w:pPr>
          </w:p>
        </w:tc>
        <w:tc>
          <w:tcPr>
            <w:tcW w:w="1080" w:type="dxa"/>
            <w:vAlign w:val="center"/>
          </w:tcPr>
          <w:p w14:paraId="019BF46B" w14:textId="77777777" w:rsidR="002337F9" w:rsidRPr="00133050" w:rsidRDefault="002337F9" w:rsidP="0026218C">
            <w:pPr>
              <w:spacing w:before="60" w:after="60" w:line="200" w:lineRule="exact"/>
              <w:jc w:val="right"/>
              <w:rPr>
                <w:b/>
                <w:noProof/>
                <w:sz w:val="16"/>
              </w:rPr>
            </w:pPr>
          </w:p>
        </w:tc>
        <w:tc>
          <w:tcPr>
            <w:tcW w:w="1080" w:type="dxa"/>
            <w:vAlign w:val="center"/>
          </w:tcPr>
          <w:p w14:paraId="56FC685D" w14:textId="77777777" w:rsidR="002337F9" w:rsidRPr="00133050" w:rsidRDefault="002337F9" w:rsidP="0026218C">
            <w:pPr>
              <w:spacing w:before="60" w:after="60" w:line="200" w:lineRule="exact"/>
              <w:jc w:val="right"/>
              <w:rPr>
                <w:b/>
                <w:noProof/>
                <w:sz w:val="16"/>
              </w:rPr>
            </w:pPr>
            <w:r w:rsidRPr="00133050">
              <w:rPr>
                <w:b/>
                <w:noProof/>
                <w:sz w:val="20"/>
              </w:rPr>
              <w:t>0,064</w:t>
            </w:r>
          </w:p>
        </w:tc>
      </w:tr>
      <w:tr w:rsidR="002337F9" w:rsidRPr="00133050" w14:paraId="39068C79" w14:textId="77777777" w:rsidTr="0026218C">
        <w:trPr>
          <w:trHeight w:val="585"/>
        </w:trPr>
        <w:tc>
          <w:tcPr>
            <w:tcW w:w="1980" w:type="dxa"/>
            <w:shd w:val="clear" w:color="auto" w:fill="CCCCCC"/>
            <w:vAlign w:val="center"/>
          </w:tcPr>
          <w:p w14:paraId="2BF33585" w14:textId="77777777" w:rsidR="002337F9" w:rsidRPr="00133050" w:rsidRDefault="002337F9" w:rsidP="0026218C">
            <w:pPr>
              <w:spacing w:before="60" w:after="60" w:line="200" w:lineRule="exact"/>
              <w:jc w:val="center"/>
              <w:rPr>
                <w:b/>
                <w:noProof/>
                <w:sz w:val="16"/>
              </w:rPr>
            </w:pPr>
            <w:r w:rsidRPr="00133050">
              <w:rPr>
                <w:b/>
                <w:noProof/>
                <w:sz w:val="16"/>
              </w:rPr>
              <w:t>Междинен сбор за ФУНКЦИЯ 7</w:t>
            </w:r>
            <w:r w:rsidRPr="00133050">
              <w:rPr>
                <w:noProof/>
              </w:rPr>
              <w:t xml:space="preserve"> </w:t>
            </w:r>
            <w:r w:rsidRPr="00133050">
              <w:rPr>
                <w:noProof/>
              </w:rPr>
              <w:cr/>
            </w:r>
            <w:r w:rsidRPr="00133050">
              <w:rPr>
                <w:noProof/>
              </w:rPr>
              <w:br/>
            </w:r>
            <w:r w:rsidRPr="00133050">
              <w:rPr>
                <w:b/>
                <w:noProof/>
                <w:sz w:val="16"/>
              </w:rPr>
              <w:t xml:space="preserve">от многогодишната финансова рамка </w:t>
            </w:r>
          </w:p>
        </w:tc>
        <w:tc>
          <w:tcPr>
            <w:tcW w:w="1080" w:type="dxa"/>
            <w:vAlign w:val="center"/>
          </w:tcPr>
          <w:p w14:paraId="2C58F740" w14:textId="77777777" w:rsidR="002337F9" w:rsidRPr="00133050" w:rsidRDefault="002337F9" w:rsidP="0026218C">
            <w:pPr>
              <w:spacing w:before="60" w:after="60" w:line="200" w:lineRule="exact"/>
              <w:jc w:val="right"/>
              <w:rPr>
                <w:noProof/>
                <w:sz w:val="16"/>
              </w:rPr>
            </w:pPr>
            <w:r w:rsidRPr="00133050">
              <w:rPr>
                <w:noProof/>
                <w:sz w:val="20"/>
              </w:rPr>
              <w:t xml:space="preserve">5,194 </w:t>
            </w:r>
          </w:p>
        </w:tc>
        <w:tc>
          <w:tcPr>
            <w:tcW w:w="1080" w:type="dxa"/>
            <w:vAlign w:val="center"/>
          </w:tcPr>
          <w:p w14:paraId="6C12141C" w14:textId="77777777" w:rsidR="002337F9" w:rsidRPr="00133050" w:rsidRDefault="002337F9" w:rsidP="0026218C">
            <w:pPr>
              <w:spacing w:before="60" w:after="60" w:line="200" w:lineRule="exact"/>
              <w:jc w:val="right"/>
              <w:rPr>
                <w:noProof/>
                <w:sz w:val="16"/>
              </w:rPr>
            </w:pPr>
            <w:r w:rsidRPr="00133050">
              <w:rPr>
                <w:noProof/>
                <w:sz w:val="20"/>
              </w:rPr>
              <w:t xml:space="preserve">5,194 </w:t>
            </w:r>
          </w:p>
        </w:tc>
        <w:tc>
          <w:tcPr>
            <w:tcW w:w="1080" w:type="dxa"/>
            <w:vAlign w:val="center"/>
          </w:tcPr>
          <w:p w14:paraId="0C9A696A" w14:textId="77777777" w:rsidR="002337F9" w:rsidRPr="00133050" w:rsidRDefault="002337F9" w:rsidP="0026218C">
            <w:pPr>
              <w:spacing w:before="60" w:after="60" w:line="200" w:lineRule="exact"/>
              <w:jc w:val="right"/>
              <w:rPr>
                <w:noProof/>
                <w:sz w:val="16"/>
              </w:rPr>
            </w:pPr>
          </w:p>
        </w:tc>
        <w:tc>
          <w:tcPr>
            <w:tcW w:w="1080" w:type="dxa"/>
            <w:vAlign w:val="center"/>
          </w:tcPr>
          <w:p w14:paraId="1ACAC913" w14:textId="77777777" w:rsidR="002337F9" w:rsidRPr="00133050" w:rsidRDefault="002337F9" w:rsidP="0026218C">
            <w:pPr>
              <w:spacing w:before="60" w:after="60" w:line="200" w:lineRule="exact"/>
              <w:jc w:val="right"/>
              <w:rPr>
                <w:noProof/>
                <w:sz w:val="16"/>
              </w:rPr>
            </w:pPr>
          </w:p>
        </w:tc>
        <w:tc>
          <w:tcPr>
            <w:tcW w:w="1080" w:type="dxa"/>
            <w:vAlign w:val="center"/>
          </w:tcPr>
          <w:p w14:paraId="70908EE7" w14:textId="77777777" w:rsidR="002337F9" w:rsidRPr="00133050" w:rsidRDefault="002337F9" w:rsidP="0026218C">
            <w:pPr>
              <w:spacing w:before="60" w:after="60" w:line="200" w:lineRule="exact"/>
              <w:jc w:val="right"/>
              <w:rPr>
                <w:noProof/>
                <w:sz w:val="16"/>
              </w:rPr>
            </w:pPr>
          </w:p>
        </w:tc>
        <w:tc>
          <w:tcPr>
            <w:tcW w:w="1080" w:type="dxa"/>
            <w:vAlign w:val="center"/>
          </w:tcPr>
          <w:p w14:paraId="74C72C2D" w14:textId="77777777" w:rsidR="002337F9" w:rsidRPr="00133050" w:rsidRDefault="002337F9" w:rsidP="0026218C">
            <w:pPr>
              <w:spacing w:before="60" w:after="60" w:line="200" w:lineRule="exact"/>
              <w:jc w:val="right"/>
              <w:rPr>
                <w:noProof/>
                <w:sz w:val="16"/>
              </w:rPr>
            </w:pPr>
          </w:p>
        </w:tc>
        <w:tc>
          <w:tcPr>
            <w:tcW w:w="1080" w:type="dxa"/>
            <w:vAlign w:val="center"/>
          </w:tcPr>
          <w:p w14:paraId="17F6A8B8" w14:textId="77777777" w:rsidR="002337F9" w:rsidRPr="00133050" w:rsidRDefault="002337F9" w:rsidP="0026218C">
            <w:pPr>
              <w:spacing w:before="60" w:after="60" w:line="200" w:lineRule="exact"/>
              <w:jc w:val="right"/>
              <w:rPr>
                <w:b/>
                <w:noProof/>
                <w:sz w:val="16"/>
              </w:rPr>
            </w:pPr>
          </w:p>
        </w:tc>
        <w:tc>
          <w:tcPr>
            <w:tcW w:w="1080" w:type="dxa"/>
            <w:vAlign w:val="center"/>
          </w:tcPr>
          <w:p w14:paraId="6CB363BF" w14:textId="77777777" w:rsidR="002337F9" w:rsidRPr="00133050" w:rsidRDefault="002337F9" w:rsidP="0026218C">
            <w:pPr>
              <w:spacing w:before="60" w:after="60" w:line="200" w:lineRule="exact"/>
              <w:jc w:val="right"/>
              <w:rPr>
                <w:b/>
                <w:noProof/>
                <w:sz w:val="16"/>
              </w:rPr>
            </w:pPr>
            <w:r w:rsidRPr="00133050">
              <w:rPr>
                <w:b/>
                <w:noProof/>
                <w:sz w:val="20"/>
              </w:rPr>
              <w:t xml:space="preserve">10,388 </w:t>
            </w:r>
          </w:p>
        </w:tc>
      </w:tr>
    </w:tbl>
    <w:p w14:paraId="4B47E1FC" w14:textId="77777777" w:rsidR="002337F9" w:rsidRPr="00133050" w:rsidRDefault="002337F9" w:rsidP="002337F9">
      <w:pPr>
        <w:spacing w:line="200" w:lineRule="exact"/>
        <w:rPr>
          <w:noProof/>
          <w:sz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2337F9" w:rsidRPr="00133050" w14:paraId="5820318B" w14:textId="77777777" w:rsidTr="0026218C">
        <w:trPr>
          <w:trHeight w:val="585"/>
        </w:trPr>
        <w:tc>
          <w:tcPr>
            <w:tcW w:w="1980" w:type="dxa"/>
            <w:shd w:val="clear" w:color="auto" w:fill="CCCCCC"/>
            <w:vAlign w:val="center"/>
          </w:tcPr>
          <w:p w14:paraId="1FB56D32" w14:textId="77777777" w:rsidR="002337F9" w:rsidRPr="00133050" w:rsidRDefault="002337F9" w:rsidP="0026218C">
            <w:pPr>
              <w:spacing w:before="60" w:after="60" w:line="200" w:lineRule="exact"/>
              <w:jc w:val="center"/>
              <w:rPr>
                <w:noProof/>
                <w:sz w:val="16"/>
              </w:rPr>
            </w:pPr>
            <w:r w:rsidRPr="00133050">
              <w:rPr>
                <w:b/>
                <w:noProof/>
                <w:sz w:val="16"/>
              </w:rPr>
              <w:t>Извън ФУНКЦИЯ 7</w:t>
            </w:r>
            <w:r w:rsidRPr="00133050">
              <w:rPr>
                <w:rStyle w:val="FootnoteReference"/>
                <w:noProof/>
                <w:sz w:val="16"/>
              </w:rPr>
              <w:footnoteReference w:id="55"/>
            </w:r>
            <w:r w:rsidRPr="00133050">
              <w:rPr>
                <w:noProof/>
              </w:rPr>
              <w:t xml:space="preserve"> </w:t>
            </w:r>
            <w:r w:rsidRPr="00133050">
              <w:rPr>
                <w:noProof/>
              </w:rPr>
              <w:cr/>
            </w:r>
            <w:r w:rsidRPr="00133050">
              <w:rPr>
                <w:noProof/>
              </w:rPr>
              <w:br/>
            </w:r>
            <w:r w:rsidRPr="00133050">
              <w:rPr>
                <w:b/>
                <w:noProof/>
                <w:sz w:val="16"/>
              </w:rPr>
              <w:t xml:space="preserve">от многогодишната финансова рамка </w:t>
            </w:r>
          </w:p>
          <w:p w14:paraId="0E2AD92E" w14:textId="77777777" w:rsidR="002337F9" w:rsidRPr="00133050" w:rsidRDefault="002337F9" w:rsidP="0026218C">
            <w:pPr>
              <w:spacing w:before="0" w:after="0" w:line="200" w:lineRule="exact"/>
              <w:jc w:val="center"/>
              <w:rPr>
                <w:b/>
                <w:noProof/>
                <w:sz w:val="16"/>
              </w:rPr>
            </w:pPr>
          </w:p>
        </w:tc>
        <w:tc>
          <w:tcPr>
            <w:tcW w:w="1080" w:type="dxa"/>
            <w:vAlign w:val="center"/>
          </w:tcPr>
          <w:p w14:paraId="1CDA6E2A" w14:textId="77777777" w:rsidR="002337F9" w:rsidRPr="00133050" w:rsidRDefault="002337F9" w:rsidP="0026218C">
            <w:pPr>
              <w:spacing w:before="60" w:after="60" w:line="200" w:lineRule="exact"/>
              <w:jc w:val="right"/>
              <w:rPr>
                <w:noProof/>
                <w:sz w:val="16"/>
              </w:rPr>
            </w:pPr>
          </w:p>
        </w:tc>
        <w:tc>
          <w:tcPr>
            <w:tcW w:w="1080" w:type="dxa"/>
            <w:vAlign w:val="center"/>
          </w:tcPr>
          <w:p w14:paraId="02C0FA6F" w14:textId="77777777" w:rsidR="002337F9" w:rsidRPr="00133050" w:rsidRDefault="002337F9" w:rsidP="0026218C">
            <w:pPr>
              <w:spacing w:before="60" w:after="60" w:line="200" w:lineRule="exact"/>
              <w:jc w:val="right"/>
              <w:rPr>
                <w:noProof/>
                <w:sz w:val="16"/>
              </w:rPr>
            </w:pPr>
          </w:p>
        </w:tc>
        <w:tc>
          <w:tcPr>
            <w:tcW w:w="1080" w:type="dxa"/>
            <w:vAlign w:val="center"/>
          </w:tcPr>
          <w:p w14:paraId="40541824" w14:textId="77777777" w:rsidR="002337F9" w:rsidRPr="00133050" w:rsidRDefault="002337F9" w:rsidP="0026218C">
            <w:pPr>
              <w:spacing w:before="60" w:after="60" w:line="200" w:lineRule="exact"/>
              <w:jc w:val="right"/>
              <w:rPr>
                <w:noProof/>
                <w:sz w:val="16"/>
              </w:rPr>
            </w:pPr>
          </w:p>
        </w:tc>
        <w:tc>
          <w:tcPr>
            <w:tcW w:w="1080" w:type="dxa"/>
            <w:vAlign w:val="center"/>
          </w:tcPr>
          <w:p w14:paraId="752EF02C" w14:textId="77777777" w:rsidR="002337F9" w:rsidRPr="00133050" w:rsidRDefault="002337F9" w:rsidP="0026218C">
            <w:pPr>
              <w:spacing w:before="60" w:after="60" w:line="200" w:lineRule="exact"/>
              <w:jc w:val="right"/>
              <w:rPr>
                <w:noProof/>
                <w:sz w:val="16"/>
              </w:rPr>
            </w:pPr>
          </w:p>
        </w:tc>
        <w:tc>
          <w:tcPr>
            <w:tcW w:w="1080" w:type="dxa"/>
            <w:vAlign w:val="center"/>
          </w:tcPr>
          <w:p w14:paraId="24C0C9B0" w14:textId="77777777" w:rsidR="002337F9" w:rsidRPr="00133050" w:rsidRDefault="002337F9" w:rsidP="0026218C">
            <w:pPr>
              <w:spacing w:before="60" w:after="60" w:line="200" w:lineRule="exact"/>
              <w:jc w:val="right"/>
              <w:rPr>
                <w:noProof/>
                <w:sz w:val="16"/>
              </w:rPr>
            </w:pPr>
          </w:p>
        </w:tc>
        <w:tc>
          <w:tcPr>
            <w:tcW w:w="1080" w:type="dxa"/>
            <w:vAlign w:val="center"/>
          </w:tcPr>
          <w:p w14:paraId="1306289A" w14:textId="77777777" w:rsidR="002337F9" w:rsidRPr="00133050" w:rsidRDefault="002337F9" w:rsidP="0026218C">
            <w:pPr>
              <w:spacing w:before="60" w:after="60" w:line="200" w:lineRule="exact"/>
              <w:jc w:val="right"/>
              <w:rPr>
                <w:noProof/>
                <w:sz w:val="16"/>
              </w:rPr>
            </w:pPr>
          </w:p>
        </w:tc>
        <w:tc>
          <w:tcPr>
            <w:tcW w:w="1080" w:type="dxa"/>
            <w:vAlign w:val="center"/>
          </w:tcPr>
          <w:p w14:paraId="6E50503E" w14:textId="77777777" w:rsidR="002337F9" w:rsidRPr="00133050" w:rsidRDefault="002337F9" w:rsidP="0026218C">
            <w:pPr>
              <w:spacing w:before="60" w:after="60" w:line="200" w:lineRule="exact"/>
              <w:jc w:val="right"/>
              <w:rPr>
                <w:b/>
                <w:noProof/>
                <w:sz w:val="16"/>
              </w:rPr>
            </w:pPr>
          </w:p>
        </w:tc>
        <w:tc>
          <w:tcPr>
            <w:tcW w:w="1080" w:type="dxa"/>
            <w:vAlign w:val="center"/>
          </w:tcPr>
          <w:p w14:paraId="1A23527C" w14:textId="77777777" w:rsidR="002337F9" w:rsidRPr="00133050" w:rsidRDefault="002337F9" w:rsidP="0026218C">
            <w:pPr>
              <w:spacing w:before="60" w:after="60" w:line="200" w:lineRule="exact"/>
              <w:jc w:val="right"/>
              <w:rPr>
                <w:b/>
                <w:noProof/>
                <w:sz w:val="16"/>
              </w:rPr>
            </w:pPr>
          </w:p>
        </w:tc>
      </w:tr>
      <w:tr w:rsidR="002337F9" w:rsidRPr="00133050" w14:paraId="21062E12" w14:textId="77777777" w:rsidTr="0026218C">
        <w:trPr>
          <w:trHeight w:val="585"/>
        </w:trPr>
        <w:tc>
          <w:tcPr>
            <w:tcW w:w="1980" w:type="dxa"/>
            <w:vAlign w:val="center"/>
          </w:tcPr>
          <w:p w14:paraId="66197ACF" w14:textId="77777777" w:rsidR="002337F9" w:rsidRPr="00133050" w:rsidRDefault="002337F9" w:rsidP="0026218C">
            <w:pPr>
              <w:spacing w:before="60" w:after="60" w:line="200" w:lineRule="exact"/>
              <w:ind w:left="72"/>
              <w:jc w:val="left"/>
              <w:rPr>
                <w:noProof/>
                <w:sz w:val="16"/>
              </w:rPr>
            </w:pPr>
            <w:r w:rsidRPr="00133050">
              <w:rPr>
                <w:noProof/>
                <w:sz w:val="16"/>
              </w:rPr>
              <w:t xml:space="preserve">Човешки ресурси </w:t>
            </w:r>
          </w:p>
        </w:tc>
        <w:tc>
          <w:tcPr>
            <w:tcW w:w="1080" w:type="dxa"/>
            <w:vAlign w:val="center"/>
          </w:tcPr>
          <w:p w14:paraId="7A8944D1" w14:textId="77777777" w:rsidR="002337F9" w:rsidRPr="00133050" w:rsidRDefault="002337F9" w:rsidP="0026218C">
            <w:pPr>
              <w:spacing w:before="60" w:after="60" w:line="200" w:lineRule="exact"/>
              <w:jc w:val="right"/>
              <w:rPr>
                <w:noProof/>
                <w:sz w:val="16"/>
              </w:rPr>
            </w:pPr>
            <w:r w:rsidRPr="00133050">
              <w:rPr>
                <w:noProof/>
                <w:sz w:val="16"/>
              </w:rPr>
              <w:t>Не се прилага.</w:t>
            </w:r>
          </w:p>
          <w:p w14:paraId="7F21FC29" w14:textId="77777777" w:rsidR="002337F9" w:rsidRPr="00133050" w:rsidRDefault="002337F9" w:rsidP="0026218C">
            <w:pPr>
              <w:spacing w:before="60" w:after="60" w:line="200" w:lineRule="exact"/>
              <w:jc w:val="right"/>
              <w:rPr>
                <w:noProof/>
                <w:sz w:val="16"/>
              </w:rPr>
            </w:pPr>
          </w:p>
        </w:tc>
        <w:tc>
          <w:tcPr>
            <w:tcW w:w="1080" w:type="dxa"/>
            <w:vAlign w:val="center"/>
          </w:tcPr>
          <w:p w14:paraId="55D3A302" w14:textId="77777777" w:rsidR="002337F9" w:rsidRPr="00133050" w:rsidRDefault="002337F9" w:rsidP="0026218C">
            <w:pPr>
              <w:spacing w:before="60" w:after="60" w:line="200" w:lineRule="exact"/>
              <w:jc w:val="right"/>
              <w:rPr>
                <w:noProof/>
                <w:sz w:val="16"/>
              </w:rPr>
            </w:pPr>
          </w:p>
        </w:tc>
        <w:tc>
          <w:tcPr>
            <w:tcW w:w="1080" w:type="dxa"/>
            <w:vAlign w:val="center"/>
          </w:tcPr>
          <w:p w14:paraId="33217625" w14:textId="77777777" w:rsidR="002337F9" w:rsidRPr="00133050" w:rsidRDefault="002337F9" w:rsidP="0026218C">
            <w:pPr>
              <w:spacing w:before="60" w:after="60" w:line="200" w:lineRule="exact"/>
              <w:jc w:val="right"/>
              <w:rPr>
                <w:noProof/>
                <w:sz w:val="16"/>
              </w:rPr>
            </w:pPr>
          </w:p>
        </w:tc>
        <w:tc>
          <w:tcPr>
            <w:tcW w:w="1080" w:type="dxa"/>
            <w:vAlign w:val="center"/>
          </w:tcPr>
          <w:p w14:paraId="25BE2AEE" w14:textId="77777777" w:rsidR="002337F9" w:rsidRPr="00133050" w:rsidRDefault="002337F9" w:rsidP="0026218C">
            <w:pPr>
              <w:spacing w:before="60" w:after="60" w:line="200" w:lineRule="exact"/>
              <w:jc w:val="right"/>
              <w:rPr>
                <w:noProof/>
                <w:sz w:val="16"/>
              </w:rPr>
            </w:pPr>
          </w:p>
        </w:tc>
        <w:tc>
          <w:tcPr>
            <w:tcW w:w="1080" w:type="dxa"/>
            <w:vAlign w:val="center"/>
          </w:tcPr>
          <w:p w14:paraId="0B81BCDD" w14:textId="77777777" w:rsidR="002337F9" w:rsidRPr="00133050" w:rsidRDefault="002337F9" w:rsidP="0026218C">
            <w:pPr>
              <w:spacing w:before="60" w:after="60" w:line="200" w:lineRule="exact"/>
              <w:jc w:val="right"/>
              <w:rPr>
                <w:noProof/>
                <w:sz w:val="16"/>
              </w:rPr>
            </w:pPr>
          </w:p>
        </w:tc>
        <w:tc>
          <w:tcPr>
            <w:tcW w:w="1080" w:type="dxa"/>
            <w:vAlign w:val="center"/>
          </w:tcPr>
          <w:p w14:paraId="0B3719F1" w14:textId="77777777" w:rsidR="002337F9" w:rsidRPr="00133050" w:rsidRDefault="002337F9" w:rsidP="0026218C">
            <w:pPr>
              <w:spacing w:before="60" w:after="60" w:line="200" w:lineRule="exact"/>
              <w:jc w:val="right"/>
              <w:rPr>
                <w:noProof/>
                <w:sz w:val="16"/>
              </w:rPr>
            </w:pPr>
          </w:p>
        </w:tc>
        <w:tc>
          <w:tcPr>
            <w:tcW w:w="1080" w:type="dxa"/>
            <w:vAlign w:val="center"/>
          </w:tcPr>
          <w:p w14:paraId="5BEAFA1B" w14:textId="77777777" w:rsidR="002337F9" w:rsidRPr="00133050" w:rsidRDefault="002337F9" w:rsidP="0026218C">
            <w:pPr>
              <w:spacing w:before="60" w:after="60" w:line="200" w:lineRule="exact"/>
              <w:jc w:val="right"/>
              <w:rPr>
                <w:b/>
                <w:noProof/>
                <w:sz w:val="16"/>
              </w:rPr>
            </w:pPr>
          </w:p>
        </w:tc>
        <w:tc>
          <w:tcPr>
            <w:tcW w:w="1080" w:type="dxa"/>
            <w:vAlign w:val="center"/>
          </w:tcPr>
          <w:p w14:paraId="6089C98E" w14:textId="77777777" w:rsidR="002337F9" w:rsidRPr="00133050" w:rsidRDefault="002337F9" w:rsidP="0026218C">
            <w:pPr>
              <w:spacing w:before="60" w:after="60" w:line="200" w:lineRule="exact"/>
              <w:jc w:val="right"/>
              <w:rPr>
                <w:b/>
                <w:noProof/>
                <w:sz w:val="16"/>
              </w:rPr>
            </w:pPr>
          </w:p>
        </w:tc>
      </w:tr>
      <w:tr w:rsidR="002337F9" w:rsidRPr="00133050" w14:paraId="18CFFB2C" w14:textId="77777777" w:rsidTr="0026218C">
        <w:trPr>
          <w:trHeight w:val="585"/>
        </w:trPr>
        <w:tc>
          <w:tcPr>
            <w:tcW w:w="1980" w:type="dxa"/>
            <w:vAlign w:val="center"/>
          </w:tcPr>
          <w:p w14:paraId="05222815" w14:textId="77777777" w:rsidR="002337F9" w:rsidRPr="00133050" w:rsidRDefault="002337F9" w:rsidP="0026218C">
            <w:pPr>
              <w:spacing w:before="60" w:after="60" w:line="200" w:lineRule="exact"/>
              <w:ind w:left="72"/>
              <w:jc w:val="left"/>
              <w:rPr>
                <w:noProof/>
                <w:sz w:val="16"/>
              </w:rPr>
            </w:pPr>
            <w:r w:rsidRPr="00133050">
              <w:rPr>
                <w:noProof/>
                <w:sz w:val="16"/>
              </w:rPr>
              <w:t xml:space="preserve">Други разходи </w:t>
            </w:r>
            <w:r w:rsidRPr="00133050">
              <w:rPr>
                <w:noProof/>
              </w:rPr>
              <w:t xml:space="preserve"> </w:t>
            </w:r>
            <w:r w:rsidRPr="00133050">
              <w:rPr>
                <w:noProof/>
              </w:rPr>
              <w:cr/>
            </w:r>
            <w:r w:rsidRPr="00133050">
              <w:rPr>
                <w:noProof/>
              </w:rPr>
              <w:br/>
            </w:r>
            <w:r w:rsidRPr="00133050">
              <w:rPr>
                <w:noProof/>
                <w:sz w:val="16"/>
              </w:rPr>
              <w:t>с административен характер</w:t>
            </w:r>
          </w:p>
        </w:tc>
        <w:tc>
          <w:tcPr>
            <w:tcW w:w="1080" w:type="dxa"/>
            <w:vAlign w:val="center"/>
          </w:tcPr>
          <w:p w14:paraId="0A68624F" w14:textId="77777777" w:rsidR="002337F9" w:rsidRPr="00133050" w:rsidRDefault="002337F9" w:rsidP="0026218C">
            <w:pPr>
              <w:spacing w:before="60" w:after="60" w:line="200" w:lineRule="exact"/>
              <w:jc w:val="right"/>
              <w:rPr>
                <w:noProof/>
                <w:sz w:val="16"/>
              </w:rPr>
            </w:pPr>
            <w:r w:rsidRPr="00133050">
              <w:rPr>
                <w:noProof/>
                <w:sz w:val="16"/>
              </w:rPr>
              <w:t>Не се прилага.</w:t>
            </w:r>
          </w:p>
        </w:tc>
        <w:tc>
          <w:tcPr>
            <w:tcW w:w="1080" w:type="dxa"/>
            <w:vAlign w:val="center"/>
          </w:tcPr>
          <w:p w14:paraId="61901869" w14:textId="77777777" w:rsidR="002337F9" w:rsidRPr="00133050" w:rsidRDefault="002337F9" w:rsidP="0026218C">
            <w:pPr>
              <w:spacing w:before="60" w:after="60" w:line="200" w:lineRule="exact"/>
              <w:jc w:val="right"/>
              <w:rPr>
                <w:noProof/>
                <w:sz w:val="16"/>
              </w:rPr>
            </w:pPr>
          </w:p>
        </w:tc>
        <w:tc>
          <w:tcPr>
            <w:tcW w:w="1080" w:type="dxa"/>
            <w:vAlign w:val="center"/>
          </w:tcPr>
          <w:p w14:paraId="70055852" w14:textId="77777777" w:rsidR="002337F9" w:rsidRPr="00133050" w:rsidRDefault="002337F9" w:rsidP="0026218C">
            <w:pPr>
              <w:spacing w:before="60" w:after="60" w:line="200" w:lineRule="exact"/>
              <w:jc w:val="right"/>
              <w:rPr>
                <w:noProof/>
                <w:sz w:val="16"/>
              </w:rPr>
            </w:pPr>
          </w:p>
        </w:tc>
        <w:tc>
          <w:tcPr>
            <w:tcW w:w="1080" w:type="dxa"/>
            <w:vAlign w:val="center"/>
          </w:tcPr>
          <w:p w14:paraId="181A3C60" w14:textId="77777777" w:rsidR="002337F9" w:rsidRPr="00133050" w:rsidRDefault="002337F9" w:rsidP="0026218C">
            <w:pPr>
              <w:spacing w:before="60" w:after="60" w:line="200" w:lineRule="exact"/>
              <w:jc w:val="right"/>
              <w:rPr>
                <w:noProof/>
                <w:sz w:val="16"/>
              </w:rPr>
            </w:pPr>
          </w:p>
        </w:tc>
        <w:tc>
          <w:tcPr>
            <w:tcW w:w="1080" w:type="dxa"/>
            <w:vAlign w:val="center"/>
          </w:tcPr>
          <w:p w14:paraId="418AE8A5" w14:textId="77777777" w:rsidR="002337F9" w:rsidRPr="00133050" w:rsidRDefault="002337F9" w:rsidP="0026218C">
            <w:pPr>
              <w:spacing w:before="60" w:after="60" w:line="200" w:lineRule="exact"/>
              <w:jc w:val="right"/>
              <w:rPr>
                <w:noProof/>
                <w:sz w:val="16"/>
              </w:rPr>
            </w:pPr>
          </w:p>
        </w:tc>
        <w:tc>
          <w:tcPr>
            <w:tcW w:w="1080" w:type="dxa"/>
            <w:vAlign w:val="center"/>
          </w:tcPr>
          <w:p w14:paraId="090BDD82" w14:textId="77777777" w:rsidR="002337F9" w:rsidRPr="00133050" w:rsidRDefault="002337F9" w:rsidP="0026218C">
            <w:pPr>
              <w:spacing w:before="60" w:after="60" w:line="200" w:lineRule="exact"/>
              <w:jc w:val="right"/>
              <w:rPr>
                <w:noProof/>
                <w:sz w:val="16"/>
              </w:rPr>
            </w:pPr>
          </w:p>
        </w:tc>
        <w:tc>
          <w:tcPr>
            <w:tcW w:w="1080" w:type="dxa"/>
            <w:vAlign w:val="center"/>
          </w:tcPr>
          <w:p w14:paraId="273D765B" w14:textId="77777777" w:rsidR="002337F9" w:rsidRPr="00133050" w:rsidRDefault="002337F9" w:rsidP="0026218C">
            <w:pPr>
              <w:spacing w:before="60" w:after="60" w:line="200" w:lineRule="exact"/>
              <w:jc w:val="right"/>
              <w:rPr>
                <w:b/>
                <w:noProof/>
                <w:sz w:val="16"/>
              </w:rPr>
            </w:pPr>
          </w:p>
        </w:tc>
        <w:tc>
          <w:tcPr>
            <w:tcW w:w="1080" w:type="dxa"/>
            <w:vAlign w:val="center"/>
          </w:tcPr>
          <w:p w14:paraId="7BF24863" w14:textId="77777777" w:rsidR="002337F9" w:rsidRPr="00133050" w:rsidRDefault="002337F9" w:rsidP="0026218C">
            <w:pPr>
              <w:spacing w:before="60" w:after="60" w:line="200" w:lineRule="exact"/>
              <w:jc w:val="right"/>
              <w:rPr>
                <w:b/>
                <w:noProof/>
                <w:sz w:val="16"/>
              </w:rPr>
            </w:pPr>
          </w:p>
        </w:tc>
      </w:tr>
      <w:tr w:rsidR="002337F9" w:rsidRPr="00133050" w14:paraId="3F5370EB" w14:textId="77777777" w:rsidTr="0026218C">
        <w:trPr>
          <w:trHeight w:val="585"/>
        </w:trPr>
        <w:tc>
          <w:tcPr>
            <w:tcW w:w="1980" w:type="dxa"/>
            <w:shd w:val="clear" w:color="auto" w:fill="CCCCCC"/>
            <w:vAlign w:val="center"/>
          </w:tcPr>
          <w:p w14:paraId="7DE38E8A" w14:textId="77777777" w:rsidR="002337F9" w:rsidRPr="00133050" w:rsidRDefault="002337F9" w:rsidP="0026218C">
            <w:pPr>
              <w:spacing w:before="60" w:after="60" w:line="200" w:lineRule="exact"/>
              <w:jc w:val="center"/>
              <w:rPr>
                <w:b/>
                <w:noProof/>
                <w:sz w:val="16"/>
              </w:rPr>
            </w:pPr>
            <w:r w:rsidRPr="00133050">
              <w:rPr>
                <w:b/>
                <w:noProof/>
                <w:sz w:val="16"/>
              </w:rPr>
              <w:t xml:space="preserve">Междинен сбор </w:t>
            </w:r>
            <w:r w:rsidRPr="00133050">
              <w:rPr>
                <w:noProof/>
              </w:rPr>
              <w:t xml:space="preserve"> </w:t>
            </w:r>
            <w:r w:rsidRPr="00133050">
              <w:rPr>
                <w:noProof/>
              </w:rPr>
              <w:cr/>
            </w:r>
            <w:r w:rsidRPr="00133050">
              <w:rPr>
                <w:noProof/>
              </w:rPr>
              <w:br/>
            </w:r>
            <w:r w:rsidRPr="00133050">
              <w:rPr>
                <w:b/>
                <w:noProof/>
                <w:sz w:val="16"/>
              </w:rPr>
              <w:t>извън ФУНКЦИЯ 7</w:t>
            </w:r>
            <w:r w:rsidRPr="00133050">
              <w:rPr>
                <w:noProof/>
              </w:rPr>
              <w:t xml:space="preserve"> </w:t>
            </w:r>
            <w:r w:rsidRPr="00133050">
              <w:rPr>
                <w:noProof/>
              </w:rPr>
              <w:cr/>
            </w:r>
            <w:r w:rsidRPr="00133050">
              <w:rPr>
                <w:noProof/>
              </w:rPr>
              <w:br/>
            </w:r>
            <w:r w:rsidRPr="00133050">
              <w:rPr>
                <w:b/>
                <w:noProof/>
                <w:sz w:val="16"/>
              </w:rPr>
              <w:t xml:space="preserve">от многогодишната финансова рамка </w:t>
            </w:r>
          </w:p>
        </w:tc>
        <w:tc>
          <w:tcPr>
            <w:tcW w:w="1080" w:type="dxa"/>
            <w:vAlign w:val="center"/>
          </w:tcPr>
          <w:p w14:paraId="1DE02FE2" w14:textId="77777777" w:rsidR="002337F9" w:rsidRPr="00133050" w:rsidRDefault="002337F9" w:rsidP="0026218C">
            <w:pPr>
              <w:spacing w:before="60" w:after="60" w:line="200" w:lineRule="exact"/>
              <w:jc w:val="right"/>
              <w:rPr>
                <w:noProof/>
                <w:sz w:val="16"/>
              </w:rPr>
            </w:pPr>
            <w:r w:rsidRPr="00133050">
              <w:rPr>
                <w:noProof/>
                <w:sz w:val="16"/>
              </w:rPr>
              <w:t>Не се прилага.</w:t>
            </w:r>
          </w:p>
        </w:tc>
        <w:tc>
          <w:tcPr>
            <w:tcW w:w="1080" w:type="dxa"/>
            <w:vAlign w:val="center"/>
          </w:tcPr>
          <w:p w14:paraId="3C99AC5F" w14:textId="77777777" w:rsidR="002337F9" w:rsidRPr="00133050" w:rsidRDefault="002337F9" w:rsidP="0026218C">
            <w:pPr>
              <w:spacing w:before="60" w:after="60" w:line="200" w:lineRule="exact"/>
              <w:jc w:val="right"/>
              <w:rPr>
                <w:noProof/>
                <w:sz w:val="16"/>
              </w:rPr>
            </w:pPr>
          </w:p>
        </w:tc>
        <w:tc>
          <w:tcPr>
            <w:tcW w:w="1080" w:type="dxa"/>
            <w:vAlign w:val="center"/>
          </w:tcPr>
          <w:p w14:paraId="6E7685FC" w14:textId="77777777" w:rsidR="002337F9" w:rsidRPr="00133050" w:rsidRDefault="002337F9" w:rsidP="0026218C">
            <w:pPr>
              <w:spacing w:before="60" w:after="60" w:line="200" w:lineRule="exact"/>
              <w:jc w:val="right"/>
              <w:rPr>
                <w:noProof/>
                <w:sz w:val="16"/>
              </w:rPr>
            </w:pPr>
          </w:p>
        </w:tc>
        <w:tc>
          <w:tcPr>
            <w:tcW w:w="1080" w:type="dxa"/>
            <w:vAlign w:val="center"/>
          </w:tcPr>
          <w:p w14:paraId="53FF0DB4" w14:textId="77777777" w:rsidR="002337F9" w:rsidRPr="00133050" w:rsidRDefault="002337F9" w:rsidP="0026218C">
            <w:pPr>
              <w:spacing w:before="60" w:after="60" w:line="200" w:lineRule="exact"/>
              <w:jc w:val="right"/>
              <w:rPr>
                <w:noProof/>
                <w:sz w:val="16"/>
              </w:rPr>
            </w:pPr>
          </w:p>
        </w:tc>
        <w:tc>
          <w:tcPr>
            <w:tcW w:w="1080" w:type="dxa"/>
            <w:vAlign w:val="center"/>
          </w:tcPr>
          <w:p w14:paraId="7ABDA7A6" w14:textId="77777777" w:rsidR="002337F9" w:rsidRPr="00133050" w:rsidRDefault="002337F9" w:rsidP="0026218C">
            <w:pPr>
              <w:spacing w:before="60" w:after="60" w:line="200" w:lineRule="exact"/>
              <w:jc w:val="right"/>
              <w:rPr>
                <w:noProof/>
                <w:sz w:val="16"/>
              </w:rPr>
            </w:pPr>
          </w:p>
        </w:tc>
        <w:tc>
          <w:tcPr>
            <w:tcW w:w="1080" w:type="dxa"/>
            <w:vAlign w:val="center"/>
          </w:tcPr>
          <w:p w14:paraId="58D595C5" w14:textId="77777777" w:rsidR="002337F9" w:rsidRPr="00133050" w:rsidRDefault="002337F9" w:rsidP="0026218C">
            <w:pPr>
              <w:spacing w:before="60" w:after="60" w:line="200" w:lineRule="exact"/>
              <w:jc w:val="right"/>
              <w:rPr>
                <w:noProof/>
                <w:sz w:val="16"/>
              </w:rPr>
            </w:pPr>
          </w:p>
        </w:tc>
        <w:tc>
          <w:tcPr>
            <w:tcW w:w="1080" w:type="dxa"/>
            <w:vAlign w:val="center"/>
          </w:tcPr>
          <w:p w14:paraId="14DF9A2F" w14:textId="77777777" w:rsidR="002337F9" w:rsidRPr="00133050" w:rsidRDefault="002337F9" w:rsidP="0026218C">
            <w:pPr>
              <w:spacing w:before="60" w:after="60" w:line="200" w:lineRule="exact"/>
              <w:jc w:val="right"/>
              <w:rPr>
                <w:b/>
                <w:noProof/>
                <w:sz w:val="16"/>
              </w:rPr>
            </w:pPr>
          </w:p>
        </w:tc>
        <w:tc>
          <w:tcPr>
            <w:tcW w:w="1080" w:type="dxa"/>
            <w:vAlign w:val="center"/>
          </w:tcPr>
          <w:p w14:paraId="612ABAF7" w14:textId="77777777" w:rsidR="002337F9" w:rsidRPr="00133050" w:rsidRDefault="002337F9" w:rsidP="0026218C">
            <w:pPr>
              <w:spacing w:before="60" w:after="60" w:line="200" w:lineRule="exact"/>
              <w:jc w:val="right"/>
              <w:rPr>
                <w:b/>
                <w:noProof/>
                <w:sz w:val="16"/>
              </w:rPr>
            </w:pPr>
          </w:p>
        </w:tc>
      </w:tr>
    </w:tbl>
    <w:p w14:paraId="7F1FC361" w14:textId="77777777" w:rsidR="002337F9" w:rsidRPr="00133050" w:rsidRDefault="002337F9" w:rsidP="002337F9">
      <w:pPr>
        <w:spacing w:line="200" w:lineRule="exact"/>
        <w:rPr>
          <w:noProof/>
          <w:sz w:val="16"/>
        </w:rPr>
      </w:pPr>
    </w:p>
    <w:tbl>
      <w:tblPr>
        <w:tblW w:w="1062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2337F9" w:rsidRPr="00133050" w14:paraId="0FB49E99" w14:textId="77777777" w:rsidTr="0026218C">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14:paraId="0097628B" w14:textId="77777777" w:rsidR="002337F9" w:rsidRPr="00133050" w:rsidRDefault="002337F9" w:rsidP="0026218C">
            <w:pPr>
              <w:spacing w:before="60" w:after="60" w:line="200" w:lineRule="exact"/>
              <w:jc w:val="center"/>
              <w:rPr>
                <w:noProof/>
                <w:sz w:val="16"/>
              </w:rPr>
            </w:pPr>
            <w:r w:rsidRPr="00133050">
              <w:rPr>
                <w:b/>
                <w:noProof/>
                <w:sz w:val="16"/>
              </w:rPr>
              <w:t>ОБЩО</w:t>
            </w:r>
          </w:p>
        </w:tc>
        <w:tc>
          <w:tcPr>
            <w:tcW w:w="1080" w:type="dxa"/>
            <w:tcBorders>
              <w:top w:val="single" w:sz="12" w:space="0" w:color="auto"/>
              <w:left w:val="single" w:sz="2" w:space="0" w:color="auto"/>
              <w:bottom w:val="single" w:sz="12" w:space="0" w:color="auto"/>
              <w:right w:val="single" w:sz="2" w:space="0" w:color="auto"/>
            </w:tcBorders>
            <w:vAlign w:val="center"/>
          </w:tcPr>
          <w:p w14:paraId="4AAC1D2D" w14:textId="77777777" w:rsidR="002337F9" w:rsidRPr="00133050" w:rsidRDefault="002337F9" w:rsidP="0026218C">
            <w:pPr>
              <w:spacing w:before="60" w:after="60" w:line="200" w:lineRule="exact"/>
              <w:jc w:val="right"/>
              <w:rPr>
                <w:b/>
                <w:noProof/>
                <w:sz w:val="16"/>
              </w:rPr>
            </w:pPr>
            <w:r w:rsidRPr="00133050">
              <w:rPr>
                <w:noProof/>
                <w:sz w:val="20"/>
              </w:rPr>
              <w:t xml:space="preserve">5,194 </w:t>
            </w:r>
          </w:p>
        </w:tc>
        <w:tc>
          <w:tcPr>
            <w:tcW w:w="1080" w:type="dxa"/>
            <w:tcBorders>
              <w:top w:val="single" w:sz="12" w:space="0" w:color="auto"/>
              <w:left w:val="single" w:sz="2" w:space="0" w:color="auto"/>
              <w:bottom w:val="single" w:sz="12" w:space="0" w:color="auto"/>
              <w:right w:val="single" w:sz="2" w:space="0" w:color="auto"/>
            </w:tcBorders>
            <w:vAlign w:val="center"/>
          </w:tcPr>
          <w:p w14:paraId="47E82768" w14:textId="77777777" w:rsidR="002337F9" w:rsidRPr="00133050" w:rsidRDefault="002337F9" w:rsidP="0026218C">
            <w:pPr>
              <w:spacing w:before="60" w:after="60" w:line="200" w:lineRule="exact"/>
              <w:jc w:val="right"/>
              <w:rPr>
                <w:b/>
                <w:noProof/>
                <w:sz w:val="16"/>
              </w:rPr>
            </w:pPr>
            <w:r w:rsidRPr="00133050">
              <w:rPr>
                <w:noProof/>
                <w:sz w:val="20"/>
              </w:rPr>
              <w:t xml:space="preserve">5,194 </w:t>
            </w:r>
          </w:p>
        </w:tc>
        <w:tc>
          <w:tcPr>
            <w:tcW w:w="1080" w:type="dxa"/>
            <w:tcBorders>
              <w:top w:val="single" w:sz="12" w:space="0" w:color="auto"/>
              <w:left w:val="single" w:sz="2" w:space="0" w:color="auto"/>
              <w:bottom w:val="single" w:sz="12" w:space="0" w:color="auto"/>
              <w:right w:val="single" w:sz="2" w:space="0" w:color="auto"/>
            </w:tcBorders>
            <w:vAlign w:val="center"/>
          </w:tcPr>
          <w:p w14:paraId="303CA0D7" w14:textId="77777777" w:rsidR="002337F9" w:rsidRPr="00133050" w:rsidRDefault="002337F9" w:rsidP="0026218C">
            <w:pPr>
              <w:spacing w:before="60" w:after="60" w:line="200" w:lineRule="exact"/>
              <w:jc w:val="right"/>
              <w:rPr>
                <w:b/>
                <w:noProof/>
                <w:sz w:val="16"/>
              </w:rPr>
            </w:pPr>
          </w:p>
        </w:tc>
        <w:tc>
          <w:tcPr>
            <w:tcW w:w="1080" w:type="dxa"/>
            <w:tcBorders>
              <w:top w:val="single" w:sz="12" w:space="0" w:color="auto"/>
              <w:left w:val="single" w:sz="2" w:space="0" w:color="auto"/>
              <w:bottom w:val="single" w:sz="12" w:space="0" w:color="auto"/>
              <w:right w:val="single" w:sz="2" w:space="0" w:color="auto"/>
            </w:tcBorders>
            <w:vAlign w:val="center"/>
          </w:tcPr>
          <w:p w14:paraId="20F32CB4" w14:textId="77777777" w:rsidR="002337F9" w:rsidRPr="00133050" w:rsidRDefault="002337F9" w:rsidP="0026218C">
            <w:pPr>
              <w:spacing w:before="60" w:after="60" w:line="200" w:lineRule="exact"/>
              <w:jc w:val="right"/>
              <w:rPr>
                <w:b/>
                <w:noProof/>
                <w:sz w:val="16"/>
              </w:rPr>
            </w:pPr>
          </w:p>
        </w:tc>
        <w:tc>
          <w:tcPr>
            <w:tcW w:w="1080" w:type="dxa"/>
            <w:tcBorders>
              <w:top w:val="single" w:sz="12" w:space="0" w:color="auto"/>
              <w:left w:val="single" w:sz="2" w:space="0" w:color="auto"/>
              <w:bottom w:val="single" w:sz="12" w:space="0" w:color="auto"/>
              <w:right w:val="single" w:sz="2" w:space="0" w:color="auto"/>
            </w:tcBorders>
            <w:vAlign w:val="center"/>
          </w:tcPr>
          <w:p w14:paraId="2C06ABA4" w14:textId="77777777" w:rsidR="002337F9" w:rsidRPr="00133050" w:rsidRDefault="002337F9" w:rsidP="0026218C">
            <w:pPr>
              <w:spacing w:before="60" w:after="60" w:line="200" w:lineRule="exact"/>
              <w:jc w:val="right"/>
              <w:rPr>
                <w:b/>
                <w:noProof/>
                <w:sz w:val="16"/>
              </w:rPr>
            </w:pPr>
          </w:p>
        </w:tc>
        <w:tc>
          <w:tcPr>
            <w:tcW w:w="1080" w:type="dxa"/>
            <w:tcBorders>
              <w:top w:val="single" w:sz="12" w:space="0" w:color="auto"/>
              <w:left w:val="single" w:sz="2" w:space="0" w:color="auto"/>
              <w:bottom w:val="single" w:sz="12" w:space="0" w:color="auto"/>
              <w:right w:val="single" w:sz="2" w:space="0" w:color="auto"/>
            </w:tcBorders>
            <w:vAlign w:val="center"/>
          </w:tcPr>
          <w:p w14:paraId="16F3798A" w14:textId="77777777" w:rsidR="002337F9" w:rsidRPr="00133050" w:rsidRDefault="002337F9" w:rsidP="0026218C">
            <w:pPr>
              <w:spacing w:before="60" w:after="60" w:line="200" w:lineRule="exact"/>
              <w:jc w:val="right"/>
              <w:rPr>
                <w:b/>
                <w:noProof/>
                <w:sz w:val="16"/>
              </w:rPr>
            </w:pPr>
          </w:p>
        </w:tc>
        <w:tc>
          <w:tcPr>
            <w:tcW w:w="1080" w:type="dxa"/>
            <w:tcBorders>
              <w:top w:val="single" w:sz="12" w:space="0" w:color="auto"/>
              <w:left w:val="single" w:sz="2" w:space="0" w:color="auto"/>
              <w:bottom w:val="single" w:sz="12" w:space="0" w:color="auto"/>
              <w:right w:val="single" w:sz="2" w:space="0" w:color="auto"/>
            </w:tcBorders>
            <w:vAlign w:val="center"/>
          </w:tcPr>
          <w:p w14:paraId="158A5723" w14:textId="77777777" w:rsidR="002337F9" w:rsidRPr="00133050" w:rsidRDefault="002337F9" w:rsidP="0026218C">
            <w:pPr>
              <w:spacing w:before="60" w:after="60" w:line="200" w:lineRule="exact"/>
              <w:jc w:val="right"/>
              <w:rPr>
                <w:b/>
                <w:noProof/>
                <w:sz w:val="16"/>
              </w:rPr>
            </w:pPr>
          </w:p>
        </w:tc>
        <w:tc>
          <w:tcPr>
            <w:tcW w:w="1080" w:type="dxa"/>
            <w:tcBorders>
              <w:top w:val="single" w:sz="12" w:space="0" w:color="auto"/>
              <w:left w:val="single" w:sz="2" w:space="0" w:color="auto"/>
              <w:bottom w:val="single" w:sz="12" w:space="0" w:color="auto"/>
              <w:right w:val="single" w:sz="12" w:space="0" w:color="auto"/>
            </w:tcBorders>
            <w:vAlign w:val="center"/>
          </w:tcPr>
          <w:p w14:paraId="773D8F6F" w14:textId="77777777" w:rsidR="002337F9" w:rsidRPr="00133050" w:rsidRDefault="002337F9" w:rsidP="0026218C">
            <w:pPr>
              <w:spacing w:before="60" w:after="60" w:line="200" w:lineRule="exact"/>
              <w:jc w:val="right"/>
              <w:rPr>
                <w:b/>
                <w:noProof/>
                <w:sz w:val="16"/>
              </w:rPr>
            </w:pPr>
            <w:r w:rsidRPr="00133050">
              <w:rPr>
                <w:b/>
                <w:noProof/>
                <w:sz w:val="20"/>
              </w:rPr>
              <w:t xml:space="preserve">10,388 </w:t>
            </w:r>
          </w:p>
        </w:tc>
      </w:tr>
    </w:tbl>
    <w:p w14:paraId="1F34FE12" w14:textId="77777777" w:rsidR="002337F9" w:rsidRPr="00133050" w:rsidRDefault="002337F9" w:rsidP="002337F9">
      <w:pPr>
        <w:rPr>
          <w:noProof/>
        </w:rPr>
      </w:pPr>
    </w:p>
    <w:p w14:paraId="4F03ABA4" w14:textId="77777777" w:rsidR="002337F9" w:rsidRPr="00133050" w:rsidRDefault="002337F9" w:rsidP="002337F9">
      <w:pPr>
        <w:rPr>
          <w:noProof/>
          <w:sz w:val="18"/>
        </w:rPr>
      </w:pPr>
      <w:r w:rsidRPr="00133050">
        <w:rPr>
          <w:noProof/>
          <w:sz w:val="18"/>
        </w:rPr>
        <w:t>Бюджетните кредити, необходими за човешки ресурси и други административни разходи, ще бъдат покрити от бюджетни кредити на ГД, които вече са определени за управлението на действието и/или които са преразпределени в рамките на ГД, при необходимост заедно с допълнително отпуснати ресурси, които могат да бъдат предоставени на управляващата ГД в рамките на годишната процедура за отпускане на средства и като се имат предвид бюджетните ограничения.</w:t>
      </w:r>
    </w:p>
    <w:p w14:paraId="5ADC87C5" w14:textId="77777777" w:rsidR="002337F9" w:rsidRPr="00133050" w:rsidRDefault="002337F9" w:rsidP="002337F9">
      <w:pPr>
        <w:rPr>
          <w:noProof/>
          <w:sz w:val="18"/>
        </w:rPr>
        <w:sectPr w:rsidR="002337F9" w:rsidRPr="00133050" w:rsidSect="00272311">
          <w:headerReference w:type="default" r:id="rId21"/>
          <w:footerReference w:type="default" r:id="rId22"/>
          <w:footnotePr>
            <w:numRestart w:val="eachSect"/>
          </w:footnotePr>
          <w:pgSz w:w="11907" w:h="16840"/>
          <w:pgMar w:top="1134" w:right="1418" w:bottom="1134" w:left="1418" w:header="709" w:footer="709" w:gutter="0"/>
          <w:cols w:space="708"/>
          <w:docGrid w:linePitch="360"/>
        </w:sectPr>
      </w:pPr>
    </w:p>
    <w:p w14:paraId="59517E8F" w14:textId="77777777" w:rsidR="002337F9" w:rsidRPr="00133050" w:rsidRDefault="002337F9" w:rsidP="00070956">
      <w:pPr>
        <w:pStyle w:val="ManualHeading4"/>
        <w:rPr>
          <w:noProof/>
        </w:rPr>
      </w:pPr>
      <w:r>
        <w:rPr>
          <w:noProof/>
        </w:rPr>
        <w:t>3.2.3.1.</w:t>
      </w:r>
      <w:r>
        <w:rPr>
          <w:noProof/>
        </w:rPr>
        <w:tab/>
      </w:r>
      <w:r w:rsidRPr="00133050">
        <w:rPr>
          <w:noProof/>
        </w:rPr>
        <w:t xml:space="preserve">Очаквани нужди от човешки ресурси </w:t>
      </w:r>
    </w:p>
    <w:p w14:paraId="267126AB" w14:textId="77777777" w:rsidR="002337F9" w:rsidRPr="00133050" w:rsidRDefault="002337F9" w:rsidP="002337F9">
      <w:pPr>
        <w:pStyle w:val="Tiret1"/>
        <w:rPr>
          <w:noProof/>
        </w:rPr>
      </w:pPr>
      <w:r w:rsidRPr="00133050">
        <w:rPr>
          <w:noProof/>
        </w:rPr>
        <w:sym w:font="Wingdings" w:char="F0A8"/>
      </w:r>
      <w:r w:rsidRPr="00133050">
        <w:rPr>
          <w:noProof/>
        </w:rPr>
        <w:tab/>
        <w:t xml:space="preserve">Предложението/инициативата не налага използване на човешки ресурси. </w:t>
      </w:r>
    </w:p>
    <w:p w14:paraId="5DE5251E" w14:textId="77777777" w:rsidR="002337F9" w:rsidRPr="00133050" w:rsidRDefault="002337F9" w:rsidP="002337F9">
      <w:pPr>
        <w:pStyle w:val="Tiret1"/>
        <w:rPr>
          <w:noProof/>
        </w:rPr>
      </w:pPr>
      <w:r w:rsidRPr="00133050">
        <w:rPr>
          <w:noProof/>
        </w:rPr>
        <w:sym w:font="Wingdings" w:char="F0FD"/>
      </w:r>
      <w:r w:rsidRPr="00133050">
        <w:rPr>
          <w:noProof/>
        </w:rPr>
        <w:tab/>
        <w:t>Предложението/инициативата налага използване на човешки ресурси съгласно обяснението по-долу:</w:t>
      </w:r>
    </w:p>
    <w:p w14:paraId="3ACDD62D" w14:textId="77777777" w:rsidR="002337F9" w:rsidRPr="00133050" w:rsidRDefault="002337F9" w:rsidP="002337F9">
      <w:pPr>
        <w:spacing w:after="60"/>
        <w:jc w:val="right"/>
        <w:rPr>
          <w:i/>
          <w:noProof/>
          <w:sz w:val="20"/>
        </w:rPr>
      </w:pPr>
      <w:r w:rsidRPr="00133050">
        <w:rPr>
          <w:i/>
          <w:noProof/>
          <w:sz w:val="20"/>
        </w:rPr>
        <w:t>Оценката се посочва в еквиваленти на пълно работно време</w:t>
      </w:r>
    </w:p>
    <w:tbl>
      <w:tblPr>
        <w:tblW w:w="988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
        <w:gridCol w:w="2376"/>
        <w:gridCol w:w="2378"/>
        <w:gridCol w:w="731"/>
        <w:gridCol w:w="731"/>
        <w:gridCol w:w="731"/>
        <w:gridCol w:w="731"/>
        <w:gridCol w:w="731"/>
        <w:gridCol w:w="731"/>
        <w:gridCol w:w="731"/>
      </w:tblGrid>
      <w:tr w:rsidR="002337F9" w:rsidRPr="00133050" w14:paraId="510E0EEB" w14:textId="77777777" w:rsidTr="0026218C">
        <w:trPr>
          <w:gridBefore w:val="1"/>
          <w:wBefore w:w="15" w:type="dxa"/>
          <w:trHeight w:val="289"/>
          <w:jc w:val="center"/>
        </w:trPr>
        <w:tc>
          <w:tcPr>
            <w:tcW w:w="4754" w:type="dxa"/>
            <w:gridSpan w:val="2"/>
            <w:shd w:val="clear" w:color="auto" w:fill="auto"/>
          </w:tcPr>
          <w:p w14:paraId="059E53DE" w14:textId="77777777" w:rsidR="002337F9" w:rsidRPr="00133050" w:rsidRDefault="002337F9" w:rsidP="0026218C">
            <w:pPr>
              <w:pStyle w:val="Text1"/>
              <w:spacing w:before="40" w:after="40"/>
              <w:ind w:left="0"/>
              <w:jc w:val="center"/>
              <w:rPr>
                <w:i/>
                <w:noProof/>
                <w:sz w:val="16"/>
              </w:rPr>
            </w:pPr>
          </w:p>
        </w:tc>
        <w:tc>
          <w:tcPr>
            <w:tcW w:w="731" w:type="dxa"/>
            <w:shd w:val="clear" w:color="auto" w:fill="auto"/>
            <w:vAlign w:val="center"/>
          </w:tcPr>
          <w:p w14:paraId="2604251F" w14:textId="77777777" w:rsidR="002337F9" w:rsidRPr="00133050" w:rsidRDefault="002337F9" w:rsidP="0026218C">
            <w:pPr>
              <w:spacing w:before="20" w:after="20"/>
              <w:jc w:val="center"/>
              <w:rPr>
                <w:noProof/>
                <w:sz w:val="16"/>
              </w:rPr>
            </w:pPr>
            <w:r w:rsidRPr="00133050">
              <w:rPr>
                <w:b/>
                <w:noProof/>
                <w:sz w:val="20"/>
              </w:rPr>
              <w:t>2026 г.</w:t>
            </w:r>
          </w:p>
        </w:tc>
        <w:tc>
          <w:tcPr>
            <w:tcW w:w="731" w:type="dxa"/>
            <w:shd w:val="clear" w:color="auto" w:fill="auto"/>
            <w:vAlign w:val="center"/>
          </w:tcPr>
          <w:p w14:paraId="0810D5F4" w14:textId="77777777" w:rsidR="002337F9" w:rsidRPr="00133050" w:rsidRDefault="002337F9" w:rsidP="0026218C">
            <w:pPr>
              <w:spacing w:before="20" w:after="20"/>
              <w:jc w:val="center"/>
              <w:rPr>
                <w:noProof/>
                <w:sz w:val="16"/>
              </w:rPr>
            </w:pPr>
            <w:r w:rsidRPr="00133050">
              <w:rPr>
                <w:b/>
                <w:noProof/>
                <w:sz w:val="20"/>
              </w:rPr>
              <w:t>2027 г.</w:t>
            </w:r>
          </w:p>
        </w:tc>
        <w:tc>
          <w:tcPr>
            <w:tcW w:w="731" w:type="dxa"/>
            <w:shd w:val="clear" w:color="auto" w:fill="auto"/>
            <w:vAlign w:val="center"/>
          </w:tcPr>
          <w:p w14:paraId="08ECB441" w14:textId="77777777" w:rsidR="002337F9" w:rsidRPr="00133050" w:rsidRDefault="002337F9" w:rsidP="0026218C">
            <w:pPr>
              <w:spacing w:before="20" w:after="20"/>
              <w:jc w:val="center"/>
              <w:rPr>
                <w:noProof/>
                <w:sz w:val="16"/>
              </w:rPr>
            </w:pPr>
          </w:p>
        </w:tc>
        <w:tc>
          <w:tcPr>
            <w:tcW w:w="731" w:type="dxa"/>
            <w:shd w:val="clear" w:color="auto" w:fill="auto"/>
            <w:vAlign w:val="center"/>
          </w:tcPr>
          <w:p w14:paraId="7BCBE771" w14:textId="77777777" w:rsidR="002337F9" w:rsidRPr="00133050" w:rsidRDefault="002337F9" w:rsidP="0026218C">
            <w:pPr>
              <w:spacing w:before="20" w:after="20"/>
              <w:jc w:val="center"/>
              <w:rPr>
                <w:noProof/>
                <w:sz w:val="16"/>
              </w:rPr>
            </w:pPr>
          </w:p>
        </w:tc>
        <w:tc>
          <w:tcPr>
            <w:tcW w:w="731" w:type="dxa"/>
            <w:shd w:val="clear" w:color="auto" w:fill="auto"/>
            <w:vAlign w:val="center"/>
          </w:tcPr>
          <w:p w14:paraId="587AE557" w14:textId="77777777" w:rsidR="002337F9" w:rsidRPr="00133050" w:rsidRDefault="002337F9" w:rsidP="0026218C">
            <w:pPr>
              <w:jc w:val="center"/>
              <w:rPr>
                <w:b/>
                <w:noProof/>
                <w:sz w:val="16"/>
              </w:rPr>
            </w:pPr>
          </w:p>
        </w:tc>
        <w:tc>
          <w:tcPr>
            <w:tcW w:w="731" w:type="dxa"/>
            <w:shd w:val="clear" w:color="auto" w:fill="auto"/>
            <w:vAlign w:val="center"/>
          </w:tcPr>
          <w:p w14:paraId="7DBD2E37" w14:textId="77777777" w:rsidR="002337F9" w:rsidRPr="00133050" w:rsidRDefault="002337F9" w:rsidP="0026218C">
            <w:pPr>
              <w:jc w:val="center"/>
              <w:rPr>
                <w:b/>
                <w:noProof/>
                <w:sz w:val="16"/>
              </w:rPr>
            </w:pPr>
          </w:p>
        </w:tc>
        <w:tc>
          <w:tcPr>
            <w:tcW w:w="731" w:type="dxa"/>
            <w:shd w:val="clear" w:color="auto" w:fill="auto"/>
            <w:vAlign w:val="center"/>
          </w:tcPr>
          <w:p w14:paraId="5DA2FE99" w14:textId="77777777" w:rsidR="002337F9" w:rsidRPr="00133050" w:rsidRDefault="002337F9" w:rsidP="0026218C">
            <w:pPr>
              <w:jc w:val="center"/>
              <w:rPr>
                <w:b/>
                <w:noProof/>
                <w:sz w:val="16"/>
              </w:rPr>
            </w:pPr>
          </w:p>
        </w:tc>
      </w:tr>
      <w:tr w:rsidR="002337F9" w:rsidRPr="00133050" w14:paraId="16DA187D" w14:textId="77777777" w:rsidTr="0026218C">
        <w:trPr>
          <w:gridBefore w:val="1"/>
          <w:wBefore w:w="15" w:type="dxa"/>
          <w:trHeight w:val="289"/>
          <w:jc w:val="center"/>
        </w:trPr>
        <w:tc>
          <w:tcPr>
            <w:tcW w:w="9871" w:type="dxa"/>
            <w:gridSpan w:val="9"/>
            <w:shd w:val="clear" w:color="auto" w:fill="auto"/>
          </w:tcPr>
          <w:p w14:paraId="235F3752" w14:textId="77777777" w:rsidR="002337F9" w:rsidRPr="00133050" w:rsidRDefault="002337F9" w:rsidP="0026218C">
            <w:pPr>
              <w:jc w:val="left"/>
              <w:rPr>
                <w:noProof/>
                <w:sz w:val="16"/>
              </w:rPr>
            </w:pPr>
            <w:r w:rsidRPr="00133050">
              <w:rPr>
                <w:b/>
                <w:noProof/>
                <w:sz w:val="16"/>
              </w:rPr>
              <w:sym w:font="Wingdings" w:char="F09F"/>
            </w:r>
            <w:r w:rsidRPr="00133050">
              <w:rPr>
                <w:b/>
                <w:noProof/>
                <w:sz w:val="16"/>
              </w:rPr>
              <w:t xml:space="preserve"> Длъжности в щатното разписание (длъжностни лица и срочно наети служители)</w:t>
            </w:r>
          </w:p>
        </w:tc>
      </w:tr>
      <w:tr w:rsidR="002337F9" w:rsidRPr="00133050" w14:paraId="167FBF7D" w14:textId="77777777" w:rsidTr="0026218C">
        <w:trPr>
          <w:gridBefore w:val="1"/>
          <w:wBefore w:w="15" w:type="dxa"/>
          <w:trHeight w:val="289"/>
          <w:jc w:val="center"/>
        </w:trPr>
        <w:tc>
          <w:tcPr>
            <w:tcW w:w="4754" w:type="dxa"/>
            <w:gridSpan w:val="2"/>
            <w:shd w:val="clear" w:color="auto" w:fill="auto"/>
            <w:vAlign w:val="center"/>
          </w:tcPr>
          <w:p w14:paraId="47EA22C4" w14:textId="77777777" w:rsidR="002337F9" w:rsidRPr="00133050" w:rsidRDefault="002337F9" w:rsidP="0026218C">
            <w:pPr>
              <w:pStyle w:val="Text1"/>
              <w:spacing w:beforeLines="20" w:before="48" w:afterLines="20" w:after="48"/>
              <w:ind w:left="134"/>
              <w:jc w:val="left"/>
              <w:rPr>
                <w:b/>
                <w:noProof/>
                <w:sz w:val="16"/>
              </w:rPr>
            </w:pPr>
            <w:r w:rsidRPr="00133050">
              <w:rPr>
                <w:noProof/>
                <w:sz w:val="16"/>
              </w:rPr>
              <w:t>20 01 02 01</w:t>
            </w:r>
            <w:r w:rsidRPr="00133050">
              <w:rPr>
                <w:noProof/>
                <w:sz w:val="20"/>
              </w:rPr>
              <w:t xml:space="preserve"> </w:t>
            </w:r>
            <w:r w:rsidRPr="00133050">
              <w:rPr>
                <w:noProof/>
                <w:sz w:val="16"/>
              </w:rPr>
              <w:t>(Централа и представителства на Комисията)</w:t>
            </w:r>
          </w:p>
        </w:tc>
        <w:tc>
          <w:tcPr>
            <w:tcW w:w="731" w:type="dxa"/>
            <w:shd w:val="clear" w:color="auto" w:fill="auto"/>
            <w:vAlign w:val="center"/>
          </w:tcPr>
          <w:p w14:paraId="7C448B3F" w14:textId="77777777" w:rsidR="002337F9" w:rsidRPr="00133050" w:rsidRDefault="002337F9" w:rsidP="0026218C">
            <w:pPr>
              <w:spacing w:beforeLines="20" w:before="48" w:afterLines="20" w:after="48"/>
              <w:jc w:val="center"/>
              <w:rPr>
                <w:noProof/>
                <w:sz w:val="16"/>
              </w:rPr>
            </w:pPr>
            <w:r w:rsidRPr="00133050">
              <w:rPr>
                <w:noProof/>
                <w:sz w:val="16"/>
              </w:rPr>
              <w:t>27</w:t>
            </w:r>
          </w:p>
        </w:tc>
        <w:tc>
          <w:tcPr>
            <w:tcW w:w="731" w:type="dxa"/>
            <w:shd w:val="clear" w:color="auto" w:fill="auto"/>
            <w:vAlign w:val="center"/>
          </w:tcPr>
          <w:p w14:paraId="6C9EEC1E" w14:textId="77777777" w:rsidR="002337F9" w:rsidRPr="00133050" w:rsidRDefault="002337F9" w:rsidP="0026218C">
            <w:pPr>
              <w:spacing w:beforeLines="20" w:before="48" w:afterLines="20" w:after="48"/>
              <w:jc w:val="center"/>
              <w:rPr>
                <w:noProof/>
                <w:sz w:val="16"/>
              </w:rPr>
            </w:pPr>
            <w:r w:rsidRPr="00133050">
              <w:rPr>
                <w:noProof/>
                <w:sz w:val="16"/>
              </w:rPr>
              <w:t>27</w:t>
            </w:r>
          </w:p>
        </w:tc>
        <w:tc>
          <w:tcPr>
            <w:tcW w:w="731" w:type="dxa"/>
            <w:shd w:val="clear" w:color="auto" w:fill="auto"/>
            <w:vAlign w:val="center"/>
          </w:tcPr>
          <w:p w14:paraId="27D51B09" w14:textId="77777777" w:rsidR="002337F9" w:rsidRPr="00133050" w:rsidRDefault="002337F9" w:rsidP="0026218C">
            <w:pPr>
              <w:spacing w:beforeLines="20" w:before="48" w:afterLines="20" w:after="48"/>
              <w:jc w:val="center"/>
              <w:rPr>
                <w:noProof/>
                <w:sz w:val="16"/>
              </w:rPr>
            </w:pPr>
          </w:p>
        </w:tc>
        <w:tc>
          <w:tcPr>
            <w:tcW w:w="731" w:type="dxa"/>
            <w:shd w:val="clear" w:color="auto" w:fill="auto"/>
            <w:vAlign w:val="center"/>
          </w:tcPr>
          <w:p w14:paraId="357ADD8B" w14:textId="77777777" w:rsidR="002337F9" w:rsidRPr="00133050" w:rsidRDefault="002337F9" w:rsidP="0026218C">
            <w:pPr>
              <w:spacing w:beforeLines="20" w:before="48" w:afterLines="20" w:after="48"/>
              <w:jc w:val="center"/>
              <w:rPr>
                <w:noProof/>
                <w:sz w:val="16"/>
              </w:rPr>
            </w:pPr>
          </w:p>
        </w:tc>
        <w:tc>
          <w:tcPr>
            <w:tcW w:w="731" w:type="dxa"/>
            <w:shd w:val="clear" w:color="auto" w:fill="auto"/>
            <w:vAlign w:val="center"/>
          </w:tcPr>
          <w:p w14:paraId="4591FCF4" w14:textId="77777777" w:rsidR="002337F9" w:rsidRPr="00133050" w:rsidRDefault="002337F9" w:rsidP="0026218C">
            <w:pPr>
              <w:spacing w:beforeLines="20" w:before="48" w:afterLines="20" w:after="48"/>
              <w:jc w:val="center"/>
              <w:rPr>
                <w:noProof/>
                <w:sz w:val="16"/>
              </w:rPr>
            </w:pPr>
          </w:p>
        </w:tc>
        <w:tc>
          <w:tcPr>
            <w:tcW w:w="731" w:type="dxa"/>
            <w:shd w:val="clear" w:color="auto" w:fill="auto"/>
            <w:vAlign w:val="center"/>
          </w:tcPr>
          <w:p w14:paraId="0CA20638" w14:textId="77777777" w:rsidR="002337F9" w:rsidRPr="00133050" w:rsidRDefault="002337F9" w:rsidP="0026218C">
            <w:pPr>
              <w:spacing w:beforeLines="20" w:before="48" w:afterLines="20" w:after="48"/>
              <w:jc w:val="center"/>
              <w:rPr>
                <w:noProof/>
                <w:sz w:val="16"/>
              </w:rPr>
            </w:pPr>
          </w:p>
        </w:tc>
        <w:tc>
          <w:tcPr>
            <w:tcW w:w="731" w:type="dxa"/>
            <w:shd w:val="clear" w:color="auto" w:fill="auto"/>
            <w:vAlign w:val="center"/>
          </w:tcPr>
          <w:p w14:paraId="3ED54333" w14:textId="77777777" w:rsidR="002337F9" w:rsidRPr="00133050" w:rsidRDefault="002337F9" w:rsidP="0026218C">
            <w:pPr>
              <w:spacing w:beforeLines="20" w:before="48" w:afterLines="20" w:after="48"/>
              <w:jc w:val="center"/>
              <w:rPr>
                <w:noProof/>
                <w:sz w:val="16"/>
              </w:rPr>
            </w:pPr>
          </w:p>
        </w:tc>
      </w:tr>
      <w:tr w:rsidR="002337F9" w:rsidRPr="00133050" w14:paraId="4A0E18C1" w14:textId="77777777" w:rsidTr="0026218C">
        <w:trPr>
          <w:gridBefore w:val="1"/>
          <w:wBefore w:w="15" w:type="dxa"/>
          <w:trHeight w:val="289"/>
          <w:jc w:val="center"/>
        </w:trPr>
        <w:tc>
          <w:tcPr>
            <w:tcW w:w="4754" w:type="dxa"/>
            <w:gridSpan w:val="2"/>
            <w:shd w:val="clear" w:color="auto" w:fill="auto"/>
            <w:vAlign w:val="center"/>
          </w:tcPr>
          <w:p w14:paraId="3DE1EE95" w14:textId="77777777" w:rsidR="002337F9" w:rsidRPr="00133050" w:rsidRDefault="002337F9" w:rsidP="0026218C">
            <w:pPr>
              <w:pStyle w:val="Text1"/>
              <w:spacing w:beforeLines="20" w:before="48" w:afterLines="20" w:after="48"/>
              <w:ind w:left="134"/>
              <w:jc w:val="left"/>
              <w:rPr>
                <w:noProof/>
                <w:sz w:val="16"/>
              </w:rPr>
            </w:pPr>
            <w:r w:rsidRPr="00133050">
              <w:rPr>
                <w:noProof/>
                <w:sz w:val="16"/>
              </w:rPr>
              <w:t>20 01 02 03 (Делегации)</w:t>
            </w:r>
          </w:p>
        </w:tc>
        <w:tc>
          <w:tcPr>
            <w:tcW w:w="731" w:type="dxa"/>
            <w:shd w:val="clear" w:color="auto" w:fill="auto"/>
            <w:vAlign w:val="center"/>
          </w:tcPr>
          <w:p w14:paraId="1F8AB19B" w14:textId="77777777" w:rsidR="002337F9" w:rsidRPr="00133050" w:rsidRDefault="002337F9" w:rsidP="0026218C">
            <w:pPr>
              <w:spacing w:beforeLines="20" w:before="48" w:afterLines="20" w:after="48"/>
              <w:jc w:val="center"/>
              <w:rPr>
                <w:noProof/>
                <w:sz w:val="16"/>
              </w:rPr>
            </w:pPr>
            <w:r w:rsidRPr="00133050">
              <w:rPr>
                <w:noProof/>
                <w:sz w:val="16"/>
              </w:rPr>
              <w:t>2</w:t>
            </w:r>
          </w:p>
        </w:tc>
        <w:tc>
          <w:tcPr>
            <w:tcW w:w="731" w:type="dxa"/>
            <w:shd w:val="clear" w:color="auto" w:fill="auto"/>
            <w:vAlign w:val="center"/>
          </w:tcPr>
          <w:p w14:paraId="26CC5B3B" w14:textId="77777777" w:rsidR="002337F9" w:rsidRPr="00133050" w:rsidRDefault="002337F9" w:rsidP="0026218C">
            <w:pPr>
              <w:spacing w:beforeLines="20" w:before="48" w:afterLines="20" w:after="48"/>
              <w:jc w:val="center"/>
              <w:rPr>
                <w:noProof/>
                <w:sz w:val="16"/>
              </w:rPr>
            </w:pPr>
            <w:r w:rsidRPr="00133050">
              <w:rPr>
                <w:noProof/>
                <w:sz w:val="16"/>
              </w:rPr>
              <w:t>2</w:t>
            </w:r>
          </w:p>
        </w:tc>
        <w:tc>
          <w:tcPr>
            <w:tcW w:w="731" w:type="dxa"/>
            <w:shd w:val="clear" w:color="auto" w:fill="auto"/>
            <w:vAlign w:val="center"/>
          </w:tcPr>
          <w:p w14:paraId="08D4AAB2" w14:textId="77777777" w:rsidR="002337F9" w:rsidRPr="00133050" w:rsidRDefault="002337F9" w:rsidP="0026218C">
            <w:pPr>
              <w:spacing w:beforeLines="20" w:before="48" w:afterLines="20" w:after="48"/>
              <w:jc w:val="center"/>
              <w:rPr>
                <w:noProof/>
                <w:sz w:val="16"/>
              </w:rPr>
            </w:pPr>
          </w:p>
        </w:tc>
        <w:tc>
          <w:tcPr>
            <w:tcW w:w="731" w:type="dxa"/>
            <w:shd w:val="clear" w:color="auto" w:fill="auto"/>
            <w:vAlign w:val="center"/>
          </w:tcPr>
          <w:p w14:paraId="61A53458" w14:textId="77777777" w:rsidR="002337F9" w:rsidRPr="00133050" w:rsidRDefault="002337F9" w:rsidP="0026218C">
            <w:pPr>
              <w:spacing w:beforeLines="20" w:before="48" w:afterLines="20" w:after="48"/>
              <w:jc w:val="center"/>
              <w:rPr>
                <w:noProof/>
                <w:sz w:val="16"/>
              </w:rPr>
            </w:pPr>
          </w:p>
        </w:tc>
        <w:tc>
          <w:tcPr>
            <w:tcW w:w="731" w:type="dxa"/>
            <w:shd w:val="clear" w:color="auto" w:fill="auto"/>
            <w:vAlign w:val="center"/>
          </w:tcPr>
          <w:p w14:paraId="19D61154" w14:textId="77777777" w:rsidR="002337F9" w:rsidRPr="00133050" w:rsidRDefault="002337F9" w:rsidP="0026218C">
            <w:pPr>
              <w:spacing w:beforeLines="20" w:before="48" w:afterLines="20" w:after="48"/>
              <w:jc w:val="center"/>
              <w:rPr>
                <w:noProof/>
                <w:sz w:val="16"/>
              </w:rPr>
            </w:pPr>
          </w:p>
        </w:tc>
        <w:tc>
          <w:tcPr>
            <w:tcW w:w="731" w:type="dxa"/>
            <w:shd w:val="clear" w:color="auto" w:fill="auto"/>
            <w:vAlign w:val="center"/>
          </w:tcPr>
          <w:p w14:paraId="44637292" w14:textId="77777777" w:rsidR="002337F9" w:rsidRPr="00133050" w:rsidRDefault="002337F9" w:rsidP="0026218C">
            <w:pPr>
              <w:spacing w:beforeLines="20" w:before="48" w:afterLines="20" w:after="48"/>
              <w:jc w:val="center"/>
              <w:rPr>
                <w:noProof/>
                <w:sz w:val="16"/>
              </w:rPr>
            </w:pPr>
          </w:p>
        </w:tc>
        <w:tc>
          <w:tcPr>
            <w:tcW w:w="731" w:type="dxa"/>
            <w:shd w:val="clear" w:color="auto" w:fill="auto"/>
            <w:vAlign w:val="center"/>
          </w:tcPr>
          <w:p w14:paraId="362F2794" w14:textId="77777777" w:rsidR="002337F9" w:rsidRPr="00133050" w:rsidRDefault="002337F9" w:rsidP="0026218C">
            <w:pPr>
              <w:spacing w:beforeLines="20" w:before="48" w:afterLines="20" w:after="48"/>
              <w:jc w:val="center"/>
              <w:rPr>
                <w:noProof/>
                <w:sz w:val="16"/>
              </w:rPr>
            </w:pPr>
          </w:p>
        </w:tc>
      </w:tr>
      <w:tr w:rsidR="002337F9" w:rsidRPr="00133050" w14:paraId="15CB8258" w14:textId="77777777" w:rsidTr="0026218C">
        <w:trPr>
          <w:gridBefore w:val="1"/>
          <w:wBefore w:w="15" w:type="dxa"/>
          <w:trHeight w:val="289"/>
          <w:jc w:val="center"/>
        </w:trPr>
        <w:tc>
          <w:tcPr>
            <w:tcW w:w="4754" w:type="dxa"/>
            <w:gridSpan w:val="2"/>
            <w:shd w:val="clear" w:color="auto" w:fill="auto"/>
            <w:vAlign w:val="center"/>
          </w:tcPr>
          <w:p w14:paraId="19D8829A" w14:textId="77777777" w:rsidR="002337F9" w:rsidRPr="00133050" w:rsidRDefault="002337F9" w:rsidP="0026218C">
            <w:pPr>
              <w:pStyle w:val="Text1"/>
              <w:spacing w:beforeLines="20" w:before="48" w:afterLines="20" w:after="48"/>
              <w:ind w:left="134"/>
              <w:jc w:val="left"/>
              <w:rPr>
                <w:noProof/>
                <w:sz w:val="16"/>
              </w:rPr>
            </w:pPr>
            <w:r w:rsidRPr="00133050">
              <w:rPr>
                <w:noProof/>
                <w:sz w:val="16"/>
              </w:rPr>
              <w:t>01 01 01 01</w:t>
            </w:r>
            <w:r w:rsidRPr="00133050">
              <w:rPr>
                <w:noProof/>
                <w:sz w:val="20"/>
              </w:rPr>
              <w:t xml:space="preserve"> </w:t>
            </w:r>
            <w:r w:rsidRPr="00133050">
              <w:rPr>
                <w:noProof/>
                <w:sz w:val="16"/>
              </w:rPr>
              <w:t>(Непреки научни изследвания)</w:t>
            </w:r>
          </w:p>
        </w:tc>
        <w:tc>
          <w:tcPr>
            <w:tcW w:w="731" w:type="dxa"/>
            <w:shd w:val="clear" w:color="auto" w:fill="auto"/>
            <w:vAlign w:val="center"/>
          </w:tcPr>
          <w:p w14:paraId="2217034C" w14:textId="77777777" w:rsidR="002337F9" w:rsidRPr="00133050" w:rsidRDefault="002337F9" w:rsidP="0026218C">
            <w:pPr>
              <w:spacing w:beforeLines="20" w:before="48" w:afterLines="20" w:after="48"/>
              <w:jc w:val="center"/>
              <w:rPr>
                <w:noProof/>
                <w:sz w:val="16"/>
              </w:rPr>
            </w:pPr>
          </w:p>
        </w:tc>
        <w:tc>
          <w:tcPr>
            <w:tcW w:w="731" w:type="dxa"/>
            <w:shd w:val="clear" w:color="auto" w:fill="auto"/>
            <w:vAlign w:val="center"/>
          </w:tcPr>
          <w:p w14:paraId="67E63AAC" w14:textId="77777777" w:rsidR="002337F9" w:rsidRPr="00133050" w:rsidRDefault="002337F9" w:rsidP="0026218C">
            <w:pPr>
              <w:spacing w:beforeLines="20" w:before="48" w:afterLines="20" w:after="48"/>
              <w:jc w:val="center"/>
              <w:rPr>
                <w:noProof/>
                <w:sz w:val="16"/>
              </w:rPr>
            </w:pPr>
          </w:p>
        </w:tc>
        <w:tc>
          <w:tcPr>
            <w:tcW w:w="731" w:type="dxa"/>
            <w:shd w:val="clear" w:color="auto" w:fill="auto"/>
            <w:vAlign w:val="center"/>
          </w:tcPr>
          <w:p w14:paraId="0665BDF1" w14:textId="77777777" w:rsidR="002337F9" w:rsidRPr="00133050" w:rsidRDefault="002337F9" w:rsidP="0026218C">
            <w:pPr>
              <w:spacing w:beforeLines="20" w:before="48" w:afterLines="20" w:after="48"/>
              <w:jc w:val="center"/>
              <w:rPr>
                <w:noProof/>
                <w:sz w:val="16"/>
              </w:rPr>
            </w:pPr>
          </w:p>
        </w:tc>
        <w:tc>
          <w:tcPr>
            <w:tcW w:w="731" w:type="dxa"/>
            <w:shd w:val="clear" w:color="auto" w:fill="auto"/>
            <w:vAlign w:val="center"/>
          </w:tcPr>
          <w:p w14:paraId="083477C8" w14:textId="77777777" w:rsidR="002337F9" w:rsidRPr="00133050" w:rsidRDefault="002337F9" w:rsidP="0026218C">
            <w:pPr>
              <w:spacing w:beforeLines="20" w:before="48" w:afterLines="20" w:after="48"/>
              <w:jc w:val="center"/>
              <w:rPr>
                <w:noProof/>
                <w:sz w:val="16"/>
              </w:rPr>
            </w:pPr>
          </w:p>
        </w:tc>
        <w:tc>
          <w:tcPr>
            <w:tcW w:w="731" w:type="dxa"/>
            <w:shd w:val="clear" w:color="auto" w:fill="auto"/>
            <w:vAlign w:val="center"/>
          </w:tcPr>
          <w:p w14:paraId="5FE3F418" w14:textId="77777777" w:rsidR="002337F9" w:rsidRPr="00133050" w:rsidRDefault="002337F9" w:rsidP="0026218C">
            <w:pPr>
              <w:spacing w:beforeLines="20" w:before="48" w:afterLines="20" w:after="48"/>
              <w:jc w:val="center"/>
              <w:rPr>
                <w:noProof/>
                <w:sz w:val="16"/>
              </w:rPr>
            </w:pPr>
          </w:p>
        </w:tc>
        <w:tc>
          <w:tcPr>
            <w:tcW w:w="731" w:type="dxa"/>
            <w:shd w:val="clear" w:color="auto" w:fill="auto"/>
            <w:vAlign w:val="center"/>
          </w:tcPr>
          <w:p w14:paraId="47181EA6" w14:textId="77777777" w:rsidR="002337F9" w:rsidRPr="00133050" w:rsidRDefault="002337F9" w:rsidP="0026218C">
            <w:pPr>
              <w:spacing w:beforeLines="20" w:before="48" w:afterLines="20" w:after="48"/>
              <w:jc w:val="center"/>
              <w:rPr>
                <w:noProof/>
                <w:sz w:val="16"/>
              </w:rPr>
            </w:pPr>
          </w:p>
        </w:tc>
        <w:tc>
          <w:tcPr>
            <w:tcW w:w="731" w:type="dxa"/>
            <w:shd w:val="clear" w:color="auto" w:fill="auto"/>
            <w:vAlign w:val="center"/>
          </w:tcPr>
          <w:p w14:paraId="035CAFA8" w14:textId="77777777" w:rsidR="002337F9" w:rsidRPr="00133050" w:rsidRDefault="002337F9" w:rsidP="0026218C">
            <w:pPr>
              <w:spacing w:beforeLines="20" w:before="48" w:afterLines="20" w:after="48"/>
              <w:jc w:val="center"/>
              <w:rPr>
                <w:noProof/>
                <w:sz w:val="16"/>
              </w:rPr>
            </w:pPr>
          </w:p>
        </w:tc>
      </w:tr>
      <w:tr w:rsidR="002337F9" w:rsidRPr="00133050" w14:paraId="53677B2C" w14:textId="77777777" w:rsidTr="0026218C">
        <w:trPr>
          <w:gridBefore w:val="1"/>
          <w:wBefore w:w="15" w:type="dxa"/>
          <w:trHeight w:val="289"/>
          <w:jc w:val="center"/>
        </w:trPr>
        <w:tc>
          <w:tcPr>
            <w:tcW w:w="4754" w:type="dxa"/>
            <w:gridSpan w:val="2"/>
            <w:shd w:val="clear" w:color="auto" w:fill="auto"/>
            <w:vAlign w:val="center"/>
          </w:tcPr>
          <w:p w14:paraId="3B543A4B" w14:textId="77777777" w:rsidR="002337F9" w:rsidRPr="00133050" w:rsidRDefault="002337F9" w:rsidP="0026218C">
            <w:pPr>
              <w:pStyle w:val="Text1"/>
              <w:spacing w:beforeLines="20" w:before="48" w:afterLines="20" w:after="48"/>
              <w:ind w:left="134"/>
              <w:jc w:val="left"/>
              <w:rPr>
                <w:noProof/>
                <w:sz w:val="16"/>
              </w:rPr>
            </w:pPr>
            <w:r w:rsidRPr="00133050">
              <w:rPr>
                <w:noProof/>
                <w:sz w:val="16"/>
              </w:rPr>
              <w:t>01 01 01 11 (Преки научни изследвания)</w:t>
            </w:r>
          </w:p>
        </w:tc>
        <w:tc>
          <w:tcPr>
            <w:tcW w:w="731" w:type="dxa"/>
            <w:shd w:val="clear" w:color="auto" w:fill="auto"/>
            <w:vAlign w:val="center"/>
          </w:tcPr>
          <w:p w14:paraId="294D1E4C" w14:textId="77777777" w:rsidR="002337F9" w:rsidRPr="00133050" w:rsidRDefault="002337F9" w:rsidP="0026218C">
            <w:pPr>
              <w:spacing w:beforeLines="20" w:before="48" w:afterLines="20" w:after="48"/>
              <w:jc w:val="center"/>
              <w:rPr>
                <w:noProof/>
                <w:sz w:val="16"/>
              </w:rPr>
            </w:pPr>
          </w:p>
        </w:tc>
        <w:tc>
          <w:tcPr>
            <w:tcW w:w="731" w:type="dxa"/>
            <w:shd w:val="clear" w:color="auto" w:fill="auto"/>
            <w:vAlign w:val="center"/>
          </w:tcPr>
          <w:p w14:paraId="0E90154A" w14:textId="77777777" w:rsidR="002337F9" w:rsidRPr="00133050" w:rsidRDefault="002337F9" w:rsidP="0026218C">
            <w:pPr>
              <w:spacing w:beforeLines="20" w:before="48" w:afterLines="20" w:after="48"/>
              <w:jc w:val="center"/>
              <w:rPr>
                <w:noProof/>
                <w:sz w:val="16"/>
              </w:rPr>
            </w:pPr>
          </w:p>
        </w:tc>
        <w:tc>
          <w:tcPr>
            <w:tcW w:w="731" w:type="dxa"/>
            <w:shd w:val="clear" w:color="auto" w:fill="auto"/>
            <w:vAlign w:val="center"/>
          </w:tcPr>
          <w:p w14:paraId="488D7CE4" w14:textId="77777777" w:rsidR="002337F9" w:rsidRPr="00133050" w:rsidRDefault="002337F9" w:rsidP="0026218C">
            <w:pPr>
              <w:spacing w:beforeLines="20" w:before="48" w:afterLines="20" w:after="48"/>
              <w:jc w:val="center"/>
              <w:rPr>
                <w:noProof/>
                <w:sz w:val="16"/>
              </w:rPr>
            </w:pPr>
          </w:p>
        </w:tc>
        <w:tc>
          <w:tcPr>
            <w:tcW w:w="731" w:type="dxa"/>
            <w:shd w:val="clear" w:color="auto" w:fill="auto"/>
            <w:vAlign w:val="center"/>
          </w:tcPr>
          <w:p w14:paraId="76FD1BD4" w14:textId="77777777" w:rsidR="002337F9" w:rsidRPr="00133050" w:rsidRDefault="002337F9" w:rsidP="0026218C">
            <w:pPr>
              <w:spacing w:beforeLines="20" w:before="48" w:afterLines="20" w:after="48"/>
              <w:jc w:val="center"/>
              <w:rPr>
                <w:noProof/>
                <w:sz w:val="16"/>
              </w:rPr>
            </w:pPr>
          </w:p>
        </w:tc>
        <w:tc>
          <w:tcPr>
            <w:tcW w:w="731" w:type="dxa"/>
            <w:shd w:val="clear" w:color="auto" w:fill="auto"/>
            <w:vAlign w:val="center"/>
          </w:tcPr>
          <w:p w14:paraId="67218E85" w14:textId="77777777" w:rsidR="002337F9" w:rsidRPr="00133050" w:rsidRDefault="002337F9" w:rsidP="0026218C">
            <w:pPr>
              <w:spacing w:beforeLines="20" w:before="48" w:afterLines="20" w:after="48"/>
              <w:jc w:val="center"/>
              <w:rPr>
                <w:noProof/>
                <w:sz w:val="16"/>
              </w:rPr>
            </w:pPr>
          </w:p>
        </w:tc>
        <w:tc>
          <w:tcPr>
            <w:tcW w:w="731" w:type="dxa"/>
            <w:shd w:val="clear" w:color="auto" w:fill="auto"/>
            <w:vAlign w:val="center"/>
          </w:tcPr>
          <w:p w14:paraId="0D6583EC" w14:textId="77777777" w:rsidR="002337F9" w:rsidRPr="00133050" w:rsidRDefault="002337F9" w:rsidP="0026218C">
            <w:pPr>
              <w:spacing w:beforeLines="20" w:before="48" w:afterLines="20" w:after="48"/>
              <w:jc w:val="center"/>
              <w:rPr>
                <w:noProof/>
                <w:sz w:val="16"/>
              </w:rPr>
            </w:pPr>
          </w:p>
        </w:tc>
        <w:tc>
          <w:tcPr>
            <w:tcW w:w="731" w:type="dxa"/>
            <w:shd w:val="clear" w:color="auto" w:fill="auto"/>
            <w:vAlign w:val="center"/>
          </w:tcPr>
          <w:p w14:paraId="0A82B507" w14:textId="77777777" w:rsidR="002337F9" w:rsidRPr="00133050" w:rsidRDefault="002337F9" w:rsidP="0026218C">
            <w:pPr>
              <w:spacing w:beforeLines="20" w:before="48" w:afterLines="20" w:after="48"/>
              <w:jc w:val="center"/>
              <w:rPr>
                <w:noProof/>
                <w:sz w:val="16"/>
              </w:rPr>
            </w:pPr>
          </w:p>
        </w:tc>
      </w:tr>
      <w:tr w:rsidR="002337F9" w:rsidRPr="00133050" w14:paraId="60ED8F25" w14:textId="77777777" w:rsidTr="0026218C">
        <w:trPr>
          <w:gridBefore w:val="1"/>
          <w:wBefore w:w="15" w:type="dxa"/>
          <w:trHeight w:val="289"/>
          <w:jc w:val="center"/>
        </w:trPr>
        <w:tc>
          <w:tcPr>
            <w:tcW w:w="4754" w:type="dxa"/>
            <w:gridSpan w:val="2"/>
            <w:shd w:val="clear" w:color="auto" w:fill="auto"/>
            <w:vAlign w:val="center"/>
          </w:tcPr>
          <w:p w14:paraId="43ED3893" w14:textId="77777777" w:rsidR="002337F9" w:rsidRPr="00133050" w:rsidRDefault="002337F9" w:rsidP="0026218C">
            <w:pPr>
              <w:pStyle w:val="Text1"/>
              <w:spacing w:beforeLines="20" w:before="48" w:afterLines="20" w:after="48"/>
              <w:ind w:left="134"/>
              <w:jc w:val="left"/>
              <w:rPr>
                <w:noProof/>
                <w:sz w:val="16"/>
              </w:rPr>
            </w:pPr>
            <w:r w:rsidRPr="00133050">
              <w:rPr>
                <w:noProof/>
                <w:sz w:val="16"/>
              </w:rPr>
              <w:t>Други бюджетни редове (да се посочат)</w:t>
            </w:r>
          </w:p>
        </w:tc>
        <w:tc>
          <w:tcPr>
            <w:tcW w:w="731" w:type="dxa"/>
            <w:shd w:val="clear" w:color="auto" w:fill="auto"/>
            <w:vAlign w:val="center"/>
          </w:tcPr>
          <w:p w14:paraId="7EA04753" w14:textId="77777777" w:rsidR="002337F9" w:rsidRPr="00133050" w:rsidRDefault="002337F9" w:rsidP="0026218C">
            <w:pPr>
              <w:spacing w:beforeLines="20" w:before="48" w:afterLines="20" w:after="48"/>
              <w:jc w:val="center"/>
              <w:rPr>
                <w:noProof/>
                <w:sz w:val="16"/>
              </w:rPr>
            </w:pPr>
          </w:p>
        </w:tc>
        <w:tc>
          <w:tcPr>
            <w:tcW w:w="731" w:type="dxa"/>
            <w:shd w:val="clear" w:color="auto" w:fill="auto"/>
            <w:vAlign w:val="center"/>
          </w:tcPr>
          <w:p w14:paraId="65DD38E1" w14:textId="77777777" w:rsidR="002337F9" w:rsidRPr="00133050" w:rsidRDefault="002337F9" w:rsidP="0026218C">
            <w:pPr>
              <w:spacing w:beforeLines="20" w:before="48" w:afterLines="20" w:after="48"/>
              <w:jc w:val="center"/>
              <w:rPr>
                <w:noProof/>
                <w:sz w:val="16"/>
              </w:rPr>
            </w:pPr>
          </w:p>
        </w:tc>
        <w:tc>
          <w:tcPr>
            <w:tcW w:w="731" w:type="dxa"/>
            <w:shd w:val="clear" w:color="auto" w:fill="auto"/>
            <w:vAlign w:val="center"/>
          </w:tcPr>
          <w:p w14:paraId="72DC0825" w14:textId="77777777" w:rsidR="002337F9" w:rsidRPr="00133050" w:rsidRDefault="002337F9" w:rsidP="0026218C">
            <w:pPr>
              <w:spacing w:beforeLines="20" w:before="48" w:afterLines="20" w:after="48"/>
              <w:jc w:val="center"/>
              <w:rPr>
                <w:noProof/>
                <w:sz w:val="16"/>
              </w:rPr>
            </w:pPr>
          </w:p>
        </w:tc>
        <w:tc>
          <w:tcPr>
            <w:tcW w:w="731" w:type="dxa"/>
            <w:shd w:val="clear" w:color="auto" w:fill="auto"/>
            <w:vAlign w:val="center"/>
          </w:tcPr>
          <w:p w14:paraId="7E316FAB" w14:textId="77777777" w:rsidR="002337F9" w:rsidRPr="00133050" w:rsidRDefault="002337F9" w:rsidP="0026218C">
            <w:pPr>
              <w:spacing w:beforeLines="20" w:before="48" w:afterLines="20" w:after="48"/>
              <w:jc w:val="center"/>
              <w:rPr>
                <w:noProof/>
                <w:sz w:val="16"/>
              </w:rPr>
            </w:pPr>
          </w:p>
        </w:tc>
        <w:tc>
          <w:tcPr>
            <w:tcW w:w="731" w:type="dxa"/>
            <w:shd w:val="clear" w:color="auto" w:fill="auto"/>
            <w:vAlign w:val="center"/>
          </w:tcPr>
          <w:p w14:paraId="4995F99E" w14:textId="77777777" w:rsidR="002337F9" w:rsidRPr="00133050" w:rsidRDefault="002337F9" w:rsidP="0026218C">
            <w:pPr>
              <w:spacing w:beforeLines="20" w:before="48" w:afterLines="20" w:after="48"/>
              <w:jc w:val="center"/>
              <w:rPr>
                <w:noProof/>
                <w:sz w:val="16"/>
              </w:rPr>
            </w:pPr>
          </w:p>
        </w:tc>
        <w:tc>
          <w:tcPr>
            <w:tcW w:w="731" w:type="dxa"/>
            <w:shd w:val="clear" w:color="auto" w:fill="auto"/>
            <w:vAlign w:val="center"/>
          </w:tcPr>
          <w:p w14:paraId="1995FE0A" w14:textId="77777777" w:rsidR="002337F9" w:rsidRPr="00133050" w:rsidRDefault="002337F9" w:rsidP="0026218C">
            <w:pPr>
              <w:spacing w:beforeLines="20" w:before="48" w:afterLines="20" w:after="48"/>
              <w:jc w:val="center"/>
              <w:rPr>
                <w:noProof/>
                <w:sz w:val="16"/>
              </w:rPr>
            </w:pPr>
          </w:p>
        </w:tc>
        <w:tc>
          <w:tcPr>
            <w:tcW w:w="731" w:type="dxa"/>
            <w:shd w:val="clear" w:color="auto" w:fill="auto"/>
            <w:vAlign w:val="center"/>
          </w:tcPr>
          <w:p w14:paraId="2A3F7EBB" w14:textId="77777777" w:rsidR="002337F9" w:rsidRPr="00133050" w:rsidRDefault="002337F9" w:rsidP="0026218C">
            <w:pPr>
              <w:spacing w:beforeLines="20" w:before="48" w:afterLines="20" w:after="48"/>
              <w:jc w:val="center"/>
              <w:rPr>
                <w:noProof/>
                <w:sz w:val="16"/>
              </w:rPr>
            </w:pPr>
          </w:p>
        </w:tc>
      </w:tr>
      <w:tr w:rsidR="002337F9" w:rsidRPr="00133050" w14:paraId="6A7F8B3B" w14:textId="77777777" w:rsidTr="0026218C">
        <w:trPr>
          <w:trHeight w:val="248"/>
          <w:jc w:val="center"/>
        </w:trPr>
        <w:tc>
          <w:tcPr>
            <w:tcW w:w="9886" w:type="dxa"/>
            <w:gridSpan w:val="10"/>
            <w:shd w:val="clear" w:color="auto" w:fill="auto"/>
            <w:vAlign w:val="center"/>
          </w:tcPr>
          <w:p w14:paraId="149955A9" w14:textId="77777777" w:rsidR="002337F9" w:rsidRPr="00133050" w:rsidRDefault="002337F9" w:rsidP="0026218C">
            <w:pPr>
              <w:pStyle w:val="Text1"/>
              <w:spacing w:before="60" w:after="60"/>
              <w:ind w:left="0"/>
              <w:jc w:val="left"/>
              <w:rPr>
                <w:b/>
                <w:noProof/>
                <w:sz w:val="16"/>
              </w:rPr>
            </w:pPr>
            <w:r w:rsidRPr="00133050">
              <w:rPr>
                <w:b/>
                <w:noProof/>
                <w:sz w:val="16"/>
              </w:rPr>
              <w:sym w:font="Wingdings" w:char="F09F"/>
            </w:r>
            <w:r w:rsidRPr="00133050">
              <w:rPr>
                <w:b/>
                <w:noProof/>
                <w:sz w:val="16"/>
              </w:rPr>
              <w:t xml:space="preserve"> Външен персонал (в еквивалент на пълно работно време: ЕПРВ)</w:t>
            </w:r>
            <w:r w:rsidRPr="00133050">
              <w:rPr>
                <w:rStyle w:val="FootnoteReference"/>
                <w:noProof/>
                <w:sz w:val="16"/>
              </w:rPr>
              <w:footnoteReference w:id="56"/>
            </w:r>
          </w:p>
          <w:p w14:paraId="5977F85A" w14:textId="77777777" w:rsidR="002337F9" w:rsidRPr="00133050" w:rsidRDefault="002337F9" w:rsidP="0026218C">
            <w:pPr>
              <w:pStyle w:val="Text1"/>
              <w:spacing w:before="0" w:after="0"/>
              <w:ind w:left="0"/>
              <w:jc w:val="left"/>
              <w:rPr>
                <w:noProof/>
                <w:sz w:val="16"/>
              </w:rPr>
            </w:pPr>
          </w:p>
        </w:tc>
      </w:tr>
      <w:tr w:rsidR="002337F9" w:rsidRPr="00133050" w14:paraId="32B43E64" w14:textId="77777777" w:rsidTr="0026218C">
        <w:trPr>
          <w:gridBefore w:val="1"/>
          <w:wBefore w:w="15" w:type="dxa"/>
          <w:trHeight w:val="289"/>
          <w:jc w:val="center"/>
        </w:trPr>
        <w:tc>
          <w:tcPr>
            <w:tcW w:w="4754" w:type="dxa"/>
            <w:gridSpan w:val="2"/>
            <w:shd w:val="clear" w:color="auto" w:fill="auto"/>
            <w:vAlign w:val="center"/>
          </w:tcPr>
          <w:p w14:paraId="3A0D3DE9" w14:textId="77777777" w:rsidR="002337F9" w:rsidRPr="00133050" w:rsidRDefault="002337F9" w:rsidP="0026218C">
            <w:pPr>
              <w:pStyle w:val="Text1"/>
              <w:spacing w:beforeLines="20" w:before="48" w:afterLines="20" w:after="48"/>
              <w:ind w:left="136"/>
              <w:jc w:val="left"/>
              <w:rPr>
                <w:b/>
                <w:noProof/>
                <w:sz w:val="16"/>
              </w:rPr>
            </w:pPr>
            <w:r w:rsidRPr="00133050">
              <w:rPr>
                <w:noProof/>
                <w:sz w:val="16"/>
              </w:rPr>
              <w:t>20 02 01</w:t>
            </w:r>
            <w:r w:rsidRPr="00133050">
              <w:rPr>
                <w:noProof/>
                <w:sz w:val="20"/>
              </w:rPr>
              <w:t xml:space="preserve"> </w:t>
            </w:r>
            <w:r w:rsidRPr="00133050">
              <w:rPr>
                <w:noProof/>
                <w:sz w:val="16"/>
              </w:rPr>
              <w:t>(ДНП, КНЕ, ПНА от общия финансов пакет)</w:t>
            </w:r>
          </w:p>
        </w:tc>
        <w:tc>
          <w:tcPr>
            <w:tcW w:w="731" w:type="dxa"/>
            <w:shd w:val="clear" w:color="auto" w:fill="auto"/>
            <w:vAlign w:val="center"/>
          </w:tcPr>
          <w:p w14:paraId="290CE791" w14:textId="77777777" w:rsidR="002337F9" w:rsidRPr="00133050" w:rsidRDefault="002337F9" w:rsidP="0026218C">
            <w:pPr>
              <w:spacing w:beforeLines="20" w:before="48" w:afterLines="20" w:after="48"/>
              <w:jc w:val="center"/>
              <w:rPr>
                <w:noProof/>
                <w:sz w:val="16"/>
              </w:rPr>
            </w:pPr>
          </w:p>
        </w:tc>
        <w:tc>
          <w:tcPr>
            <w:tcW w:w="731" w:type="dxa"/>
            <w:shd w:val="clear" w:color="auto" w:fill="auto"/>
            <w:vAlign w:val="center"/>
          </w:tcPr>
          <w:p w14:paraId="6F1C69EF" w14:textId="77777777" w:rsidR="002337F9" w:rsidRPr="00133050" w:rsidRDefault="002337F9" w:rsidP="0026218C">
            <w:pPr>
              <w:spacing w:beforeLines="20" w:before="48" w:afterLines="20" w:after="48"/>
              <w:jc w:val="center"/>
              <w:rPr>
                <w:noProof/>
                <w:sz w:val="16"/>
              </w:rPr>
            </w:pPr>
          </w:p>
        </w:tc>
        <w:tc>
          <w:tcPr>
            <w:tcW w:w="731" w:type="dxa"/>
            <w:shd w:val="clear" w:color="auto" w:fill="auto"/>
            <w:vAlign w:val="center"/>
          </w:tcPr>
          <w:p w14:paraId="3018E1DF" w14:textId="77777777" w:rsidR="002337F9" w:rsidRPr="00133050" w:rsidRDefault="002337F9" w:rsidP="0026218C">
            <w:pPr>
              <w:spacing w:beforeLines="20" w:before="48" w:afterLines="20" w:after="48"/>
              <w:jc w:val="center"/>
              <w:rPr>
                <w:noProof/>
                <w:sz w:val="16"/>
              </w:rPr>
            </w:pPr>
          </w:p>
        </w:tc>
        <w:tc>
          <w:tcPr>
            <w:tcW w:w="731" w:type="dxa"/>
            <w:shd w:val="clear" w:color="auto" w:fill="auto"/>
            <w:vAlign w:val="center"/>
          </w:tcPr>
          <w:p w14:paraId="459DFF27" w14:textId="77777777" w:rsidR="002337F9" w:rsidRPr="00133050" w:rsidRDefault="002337F9" w:rsidP="0026218C">
            <w:pPr>
              <w:spacing w:beforeLines="20" w:before="48" w:afterLines="20" w:after="48"/>
              <w:jc w:val="center"/>
              <w:rPr>
                <w:noProof/>
                <w:sz w:val="16"/>
              </w:rPr>
            </w:pPr>
          </w:p>
        </w:tc>
        <w:tc>
          <w:tcPr>
            <w:tcW w:w="731" w:type="dxa"/>
            <w:shd w:val="clear" w:color="auto" w:fill="auto"/>
            <w:vAlign w:val="center"/>
          </w:tcPr>
          <w:p w14:paraId="59525E86" w14:textId="77777777" w:rsidR="002337F9" w:rsidRPr="00133050" w:rsidRDefault="002337F9" w:rsidP="0026218C">
            <w:pPr>
              <w:spacing w:beforeLines="20" w:before="48" w:afterLines="20" w:after="48"/>
              <w:jc w:val="center"/>
              <w:rPr>
                <w:noProof/>
                <w:sz w:val="16"/>
              </w:rPr>
            </w:pPr>
          </w:p>
        </w:tc>
        <w:tc>
          <w:tcPr>
            <w:tcW w:w="731" w:type="dxa"/>
            <w:shd w:val="clear" w:color="auto" w:fill="auto"/>
            <w:vAlign w:val="center"/>
          </w:tcPr>
          <w:p w14:paraId="48010EF9" w14:textId="77777777" w:rsidR="002337F9" w:rsidRPr="00133050" w:rsidRDefault="002337F9" w:rsidP="0026218C">
            <w:pPr>
              <w:spacing w:beforeLines="20" w:before="48" w:afterLines="20" w:after="48"/>
              <w:jc w:val="center"/>
              <w:rPr>
                <w:noProof/>
                <w:sz w:val="16"/>
              </w:rPr>
            </w:pPr>
          </w:p>
        </w:tc>
        <w:tc>
          <w:tcPr>
            <w:tcW w:w="731" w:type="dxa"/>
            <w:shd w:val="clear" w:color="auto" w:fill="auto"/>
            <w:vAlign w:val="center"/>
          </w:tcPr>
          <w:p w14:paraId="6BA84D8E" w14:textId="77777777" w:rsidR="002337F9" w:rsidRPr="00133050" w:rsidRDefault="002337F9" w:rsidP="0026218C">
            <w:pPr>
              <w:spacing w:beforeLines="20" w:before="48" w:afterLines="20" w:after="48"/>
              <w:jc w:val="center"/>
              <w:rPr>
                <w:noProof/>
                <w:sz w:val="16"/>
              </w:rPr>
            </w:pPr>
          </w:p>
        </w:tc>
      </w:tr>
      <w:tr w:rsidR="002337F9" w:rsidRPr="00133050" w14:paraId="4A3811D3" w14:textId="77777777" w:rsidTr="0026218C">
        <w:trPr>
          <w:gridBefore w:val="1"/>
          <w:wBefore w:w="15" w:type="dxa"/>
          <w:trHeight w:val="289"/>
          <w:jc w:val="center"/>
        </w:trPr>
        <w:tc>
          <w:tcPr>
            <w:tcW w:w="4754" w:type="dxa"/>
            <w:gridSpan w:val="2"/>
            <w:shd w:val="clear" w:color="auto" w:fill="auto"/>
            <w:vAlign w:val="center"/>
          </w:tcPr>
          <w:p w14:paraId="47CA5B45" w14:textId="77777777" w:rsidR="002337F9" w:rsidRPr="00133050" w:rsidRDefault="002337F9" w:rsidP="0026218C">
            <w:pPr>
              <w:pStyle w:val="Text1"/>
              <w:spacing w:beforeLines="20" w:before="48" w:afterLines="20" w:after="48"/>
              <w:ind w:left="136"/>
              <w:jc w:val="left"/>
              <w:rPr>
                <w:noProof/>
                <w:sz w:val="16"/>
              </w:rPr>
            </w:pPr>
            <w:r w:rsidRPr="00133050">
              <w:rPr>
                <w:noProof/>
                <w:sz w:val="16"/>
              </w:rPr>
              <w:t>20 02 03 (ДНП, МП, КНЕ, ПНА и МЕД в делегациите)</w:t>
            </w:r>
          </w:p>
        </w:tc>
        <w:tc>
          <w:tcPr>
            <w:tcW w:w="731" w:type="dxa"/>
            <w:shd w:val="clear" w:color="auto" w:fill="auto"/>
            <w:vAlign w:val="center"/>
          </w:tcPr>
          <w:p w14:paraId="391C30D8" w14:textId="77777777" w:rsidR="002337F9" w:rsidRPr="00133050" w:rsidRDefault="002337F9" w:rsidP="0026218C">
            <w:pPr>
              <w:spacing w:beforeLines="20" w:before="48" w:afterLines="20" w:after="48"/>
              <w:jc w:val="center"/>
              <w:rPr>
                <w:noProof/>
                <w:sz w:val="16"/>
              </w:rPr>
            </w:pPr>
          </w:p>
        </w:tc>
        <w:tc>
          <w:tcPr>
            <w:tcW w:w="731" w:type="dxa"/>
            <w:shd w:val="clear" w:color="auto" w:fill="auto"/>
            <w:vAlign w:val="center"/>
          </w:tcPr>
          <w:p w14:paraId="098AB2F4" w14:textId="77777777" w:rsidR="002337F9" w:rsidRPr="00133050" w:rsidRDefault="002337F9" w:rsidP="0026218C">
            <w:pPr>
              <w:spacing w:beforeLines="20" w:before="48" w:afterLines="20" w:after="48"/>
              <w:jc w:val="center"/>
              <w:rPr>
                <w:noProof/>
                <w:sz w:val="16"/>
              </w:rPr>
            </w:pPr>
          </w:p>
        </w:tc>
        <w:tc>
          <w:tcPr>
            <w:tcW w:w="731" w:type="dxa"/>
            <w:shd w:val="clear" w:color="auto" w:fill="auto"/>
            <w:vAlign w:val="center"/>
          </w:tcPr>
          <w:p w14:paraId="28FFDE02" w14:textId="77777777" w:rsidR="002337F9" w:rsidRPr="00133050" w:rsidRDefault="002337F9" w:rsidP="0026218C">
            <w:pPr>
              <w:spacing w:beforeLines="20" w:before="48" w:afterLines="20" w:after="48"/>
              <w:jc w:val="center"/>
              <w:rPr>
                <w:noProof/>
                <w:sz w:val="16"/>
              </w:rPr>
            </w:pPr>
          </w:p>
        </w:tc>
        <w:tc>
          <w:tcPr>
            <w:tcW w:w="731" w:type="dxa"/>
            <w:shd w:val="clear" w:color="auto" w:fill="auto"/>
            <w:vAlign w:val="center"/>
          </w:tcPr>
          <w:p w14:paraId="7AF4C25F" w14:textId="77777777" w:rsidR="002337F9" w:rsidRPr="00133050" w:rsidRDefault="002337F9" w:rsidP="0026218C">
            <w:pPr>
              <w:spacing w:beforeLines="20" w:before="48" w:afterLines="20" w:after="48"/>
              <w:jc w:val="center"/>
              <w:rPr>
                <w:noProof/>
                <w:sz w:val="16"/>
              </w:rPr>
            </w:pPr>
          </w:p>
        </w:tc>
        <w:tc>
          <w:tcPr>
            <w:tcW w:w="731" w:type="dxa"/>
            <w:shd w:val="clear" w:color="auto" w:fill="auto"/>
            <w:vAlign w:val="center"/>
          </w:tcPr>
          <w:p w14:paraId="1AD1B9F0" w14:textId="77777777" w:rsidR="002337F9" w:rsidRPr="00133050" w:rsidRDefault="002337F9" w:rsidP="0026218C">
            <w:pPr>
              <w:spacing w:beforeLines="20" w:before="48" w:afterLines="20" w:after="48"/>
              <w:jc w:val="center"/>
              <w:rPr>
                <w:noProof/>
                <w:sz w:val="16"/>
              </w:rPr>
            </w:pPr>
          </w:p>
        </w:tc>
        <w:tc>
          <w:tcPr>
            <w:tcW w:w="731" w:type="dxa"/>
            <w:shd w:val="clear" w:color="auto" w:fill="auto"/>
            <w:vAlign w:val="center"/>
          </w:tcPr>
          <w:p w14:paraId="7AD6F6BD" w14:textId="77777777" w:rsidR="002337F9" w:rsidRPr="00133050" w:rsidRDefault="002337F9" w:rsidP="0026218C">
            <w:pPr>
              <w:spacing w:beforeLines="20" w:before="48" w:afterLines="20" w:after="48"/>
              <w:jc w:val="center"/>
              <w:rPr>
                <w:noProof/>
                <w:sz w:val="16"/>
              </w:rPr>
            </w:pPr>
          </w:p>
        </w:tc>
        <w:tc>
          <w:tcPr>
            <w:tcW w:w="731" w:type="dxa"/>
            <w:shd w:val="clear" w:color="auto" w:fill="auto"/>
            <w:vAlign w:val="center"/>
          </w:tcPr>
          <w:p w14:paraId="23C4A699" w14:textId="77777777" w:rsidR="002337F9" w:rsidRPr="00133050" w:rsidRDefault="002337F9" w:rsidP="0026218C">
            <w:pPr>
              <w:spacing w:beforeLines="20" w:before="48" w:afterLines="20" w:after="48"/>
              <w:jc w:val="center"/>
              <w:rPr>
                <w:noProof/>
                <w:sz w:val="16"/>
              </w:rPr>
            </w:pPr>
          </w:p>
        </w:tc>
      </w:tr>
      <w:tr w:rsidR="002337F9" w:rsidRPr="00133050" w14:paraId="1FBA16AB" w14:textId="77777777" w:rsidTr="0026218C">
        <w:trPr>
          <w:gridBefore w:val="1"/>
          <w:wBefore w:w="15" w:type="dxa"/>
          <w:trHeight w:val="289"/>
          <w:jc w:val="center"/>
        </w:trPr>
        <w:tc>
          <w:tcPr>
            <w:tcW w:w="2376" w:type="dxa"/>
            <w:vMerge w:val="restart"/>
            <w:shd w:val="clear" w:color="auto" w:fill="auto"/>
            <w:vAlign w:val="center"/>
          </w:tcPr>
          <w:p w14:paraId="6410A81D" w14:textId="77777777" w:rsidR="002337F9" w:rsidRPr="00133050" w:rsidRDefault="002337F9" w:rsidP="0026218C">
            <w:pPr>
              <w:pStyle w:val="Text1"/>
              <w:spacing w:beforeLines="20" w:before="48" w:afterLines="20" w:after="48"/>
              <w:ind w:left="136"/>
              <w:jc w:val="left"/>
              <w:rPr>
                <w:b/>
                <w:noProof/>
                <w:sz w:val="16"/>
              </w:rPr>
            </w:pPr>
            <w:r w:rsidRPr="00133050">
              <w:rPr>
                <w:b/>
                <w:noProof/>
                <w:sz w:val="16"/>
              </w:rPr>
              <w:t>XX</w:t>
            </w:r>
            <w:r w:rsidRPr="00133050">
              <w:rPr>
                <w:noProof/>
                <w:sz w:val="16"/>
              </w:rPr>
              <w:t xml:space="preserve"> 01 xx </w:t>
            </w:r>
            <w:r w:rsidRPr="00133050">
              <w:rPr>
                <w:b/>
                <w:noProof/>
                <w:sz w:val="16"/>
              </w:rPr>
              <w:t xml:space="preserve">yy zz </w:t>
            </w:r>
            <w:r w:rsidRPr="00133050">
              <w:rPr>
                <w:rStyle w:val="FootnoteReference"/>
                <w:noProof/>
                <w:sz w:val="16"/>
              </w:rPr>
              <w:footnoteReference w:id="57"/>
            </w:r>
          </w:p>
          <w:p w14:paraId="6E0E3FEB" w14:textId="77777777" w:rsidR="002337F9" w:rsidRPr="00133050" w:rsidRDefault="002337F9" w:rsidP="0026218C">
            <w:pPr>
              <w:pStyle w:val="Text1"/>
              <w:spacing w:beforeLines="20" w:before="48" w:afterLines="20" w:after="48"/>
              <w:ind w:left="136"/>
              <w:jc w:val="left"/>
              <w:rPr>
                <w:b/>
                <w:noProof/>
                <w:sz w:val="16"/>
              </w:rPr>
            </w:pPr>
          </w:p>
        </w:tc>
        <w:tc>
          <w:tcPr>
            <w:tcW w:w="2378" w:type="dxa"/>
            <w:shd w:val="clear" w:color="auto" w:fill="auto"/>
            <w:vAlign w:val="center"/>
          </w:tcPr>
          <w:p w14:paraId="33B6FCFA" w14:textId="77777777" w:rsidR="002337F9" w:rsidRPr="00133050" w:rsidRDefault="002337F9" w:rsidP="0026218C">
            <w:pPr>
              <w:pStyle w:val="Text1"/>
              <w:spacing w:beforeLines="20" w:before="48" w:afterLines="20" w:after="48"/>
              <w:ind w:left="136"/>
              <w:jc w:val="left"/>
              <w:rPr>
                <w:b/>
                <w:noProof/>
                <w:sz w:val="16"/>
              </w:rPr>
            </w:pPr>
            <w:r w:rsidRPr="00133050">
              <w:rPr>
                <w:noProof/>
                <w:sz w:val="16"/>
              </w:rPr>
              <w:t>- в централата</w:t>
            </w:r>
          </w:p>
          <w:p w14:paraId="0E13DE29" w14:textId="77777777" w:rsidR="002337F9" w:rsidRPr="00133050" w:rsidRDefault="002337F9" w:rsidP="0026218C">
            <w:pPr>
              <w:pStyle w:val="Text1"/>
              <w:spacing w:beforeLines="20" w:before="48" w:afterLines="20" w:after="48"/>
              <w:ind w:left="136"/>
              <w:jc w:val="left"/>
              <w:rPr>
                <w:b/>
                <w:noProof/>
                <w:sz w:val="16"/>
              </w:rPr>
            </w:pPr>
          </w:p>
        </w:tc>
        <w:tc>
          <w:tcPr>
            <w:tcW w:w="731" w:type="dxa"/>
            <w:shd w:val="clear" w:color="auto" w:fill="auto"/>
            <w:vAlign w:val="center"/>
          </w:tcPr>
          <w:p w14:paraId="2B3E8E7B" w14:textId="77777777" w:rsidR="002337F9" w:rsidRPr="00133050" w:rsidRDefault="002337F9" w:rsidP="0026218C">
            <w:pPr>
              <w:pStyle w:val="Text1"/>
              <w:spacing w:beforeLines="20" w:before="48" w:afterLines="20" w:after="48"/>
              <w:ind w:left="0"/>
              <w:rPr>
                <w:noProof/>
                <w:sz w:val="16"/>
              </w:rPr>
            </w:pPr>
          </w:p>
        </w:tc>
        <w:tc>
          <w:tcPr>
            <w:tcW w:w="731" w:type="dxa"/>
            <w:shd w:val="clear" w:color="auto" w:fill="auto"/>
            <w:vAlign w:val="center"/>
          </w:tcPr>
          <w:p w14:paraId="19ECD862" w14:textId="77777777" w:rsidR="002337F9" w:rsidRPr="00133050" w:rsidRDefault="002337F9" w:rsidP="0026218C">
            <w:pPr>
              <w:spacing w:beforeLines="20" w:before="48" w:afterLines="20" w:after="48"/>
              <w:jc w:val="center"/>
              <w:rPr>
                <w:noProof/>
                <w:sz w:val="16"/>
              </w:rPr>
            </w:pPr>
          </w:p>
        </w:tc>
        <w:tc>
          <w:tcPr>
            <w:tcW w:w="731" w:type="dxa"/>
            <w:shd w:val="clear" w:color="auto" w:fill="auto"/>
            <w:vAlign w:val="center"/>
          </w:tcPr>
          <w:p w14:paraId="2E35D6F5" w14:textId="77777777" w:rsidR="002337F9" w:rsidRPr="00133050" w:rsidRDefault="002337F9" w:rsidP="0026218C">
            <w:pPr>
              <w:spacing w:beforeLines="20" w:before="48" w:afterLines="20" w:after="48"/>
              <w:jc w:val="center"/>
              <w:rPr>
                <w:noProof/>
                <w:sz w:val="16"/>
              </w:rPr>
            </w:pPr>
          </w:p>
        </w:tc>
        <w:tc>
          <w:tcPr>
            <w:tcW w:w="731" w:type="dxa"/>
            <w:shd w:val="clear" w:color="auto" w:fill="auto"/>
            <w:vAlign w:val="center"/>
          </w:tcPr>
          <w:p w14:paraId="6284470C" w14:textId="77777777" w:rsidR="002337F9" w:rsidRPr="00133050" w:rsidRDefault="002337F9" w:rsidP="0026218C">
            <w:pPr>
              <w:spacing w:beforeLines="20" w:before="48" w:afterLines="20" w:after="48"/>
              <w:jc w:val="center"/>
              <w:rPr>
                <w:noProof/>
                <w:sz w:val="16"/>
              </w:rPr>
            </w:pPr>
          </w:p>
        </w:tc>
        <w:tc>
          <w:tcPr>
            <w:tcW w:w="731" w:type="dxa"/>
            <w:shd w:val="clear" w:color="auto" w:fill="auto"/>
            <w:vAlign w:val="center"/>
          </w:tcPr>
          <w:p w14:paraId="07A69398" w14:textId="77777777" w:rsidR="002337F9" w:rsidRPr="00133050" w:rsidRDefault="002337F9" w:rsidP="0026218C">
            <w:pPr>
              <w:spacing w:beforeLines="20" w:before="48" w:afterLines="20" w:after="48"/>
              <w:jc w:val="center"/>
              <w:rPr>
                <w:noProof/>
                <w:sz w:val="16"/>
              </w:rPr>
            </w:pPr>
          </w:p>
        </w:tc>
        <w:tc>
          <w:tcPr>
            <w:tcW w:w="731" w:type="dxa"/>
            <w:shd w:val="clear" w:color="auto" w:fill="auto"/>
            <w:vAlign w:val="center"/>
          </w:tcPr>
          <w:p w14:paraId="1C78E7D7" w14:textId="77777777" w:rsidR="002337F9" w:rsidRPr="00133050" w:rsidRDefault="002337F9" w:rsidP="0026218C">
            <w:pPr>
              <w:spacing w:beforeLines="20" w:before="48" w:afterLines="20" w:after="48"/>
              <w:jc w:val="center"/>
              <w:rPr>
                <w:noProof/>
                <w:sz w:val="16"/>
              </w:rPr>
            </w:pPr>
          </w:p>
        </w:tc>
        <w:tc>
          <w:tcPr>
            <w:tcW w:w="731" w:type="dxa"/>
            <w:shd w:val="clear" w:color="auto" w:fill="auto"/>
            <w:vAlign w:val="center"/>
          </w:tcPr>
          <w:p w14:paraId="6562F0BB" w14:textId="77777777" w:rsidR="002337F9" w:rsidRPr="00133050" w:rsidRDefault="002337F9" w:rsidP="0026218C">
            <w:pPr>
              <w:spacing w:beforeLines="20" w:before="48" w:afterLines="20" w:after="48"/>
              <w:jc w:val="center"/>
              <w:rPr>
                <w:noProof/>
                <w:sz w:val="16"/>
              </w:rPr>
            </w:pPr>
          </w:p>
        </w:tc>
      </w:tr>
      <w:tr w:rsidR="002337F9" w:rsidRPr="00133050" w14:paraId="7AF3917B" w14:textId="77777777" w:rsidTr="0026218C">
        <w:trPr>
          <w:gridBefore w:val="1"/>
          <w:wBefore w:w="15" w:type="dxa"/>
          <w:trHeight w:val="289"/>
          <w:jc w:val="center"/>
        </w:trPr>
        <w:tc>
          <w:tcPr>
            <w:tcW w:w="2376" w:type="dxa"/>
            <w:vMerge/>
            <w:shd w:val="clear" w:color="auto" w:fill="auto"/>
            <w:vAlign w:val="center"/>
          </w:tcPr>
          <w:p w14:paraId="410464B4" w14:textId="77777777" w:rsidR="002337F9" w:rsidRPr="00133050" w:rsidRDefault="002337F9" w:rsidP="0026218C">
            <w:pPr>
              <w:pStyle w:val="Text1"/>
              <w:spacing w:beforeLines="20" w:before="48" w:afterLines="20" w:after="48"/>
              <w:ind w:left="136"/>
              <w:jc w:val="left"/>
              <w:rPr>
                <w:b/>
                <w:noProof/>
                <w:sz w:val="16"/>
              </w:rPr>
            </w:pPr>
          </w:p>
        </w:tc>
        <w:tc>
          <w:tcPr>
            <w:tcW w:w="2378" w:type="dxa"/>
            <w:shd w:val="clear" w:color="auto" w:fill="auto"/>
            <w:vAlign w:val="center"/>
          </w:tcPr>
          <w:p w14:paraId="60982B46" w14:textId="77777777" w:rsidR="002337F9" w:rsidRPr="00133050" w:rsidRDefault="002337F9" w:rsidP="0026218C">
            <w:pPr>
              <w:pStyle w:val="Text1"/>
              <w:spacing w:beforeLines="20" w:before="48" w:afterLines="20" w:after="48"/>
              <w:ind w:left="136"/>
              <w:jc w:val="left"/>
              <w:rPr>
                <w:b/>
                <w:noProof/>
                <w:sz w:val="16"/>
              </w:rPr>
            </w:pPr>
            <w:r w:rsidRPr="00133050">
              <w:rPr>
                <w:noProof/>
                <w:sz w:val="16"/>
              </w:rPr>
              <w:t xml:space="preserve">- в делегациите </w:t>
            </w:r>
          </w:p>
        </w:tc>
        <w:tc>
          <w:tcPr>
            <w:tcW w:w="731" w:type="dxa"/>
            <w:shd w:val="clear" w:color="auto" w:fill="auto"/>
            <w:vAlign w:val="center"/>
          </w:tcPr>
          <w:p w14:paraId="48C10D1F" w14:textId="77777777" w:rsidR="002337F9" w:rsidRPr="00133050" w:rsidRDefault="002337F9" w:rsidP="0026218C">
            <w:pPr>
              <w:pStyle w:val="Text1"/>
              <w:spacing w:beforeLines="20" w:before="48" w:afterLines="20" w:after="48"/>
              <w:ind w:left="0"/>
              <w:rPr>
                <w:noProof/>
                <w:sz w:val="16"/>
              </w:rPr>
            </w:pPr>
          </w:p>
        </w:tc>
        <w:tc>
          <w:tcPr>
            <w:tcW w:w="731" w:type="dxa"/>
            <w:shd w:val="clear" w:color="auto" w:fill="auto"/>
            <w:vAlign w:val="center"/>
          </w:tcPr>
          <w:p w14:paraId="31213F4C" w14:textId="77777777" w:rsidR="002337F9" w:rsidRPr="00133050" w:rsidRDefault="002337F9" w:rsidP="0026218C">
            <w:pPr>
              <w:spacing w:beforeLines="20" w:before="48" w:afterLines="20" w:after="48"/>
              <w:jc w:val="center"/>
              <w:rPr>
                <w:noProof/>
                <w:sz w:val="16"/>
              </w:rPr>
            </w:pPr>
          </w:p>
        </w:tc>
        <w:tc>
          <w:tcPr>
            <w:tcW w:w="731" w:type="dxa"/>
            <w:shd w:val="clear" w:color="auto" w:fill="auto"/>
            <w:vAlign w:val="center"/>
          </w:tcPr>
          <w:p w14:paraId="638602B3" w14:textId="77777777" w:rsidR="002337F9" w:rsidRPr="00133050" w:rsidRDefault="002337F9" w:rsidP="0026218C">
            <w:pPr>
              <w:spacing w:beforeLines="20" w:before="48" w:afterLines="20" w:after="48"/>
              <w:jc w:val="center"/>
              <w:rPr>
                <w:noProof/>
                <w:sz w:val="16"/>
              </w:rPr>
            </w:pPr>
          </w:p>
        </w:tc>
        <w:tc>
          <w:tcPr>
            <w:tcW w:w="731" w:type="dxa"/>
            <w:shd w:val="clear" w:color="auto" w:fill="auto"/>
            <w:vAlign w:val="center"/>
          </w:tcPr>
          <w:p w14:paraId="272280CB" w14:textId="77777777" w:rsidR="002337F9" w:rsidRPr="00133050" w:rsidRDefault="002337F9" w:rsidP="0026218C">
            <w:pPr>
              <w:spacing w:beforeLines="20" w:before="48" w:afterLines="20" w:after="48"/>
              <w:jc w:val="center"/>
              <w:rPr>
                <w:noProof/>
                <w:sz w:val="16"/>
              </w:rPr>
            </w:pPr>
          </w:p>
        </w:tc>
        <w:tc>
          <w:tcPr>
            <w:tcW w:w="731" w:type="dxa"/>
            <w:shd w:val="clear" w:color="auto" w:fill="auto"/>
            <w:vAlign w:val="center"/>
          </w:tcPr>
          <w:p w14:paraId="71B3B792" w14:textId="77777777" w:rsidR="002337F9" w:rsidRPr="00133050" w:rsidRDefault="002337F9" w:rsidP="0026218C">
            <w:pPr>
              <w:spacing w:beforeLines="20" w:before="48" w:afterLines="20" w:after="48"/>
              <w:jc w:val="center"/>
              <w:rPr>
                <w:noProof/>
                <w:sz w:val="16"/>
              </w:rPr>
            </w:pPr>
          </w:p>
        </w:tc>
        <w:tc>
          <w:tcPr>
            <w:tcW w:w="731" w:type="dxa"/>
            <w:shd w:val="clear" w:color="auto" w:fill="auto"/>
            <w:vAlign w:val="center"/>
          </w:tcPr>
          <w:p w14:paraId="1696555A" w14:textId="77777777" w:rsidR="002337F9" w:rsidRPr="00133050" w:rsidRDefault="002337F9" w:rsidP="0026218C">
            <w:pPr>
              <w:spacing w:beforeLines="20" w:before="48" w:afterLines="20" w:after="48"/>
              <w:jc w:val="center"/>
              <w:rPr>
                <w:noProof/>
                <w:sz w:val="16"/>
              </w:rPr>
            </w:pPr>
          </w:p>
        </w:tc>
        <w:tc>
          <w:tcPr>
            <w:tcW w:w="731" w:type="dxa"/>
            <w:shd w:val="clear" w:color="auto" w:fill="auto"/>
            <w:vAlign w:val="center"/>
          </w:tcPr>
          <w:p w14:paraId="2055142C" w14:textId="77777777" w:rsidR="002337F9" w:rsidRPr="00133050" w:rsidRDefault="002337F9" w:rsidP="0026218C">
            <w:pPr>
              <w:spacing w:beforeLines="20" w:before="48" w:afterLines="20" w:after="48"/>
              <w:jc w:val="center"/>
              <w:rPr>
                <w:noProof/>
                <w:sz w:val="16"/>
              </w:rPr>
            </w:pPr>
          </w:p>
        </w:tc>
      </w:tr>
      <w:tr w:rsidR="002337F9" w:rsidRPr="00133050" w14:paraId="6B1E6F34" w14:textId="77777777" w:rsidTr="0026218C">
        <w:trPr>
          <w:gridBefore w:val="1"/>
          <w:wBefore w:w="15" w:type="dxa"/>
          <w:trHeight w:val="289"/>
          <w:jc w:val="center"/>
        </w:trPr>
        <w:tc>
          <w:tcPr>
            <w:tcW w:w="4754" w:type="dxa"/>
            <w:gridSpan w:val="2"/>
            <w:shd w:val="clear" w:color="auto" w:fill="auto"/>
            <w:vAlign w:val="center"/>
          </w:tcPr>
          <w:p w14:paraId="6D21100B" w14:textId="77777777" w:rsidR="002337F9" w:rsidRPr="00133050" w:rsidRDefault="002337F9" w:rsidP="0026218C">
            <w:pPr>
              <w:pStyle w:val="Text1"/>
              <w:spacing w:beforeLines="20" w:before="48" w:afterLines="20" w:after="48"/>
              <w:ind w:left="136"/>
              <w:jc w:val="left"/>
              <w:rPr>
                <w:noProof/>
                <w:sz w:val="16"/>
              </w:rPr>
            </w:pPr>
            <w:r w:rsidRPr="00133050">
              <w:rPr>
                <w:noProof/>
                <w:sz w:val="16"/>
              </w:rPr>
              <w:t>01 01 01 02</w:t>
            </w:r>
            <w:r w:rsidRPr="00133050">
              <w:rPr>
                <w:noProof/>
                <w:sz w:val="20"/>
              </w:rPr>
              <w:t xml:space="preserve"> </w:t>
            </w:r>
            <w:r w:rsidRPr="00133050">
              <w:rPr>
                <w:noProof/>
                <w:sz w:val="16"/>
              </w:rPr>
              <w:t>(ДНП, КНЕ, ПНА — Непреки научни изследвания)</w:t>
            </w:r>
          </w:p>
        </w:tc>
        <w:tc>
          <w:tcPr>
            <w:tcW w:w="731" w:type="dxa"/>
            <w:shd w:val="clear" w:color="auto" w:fill="auto"/>
            <w:vAlign w:val="center"/>
          </w:tcPr>
          <w:p w14:paraId="287179A6" w14:textId="77777777" w:rsidR="002337F9" w:rsidRPr="00133050" w:rsidRDefault="002337F9" w:rsidP="0026218C">
            <w:pPr>
              <w:spacing w:beforeLines="20" w:before="48" w:afterLines="20" w:after="48"/>
              <w:jc w:val="center"/>
              <w:rPr>
                <w:noProof/>
                <w:sz w:val="16"/>
              </w:rPr>
            </w:pPr>
          </w:p>
        </w:tc>
        <w:tc>
          <w:tcPr>
            <w:tcW w:w="731" w:type="dxa"/>
            <w:shd w:val="clear" w:color="auto" w:fill="auto"/>
            <w:vAlign w:val="center"/>
          </w:tcPr>
          <w:p w14:paraId="24548E54" w14:textId="77777777" w:rsidR="002337F9" w:rsidRPr="00133050" w:rsidRDefault="002337F9" w:rsidP="0026218C">
            <w:pPr>
              <w:spacing w:beforeLines="20" w:before="48" w:afterLines="20" w:after="48"/>
              <w:jc w:val="center"/>
              <w:rPr>
                <w:noProof/>
                <w:sz w:val="16"/>
              </w:rPr>
            </w:pPr>
          </w:p>
        </w:tc>
        <w:tc>
          <w:tcPr>
            <w:tcW w:w="731" w:type="dxa"/>
            <w:shd w:val="clear" w:color="auto" w:fill="auto"/>
            <w:vAlign w:val="center"/>
          </w:tcPr>
          <w:p w14:paraId="5AE4E8C2" w14:textId="77777777" w:rsidR="002337F9" w:rsidRPr="00133050" w:rsidRDefault="002337F9" w:rsidP="0026218C">
            <w:pPr>
              <w:spacing w:beforeLines="20" w:before="48" w:afterLines="20" w:after="48"/>
              <w:jc w:val="center"/>
              <w:rPr>
                <w:noProof/>
                <w:sz w:val="16"/>
              </w:rPr>
            </w:pPr>
          </w:p>
        </w:tc>
        <w:tc>
          <w:tcPr>
            <w:tcW w:w="731" w:type="dxa"/>
            <w:shd w:val="clear" w:color="auto" w:fill="auto"/>
            <w:vAlign w:val="center"/>
          </w:tcPr>
          <w:p w14:paraId="1AC235D1" w14:textId="77777777" w:rsidR="002337F9" w:rsidRPr="00133050" w:rsidRDefault="002337F9" w:rsidP="0026218C">
            <w:pPr>
              <w:spacing w:beforeLines="20" w:before="48" w:afterLines="20" w:after="48"/>
              <w:jc w:val="center"/>
              <w:rPr>
                <w:noProof/>
                <w:sz w:val="16"/>
              </w:rPr>
            </w:pPr>
          </w:p>
        </w:tc>
        <w:tc>
          <w:tcPr>
            <w:tcW w:w="731" w:type="dxa"/>
            <w:shd w:val="clear" w:color="auto" w:fill="auto"/>
            <w:vAlign w:val="center"/>
          </w:tcPr>
          <w:p w14:paraId="27975683" w14:textId="77777777" w:rsidR="002337F9" w:rsidRPr="00133050" w:rsidRDefault="002337F9" w:rsidP="0026218C">
            <w:pPr>
              <w:spacing w:beforeLines="20" w:before="48" w:afterLines="20" w:after="48"/>
              <w:jc w:val="center"/>
              <w:rPr>
                <w:noProof/>
                <w:sz w:val="16"/>
              </w:rPr>
            </w:pPr>
          </w:p>
        </w:tc>
        <w:tc>
          <w:tcPr>
            <w:tcW w:w="731" w:type="dxa"/>
            <w:shd w:val="clear" w:color="auto" w:fill="auto"/>
            <w:vAlign w:val="center"/>
          </w:tcPr>
          <w:p w14:paraId="73DEB348" w14:textId="77777777" w:rsidR="002337F9" w:rsidRPr="00133050" w:rsidRDefault="002337F9" w:rsidP="0026218C">
            <w:pPr>
              <w:spacing w:beforeLines="20" w:before="48" w:afterLines="20" w:after="48"/>
              <w:jc w:val="center"/>
              <w:rPr>
                <w:noProof/>
                <w:sz w:val="16"/>
              </w:rPr>
            </w:pPr>
          </w:p>
        </w:tc>
        <w:tc>
          <w:tcPr>
            <w:tcW w:w="731" w:type="dxa"/>
            <w:shd w:val="clear" w:color="auto" w:fill="auto"/>
            <w:vAlign w:val="center"/>
          </w:tcPr>
          <w:p w14:paraId="4190CD3D" w14:textId="77777777" w:rsidR="002337F9" w:rsidRPr="00133050" w:rsidRDefault="002337F9" w:rsidP="0026218C">
            <w:pPr>
              <w:spacing w:beforeLines="20" w:before="48" w:afterLines="20" w:after="48"/>
              <w:jc w:val="center"/>
              <w:rPr>
                <w:noProof/>
                <w:sz w:val="16"/>
              </w:rPr>
            </w:pPr>
          </w:p>
        </w:tc>
      </w:tr>
      <w:tr w:rsidR="002337F9" w:rsidRPr="00133050" w14:paraId="0BE81544" w14:textId="77777777" w:rsidTr="0026218C">
        <w:trPr>
          <w:gridBefore w:val="1"/>
          <w:wBefore w:w="15" w:type="dxa"/>
          <w:trHeight w:val="289"/>
          <w:jc w:val="center"/>
        </w:trPr>
        <w:tc>
          <w:tcPr>
            <w:tcW w:w="4754" w:type="dxa"/>
            <w:gridSpan w:val="2"/>
            <w:shd w:val="clear" w:color="auto" w:fill="auto"/>
            <w:vAlign w:val="center"/>
          </w:tcPr>
          <w:p w14:paraId="099D1A20" w14:textId="77777777" w:rsidR="002337F9" w:rsidRPr="00133050" w:rsidRDefault="002337F9" w:rsidP="0026218C">
            <w:pPr>
              <w:pStyle w:val="Text1"/>
              <w:spacing w:beforeLines="20" w:before="48" w:afterLines="20" w:after="48"/>
              <w:ind w:left="136"/>
              <w:jc w:val="left"/>
              <w:rPr>
                <w:noProof/>
                <w:color w:val="FF0000"/>
                <w:sz w:val="16"/>
              </w:rPr>
            </w:pPr>
            <w:r w:rsidRPr="00133050">
              <w:rPr>
                <w:noProof/>
                <w:sz w:val="16"/>
              </w:rPr>
              <w:t>01 01 01 12 (ДНП, КНЕ, ПНА — Преки научни изследвания)</w:t>
            </w:r>
          </w:p>
        </w:tc>
        <w:tc>
          <w:tcPr>
            <w:tcW w:w="731" w:type="dxa"/>
            <w:shd w:val="clear" w:color="auto" w:fill="auto"/>
            <w:vAlign w:val="center"/>
          </w:tcPr>
          <w:p w14:paraId="6AFFF764" w14:textId="77777777" w:rsidR="002337F9" w:rsidRPr="00133050" w:rsidRDefault="002337F9" w:rsidP="0026218C">
            <w:pPr>
              <w:spacing w:beforeLines="20" w:before="48" w:afterLines="20" w:after="48"/>
              <w:jc w:val="center"/>
              <w:rPr>
                <w:noProof/>
                <w:sz w:val="16"/>
              </w:rPr>
            </w:pPr>
          </w:p>
        </w:tc>
        <w:tc>
          <w:tcPr>
            <w:tcW w:w="731" w:type="dxa"/>
            <w:shd w:val="clear" w:color="auto" w:fill="auto"/>
            <w:vAlign w:val="center"/>
          </w:tcPr>
          <w:p w14:paraId="78C2B940" w14:textId="77777777" w:rsidR="002337F9" w:rsidRPr="00133050" w:rsidRDefault="002337F9" w:rsidP="0026218C">
            <w:pPr>
              <w:spacing w:beforeLines="20" w:before="48" w:afterLines="20" w:after="48"/>
              <w:jc w:val="center"/>
              <w:rPr>
                <w:noProof/>
                <w:sz w:val="16"/>
              </w:rPr>
            </w:pPr>
          </w:p>
        </w:tc>
        <w:tc>
          <w:tcPr>
            <w:tcW w:w="731" w:type="dxa"/>
            <w:shd w:val="clear" w:color="auto" w:fill="auto"/>
            <w:vAlign w:val="center"/>
          </w:tcPr>
          <w:p w14:paraId="6149CB40" w14:textId="77777777" w:rsidR="002337F9" w:rsidRPr="00133050" w:rsidRDefault="002337F9" w:rsidP="0026218C">
            <w:pPr>
              <w:spacing w:beforeLines="20" w:before="48" w:afterLines="20" w:after="48"/>
              <w:jc w:val="center"/>
              <w:rPr>
                <w:noProof/>
                <w:sz w:val="16"/>
              </w:rPr>
            </w:pPr>
          </w:p>
        </w:tc>
        <w:tc>
          <w:tcPr>
            <w:tcW w:w="731" w:type="dxa"/>
            <w:shd w:val="clear" w:color="auto" w:fill="auto"/>
            <w:vAlign w:val="center"/>
          </w:tcPr>
          <w:p w14:paraId="670751F4" w14:textId="77777777" w:rsidR="002337F9" w:rsidRPr="00133050" w:rsidRDefault="002337F9" w:rsidP="0026218C">
            <w:pPr>
              <w:spacing w:beforeLines="20" w:before="48" w:afterLines="20" w:after="48"/>
              <w:jc w:val="center"/>
              <w:rPr>
                <w:noProof/>
                <w:sz w:val="16"/>
              </w:rPr>
            </w:pPr>
          </w:p>
        </w:tc>
        <w:tc>
          <w:tcPr>
            <w:tcW w:w="731" w:type="dxa"/>
            <w:shd w:val="clear" w:color="auto" w:fill="auto"/>
            <w:vAlign w:val="center"/>
          </w:tcPr>
          <w:p w14:paraId="1EDFF993" w14:textId="77777777" w:rsidR="002337F9" w:rsidRPr="00133050" w:rsidRDefault="002337F9" w:rsidP="0026218C">
            <w:pPr>
              <w:spacing w:beforeLines="20" w:before="48" w:afterLines="20" w:after="48"/>
              <w:jc w:val="center"/>
              <w:rPr>
                <w:noProof/>
                <w:sz w:val="16"/>
              </w:rPr>
            </w:pPr>
          </w:p>
        </w:tc>
        <w:tc>
          <w:tcPr>
            <w:tcW w:w="731" w:type="dxa"/>
            <w:shd w:val="clear" w:color="auto" w:fill="auto"/>
            <w:vAlign w:val="center"/>
          </w:tcPr>
          <w:p w14:paraId="11764084" w14:textId="77777777" w:rsidR="002337F9" w:rsidRPr="00133050" w:rsidRDefault="002337F9" w:rsidP="0026218C">
            <w:pPr>
              <w:spacing w:beforeLines="20" w:before="48" w:afterLines="20" w:after="48"/>
              <w:jc w:val="center"/>
              <w:rPr>
                <w:noProof/>
                <w:sz w:val="16"/>
              </w:rPr>
            </w:pPr>
          </w:p>
        </w:tc>
        <w:tc>
          <w:tcPr>
            <w:tcW w:w="731" w:type="dxa"/>
            <w:shd w:val="clear" w:color="auto" w:fill="auto"/>
            <w:vAlign w:val="center"/>
          </w:tcPr>
          <w:p w14:paraId="0095BFB4" w14:textId="77777777" w:rsidR="002337F9" w:rsidRPr="00133050" w:rsidRDefault="002337F9" w:rsidP="0026218C">
            <w:pPr>
              <w:spacing w:beforeLines="20" w:before="48" w:afterLines="20" w:after="48"/>
              <w:jc w:val="center"/>
              <w:rPr>
                <w:noProof/>
                <w:sz w:val="16"/>
              </w:rPr>
            </w:pPr>
          </w:p>
        </w:tc>
      </w:tr>
      <w:tr w:rsidR="002337F9" w:rsidRPr="00133050" w14:paraId="66BE968E" w14:textId="77777777" w:rsidTr="0026218C">
        <w:trPr>
          <w:gridBefore w:val="1"/>
          <w:wBefore w:w="15" w:type="dxa"/>
          <w:trHeight w:val="289"/>
          <w:jc w:val="center"/>
        </w:trPr>
        <w:tc>
          <w:tcPr>
            <w:tcW w:w="4754" w:type="dxa"/>
            <w:gridSpan w:val="2"/>
            <w:shd w:val="clear" w:color="auto" w:fill="auto"/>
            <w:vAlign w:val="center"/>
          </w:tcPr>
          <w:p w14:paraId="61848002" w14:textId="77777777" w:rsidR="002337F9" w:rsidRPr="00133050" w:rsidRDefault="002337F9" w:rsidP="0026218C">
            <w:pPr>
              <w:pStyle w:val="Text1"/>
              <w:spacing w:beforeLines="20" w:before="48" w:afterLines="20" w:after="48"/>
              <w:ind w:left="136"/>
              <w:jc w:val="left"/>
              <w:rPr>
                <w:noProof/>
                <w:sz w:val="16"/>
              </w:rPr>
            </w:pPr>
            <w:r w:rsidRPr="00133050">
              <w:rPr>
                <w:noProof/>
                <w:sz w:val="16"/>
              </w:rPr>
              <w:t>Други бюджетни редове (да се посочат)</w:t>
            </w:r>
          </w:p>
        </w:tc>
        <w:tc>
          <w:tcPr>
            <w:tcW w:w="731" w:type="dxa"/>
            <w:shd w:val="clear" w:color="auto" w:fill="auto"/>
            <w:vAlign w:val="center"/>
          </w:tcPr>
          <w:p w14:paraId="332FBBCF" w14:textId="77777777" w:rsidR="002337F9" w:rsidRPr="00133050" w:rsidRDefault="002337F9" w:rsidP="0026218C">
            <w:pPr>
              <w:spacing w:beforeLines="20" w:before="48" w:afterLines="20" w:after="48"/>
              <w:jc w:val="center"/>
              <w:rPr>
                <w:noProof/>
                <w:sz w:val="16"/>
              </w:rPr>
            </w:pPr>
          </w:p>
        </w:tc>
        <w:tc>
          <w:tcPr>
            <w:tcW w:w="731" w:type="dxa"/>
            <w:shd w:val="clear" w:color="auto" w:fill="auto"/>
            <w:vAlign w:val="center"/>
          </w:tcPr>
          <w:p w14:paraId="4944C5B9" w14:textId="77777777" w:rsidR="002337F9" w:rsidRPr="00133050" w:rsidRDefault="002337F9" w:rsidP="0026218C">
            <w:pPr>
              <w:spacing w:beforeLines="20" w:before="48" w:afterLines="20" w:after="48"/>
              <w:jc w:val="center"/>
              <w:rPr>
                <w:noProof/>
                <w:sz w:val="16"/>
              </w:rPr>
            </w:pPr>
          </w:p>
        </w:tc>
        <w:tc>
          <w:tcPr>
            <w:tcW w:w="731" w:type="dxa"/>
            <w:shd w:val="clear" w:color="auto" w:fill="auto"/>
            <w:vAlign w:val="center"/>
          </w:tcPr>
          <w:p w14:paraId="6E6215A8" w14:textId="77777777" w:rsidR="002337F9" w:rsidRPr="00133050" w:rsidRDefault="002337F9" w:rsidP="0026218C">
            <w:pPr>
              <w:spacing w:beforeLines="20" w:before="48" w:afterLines="20" w:after="48"/>
              <w:jc w:val="center"/>
              <w:rPr>
                <w:noProof/>
                <w:sz w:val="16"/>
              </w:rPr>
            </w:pPr>
          </w:p>
        </w:tc>
        <w:tc>
          <w:tcPr>
            <w:tcW w:w="731" w:type="dxa"/>
            <w:shd w:val="clear" w:color="auto" w:fill="auto"/>
            <w:vAlign w:val="center"/>
          </w:tcPr>
          <w:p w14:paraId="43E5CADD" w14:textId="77777777" w:rsidR="002337F9" w:rsidRPr="00133050" w:rsidRDefault="002337F9" w:rsidP="0026218C">
            <w:pPr>
              <w:spacing w:beforeLines="20" w:before="48" w:afterLines="20" w:after="48"/>
              <w:jc w:val="center"/>
              <w:rPr>
                <w:noProof/>
                <w:sz w:val="16"/>
              </w:rPr>
            </w:pPr>
          </w:p>
        </w:tc>
        <w:tc>
          <w:tcPr>
            <w:tcW w:w="731" w:type="dxa"/>
            <w:shd w:val="clear" w:color="auto" w:fill="auto"/>
            <w:vAlign w:val="center"/>
          </w:tcPr>
          <w:p w14:paraId="61A44B70" w14:textId="77777777" w:rsidR="002337F9" w:rsidRPr="00133050" w:rsidRDefault="002337F9" w:rsidP="0026218C">
            <w:pPr>
              <w:spacing w:beforeLines="20" w:before="48" w:afterLines="20" w:after="48"/>
              <w:jc w:val="center"/>
              <w:rPr>
                <w:noProof/>
                <w:sz w:val="16"/>
              </w:rPr>
            </w:pPr>
          </w:p>
        </w:tc>
        <w:tc>
          <w:tcPr>
            <w:tcW w:w="731" w:type="dxa"/>
            <w:shd w:val="clear" w:color="auto" w:fill="auto"/>
            <w:vAlign w:val="center"/>
          </w:tcPr>
          <w:p w14:paraId="76EEE8A4" w14:textId="77777777" w:rsidR="002337F9" w:rsidRPr="00133050" w:rsidRDefault="002337F9" w:rsidP="0026218C">
            <w:pPr>
              <w:spacing w:beforeLines="20" w:before="48" w:afterLines="20" w:after="48"/>
              <w:jc w:val="center"/>
              <w:rPr>
                <w:noProof/>
                <w:sz w:val="16"/>
              </w:rPr>
            </w:pPr>
          </w:p>
        </w:tc>
        <w:tc>
          <w:tcPr>
            <w:tcW w:w="731" w:type="dxa"/>
            <w:shd w:val="clear" w:color="auto" w:fill="auto"/>
            <w:vAlign w:val="center"/>
          </w:tcPr>
          <w:p w14:paraId="465FDD6E" w14:textId="77777777" w:rsidR="002337F9" w:rsidRPr="00133050" w:rsidRDefault="002337F9" w:rsidP="0026218C">
            <w:pPr>
              <w:spacing w:beforeLines="20" w:before="48" w:afterLines="20" w:after="48"/>
              <w:jc w:val="center"/>
              <w:rPr>
                <w:noProof/>
                <w:sz w:val="16"/>
              </w:rPr>
            </w:pPr>
          </w:p>
        </w:tc>
      </w:tr>
      <w:tr w:rsidR="002337F9" w:rsidRPr="00133050" w14:paraId="3098BA7B" w14:textId="77777777" w:rsidTr="0026218C">
        <w:trPr>
          <w:gridBefore w:val="1"/>
          <w:wBefore w:w="15" w:type="dxa"/>
          <w:trHeight w:val="289"/>
          <w:jc w:val="center"/>
        </w:trPr>
        <w:tc>
          <w:tcPr>
            <w:tcW w:w="4754" w:type="dxa"/>
            <w:gridSpan w:val="2"/>
            <w:tcBorders>
              <w:top w:val="double" w:sz="4" w:space="0" w:color="auto"/>
            </w:tcBorders>
            <w:shd w:val="clear" w:color="auto" w:fill="auto"/>
            <w:vAlign w:val="center"/>
          </w:tcPr>
          <w:p w14:paraId="38A2BE5F" w14:textId="77777777" w:rsidR="002337F9" w:rsidRPr="00133050" w:rsidRDefault="002337F9" w:rsidP="0026218C">
            <w:pPr>
              <w:pStyle w:val="Text1"/>
              <w:spacing w:beforeLines="20" w:before="48" w:afterLines="20" w:after="48"/>
              <w:ind w:left="136"/>
              <w:jc w:val="left"/>
              <w:rPr>
                <w:noProof/>
                <w:sz w:val="16"/>
              </w:rPr>
            </w:pPr>
            <w:r w:rsidRPr="00133050">
              <w:rPr>
                <w:b/>
                <w:noProof/>
                <w:sz w:val="16"/>
              </w:rPr>
              <w:t>ОБЩО</w:t>
            </w:r>
          </w:p>
        </w:tc>
        <w:tc>
          <w:tcPr>
            <w:tcW w:w="731" w:type="dxa"/>
            <w:tcBorders>
              <w:top w:val="double" w:sz="4" w:space="0" w:color="auto"/>
            </w:tcBorders>
            <w:shd w:val="clear" w:color="auto" w:fill="auto"/>
            <w:vAlign w:val="center"/>
          </w:tcPr>
          <w:p w14:paraId="566E14DB" w14:textId="77777777" w:rsidR="002337F9" w:rsidRPr="00133050" w:rsidRDefault="002337F9" w:rsidP="0026218C">
            <w:pPr>
              <w:spacing w:beforeLines="20" w:before="48" w:afterLines="20" w:after="48"/>
              <w:jc w:val="center"/>
              <w:rPr>
                <w:b/>
                <w:noProof/>
                <w:sz w:val="16"/>
              </w:rPr>
            </w:pPr>
            <w:r w:rsidRPr="00133050">
              <w:rPr>
                <w:b/>
                <w:noProof/>
                <w:sz w:val="16"/>
              </w:rPr>
              <w:t>29</w:t>
            </w:r>
          </w:p>
        </w:tc>
        <w:tc>
          <w:tcPr>
            <w:tcW w:w="731" w:type="dxa"/>
            <w:tcBorders>
              <w:top w:val="double" w:sz="4" w:space="0" w:color="auto"/>
            </w:tcBorders>
            <w:shd w:val="clear" w:color="auto" w:fill="auto"/>
            <w:vAlign w:val="center"/>
          </w:tcPr>
          <w:p w14:paraId="5823074C" w14:textId="77777777" w:rsidR="002337F9" w:rsidRPr="00133050" w:rsidRDefault="002337F9" w:rsidP="0026218C">
            <w:pPr>
              <w:spacing w:beforeLines="20" w:before="48" w:afterLines="20" w:after="48"/>
              <w:jc w:val="center"/>
              <w:rPr>
                <w:b/>
                <w:noProof/>
                <w:sz w:val="16"/>
              </w:rPr>
            </w:pPr>
            <w:r w:rsidRPr="00133050">
              <w:rPr>
                <w:b/>
                <w:noProof/>
                <w:sz w:val="16"/>
              </w:rPr>
              <w:t>29</w:t>
            </w:r>
          </w:p>
        </w:tc>
        <w:tc>
          <w:tcPr>
            <w:tcW w:w="731" w:type="dxa"/>
            <w:tcBorders>
              <w:top w:val="double" w:sz="4" w:space="0" w:color="auto"/>
            </w:tcBorders>
            <w:shd w:val="clear" w:color="auto" w:fill="auto"/>
            <w:vAlign w:val="center"/>
          </w:tcPr>
          <w:p w14:paraId="52DBE479" w14:textId="77777777" w:rsidR="002337F9" w:rsidRPr="00133050" w:rsidRDefault="002337F9" w:rsidP="0026218C">
            <w:pPr>
              <w:spacing w:beforeLines="20" w:before="48" w:afterLines="20" w:after="48"/>
              <w:jc w:val="center"/>
              <w:rPr>
                <w:b/>
                <w:noProof/>
                <w:sz w:val="16"/>
              </w:rPr>
            </w:pPr>
          </w:p>
        </w:tc>
        <w:tc>
          <w:tcPr>
            <w:tcW w:w="731" w:type="dxa"/>
            <w:tcBorders>
              <w:top w:val="double" w:sz="4" w:space="0" w:color="auto"/>
            </w:tcBorders>
            <w:shd w:val="clear" w:color="auto" w:fill="auto"/>
            <w:vAlign w:val="center"/>
          </w:tcPr>
          <w:p w14:paraId="58D8C515" w14:textId="77777777" w:rsidR="002337F9" w:rsidRPr="00133050" w:rsidRDefault="002337F9" w:rsidP="0026218C">
            <w:pPr>
              <w:spacing w:beforeLines="20" w:before="48" w:afterLines="20" w:after="48"/>
              <w:jc w:val="center"/>
              <w:rPr>
                <w:b/>
                <w:noProof/>
                <w:sz w:val="16"/>
              </w:rPr>
            </w:pPr>
          </w:p>
        </w:tc>
        <w:tc>
          <w:tcPr>
            <w:tcW w:w="731" w:type="dxa"/>
            <w:tcBorders>
              <w:top w:val="double" w:sz="4" w:space="0" w:color="auto"/>
            </w:tcBorders>
            <w:shd w:val="clear" w:color="auto" w:fill="auto"/>
            <w:vAlign w:val="center"/>
          </w:tcPr>
          <w:p w14:paraId="0F0D8947" w14:textId="77777777" w:rsidR="002337F9" w:rsidRPr="00133050" w:rsidRDefault="002337F9" w:rsidP="0026218C">
            <w:pPr>
              <w:spacing w:beforeLines="20" w:before="48" w:afterLines="20" w:after="48"/>
              <w:jc w:val="center"/>
              <w:rPr>
                <w:b/>
                <w:noProof/>
                <w:sz w:val="16"/>
              </w:rPr>
            </w:pPr>
          </w:p>
        </w:tc>
        <w:tc>
          <w:tcPr>
            <w:tcW w:w="731" w:type="dxa"/>
            <w:tcBorders>
              <w:top w:val="double" w:sz="4" w:space="0" w:color="auto"/>
            </w:tcBorders>
            <w:shd w:val="clear" w:color="auto" w:fill="auto"/>
            <w:vAlign w:val="center"/>
          </w:tcPr>
          <w:p w14:paraId="155829AF" w14:textId="77777777" w:rsidR="002337F9" w:rsidRPr="00133050" w:rsidRDefault="002337F9" w:rsidP="0026218C">
            <w:pPr>
              <w:spacing w:beforeLines="20" w:before="48" w:afterLines="20" w:after="48"/>
              <w:jc w:val="center"/>
              <w:rPr>
                <w:b/>
                <w:noProof/>
                <w:sz w:val="16"/>
              </w:rPr>
            </w:pPr>
          </w:p>
        </w:tc>
        <w:tc>
          <w:tcPr>
            <w:tcW w:w="731" w:type="dxa"/>
            <w:tcBorders>
              <w:top w:val="double" w:sz="4" w:space="0" w:color="auto"/>
            </w:tcBorders>
            <w:shd w:val="clear" w:color="auto" w:fill="auto"/>
            <w:vAlign w:val="center"/>
          </w:tcPr>
          <w:p w14:paraId="7243DD96" w14:textId="77777777" w:rsidR="002337F9" w:rsidRPr="00133050" w:rsidRDefault="002337F9" w:rsidP="0026218C">
            <w:pPr>
              <w:spacing w:beforeLines="20" w:before="48" w:afterLines="20" w:after="48"/>
              <w:jc w:val="center"/>
              <w:rPr>
                <w:b/>
                <w:noProof/>
                <w:sz w:val="16"/>
              </w:rPr>
            </w:pPr>
          </w:p>
        </w:tc>
      </w:tr>
    </w:tbl>
    <w:p w14:paraId="6E36C53E" w14:textId="77777777" w:rsidR="002337F9" w:rsidRPr="00133050" w:rsidRDefault="002337F9" w:rsidP="002337F9">
      <w:pPr>
        <w:pStyle w:val="Text1"/>
        <w:spacing w:before="60" w:after="60"/>
        <w:rPr>
          <w:noProof/>
          <w:sz w:val="18"/>
        </w:rPr>
      </w:pPr>
      <w:r w:rsidRPr="00133050">
        <w:rPr>
          <w:b/>
          <w:noProof/>
          <w:sz w:val="18"/>
        </w:rPr>
        <w:t>XX</w:t>
      </w:r>
      <w:r w:rsidRPr="00133050">
        <w:rPr>
          <w:noProof/>
          <w:sz w:val="18"/>
        </w:rPr>
        <w:t xml:space="preserve"> е съответната област на политиката или съответният бюджетен дял.</w:t>
      </w:r>
    </w:p>
    <w:p w14:paraId="4639BD14" w14:textId="77777777" w:rsidR="002337F9" w:rsidRPr="00133050" w:rsidRDefault="002337F9" w:rsidP="002337F9">
      <w:pPr>
        <w:pStyle w:val="Text1"/>
        <w:rPr>
          <w:noProof/>
          <w:sz w:val="18"/>
        </w:rPr>
      </w:pPr>
      <w:r w:rsidRPr="00133050">
        <w:rPr>
          <w:noProof/>
          <w:sz w:val="18"/>
        </w:rPr>
        <w:t>Нуждите от човешки ресурси ще бъдат покрити от персонала на ГД, на който вече е възложено управлението на дейността и/или който е преразпределен в рамките на ГД, при необходимост заедно с всички допълнителни отпуснати ресурси, които могат да бъдат предоставени на управляващата ГД в рамките на годишната процедура за отпускане на средства и като се имат предвид бюджетните ограничения.</w:t>
      </w:r>
    </w:p>
    <w:p w14:paraId="3017954A" w14:textId="77777777" w:rsidR="002337F9" w:rsidRPr="00133050" w:rsidRDefault="002337F9" w:rsidP="002337F9">
      <w:pPr>
        <w:rPr>
          <w:noProof/>
          <w:sz w:val="20"/>
        </w:rPr>
      </w:pPr>
      <w:r w:rsidRPr="00133050">
        <w:rPr>
          <w:noProof/>
          <w:sz w:val="20"/>
        </w:rPr>
        <w:t>Описание на задачите, които трябва да се изпълнят:</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2337F9" w:rsidRPr="00133050" w14:paraId="5295C234" w14:textId="77777777" w:rsidTr="0026218C">
        <w:tc>
          <w:tcPr>
            <w:tcW w:w="3240" w:type="dxa"/>
          </w:tcPr>
          <w:p w14:paraId="13C6F660" w14:textId="77777777" w:rsidR="002337F9" w:rsidRPr="00133050" w:rsidRDefault="002337F9" w:rsidP="0026218C">
            <w:pPr>
              <w:rPr>
                <w:noProof/>
                <w:sz w:val="20"/>
              </w:rPr>
            </w:pPr>
            <w:r w:rsidRPr="00133050">
              <w:rPr>
                <w:noProof/>
                <w:sz w:val="20"/>
              </w:rPr>
              <w:t>Длъжностни лица и срочно наети служители</w:t>
            </w:r>
          </w:p>
        </w:tc>
        <w:tc>
          <w:tcPr>
            <w:tcW w:w="7200" w:type="dxa"/>
          </w:tcPr>
          <w:p w14:paraId="52E68715" w14:textId="77777777" w:rsidR="002337F9" w:rsidRPr="00133050" w:rsidRDefault="002337F9" w:rsidP="0026218C">
            <w:pPr>
              <w:rPr>
                <w:noProof/>
                <w:sz w:val="20"/>
              </w:rPr>
            </w:pPr>
            <w:r w:rsidRPr="00133050">
              <w:rPr>
                <w:noProof/>
                <w:sz w:val="20"/>
              </w:rPr>
              <w:t xml:space="preserve">Длъжностните лица и срочно наетите служители ще действат като звена за контакт и ще анализират за всеки отделен случай дали има вероятност инвестиционните сделки, за които са уведомени от държавите членки, да повлияят отрицателно на сигурността или обществения ред в повече от една държава членка или в контекста на чувствителен за ЕС актив. Те ще трябва да наблюдават сливанията, придобиванията и инвестициите „на зелено“ в стопанския сектор, които попадат под отговорността на техните генерални дирекции, и ще трябва да информират ГД „Търговия“, когато преценят, че има вероятност дадена сделка да повлияе отрицателно на сигурността или обществения ред в повече от една членка държава или в контекста на чувствителен за ЕС актив. </w:t>
            </w:r>
          </w:p>
          <w:p w14:paraId="70D91208" w14:textId="77777777" w:rsidR="002337F9" w:rsidRPr="00133050" w:rsidRDefault="002337F9" w:rsidP="0026218C">
            <w:pPr>
              <w:rPr>
                <w:noProof/>
                <w:sz w:val="20"/>
              </w:rPr>
            </w:pPr>
            <w:r w:rsidRPr="00133050">
              <w:rPr>
                <w:noProof/>
                <w:sz w:val="20"/>
              </w:rPr>
              <w:t xml:space="preserve">Длъжностните лица и срочно наетите служители от ГД „Търговия“ ще отговарят за управлението на експертната група на Комисията по въпросите на скрининга на ПЧИ в ЕС и на създадения съгласно регламента комитет; наблюдението и докладването относно прилагането на регламента (включително обработването на годишните доклади на държавите членки и подготовката на годишния доклад на Комисията); сътрудничеството с трети държави по хоризонтални въпроси, свързани със скрининга на инвестициите; и наблюдението на развитието на националната политика и на законодателството. </w:t>
            </w:r>
          </w:p>
        </w:tc>
      </w:tr>
      <w:tr w:rsidR="002337F9" w:rsidRPr="00133050" w14:paraId="6B7784D3" w14:textId="77777777" w:rsidTr="0026218C">
        <w:tc>
          <w:tcPr>
            <w:tcW w:w="3240" w:type="dxa"/>
          </w:tcPr>
          <w:p w14:paraId="56482420" w14:textId="77777777" w:rsidR="002337F9" w:rsidRPr="00133050" w:rsidRDefault="002337F9" w:rsidP="0026218C">
            <w:pPr>
              <w:spacing w:before="60" w:after="60"/>
              <w:rPr>
                <w:noProof/>
                <w:sz w:val="20"/>
              </w:rPr>
            </w:pPr>
            <w:r w:rsidRPr="00133050">
              <w:rPr>
                <w:noProof/>
                <w:sz w:val="20"/>
              </w:rPr>
              <w:t>Външен персонал</w:t>
            </w:r>
          </w:p>
        </w:tc>
        <w:tc>
          <w:tcPr>
            <w:tcW w:w="7200" w:type="dxa"/>
          </w:tcPr>
          <w:p w14:paraId="289EB44C" w14:textId="77777777" w:rsidR="002337F9" w:rsidRPr="00133050" w:rsidRDefault="002337F9" w:rsidP="0026218C">
            <w:pPr>
              <w:rPr>
                <w:noProof/>
                <w:sz w:val="20"/>
              </w:rPr>
            </w:pPr>
            <w:r w:rsidRPr="00133050">
              <w:rPr>
                <w:noProof/>
                <w:sz w:val="20"/>
              </w:rPr>
              <w:t>Не се прилага.</w:t>
            </w:r>
          </w:p>
        </w:tc>
      </w:tr>
    </w:tbl>
    <w:p w14:paraId="632F7BDA" w14:textId="77777777" w:rsidR="002337F9" w:rsidRPr="00133050" w:rsidRDefault="002337F9" w:rsidP="002337F9">
      <w:pPr>
        <w:rPr>
          <w:noProof/>
        </w:rPr>
        <w:sectPr w:rsidR="002337F9" w:rsidRPr="00133050" w:rsidSect="00272311">
          <w:footnotePr>
            <w:numRestart w:val="eachSect"/>
          </w:footnotePr>
          <w:pgSz w:w="11907" w:h="16840"/>
          <w:pgMar w:top="1134" w:right="1418" w:bottom="1134" w:left="1418" w:header="709" w:footer="709" w:gutter="0"/>
          <w:cols w:space="708"/>
          <w:docGrid w:linePitch="360"/>
        </w:sectPr>
      </w:pPr>
    </w:p>
    <w:p w14:paraId="2FAF34EF" w14:textId="77777777" w:rsidR="002337F9" w:rsidRPr="00133050" w:rsidRDefault="002337F9" w:rsidP="00070956">
      <w:pPr>
        <w:pStyle w:val="ManualHeading3"/>
        <w:rPr>
          <w:noProof/>
        </w:rPr>
      </w:pPr>
      <w:r>
        <w:rPr>
          <w:noProof/>
        </w:rPr>
        <w:t>3.2.4.</w:t>
      </w:r>
      <w:r>
        <w:rPr>
          <w:noProof/>
        </w:rPr>
        <w:tab/>
      </w:r>
      <w:r w:rsidRPr="00133050">
        <w:rPr>
          <w:noProof/>
        </w:rPr>
        <w:t xml:space="preserve">Съвместимост с настоящата многогодишна финансова рамка </w:t>
      </w:r>
    </w:p>
    <w:p w14:paraId="6F8E8D63" w14:textId="77777777" w:rsidR="002337F9" w:rsidRPr="00133050" w:rsidRDefault="002337F9" w:rsidP="002337F9">
      <w:pPr>
        <w:pStyle w:val="Text1"/>
        <w:rPr>
          <w:noProof/>
        </w:rPr>
      </w:pPr>
      <w:r w:rsidRPr="00133050">
        <w:rPr>
          <w:noProof/>
        </w:rPr>
        <w:t>Предложението/инициативата:</w:t>
      </w:r>
    </w:p>
    <w:p w14:paraId="4AD303A1" w14:textId="77777777" w:rsidR="002337F9" w:rsidRPr="00133050" w:rsidRDefault="002337F9" w:rsidP="002337F9">
      <w:pPr>
        <w:pStyle w:val="Tiret1"/>
        <w:rPr>
          <w:noProof/>
        </w:rPr>
      </w:pPr>
      <w:r w:rsidRPr="00133050">
        <w:rPr>
          <w:noProof/>
        </w:rPr>
        <w:sym w:font="Wingdings" w:char="F0FD"/>
      </w:r>
      <w:r w:rsidRPr="00133050">
        <w:rPr>
          <w:noProof/>
        </w:rPr>
        <w:tab/>
        <w:t>може да се финансира изцяло чрез преразпределение на средства в рамките на съответната функция от многогодишната финансова рамка (МФР).</w:t>
      </w:r>
    </w:p>
    <w:p w14:paraId="1C3F0A49" w14:textId="77777777" w:rsidR="002337F9" w:rsidRPr="00133050" w:rsidRDefault="002337F9" w:rsidP="002337F9">
      <w:pPr>
        <w:pStyle w:val="Tiret1"/>
        <w:rPr>
          <w:noProof/>
        </w:rPr>
      </w:pPr>
      <w:r w:rsidRPr="00133050">
        <w:rPr>
          <w:noProof/>
        </w:rPr>
        <w:sym w:font="Wingdings" w:char="F0A8"/>
      </w:r>
      <w:r w:rsidRPr="00133050">
        <w:rPr>
          <w:noProof/>
        </w:rPr>
        <w:tab/>
        <w:t>налага да се използват неразпределеният марж под съответната функция от МФР и/или специалните инструменти, предвидени в Регламента за МФР.</w:t>
      </w:r>
    </w:p>
    <w:p w14:paraId="397A6158" w14:textId="77777777" w:rsidR="002337F9" w:rsidRPr="00133050" w:rsidRDefault="002337F9" w:rsidP="002337F9">
      <w:pPr>
        <w:pStyle w:val="Tiret1"/>
        <w:rPr>
          <w:noProof/>
        </w:rPr>
      </w:pPr>
      <w:r w:rsidRPr="00133050">
        <w:rPr>
          <w:noProof/>
        </w:rPr>
        <w:sym w:font="Wingdings" w:char="F0A8"/>
      </w:r>
      <w:r w:rsidRPr="00133050">
        <w:rPr>
          <w:noProof/>
        </w:rPr>
        <w:tab/>
        <w:t>налага преразглеждане на МФР.</w:t>
      </w:r>
    </w:p>
    <w:p w14:paraId="26F54A1B" w14:textId="77777777" w:rsidR="002337F9" w:rsidRPr="00133050" w:rsidRDefault="002337F9" w:rsidP="00070956">
      <w:pPr>
        <w:pStyle w:val="ManualHeading3"/>
        <w:rPr>
          <w:noProof/>
        </w:rPr>
      </w:pPr>
      <w:r>
        <w:rPr>
          <w:noProof/>
        </w:rPr>
        <w:t>3.2.5.</w:t>
      </w:r>
      <w:r>
        <w:rPr>
          <w:noProof/>
        </w:rPr>
        <w:tab/>
      </w:r>
      <w:r w:rsidRPr="00133050">
        <w:rPr>
          <w:noProof/>
        </w:rPr>
        <w:t xml:space="preserve">Финансов принос от трети страни </w:t>
      </w:r>
    </w:p>
    <w:p w14:paraId="2B28BF2F" w14:textId="77777777" w:rsidR="002337F9" w:rsidRPr="00133050" w:rsidRDefault="002337F9" w:rsidP="002337F9">
      <w:pPr>
        <w:pStyle w:val="Text1"/>
        <w:rPr>
          <w:noProof/>
        </w:rPr>
      </w:pPr>
      <w:r w:rsidRPr="00133050">
        <w:rPr>
          <w:noProof/>
        </w:rPr>
        <w:t>Предложението/инициативата:</w:t>
      </w:r>
    </w:p>
    <w:p w14:paraId="553B2B97" w14:textId="77777777" w:rsidR="002337F9" w:rsidRPr="00133050" w:rsidRDefault="002337F9" w:rsidP="002337F9">
      <w:pPr>
        <w:pStyle w:val="Tiret1"/>
        <w:rPr>
          <w:noProof/>
        </w:rPr>
      </w:pPr>
      <w:r w:rsidRPr="00133050">
        <w:rPr>
          <w:noProof/>
        </w:rPr>
        <w:sym w:font="Wingdings" w:char="F0FD"/>
      </w:r>
      <w:r w:rsidRPr="00133050">
        <w:rPr>
          <w:noProof/>
        </w:rPr>
        <w:tab/>
        <w:t>не предвижда съфинансиране от трети страни</w:t>
      </w:r>
    </w:p>
    <w:p w14:paraId="5A041E90" w14:textId="77777777" w:rsidR="002337F9" w:rsidRPr="00133050" w:rsidRDefault="002337F9" w:rsidP="002337F9">
      <w:pPr>
        <w:pStyle w:val="Tiret1"/>
        <w:rPr>
          <w:noProof/>
        </w:rPr>
      </w:pPr>
      <w:r w:rsidRPr="00133050">
        <w:rPr>
          <w:noProof/>
        </w:rPr>
        <w:sym w:font="Wingdings" w:char="F0A8"/>
      </w:r>
      <w:r w:rsidRPr="00133050">
        <w:rPr>
          <w:noProof/>
        </w:rPr>
        <w:tab/>
        <w:t>предвижда следното съфинансиране от трети страни, като оценките са дадени по-долу:</w:t>
      </w:r>
    </w:p>
    <w:p w14:paraId="6B156AED" w14:textId="77777777" w:rsidR="002337F9" w:rsidRPr="00133050" w:rsidRDefault="002337F9" w:rsidP="002337F9">
      <w:pPr>
        <w:jc w:val="right"/>
        <w:rPr>
          <w:noProof/>
          <w:sz w:val="20"/>
        </w:rPr>
      </w:pPr>
      <w:r w:rsidRPr="00133050">
        <w:rPr>
          <w:noProof/>
          <w:sz w:val="20"/>
        </w:rPr>
        <w:t>Бюджетни кредити в млн. евро (до 3-тия знак след десетичната запетая)</w:t>
      </w:r>
    </w:p>
    <w:tbl>
      <w:tblPr>
        <w:tblW w:w="10246"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rsidR="002337F9" w:rsidRPr="00133050" w14:paraId="247EFBF4" w14:textId="77777777" w:rsidTr="0026218C">
        <w:trPr>
          <w:cantSplit/>
        </w:trPr>
        <w:tc>
          <w:tcPr>
            <w:tcW w:w="2340" w:type="dxa"/>
          </w:tcPr>
          <w:p w14:paraId="2FB40687" w14:textId="77777777" w:rsidR="002337F9" w:rsidRPr="00133050" w:rsidRDefault="002337F9" w:rsidP="0026218C">
            <w:pPr>
              <w:spacing w:before="60" w:after="60"/>
              <w:rPr>
                <w:noProof/>
                <w:sz w:val="20"/>
              </w:rPr>
            </w:pPr>
          </w:p>
        </w:tc>
        <w:tc>
          <w:tcPr>
            <w:tcW w:w="964" w:type="dxa"/>
            <w:vAlign w:val="center"/>
          </w:tcPr>
          <w:p w14:paraId="286B2968" w14:textId="77777777" w:rsidR="002337F9" w:rsidRPr="00133050" w:rsidRDefault="002337F9" w:rsidP="0026218C">
            <w:pPr>
              <w:jc w:val="center"/>
              <w:rPr>
                <w:noProof/>
                <w:sz w:val="20"/>
              </w:rPr>
            </w:pPr>
            <w:r w:rsidRPr="00133050">
              <w:rPr>
                <w:noProof/>
                <w:sz w:val="20"/>
              </w:rPr>
              <w:t>Година</w:t>
            </w:r>
            <w:r w:rsidRPr="00133050">
              <w:rPr>
                <w:noProof/>
              </w:rPr>
              <w:t xml:space="preserve"> </w:t>
            </w:r>
            <w:r w:rsidRPr="00133050">
              <w:rPr>
                <w:noProof/>
              </w:rPr>
              <w:cr/>
            </w:r>
            <w:r w:rsidRPr="00133050">
              <w:rPr>
                <w:noProof/>
              </w:rPr>
              <w:br/>
            </w:r>
            <w:r w:rsidRPr="00133050">
              <w:rPr>
                <w:b/>
                <w:noProof/>
                <w:sz w:val="20"/>
              </w:rPr>
              <w:t>N</w:t>
            </w:r>
            <w:r w:rsidRPr="00133050">
              <w:rPr>
                <w:rStyle w:val="FootnoteReference"/>
                <w:noProof/>
                <w:sz w:val="20"/>
              </w:rPr>
              <w:footnoteReference w:id="58"/>
            </w:r>
          </w:p>
        </w:tc>
        <w:tc>
          <w:tcPr>
            <w:tcW w:w="964" w:type="dxa"/>
            <w:vAlign w:val="center"/>
          </w:tcPr>
          <w:p w14:paraId="322055BF" w14:textId="77777777" w:rsidR="002337F9" w:rsidRPr="00133050" w:rsidRDefault="002337F9" w:rsidP="0026218C">
            <w:pPr>
              <w:jc w:val="center"/>
              <w:rPr>
                <w:noProof/>
                <w:sz w:val="20"/>
              </w:rPr>
            </w:pPr>
            <w:r w:rsidRPr="00133050">
              <w:rPr>
                <w:noProof/>
                <w:sz w:val="20"/>
              </w:rPr>
              <w:t>Година</w:t>
            </w:r>
            <w:r w:rsidRPr="00133050">
              <w:rPr>
                <w:noProof/>
              </w:rPr>
              <w:t xml:space="preserve"> </w:t>
            </w:r>
            <w:r w:rsidRPr="00133050">
              <w:rPr>
                <w:noProof/>
              </w:rPr>
              <w:cr/>
            </w:r>
            <w:r w:rsidRPr="00133050">
              <w:rPr>
                <w:noProof/>
              </w:rPr>
              <w:br/>
            </w:r>
            <w:r w:rsidRPr="00133050">
              <w:rPr>
                <w:b/>
                <w:noProof/>
                <w:sz w:val="20"/>
              </w:rPr>
              <w:t>N+1</w:t>
            </w:r>
          </w:p>
        </w:tc>
        <w:tc>
          <w:tcPr>
            <w:tcW w:w="964" w:type="dxa"/>
            <w:vAlign w:val="center"/>
          </w:tcPr>
          <w:p w14:paraId="1D86477F" w14:textId="77777777" w:rsidR="002337F9" w:rsidRPr="00133050" w:rsidRDefault="002337F9" w:rsidP="0026218C">
            <w:pPr>
              <w:jc w:val="center"/>
              <w:rPr>
                <w:noProof/>
                <w:sz w:val="20"/>
              </w:rPr>
            </w:pPr>
            <w:r w:rsidRPr="00133050">
              <w:rPr>
                <w:noProof/>
                <w:sz w:val="20"/>
              </w:rPr>
              <w:t>Година</w:t>
            </w:r>
            <w:r w:rsidRPr="00133050">
              <w:rPr>
                <w:noProof/>
              </w:rPr>
              <w:t xml:space="preserve"> </w:t>
            </w:r>
            <w:r w:rsidRPr="00133050">
              <w:rPr>
                <w:noProof/>
              </w:rPr>
              <w:cr/>
            </w:r>
            <w:r w:rsidRPr="00133050">
              <w:rPr>
                <w:noProof/>
              </w:rPr>
              <w:br/>
            </w:r>
            <w:r w:rsidRPr="00133050">
              <w:rPr>
                <w:b/>
                <w:noProof/>
                <w:sz w:val="20"/>
              </w:rPr>
              <w:t>N+2</w:t>
            </w:r>
          </w:p>
        </w:tc>
        <w:tc>
          <w:tcPr>
            <w:tcW w:w="964" w:type="dxa"/>
            <w:vAlign w:val="center"/>
          </w:tcPr>
          <w:p w14:paraId="43719513" w14:textId="77777777" w:rsidR="002337F9" w:rsidRPr="00133050" w:rsidRDefault="002337F9" w:rsidP="0026218C">
            <w:pPr>
              <w:jc w:val="center"/>
              <w:rPr>
                <w:noProof/>
                <w:sz w:val="20"/>
              </w:rPr>
            </w:pPr>
            <w:r w:rsidRPr="00133050">
              <w:rPr>
                <w:noProof/>
                <w:sz w:val="20"/>
              </w:rPr>
              <w:t>Година</w:t>
            </w:r>
            <w:r w:rsidRPr="00133050">
              <w:rPr>
                <w:noProof/>
              </w:rPr>
              <w:t xml:space="preserve"> </w:t>
            </w:r>
            <w:r w:rsidRPr="00133050">
              <w:rPr>
                <w:noProof/>
              </w:rPr>
              <w:cr/>
            </w:r>
            <w:r w:rsidRPr="00133050">
              <w:rPr>
                <w:noProof/>
              </w:rPr>
              <w:br/>
            </w:r>
            <w:r w:rsidRPr="00133050">
              <w:rPr>
                <w:b/>
                <w:noProof/>
                <w:sz w:val="20"/>
              </w:rPr>
              <w:t>N+3</w:t>
            </w:r>
          </w:p>
        </w:tc>
        <w:tc>
          <w:tcPr>
            <w:tcW w:w="2892" w:type="dxa"/>
            <w:gridSpan w:val="3"/>
            <w:vAlign w:val="center"/>
          </w:tcPr>
          <w:p w14:paraId="7770CDBE" w14:textId="77777777" w:rsidR="002337F9" w:rsidRPr="00133050" w:rsidRDefault="002337F9" w:rsidP="0026218C">
            <w:pPr>
              <w:jc w:val="center"/>
              <w:rPr>
                <w:b/>
                <w:noProof/>
                <w:sz w:val="20"/>
              </w:rPr>
            </w:pPr>
            <w:r w:rsidRPr="00133050">
              <w:rPr>
                <w:noProof/>
                <w:sz w:val="20"/>
              </w:rPr>
              <w:t>Да се добавят толкова години, колкото е необходимо, за да се обхване продължителността на отражението (вж. точка 1.6)</w:t>
            </w:r>
          </w:p>
        </w:tc>
        <w:tc>
          <w:tcPr>
            <w:tcW w:w="1158" w:type="dxa"/>
            <w:vAlign w:val="center"/>
          </w:tcPr>
          <w:p w14:paraId="3D91FC0B" w14:textId="77777777" w:rsidR="002337F9" w:rsidRPr="00133050" w:rsidRDefault="002337F9" w:rsidP="0026218C">
            <w:pPr>
              <w:spacing w:before="60" w:after="60"/>
              <w:jc w:val="center"/>
              <w:rPr>
                <w:noProof/>
                <w:sz w:val="20"/>
              </w:rPr>
            </w:pPr>
            <w:r w:rsidRPr="00133050">
              <w:rPr>
                <w:noProof/>
                <w:sz w:val="20"/>
              </w:rPr>
              <w:t>Общо</w:t>
            </w:r>
          </w:p>
        </w:tc>
      </w:tr>
      <w:tr w:rsidR="002337F9" w:rsidRPr="00133050" w14:paraId="6C09C0A1" w14:textId="77777777" w:rsidTr="0026218C">
        <w:trPr>
          <w:cantSplit/>
        </w:trPr>
        <w:tc>
          <w:tcPr>
            <w:tcW w:w="2340" w:type="dxa"/>
          </w:tcPr>
          <w:p w14:paraId="36947DD5" w14:textId="77777777" w:rsidR="002337F9" w:rsidRPr="00133050" w:rsidRDefault="002337F9" w:rsidP="0026218C">
            <w:pPr>
              <w:rPr>
                <w:noProof/>
              </w:rPr>
            </w:pPr>
            <w:r w:rsidRPr="00133050">
              <w:rPr>
                <w:noProof/>
                <w:sz w:val="20"/>
              </w:rPr>
              <w:t>Да се посочи съфинансиращият орган</w:t>
            </w:r>
            <w:r w:rsidRPr="00133050">
              <w:rPr>
                <w:i/>
                <w:noProof/>
                <w:sz w:val="20"/>
              </w:rPr>
              <w:t xml:space="preserve"> </w:t>
            </w:r>
          </w:p>
        </w:tc>
        <w:tc>
          <w:tcPr>
            <w:tcW w:w="964" w:type="dxa"/>
            <w:vAlign w:val="center"/>
          </w:tcPr>
          <w:p w14:paraId="79AC2513" w14:textId="77777777" w:rsidR="002337F9" w:rsidRPr="00133050" w:rsidRDefault="002337F9" w:rsidP="0026218C">
            <w:pPr>
              <w:spacing w:before="60" w:after="60"/>
              <w:jc w:val="center"/>
              <w:rPr>
                <w:noProof/>
                <w:sz w:val="20"/>
              </w:rPr>
            </w:pPr>
          </w:p>
        </w:tc>
        <w:tc>
          <w:tcPr>
            <w:tcW w:w="964" w:type="dxa"/>
            <w:vAlign w:val="center"/>
          </w:tcPr>
          <w:p w14:paraId="5C173BCB" w14:textId="77777777" w:rsidR="002337F9" w:rsidRPr="00133050" w:rsidRDefault="002337F9" w:rsidP="0026218C">
            <w:pPr>
              <w:spacing w:before="60" w:after="60"/>
              <w:jc w:val="center"/>
              <w:rPr>
                <w:noProof/>
                <w:sz w:val="20"/>
              </w:rPr>
            </w:pPr>
          </w:p>
        </w:tc>
        <w:tc>
          <w:tcPr>
            <w:tcW w:w="964" w:type="dxa"/>
            <w:vAlign w:val="center"/>
          </w:tcPr>
          <w:p w14:paraId="025DB830" w14:textId="77777777" w:rsidR="002337F9" w:rsidRPr="00133050" w:rsidRDefault="002337F9" w:rsidP="0026218C">
            <w:pPr>
              <w:spacing w:before="60" w:after="60"/>
              <w:jc w:val="center"/>
              <w:rPr>
                <w:noProof/>
                <w:sz w:val="20"/>
              </w:rPr>
            </w:pPr>
          </w:p>
        </w:tc>
        <w:tc>
          <w:tcPr>
            <w:tcW w:w="964" w:type="dxa"/>
            <w:vAlign w:val="center"/>
          </w:tcPr>
          <w:p w14:paraId="606FA9F4" w14:textId="77777777" w:rsidR="002337F9" w:rsidRPr="00133050" w:rsidRDefault="002337F9" w:rsidP="0026218C">
            <w:pPr>
              <w:spacing w:before="60" w:after="60"/>
              <w:jc w:val="center"/>
              <w:rPr>
                <w:noProof/>
                <w:sz w:val="20"/>
              </w:rPr>
            </w:pPr>
          </w:p>
        </w:tc>
        <w:tc>
          <w:tcPr>
            <w:tcW w:w="964" w:type="dxa"/>
            <w:vAlign w:val="center"/>
          </w:tcPr>
          <w:p w14:paraId="36D7EF67" w14:textId="77777777" w:rsidR="002337F9" w:rsidRPr="00133050" w:rsidRDefault="002337F9" w:rsidP="0026218C">
            <w:pPr>
              <w:spacing w:before="60" w:after="60"/>
              <w:jc w:val="center"/>
              <w:rPr>
                <w:noProof/>
                <w:sz w:val="20"/>
              </w:rPr>
            </w:pPr>
          </w:p>
        </w:tc>
        <w:tc>
          <w:tcPr>
            <w:tcW w:w="964" w:type="dxa"/>
            <w:vAlign w:val="center"/>
          </w:tcPr>
          <w:p w14:paraId="15081345" w14:textId="77777777" w:rsidR="002337F9" w:rsidRPr="00133050" w:rsidRDefault="002337F9" w:rsidP="0026218C">
            <w:pPr>
              <w:spacing w:before="60" w:after="60"/>
              <w:jc w:val="center"/>
              <w:rPr>
                <w:noProof/>
                <w:sz w:val="20"/>
              </w:rPr>
            </w:pPr>
          </w:p>
        </w:tc>
        <w:tc>
          <w:tcPr>
            <w:tcW w:w="964" w:type="dxa"/>
            <w:vAlign w:val="center"/>
          </w:tcPr>
          <w:p w14:paraId="71D7F12A" w14:textId="77777777" w:rsidR="002337F9" w:rsidRPr="00133050" w:rsidRDefault="002337F9" w:rsidP="0026218C">
            <w:pPr>
              <w:spacing w:before="60" w:after="60"/>
              <w:jc w:val="center"/>
              <w:rPr>
                <w:noProof/>
                <w:sz w:val="20"/>
              </w:rPr>
            </w:pPr>
          </w:p>
        </w:tc>
        <w:tc>
          <w:tcPr>
            <w:tcW w:w="1158" w:type="dxa"/>
            <w:vAlign w:val="center"/>
          </w:tcPr>
          <w:p w14:paraId="044BD3D2" w14:textId="77777777" w:rsidR="002337F9" w:rsidRPr="00133050" w:rsidRDefault="002337F9" w:rsidP="0026218C">
            <w:pPr>
              <w:spacing w:before="60" w:after="60"/>
              <w:jc w:val="center"/>
              <w:rPr>
                <w:noProof/>
                <w:sz w:val="20"/>
              </w:rPr>
            </w:pPr>
          </w:p>
        </w:tc>
      </w:tr>
      <w:tr w:rsidR="002337F9" w:rsidRPr="00133050" w14:paraId="3190A5BE" w14:textId="77777777" w:rsidTr="0026218C">
        <w:trPr>
          <w:cantSplit/>
        </w:trPr>
        <w:tc>
          <w:tcPr>
            <w:tcW w:w="2340" w:type="dxa"/>
          </w:tcPr>
          <w:p w14:paraId="4D2FDA2C" w14:textId="77777777" w:rsidR="002337F9" w:rsidRPr="00133050" w:rsidRDefault="002337F9" w:rsidP="0026218C">
            <w:pPr>
              <w:spacing w:before="60" w:after="60"/>
              <w:jc w:val="left"/>
              <w:rPr>
                <w:noProof/>
                <w:sz w:val="20"/>
              </w:rPr>
            </w:pPr>
            <w:r w:rsidRPr="00133050">
              <w:rPr>
                <w:noProof/>
                <w:sz w:val="20"/>
              </w:rPr>
              <w:t xml:space="preserve">ОБЩО съфинансирани бюджетни кредити </w:t>
            </w:r>
          </w:p>
        </w:tc>
        <w:tc>
          <w:tcPr>
            <w:tcW w:w="964" w:type="dxa"/>
            <w:vAlign w:val="center"/>
          </w:tcPr>
          <w:p w14:paraId="3FD1A339" w14:textId="77777777" w:rsidR="002337F9" w:rsidRPr="00133050" w:rsidRDefault="002337F9" w:rsidP="0026218C">
            <w:pPr>
              <w:spacing w:before="60" w:after="60"/>
              <w:jc w:val="center"/>
              <w:rPr>
                <w:noProof/>
                <w:sz w:val="20"/>
              </w:rPr>
            </w:pPr>
          </w:p>
        </w:tc>
        <w:tc>
          <w:tcPr>
            <w:tcW w:w="964" w:type="dxa"/>
            <w:vAlign w:val="center"/>
          </w:tcPr>
          <w:p w14:paraId="686FA85B" w14:textId="77777777" w:rsidR="002337F9" w:rsidRPr="00133050" w:rsidRDefault="002337F9" w:rsidP="0026218C">
            <w:pPr>
              <w:spacing w:before="60" w:after="60"/>
              <w:jc w:val="center"/>
              <w:rPr>
                <w:noProof/>
                <w:sz w:val="20"/>
              </w:rPr>
            </w:pPr>
          </w:p>
        </w:tc>
        <w:tc>
          <w:tcPr>
            <w:tcW w:w="964" w:type="dxa"/>
            <w:vAlign w:val="center"/>
          </w:tcPr>
          <w:p w14:paraId="1E9AA56B" w14:textId="77777777" w:rsidR="002337F9" w:rsidRPr="00133050" w:rsidRDefault="002337F9" w:rsidP="0026218C">
            <w:pPr>
              <w:spacing w:before="60" w:after="60"/>
              <w:jc w:val="center"/>
              <w:rPr>
                <w:noProof/>
                <w:sz w:val="20"/>
              </w:rPr>
            </w:pPr>
          </w:p>
        </w:tc>
        <w:tc>
          <w:tcPr>
            <w:tcW w:w="964" w:type="dxa"/>
            <w:vAlign w:val="center"/>
          </w:tcPr>
          <w:p w14:paraId="2DC8C51A" w14:textId="77777777" w:rsidR="002337F9" w:rsidRPr="00133050" w:rsidRDefault="002337F9" w:rsidP="0026218C">
            <w:pPr>
              <w:spacing w:before="60" w:after="60"/>
              <w:jc w:val="center"/>
              <w:rPr>
                <w:noProof/>
                <w:sz w:val="20"/>
              </w:rPr>
            </w:pPr>
          </w:p>
        </w:tc>
        <w:tc>
          <w:tcPr>
            <w:tcW w:w="964" w:type="dxa"/>
            <w:vAlign w:val="center"/>
          </w:tcPr>
          <w:p w14:paraId="0A3E3803" w14:textId="77777777" w:rsidR="002337F9" w:rsidRPr="00133050" w:rsidRDefault="002337F9" w:rsidP="0026218C">
            <w:pPr>
              <w:spacing w:before="60" w:after="60"/>
              <w:jc w:val="center"/>
              <w:rPr>
                <w:noProof/>
                <w:sz w:val="20"/>
              </w:rPr>
            </w:pPr>
          </w:p>
        </w:tc>
        <w:tc>
          <w:tcPr>
            <w:tcW w:w="964" w:type="dxa"/>
            <w:vAlign w:val="center"/>
          </w:tcPr>
          <w:p w14:paraId="0FF77C19" w14:textId="77777777" w:rsidR="002337F9" w:rsidRPr="00133050" w:rsidRDefault="002337F9" w:rsidP="0026218C">
            <w:pPr>
              <w:spacing w:before="60" w:after="60"/>
              <w:jc w:val="center"/>
              <w:rPr>
                <w:noProof/>
                <w:sz w:val="20"/>
              </w:rPr>
            </w:pPr>
          </w:p>
        </w:tc>
        <w:tc>
          <w:tcPr>
            <w:tcW w:w="964" w:type="dxa"/>
            <w:vAlign w:val="center"/>
          </w:tcPr>
          <w:p w14:paraId="2460769E" w14:textId="77777777" w:rsidR="002337F9" w:rsidRPr="00133050" w:rsidRDefault="002337F9" w:rsidP="0026218C">
            <w:pPr>
              <w:spacing w:before="60" w:after="60"/>
              <w:jc w:val="center"/>
              <w:rPr>
                <w:noProof/>
                <w:sz w:val="20"/>
              </w:rPr>
            </w:pPr>
          </w:p>
        </w:tc>
        <w:tc>
          <w:tcPr>
            <w:tcW w:w="1158" w:type="dxa"/>
            <w:vAlign w:val="center"/>
          </w:tcPr>
          <w:p w14:paraId="23B35355" w14:textId="77777777" w:rsidR="002337F9" w:rsidRPr="00133050" w:rsidRDefault="002337F9" w:rsidP="0026218C">
            <w:pPr>
              <w:spacing w:before="60" w:after="60"/>
              <w:jc w:val="center"/>
              <w:rPr>
                <w:noProof/>
                <w:sz w:val="20"/>
              </w:rPr>
            </w:pPr>
          </w:p>
        </w:tc>
      </w:tr>
    </w:tbl>
    <w:p w14:paraId="153336E7" w14:textId="77777777" w:rsidR="002337F9" w:rsidRPr="00133050" w:rsidRDefault="002337F9" w:rsidP="00070956">
      <w:pPr>
        <w:pStyle w:val="ManualHeading2"/>
        <w:rPr>
          <w:noProof/>
        </w:rPr>
      </w:pPr>
      <w:r>
        <w:rPr>
          <w:noProof/>
        </w:rPr>
        <w:t>3.3.</w:t>
      </w:r>
      <w:r>
        <w:rPr>
          <w:noProof/>
        </w:rPr>
        <w:tab/>
      </w:r>
      <w:r w:rsidRPr="00133050">
        <w:rPr>
          <w:noProof/>
        </w:rPr>
        <w:br w:type="page"/>
        <w:t xml:space="preserve">Очаквано отражение върху приходите </w:t>
      </w:r>
    </w:p>
    <w:p w14:paraId="68CDFD54" w14:textId="77777777" w:rsidR="002337F9" w:rsidRPr="00133050" w:rsidRDefault="002337F9" w:rsidP="002337F9">
      <w:pPr>
        <w:pStyle w:val="Tiret1"/>
        <w:rPr>
          <w:noProof/>
        </w:rPr>
      </w:pPr>
      <w:r w:rsidRPr="00133050">
        <w:rPr>
          <w:noProof/>
        </w:rPr>
        <w:sym w:font="Wingdings" w:char="F0FD"/>
      </w:r>
      <w:r w:rsidRPr="00133050">
        <w:rPr>
          <w:noProof/>
        </w:rPr>
        <w:tab/>
        <w:t>Предложението/инициативата няма финансово отражение върху приходите.</w:t>
      </w:r>
    </w:p>
    <w:p w14:paraId="417C6F4F" w14:textId="77777777" w:rsidR="002337F9" w:rsidRPr="00133050" w:rsidRDefault="002337F9" w:rsidP="002337F9">
      <w:pPr>
        <w:pStyle w:val="Tiret1"/>
        <w:rPr>
          <w:noProof/>
        </w:rPr>
      </w:pPr>
      <w:r w:rsidRPr="00133050">
        <w:rPr>
          <w:noProof/>
        </w:rPr>
        <w:sym w:font="Wingdings" w:char="F0A8"/>
      </w:r>
      <w:r w:rsidRPr="00133050">
        <w:rPr>
          <w:noProof/>
        </w:rPr>
        <w:tab/>
        <w:t>Предложението/инициативата има следното финансово отражение:</w:t>
      </w:r>
    </w:p>
    <w:p w14:paraId="5DC703D6" w14:textId="77777777" w:rsidR="002337F9" w:rsidRPr="00133050" w:rsidRDefault="002337F9" w:rsidP="00B51586">
      <w:pPr>
        <w:pStyle w:val="Tiret3"/>
        <w:numPr>
          <w:ilvl w:val="0"/>
          <w:numId w:val="50"/>
        </w:numPr>
        <w:rPr>
          <w:noProof/>
        </w:rPr>
      </w:pPr>
      <w:r w:rsidRPr="00133050">
        <w:rPr>
          <w:noProof/>
        </w:rPr>
        <w:sym w:font="Wingdings" w:char="F0A8"/>
      </w:r>
      <w:r w:rsidRPr="00133050">
        <w:rPr>
          <w:noProof/>
        </w:rPr>
        <w:tab/>
        <w:t xml:space="preserve">върху собствените ресурси </w:t>
      </w:r>
    </w:p>
    <w:p w14:paraId="36EB164A" w14:textId="77777777" w:rsidR="002337F9" w:rsidRPr="00133050" w:rsidRDefault="002337F9" w:rsidP="002337F9">
      <w:pPr>
        <w:pStyle w:val="Tiret3"/>
        <w:rPr>
          <w:noProof/>
        </w:rPr>
      </w:pPr>
      <w:r w:rsidRPr="00133050">
        <w:rPr>
          <w:noProof/>
        </w:rPr>
        <w:sym w:font="Wingdings" w:char="F0A8"/>
      </w:r>
      <w:r w:rsidRPr="00133050">
        <w:rPr>
          <w:noProof/>
        </w:rPr>
        <w:tab/>
        <w:t>върху разните приходи</w:t>
      </w:r>
    </w:p>
    <w:p w14:paraId="73C2DDC9" w14:textId="77777777" w:rsidR="002337F9" w:rsidRPr="00133050" w:rsidRDefault="002337F9" w:rsidP="002337F9">
      <w:pPr>
        <w:pStyle w:val="Tiret3"/>
        <w:rPr>
          <w:noProof/>
        </w:rPr>
      </w:pPr>
      <w:r w:rsidRPr="00133050">
        <w:rPr>
          <w:noProof/>
        </w:rPr>
        <w:t xml:space="preserve">Моля, посочете дали приходите са записани по разходни бюджетни редове </w:t>
      </w:r>
      <w:r w:rsidRPr="00133050">
        <w:rPr>
          <w:noProof/>
        </w:rPr>
        <w:sym w:font="Wingdings" w:char="F0A8"/>
      </w:r>
      <w:r w:rsidRPr="00133050">
        <w:rPr>
          <w:noProof/>
        </w:rPr>
        <w:tab/>
      </w:r>
    </w:p>
    <w:p w14:paraId="15C35E1C" w14:textId="77777777" w:rsidR="002337F9" w:rsidRPr="00133050" w:rsidRDefault="002337F9" w:rsidP="002337F9">
      <w:pPr>
        <w:rPr>
          <w:i/>
          <w:noProof/>
          <w:sz w:val="20"/>
        </w:rPr>
      </w:pPr>
      <w:r w:rsidRPr="00133050">
        <w:rPr>
          <w:noProof/>
        </w:rPr>
        <w:t>млн. евро (до 3-тия знак след десетичната запетая)</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325"/>
        <w:gridCol w:w="1031"/>
        <w:gridCol w:w="900"/>
        <w:gridCol w:w="900"/>
        <w:gridCol w:w="1080"/>
        <w:gridCol w:w="1080"/>
        <w:gridCol w:w="1080"/>
        <w:gridCol w:w="1080"/>
      </w:tblGrid>
      <w:tr w:rsidR="002337F9" w:rsidRPr="00133050" w14:paraId="0099D86D" w14:textId="77777777" w:rsidTr="0026218C">
        <w:trPr>
          <w:trHeight w:val="388"/>
        </w:trPr>
        <w:tc>
          <w:tcPr>
            <w:tcW w:w="2144" w:type="dxa"/>
            <w:vMerge w:val="restart"/>
            <w:vAlign w:val="center"/>
          </w:tcPr>
          <w:p w14:paraId="02FE15D8" w14:textId="77777777" w:rsidR="002337F9" w:rsidRPr="00133050" w:rsidRDefault="002337F9" w:rsidP="0026218C">
            <w:pPr>
              <w:spacing w:before="40" w:after="40"/>
              <w:rPr>
                <w:noProof/>
                <w:sz w:val="18"/>
              </w:rPr>
            </w:pPr>
            <w:r w:rsidRPr="00133050">
              <w:rPr>
                <w:noProof/>
                <w:sz w:val="18"/>
              </w:rPr>
              <w:t>Приходен бюджетен ред:</w:t>
            </w:r>
          </w:p>
        </w:tc>
        <w:tc>
          <w:tcPr>
            <w:tcW w:w="1325" w:type="dxa"/>
            <w:vMerge w:val="restart"/>
            <w:vAlign w:val="center"/>
          </w:tcPr>
          <w:p w14:paraId="68989F63" w14:textId="77777777" w:rsidR="002337F9" w:rsidRPr="00133050" w:rsidRDefault="002337F9" w:rsidP="0026218C">
            <w:pPr>
              <w:jc w:val="center"/>
              <w:rPr>
                <w:noProof/>
                <w:sz w:val="18"/>
              </w:rPr>
            </w:pPr>
            <w:r w:rsidRPr="00133050">
              <w:rPr>
                <w:noProof/>
                <w:sz w:val="18"/>
              </w:rPr>
              <w:t>Налични бюджетни кредити за текущата финансова година</w:t>
            </w:r>
          </w:p>
        </w:tc>
        <w:tc>
          <w:tcPr>
            <w:tcW w:w="7151" w:type="dxa"/>
            <w:gridSpan w:val="7"/>
            <w:vAlign w:val="center"/>
          </w:tcPr>
          <w:p w14:paraId="42278158" w14:textId="77777777" w:rsidR="002337F9" w:rsidRPr="00133050" w:rsidRDefault="002337F9" w:rsidP="0026218C">
            <w:pPr>
              <w:jc w:val="center"/>
              <w:rPr>
                <w:noProof/>
                <w:sz w:val="18"/>
              </w:rPr>
            </w:pPr>
            <w:r w:rsidRPr="00133050">
              <w:rPr>
                <w:noProof/>
                <w:sz w:val="18"/>
              </w:rPr>
              <w:t>Отражение на предложението/инициативата</w:t>
            </w:r>
            <w:r w:rsidRPr="00133050">
              <w:rPr>
                <w:rStyle w:val="FootnoteReference"/>
                <w:noProof/>
                <w:sz w:val="18"/>
              </w:rPr>
              <w:footnoteReference w:id="59"/>
            </w:r>
          </w:p>
        </w:tc>
      </w:tr>
      <w:tr w:rsidR="002337F9" w:rsidRPr="00133050" w14:paraId="1F7FC540" w14:textId="77777777" w:rsidTr="0026218C">
        <w:trPr>
          <w:trHeight w:val="388"/>
        </w:trPr>
        <w:tc>
          <w:tcPr>
            <w:tcW w:w="2144" w:type="dxa"/>
            <w:vMerge/>
          </w:tcPr>
          <w:p w14:paraId="29107DB4" w14:textId="77777777" w:rsidR="002337F9" w:rsidRPr="00133050" w:rsidRDefault="002337F9" w:rsidP="0026218C">
            <w:pPr>
              <w:spacing w:before="40" w:after="40"/>
              <w:rPr>
                <w:noProof/>
                <w:sz w:val="18"/>
              </w:rPr>
            </w:pPr>
          </w:p>
        </w:tc>
        <w:tc>
          <w:tcPr>
            <w:tcW w:w="1325" w:type="dxa"/>
            <w:vMerge/>
          </w:tcPr>
          <w:p w14:paraId="78B32D64" w14:textId="77777777" w:rsidR="002337F9" w:rsidRPr="00133050" w:rsidRDefault="002337F9" w:rsidP="0026218C">
            <w:pPr>
              <w:spacing w:beforeLines="40" w:before="96" w:afterLines="40" w:after="96"/>
              <w:rPr>
                <w:i/>
                <w:noProof/>
                <w:sz w:val="18"/>
              </w:rPr>
            </w:pPr>
          </w:p>
        </w:tc>
        <w:tc>
          <w:tcPr>
            <w:tcW w:w="1031" w:type="dxa"/>
            <w:vAlign w:val="center"/>
          </w:tcPr>
          <w:p w14:paraId="0CE15A38" w14:textId="77777777" w:rsidR="002337F9" w:rsidRPr="00133050" w:rsidRDefault="002337F9" w:rsidP="0026218C">
            <w:pPr>
              <w:jc w:val="center"/>
              <w:rPr>
                <w:noProof/>
                <w:sz w:val="18"/>
              </w:rPr>
            </w:pPr>
            <w:r w:rsidRPr="00133050">
              <w:rPr>
                <w:noProof/>
                <w:sz w:val="18"/>
              </w:rPr>
              <w:t>Година</w:t>
            </w:r>
            <w:r w:rsidRPr="00133050">
              <w:rPr>
                <w:noProof/>
              </w:rPr>
              <w:t xml:space="preserve"> </w:t>
            </w:r>
            <w:r w:rsidRPr="00133050">
              <w:rPr>
                <w:noProof/>
              </w:rPr>
              <w:cr/>
            </w:r>
            <w:r w:rsidRPr="00133050">
              <w:rPr>
                <w:noProof/>
              </w:rPr>
              <w:br/>
            </w:r>
            <w:r w:rsidRPr="00133050">
              <w:rPr>
                <w:b/>
                <w:noProof/>
                <w:sz w:val="18"/>
              </w:rPr>
              <w:t>N</w:t>
            </w:r>
          </w:p>
        </w:tc>
        <w:tc>
          <w:tcPr>
            <w:tcW w:w="900" w:type="dxa"/>
            <w:vAlign w:val="center"/>
          </w:tcPr>
          <w:p w14:paraId="3C4EBC09" w14:textId="77777777" w:rsidR="002337F9" w:rsidRPr="00133050" w:rsidRDefault="002337F9" w:rsidP="0026218C">
            <w:pPr>
              <w:jc w:val="center"/>
              <w:rPr>
                <w:noProof/>
                <w:sz w:val="18"/>
              </w:rPr>
            </w:pPr>
            <w:r w:rsidRPr="00133050">
              <w:rPr>
                <w:noProof/>
                <w:sz w:val="18"/>
              </w:rPr>
              <w:t>Година</w:t>
            </w:r>
            <w:r w:rsidRPr="00133050">
              <w:rPr>
                <w:noProof/>
              </w:rPr>
              <w:t xml:space="preserve"> </w:t>
            </w:r>
            <w:r w:rsidRPr="00133050">
              <w:rPr>
                <w:noProof/>
              </w:rPr>
              <w:cr/>
            </w:r>
            <w:r w:rsidRPr="00133050">
              <w:rPr>
                <w:noProof/>
              </w:rPr>
              <w:br/>
            </w:r>
            <w:r w:rsidRPr="00133050">
              <w:rPr>
                <w:b/>
                <w:noProof/>
                <w:sz w:val="18"/>
              </w:rPr>
              <w:t>N+1</w:t>
            </w:r>
          </w:p>
        </w:tc>
        <w:tc>
          <w:tcPr>
            <w:tcW w:w="900" w:type="dxa"/>
            <w:vAlign w:val="center"/>
          </w:tcPr>
          <w:p w14:paraId="339066C2" w14:textId="77777777" w:rsidR="002337F9" w:rsidRPr="00133050" w:rsidRDefault="002337F9" w:rsidP="0026218C">
            <w:pPr>
              <w:jc w:val="center"/>
              <w:rPr>
                <w:noProof/>
                <w:sz w:val="18"/>
              </w:rPr>
            </w:pPr>
            <w:r w:rsidRPr="00133050">
              <w:rPr>
                <w:noProof/>
                <w:sz w:val="18"/>
              </w:rPr>
              <w:t>Година</w:t>
            </w:r>
            <w:r w:rsidRPr="00133050">
              <w:rPr>
                <w:noProof/>
              </w:rPr>
              <w:t xml:space="preserve"> </w:t>
            </w:r>
            <w:r w:rsidRPr="00133050">
              <w:rPr>
                <w:noProof/>
              </w:rPr>
              <w:cr/>
            </w:r>
            <w:r w:rsidRPr="00133050">
              <w:rPr>
                <w:noProof/>
              </w:rPr>
              <w:br/>
            </w:r>
            <w:r w:rsidRPr="00133050">
              <w:rPr>
                <w:b/>
                <w:noProof/>
                <w:sz w:val="18"/>
              </w:rPr>
              <w:t>N+2</w:t>
            </w:r>
          </w:p>
        </w:tc>
        <w:tc>
          <w:tcPr>
            <w:tcW w:w="1080" w:type="dxa"/>
            <w:vAlign w:val="center"/>
          </w:tcPr>
          <w:p w14:paraId="45C2F0E0" w14:textId="77777777" w:rsidR="002337F9" w:rsidRPr="00133050" w:rsidRDefault="002337F9" w:rsidP="0026218C">
            <w:pPr>
              <w:jc w:val="center"/>
              <w:rPr>
                <w:noProof/>
                <w:sz w:val="18"/>
              </w:rPr>
            </w:pPr>
            <w:r w:rsidRPr="00133050">
              <w:rPr>
                <w:noProof/>
                <w:sz w:val="18"/>
              </w:rPr>
              <w:t>Година</w:t>
            </w:r>
            <w:r w:rsidRPr="00133050">
              <w:rPr>
                <w:noProof/>
              </w:rPr>
              <w:t xml:space="preserve"> </w:t>
            </w:r>
            <w:r w:rsidRPr="00133050">
              <w:rPr>
                <w:noProof/>
              </w:rPr>
              <w:cr/>
            </w:r>
            <w:r w:rsidRPr="00133050">
              <w:rPr>
                <w:noProof/>
              </w:rPr>
              <w:br/>
            </w:r>
            <w:r w:rsidRPr="00133050">
              <w:rPr>
                <w:b/>
                <w:noProof/>
                <w:sz w:val="18"/>
              </w:rPr>
              <w:t>N+3</w:t>
            </w:r>
          </w:p>
        </w:tc>
        <w:tc>
          <w:tcPr>
            <w:tcW w:w="3240" w:type="dxa"/>
            <w:gridSpan w:val="3"/>
            <w:vAlign w:val="center"/>
          </w:tcPr>
          <w:p w14:paraId="629F9764" w14:textId="77777777" w:rsidR="002337F9" w:rsidRPr="00133050" w:rsidRDefault="002337F9" w:rsidP="0026218C">
            <w:pPr>
              <w:jc w:val="center"/>
              <w:rPr>
                <w:b/>
                <w:noProof/>
                <w:sz w:val="18"/>
              </w:rPr>
            </w:pPr>
            <w:r w:rsidRPr="00133050">
              <w:rPr>
                <w:noProof/>
                <w:sz w:val="18"/>
              </w:rPr>
              <w:t>Да се добавят толкова години, колкото е необходимо, за да се обхване продължителността на отражението (вж. точка 1.6)</w:t>
            </w:r>
          </w:p>
        </w:tc>
      </w:tr>
      <w:tr w:rsidR="002337F9" w:rsidRPr="00133050" w14:paraId="0605F310" w14:textId="77777777" w:rsidTr="0026218C">
        <w:trPr>
          <w:trHeight w:val="388"/>
        </w:trPr>
        <w:tc>
          <w:tcPr>
            <w:tcW w:w="2144" w:type="dxa"/>
            <w:vAlign w:val="center"/>
          </w:tcPr>
          <w:p w14:paraId="03BEEDA3" w14:textId="77777777" w:rsidR="002337F9" w:rsidRPr="00133050" w:rsidRDefault="002337F9" w:rsidP="0026218C">
            <w:pPr>
              <w:spacing w:before="40" w:after="40"/>
              <w:rPr>
                <w:noProof/>
                <w:sz w:val="18"/>
              </w:rPr>
            </w:pPr>
            <w:r w:rsidRPr="00133050">
              <w:rPr>
                <w:noProof/>
                <w:sz w:val="18"/>
              </w:rPr>
              <w:t>Статия ………….</w:t>
            </w:r>
          </w:p>
        </w:tc>
        <w:tc>
          <w:tcPr>
            <w:tcW w:w="1325" w:type="dxa"/>
          </w:tcPr>
          <w:p w14:paraId="4EAF4155" w14:textId="77777777" w:rsidR="002337F9" w:rsidRPr="00133050" w:rsidRDefault="002337F9" w:rsidP="0026218C">
            <w:pPr>
              <w:spacing w:beforeLines="40" w:before="96" w:afterLines="40" w:after="96"/>
              <w:jc w:val="center"/>
              <w:rPr>
                <w:i/>
                <w:noProof/>
                <w:sz w:val="18"/>
              </w:rPr>
            </w:pPr>
          </w:p>
        </w:tc>
        <w:tc>
          <w:tcPr>
            <w:tcW w:w="1031" w:type="dxa"/>
          </w:tcPr>
          <w:p w14:paraId="346A3FC8" w14:textId="77777777" w:rsidR="002337F9" w:rsidRPr="00133050" w:rsidRDefault="002337F9" w:rsidP="0026218C">
            <w:pPr>
              <w:spacing w:beforeLines="40" w:before="96" w:afterLines="40" w:after="96"/>
              <w:jc w:val="center"/>
              <w:rPr>
                <w:noProof/>
                <w:sz w:val="18"/>
              </w:rPr>
            </w:pPr>
          </w:p>
        </w:tc>
        <w:tc>
          <w:tcPr>
            <w:tcW w:w="900" w:type="dxa"/>
          </w:tcPr>
          <w:p w14:paraId="6B1DB6B1" w14:textId="77777777" w:rsidR="002337F9" w:rsidRPr="00133050" w:rsidRDefault="002337F9" w:rsidP="0026218C">
            <w:pPr>
              <w:spacing w:beforeLines="40" w:before="96" w:afterLines="40" w:after="96"/>
              <w:jc w:val="center"/>
              <w:rPr>
                <w:noProof/>
                <w:sz w:val="18"/>
              </w:rPr>
            </w:pPr>
          </w:p>
        </w:tc>
        <w:tc>
          <w:tcPr>
            <w:tcW w:w="900" w:type="dxa"/>
          </w:tcPr>
          <w:p w14:paraId="6DF698BD" w14:textId="77777777" w:rsidR="002337F9" w:rsidRPr="00133050" w:rsidRDefault="002337F9" w:rsidP="0026218C">
            <w:pPr>
              <w:spacing w:beforeLines="40" w:before="96" w:afterLines="40" w:after="96"/>
              <w:jc w:val="center"/>
              <w:rPr>
                <w:noProof/>
                <w:sz w:val="18"/>
              </w:rPr>
            </w:pPr>
          </w:p>
        </w:tc>
        <w:tc>
          <w:tcPr>
            <w:tcW w:w="1080" w:type="dxa"/>
          </w:tcPr>
          <w:p w14:paraId="284E6EFE" w14:textId="77777777" w:rsidR="002337F9" w:rsidRPr="00133050" w:rsidRDefault="002337F9" w:rsidP="0026218C">
            <w:pPr>
              <w:spacing w:beforeLines="40" w:before="96" w:afterLines="40" w:after="96"/>
              <w:jc w:val="center"/>
              <w:rPr>
                <w:noProof/>
                <w:sz w:val="18"/>
              </w:rPr>
            </w:pPr>
          </w:p>
        </w:tc>
        <w:tc>
          <w:tcPr>
            <w:tcW w:w="1080" w:type="dxa"/>
          </w:tcPr>
          <w:p w14:paraId="6404C224" w14:textId="77777777" w:rsidR="002337F9" w:rsidRPr="00133050" w:rsidRDefault="002337F9" w:rsidP="0026218C">
            <w:pPr>
              <w:spacing w:beforeLines="40" w:before="96" w:afterLines="40" w:after="96"/>
              <w:jc w:val="center"/>
              <w:rPr>
                <w:noProof/>
                <w:sz w:val="18"/>
              </w:rPr>
            </w:pPr>
          </w:p>
        </w:tc>
        <w:tc>
          <w:tcPr>
            <w:tcW w:w="1080" w:type="dxa"/>
          </w:tcPr>
          <w:p w14:paraId="2598BDF0" w14:textId="77777777" w:rsidR="002337F9" w:rsidRPr="00133050" w:rsidRDefault="002337F9" w:rsidP="0026218C">
            <w:pPr>
              <w:spacing w:beforeLines="40" w:before="96" w:afterLines="40" w:after="96"/>
              <w:jc w:val="center"/>
              <w:rPr>
                <w:noProof/>
                <w:sz w:val="18"/>
              </w:rPr>
            </w:pPr>
          </w:p>
        </w:tc>
        <w:tc>
          <w:tcPr>
            <w:tcW w:w="1080" w:type="dxa"/>
          </w:tcPr>
          <w:p w14:paraId="6FBB7860" w14:textId="77777777" w:rsidR="002337F9" w:rsidRPr="00133050" w:rsidRDefault="002337F9" w:rsidP="0026218C">
            <w:pPr>
              <w:spacing w:beforeLines="40" w:before="96" w:afterLines="40" w:after="96"/>
              <w:jc w:val="center"/>
              <w:rPr>
                <w:noProof/>
                <w:sz w:val="18"/>
              </w:rPr>
            </w:pPr>
          </w:p>
        </w:tc>
      </w:tr>
    </w:tbl>
    <w:p w14:paraId="2D4A6DC7" w14:textId="77777777" w:rsidR="002337F9" w:rsidRPr="00133050" w:rsidRDefault="002337F9" w:rsidP="002337F9">
      <w:pPr>
        <w:pStyle w:val="Text1"/>
        <w:rPr>
          <w:noProof/>
          <w:sz w:val="20"/>
        </w:rPr>
      </w:pPr>
      <w:r w:rsidRPr="00133050">
        <w:rPr>
          <w:noProof/>
          <w:sz w:val="20"/>
        </w:rPr>
        <w:t>За целевите приходи да се посочат съответните разходни бюджетни редове.</w:t>
      </w:r>
    </w:p>
    <w:p w14:paraId="1B623147" w14:textId="77777777" w:rsidR="002337F9" w:rsidRPr="00133050" w:rsidRDefault="002337F9" w:rsidP="00070956">
      <w:pPr>
        <w:pStyle w:val="Text1"/>
        <w:rPr>
          <w:noProof/>
        </w:rPr>
      </w:pPr>
      <w:r w:rsidRPr="00133050">
        <w:rPr>
          <w:noProof/>
          <w:sz w:val="20"/>
        </w:rPr>
        <w:t>Други забележки (например метод/формула за изчисляване на отражението върху приходите или друга информация).</w:t>
      </w:r>
    </w:p>
    <w:sectPr w:rsidR="002337F9" w:rsidRPr="00133050" w:rsidSect="00272311">
      <w:headerReference w:type="default" r:id="rId23"/>
      <w:footerReference w:type="default" r:id="rId24"/>
      <w:footnotePr>
        <w:numRestart w:val="eachSect"/>
      </w:footnotePr>
      <w:pgSz w:w="16840" w:h="11907" w:orient="landscape" w:code="9"/>
      <w:pgMar w:top="1134"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C74C7C" w14:textId="77777777" w:rsidR="003E3D59" w:rsidRDefault="003E3D59" w:rsidP="00F67093">
      <w:pPr>
        <w:spacing w:before="0" w:after="0"/>
      </w:pPr>
      <w:r>
        <w:separator/>
      </w:r>
    </w:p>
  </w:endnote>
  <w:endnote w:type="continuationSeparator" w:id="0">
    <w:p w14:paraId="2EC205FE" w14:textId="77777777" w:rsidR="003E3D59" w:rsidRDefault="003E3D59" w:rsidP="00F67093">
      <w:pPr>
        <w:spacing w:before="0" w:after="0"/>
      </w:pPr>
      <w:r>
        <w:continuationSeparator/>
      </w:r>
    </w:p>
  </w:endnote>
  <w:endnote w:type="continuationNotice" w:id="1">
    <w:p w14:paraId="385946F9" w14:textId="77777777" w:rsidR="003E3D59" w:rsidRDefault="003E3D5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E8967" w14:textId="6E5292E1" w:rsidR="00272311" w:rsidRPr="00272311" w:rsidRDefault="00272311" w:rsidP="00272311">
    <w:pPr>
      <w:pStyle w:val="Footer"/>
      <w:rPr>
        <w:rFonts w:ascii="Arial" w:hAnsi="Arial" w:cs="Arial"/>
        <w:b/>
        <w:sz w:val="48"/>
      </w:rPr>
    </w:pPr>
    <w:r w:rsidRPr="00272311">
      <w:rPr>
        <w:rFonts w:ascii="Arial" w:hAnsi="Arial" w:cs="Arial"/>
        <w:b/>
        <w:sz w:val="48"/>
      </w:rPr>
      <w:t>BG</w:t>
    </w:r>
    <w:r w:rsidRPr="00272311">
      <w:rPr>
        <w:rFonts w:ascii="Arial" w:hAnsi="Arial" w:cs="Arial"/>
        <w:b/>
        <w:sz w:val="48"/>
      </w:rPr>
      <w:tab/>
    </w:r>
    <w:r w:rsidRPr="00272311">
      <w:rPr>
        <w:rFonts w:ascii="Arial" w:hAnsi="Arial" w:cs="Arial"/>
        <w:b/>
        <w:sz w:val="48"/>
      </w:rPr>
      <w:tab/>
    </w:r>
    <w:r w:rsidRPr="00272311">
      <w:tab/>
    </w:r>
    <w:r w:rsidRPr="00272311">
      <w:rPr>
        <w:rFonts w:ascii="Arial" w:hAnsi="Arial" w:cs="Arial"/>
        <w:b/>
        <w:sz w:val="48"/>
      </w:rPr>
      <w:t>BG</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85463" w14:textId="2DC9C8B7" w:rsidR="00272311" w:rsidRPr="00272311" w:rsidRDefault="00272311" w:rsidP="00272311">
    <w:pPr>
      <w:pStyle w:val="Footer"/>
      <w:rPr>
        <w:rFonts w:ascii="Arial" w:hAnsi="Arial" w:cs="Arial"/>
        <w:b/>
        <w:sz w:val="48"/>
      </w:rPr>
    </w:pPr>
    <w:r w:rsidRPr="00272311">
      <w:rPr>
        <w:rFonts w:ascii="Arial" w:hAnsi="Arial" w:cs="Arial"/>
        <w:b/>
        <w:sz w:val="48"/>
      </w:rPr>
      <w:t>BG</w:t>
    </w:r>
    <w:r w:rsidRPr="00272311">
      <w:rPr>
        <w:rFonts w:ascii="Arial" w:hAnsi="Arial" w:cs="Arial"/>
        <w:b/>
        <w:sz w:val="48"/>
      </w:rPr>
      <w:tab/>
    </w:r>
    <w:r w:rsidRPr="00272311">
      <w:rPr>
        <w:rFonts w:ascii="Arial" w:hAnsi="Arial" w:cs="Arial"/>
        <w:b/>
        <w:sz w:val="48"/>
      </w:rPr>
      <w:tab/>
    </w:r>
    <w:r w:rsidRPr="00272311">
      <w:tab/>
    </w:r>
    <w:r w:rsidRPr="00272311">
      <w:rPr>
        <w:rFonts w:ascii="Arial" w:hAnsi="Arial" w:cs="Arial"/>
        <w:b/>
        <w:sz w:val="48"/>
      </w:rPr>
      <w:t>BG</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19BF1" w14:textId="77777777" w:rsidR="00272311" w:rsidRDefault="0027231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68B2F" w14:textId="735F4BF7" w:rsidR="00272311" w:rsidRPr="00272311" w:rsidRDefault="00272311" w:rsidP="00272311">
    <w:pPr>
      <w:pStyle w:val="Footer"/>
      <w:rPr>
        <w:rFonts w:ascii="Arial" w:hAnsi="Arial" w:cs="Arial"/>
        <w:b/>
        <w:sz w:val="48"/>
      </w:rPr>
    </w:pPr>
    <w:r w:rsidRPr="00272311">
      <w:rPr>
        <w:rFonts w:ascii="Arial" w:hAnsi="Arial" w:cs="Arial"/>
        <w:b/>
        <w:sz w:val="48"/>
      </w:rPr>
      <w:t>BG</w:t>
    </w:r>
    <w:r w:rsidRPr="00272311">
      <w:rPr>
        <w:rFonts w:ascii="Arial" w:hAnsi="Arial" w:cs="Arial"/>
        <w:b/>
        <w:sz w:val="48"/>
      </w:rPr>
      <w:tab/>
    </w:r>
    <w:r>
      <w:fldChar w:fldCharType="begin"/>
    </w:r>
    <w:r>
      <w:instrText xml:space="preserve"> PAGE  \* MERGEFORMAT </w:instrText>
    </w:r>
    <w:r>
      <w:fldChar w:fldCharType="separate"/>
    </w:r>
    <w:r w:rsidR="001B045E">
      <w:rPr>
        <w:noProof/>
      </w:rPr>
      <w:t>57</w:t>
    </w:r>
    <w:r>
      <w:fldChar w:fldCharType="end"/>
    </w:r>
    <w:r>
      <w:tab/>
    </w:r>
    <w:r w:rsidRPr="00272311">
      <w:tab/>
    </w:r>
    <w:r w:rsidRPr="00272311">
      <w:rPr>
        <w:rFonts w:ascii="Arial" w:hAnsi="Arial" w:cs="Arial"/>
        <w:b/>
        <w:sz w:val="48"/>
      </w:rPr>
      <w:t>BG</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1EA08" w14:textId="77777777" w:rsidR="00272311" w:rsidRDefault="00272311" w:rsidP="00272311">
    <w:pPr>
      <w:pStyle w:val="FooterLandscape"/>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A41EF" w14:textId="4F127E18" w:rsidR="00272311" w:rsidRPr="00272311" w:rsidRDefault="00272311" w:rsidP="00272311">
    <w:pPr>
      <w:pStyle w:val="FooterLandscape"/>
      <w:rPr>
        <w:rFonts w:ascii="Arial" w:hAnsi="Arial" w:cs="Arial"/>
        <w:b/>
        <w:sz w:val="48"/>
      </w:rPr>
    </w:pPr>
    <w:r w:rsidRPr="00272311">
      <w:rPr>
        <w:rFonts w:ascii="Arial" w:hAnsi="Arial" w:cs="Arial"/>
        <w:b/>
        <w:sz w:val="48"/>
      </w:rPr>
      <w:t>BG</w:t>
    </w:r>
    <w:r w:rsidRPr="00272311">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272311">
      <w:tab/>
    </w:r>
    <w:r w:rsidRPr="00272311">
      <w:rPr>
        <w:rFonts w:ascii="Arial" w:hAnsi="Arial" w:cs="Arial"/>
        <w:b/>
        <w:sz w:val="48"/>
      </w:rPr>
      <w:t>BG</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326E3" w14:textId="562DB2C2" w:rsidR="00272311" w:rsidRPr="00272311" w:rsidRDefault="00272311" w:rsidP="00272311">
    <w:pPr>
      <w:pStyle w:val="Footer"/>
      <w:rPr>
        <w:rFonts w:ascii="Arial" w:hAnsi="Arial" w:cs="Arial"/>
        <w:b/>
        <w:sz w:val="48"/>
      </w:rPr>
    </w:pPr>
    <w:r w:rsidRPr="00272311">
      <w:rPr>
        <w:rFonts w:ascii="Arial" w:hAnsi="Arial" w:cs="Arial"/>
        <w:b/>
        <w:sz w:val="48"/>
      </w:rPr>
      <w:t>BG</w:t>
    </w:r>
    <w:r w:rsidRPr="00272311">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272311">
      <w:tab/>
    </w:r>
    <w:r w:rsidRPr="00272311">
      <w:rPr>
        <w:rFonts w:ascii="Arial" w:hAnsi="Arial" w:cs="Arial"/>
        <w:b/>
        <w:sz w:val="48"/>
      </w:rPr>
      <w:t>BG</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FE222" w14:textId="4BFE7B0B" w:rsidR="00272311" w:rsidRPr="00272311" w:rsidRDefault="00272311" w:rsidP="00272311">
    <w:pPr>
      <w:pStyle w:val="FooterLandscape"/>
      <w:rPr>
        <w:rFonts w:ascii="Arial" w:hAnsi="Arial" w:cs="Arial"/>
        <w:b/>
        <w:sz w:val="48"/>
      </w:rPr>
    </w:pPr>
    <w:r w:rsidRPr="00272311">
      <w:rPr>
        <w:rFonts w:ascii="Arial" w:hAnsi="Arial" w:cs="Arial"/>
        <w:b/>
        <w:sz w:val="48"/>
      </w:rPr>
      <w:t>BG</w:t>
    </w:r>
    <w:r w:rsidRPr="00272311">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272311">
      <w:tab/>
    </w:r>
    <w:r w:rsidRPr="00272311">
      <w:rPr>
        <w:rFonts w:ascii="Arial" w:hAnsi="Arial" w:cs="Arial"/>
        <w:b/>
        <w:sz w:val="48"/>
      </w:rPr>
      <w:t>BG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FBDF32" w14:textId="77777777" w:rsidR="003E3D59" w:rsidRDefault="003E3D59" w:rsidP="00F67093">
      <w:pPr>
        <w:spacing w:before="0" w:after="0"/>
      </w:pPr>
      <w:r>
        <w:separator/>
      </w:r>
    </w:p>
  </w:footnote>
  <w:footnote w:type="continuationSeparator" w:id="0">
    <w:p w14:paraId="62D6772F" w14:textId="77777777" w:rsidR="003E3D59" w:rsidRDefault="003E3D59" w:rsidP="00F67093">
      <w:pPr>
        <w:spacing w:before="0" w:after="0"/>
      </w:pPr>
      <w:r>
        <w:continuationSeparator/>
      </w:r>
    </w:p>
  </w:footnote>
  <w:footnote w:type="continuationNotice" w:id="1">
    <w:p w14:paraId="2300D1D2" w14:textId="77777777" w:rsidR="003E3D59" w:rsidRDefault="003E3D59">
      <w:pPr>
        <w:spacing w:before="0" w:after="0"/>
      </w:pPr>
    </w:p>
  </w:footnote>
  <w:footnote w:id="2">
    <w:p w14:paraId="15E14119" w14:textId="77777777" w:rsidR="00A14709" w:rsidRPr="001F56CA" w:rsidRDefault="00A14709" w:rsidP="00253A9A">
      <w:pPr>
        <w:pStyle w:val="FootnoteText"/>
      </w:pPr>
      <w:r>
        <w:rPr>
          <w:rStyle w:val="FootnoteReference"/>
        </w:rPr>
        <w:footnoteRef/>
      </w:r>
      <w:r>
        <w:tab/>
        <w:t xml:space="preserve">Когато през септември 2017 г. Комисията представи своето законодателно предложение за регламента, само 14 държави членки (включително Обединеното кралство) поддържаха механизъм за скрининг. До юни 2023 г. още 8 държави членки приеха механизми за скрининг, а 2 държави членки, които разполагаха само със секторни механизми, въведоха междусекторни механизми. </w:t>
      </w:r>
    </w:p>
  </w:footnote>
  <w:footnote w:id="3">
    <w:p w14:paraId="7D8B0763" w14:textId="77777777" w:rsidR="00A14709" w:rsidRPr="001F56CA" w:rsidRDefault="00A14709" w:rsidP="00B0688A">
      <w:pPr>
        <w:pStyle w:val="FootnoteText"/>
      </w:pPr>
      <w:r>
        <w:rPr>
          <w:rStyle w:val="FootnoteReference"/>
        </w:rPr>
        <w:footnoteRef/>
      </w:r>
      <w:r>
        <w:tab/>
        <w:t xml:space="preserve">22,7 % от чуждестранните придобивания и 20 % от проектите „на зелено“ са били в държави членки без напълно приложим механизъм за скрининг. В своя специален доклад 27/2023 („Скрининг на преките чуждестранни инвестиции в ЕС — предприети са първи стъпки, но все още има съществени ограничения за ефективното преодоляване на рисковете за сигурността и обществения ред“) Европейската сметна палата изчислява, че приблизително 42 % от средния обем на ПЧИ са били в тези държави членки (вж. фигура 4 на стр. 32). </w:t>
      </w:r>
    </w:p>
  </w:footnote>
  <w:footnote w:id="4">
    <w:p w14:paraId="59A760B7" w14:textId="77777777" w:rsidR="00A14709" w:rsidRPr="00E22B9B" w:rsidRDefault="00A14709" w:rsidP="00253A9A">
      <w:pPr>
        <w:pStyle w:val="FootnoteText"/>
      </w:pPr>
      <w:r>
        <w:rPr>
          <w:rStyle w:val="FootnoteReference"/>
        </w:rPr>
        <w:footnoteRef/>
      </w:r>
      <w:r>
        <w:tab/>
        <w:t>След стартирането на механизма за сътрудничество Комисията и съответните органи на държавите членки са преразгледали над 1100 сделки.</w:t>
      </w:r>
    </w:p>
  </w:footnote>
  <w:footnote w:id="5">
    <w:p w14:paraId="05364126" w14:textId="77777777" w:rsidR="00A14709" w:rsidRPr="00E22B9B" w:rsidRDefault="00A14709" w:rsidP="00253A9A">
      <w:pPr>
        <w:pStyle w:val="FootnoteText"/>
      </w:pPr>
      <w:r>
        <w:rPr>
          <w:rStyle w:val="FootnoteReference"/>
        </w:rPr>
        <w:footnoteRef/>
      </w:r>
      <w:r>
        <w:tab/>
        <w:t>Съвместно съобщение до Европейския парламент, Европейския съвет и Съвета относно европейска стратегия за икономическа сигурност, (JOIN(2023)20 final).</w:t>
      </w:r>
    </w:p>
  </w:footnote>
  <w:footnote w:id="6">
    <w:p w14:paraId="0D6DFB2A" w14:textId="77777777" w:rsidR="00A14709" w:rsidRPr="00E22B9B" w:rsidRDefault="00A14709" w:rsidP="00253A9A">
      <w:pPr>
        <w:pStyle w:val="FootnoteText"/>
      </w:pPr>
      <w:r>
        <w:rPr>
          <w:rStyle w:val="FootnoteReference"/>
        </w:rPr>
        <w:footnoteRef/>
      </w:r>
      <w:r>
        <w:tab/>
      </w:r>
      <w:bookmarkStart w:id="3" w:name="_Hlk155615421"/>
      <w:r>
        <w:t>Регламент (ЕО) № 139/2004 на Съвета от 20 януари 2004 г. относно контрола върху концентрациите между предприятия (ОВ L 24, 29.1.2004 г., стр. 1, ELI: </w:t>
      </w:r>
      <w:hyperlink r:id="rId1" w:tooltip="Дава достъп до този документ чрез неговия URI на ELI." w:history="1">
        <w:r>
          <w:rPr>
            <w:rStyle w:val="Hyperlink"/>
            <w:color w:val="337AB7"/>
            <w:shd w:val="clear" w:color="auto" w:fill="FFFFFF"/>
          </w:rPr>
          <w:t>https://eur-lex.europa.eu/legal-content/BG/TXT/HTML/?uri=CELEX:32004R0139</w:t>
        </w:r>
      </w:hyperlink>
      <w:r>
        <w:t>).</w:t>
      </w:r>
    </w:p>
    <w:bookmarkEnd w:id="3"/>
  </w:footnote>
  <w:footnote w:id="7">
    <w:p w14:paraId="4F49421D" w14:textId="77777777" w:rsidR="00A14709" w:rsidRPr="00E22B9B" w:rsidRDefault="00A14709" w:rsidP="00253A9A">
      <w:pPr>
        <w:pStyle w:val="FootnoteText"/>
      </w:pPr>
      <w:r>
        <w:rPr>
          <w:rStyle w:val="FootnoteReference"/>
        </w:rPr>
        <w:footnoteRef/>
      </w:r>
      <w:r>
        <w:tab/>
        <w:t>За да се гарантира безпроблемното прилагане на механизма за сътрудничество съгласно глава 3 от предложения регламент и на процедурата съгласно член 21, параграф 4 от Регламента на ЕС за сливанията, за държавите членки може да е полезно при уведомяване за сделка съгласно член 5 от предложения регламент да посочат дали има вероятност дадена сделка да попада в обхвата на Регламента на ЕС за сливанията.</w:t>
      </w:r>
    </w:p>
  </w:footnote>
  <w:footnote w:id="8">
    <w:p w14:paraId="487A33CB" w14:textId="77777777" w:rsidR="00A14709" w:rsidRPr="003F005D" w:rsidRDefault="00A14709" w:rsidP="00E918DC">
      <w:pPr>
        <w:pStyle w:val="FootnoteText"/>
      </w:pPr>
      <w:r>
        <w:rPr>
          <w:rStyle w:val="FootnoteReference"/>
        </w:rPr>
        <w:footnoteRef/>
      </w:r>
      <w:r>
        <w:tab/>
        <w:t>Регламент (ЕС) 2022/2560 на Европейския парламент и на Съвета относно чуждестранните субсидии, които нарушават функционирането на вътрешния пазар (ОВ L 330, 23.12.2022 г., стр. 1—45, ELI: </w:t>
      </w:r>
      <w:hyperlink r:id="rId2" w:tooltip="Дава достъп до този документ чрез неговия URI на ELI." w:history="1">
        <w:r>
          <w:rPr>
            <w:rStyle w:val="Hyperlink"/>
            <w:color w:val="337AB7"/>
            <w:shd w:val="clear" w:color="auto" w:fill="FFFFFF"/>
          </w:rPr>
          <w:t>https://eur-lex.europa.eu/eli/reg/2022/2560/oj?locale=bg</w:t>
        </w:r>
      </w:hyperlink>
      <w:r>
        <w:t>).</w:t>
      </w:r>
    </w:p>
  </w:footnote>
  <w:footnote w:id="9">
    <w:p w14:paraId="1321C3BF" w14:textId="77777777" w:rsidR="0005717D" w:rsidRPr="0005717D" w:rsidRDefault="0005717D" w:rsidP="0005717D">
      <w:pPr>
        <w:pStyle w:val="FootnoteText"/>
      </w:pPr>
      <w:r>
        <w:rPr>
          <w:rStyle w:val="FootnoteReference"/>
        </w:rPr>
        <w:footnoteRef/>
      </w:r>
      <w:r>
        <w:tab/>
      </w:r>
      <w:r>
        <w:rPr>
          <w:color w:val="333333"/>
          <w:shd w:val="clear" w:color="auto" w:fill="FFFFFF"/>
        </w:rPr>
        <w:t xml:space="preserve">Директива 2008/114/ЕО на Съвета от 8 декември 2008 г. относно установяването и означаването на европейски критични инфраструктури и оценката на необходимостта от подобряване на тяхната защита (ОВ L 345, 23.12.2008 г., стр. 75—82, ELI: </w:t>
      </w:r>
      <w:hyperlink r:id="rId3" w:tooltip="Дава достъп до този документ чрез неговия URI на ELI." w:history="1">
        <w:r>
          <w:rPr>
            <w:rStyle w:val="Hyperlink"/>
            <w:color w:val="337AB7"/>
            <w:shd w:val="clear" w:color="auto" w:fill="FFFFFF"/>
          </w:rPr>
          <w:t>https://eur-lex.europa.eu/eli/dir/2008/114/oj?locale=bg</w:t>
        </w:r>
      </w:hyperlink>
      <w:r>
        <w:t>)</w:t>
      </w:r>
    </w:p>
  </w:footnote>
  <w:footnote w:id="10">
    <w:p w14:paraId="115F376D" w14:textId="77777777" w:rsidR="0005717D" w:rsidRPr="003F005D" w:rsidRDefault="0005717D" w:rsidP="00253A9A">
      <w:pPr>
        <w:pStyle w:val="FootnoteText"/>
      </w:pPr>
      <w:r>
        <w:rPr>
          <w:rStyle w:val="FootnoteReference"/>
        </w:rPr>
        <w:footnoteRef/>
      </w:r>
      <w:r>
        <w:tab/>
        <w:t>Директива (ЕС) 2022/2557 на Европейския парламент и на Съвета от 14 декември 2022 г. за устойчивостта на критичните субекти и за отмяна на Директива 2008/114/ЕО на Съвета (ОВ L 333, 27.12.2022 г., стр. 164—198, ELI: </w:t>
      </w:r>
      <w:hyperlink r:id="rId4" w:tooltip="Дава достъп до този документ чрез неговия URI на ELI." w:history="1">
        <w:r>
          <w:rPr>
            <w:rStyle w:val="Hyperlink"/>
            <w:color w:val="337AB7"/>
            <w:shd w:val="clear" w:color="auto" w:fill="FFFFFF"/>
          </w:rPr>
          <w:t>https://eur-lex.europa.eu/eli/dir/2022/2557/oj?locale=bg</w:t>
        </w:r>
      </w:hyperlink>
      <w:r>
        <w:t>).</w:t>
      </w:r>
    </w:p>
  </w:footnote>
  <w:footnote w:id="11">
    <w:p w14:paraId="0CDE1D8D" w14:textId="77777777" w:rsidR="00FC1341" w:rsidRPr="0059544E" w:rsidRDefault="00FC1341" w:rsidP="00FC1341">
      <w:pPr>
        <w:pStyle w:val="FootnoteText"/>
      </w:pPr>
      <w:r>
        <w:rPr>
          <w:rStyle w:val="FootnoteReference"/>
        </w:rPr>
        <w:footnoteRef/>
      </w:r>
      <w:r>
        <w:tab/>
        <w:t xml:space="preserve">Директива (EС) 2016/1148 на Европейския парламент и на Съвета от 6 юли 2016 г. относно мерки за високо общо ниво на сигурност на мрежите и информационните системи в Съюза (ОВ L 194, 19.7.2016 г., стр. 1—30, </w:t>
      </w:r>
      <w:r>
        <w:rPr>
          <w:color w:val="333333"/>
          <w:shd w:val="clear" w:color="auto" w:fill="FFFFFF"/>
        </w:rPr>
        <w:t>ELI: </w:t>
      </w:r>
      <w:hyperlink r:id="rId5" w:tooltip="Дава достъп до този документ чрез неговия URI на ELI." w:history="1">
        <w:r>
          <w:rPr>
            <w:rStyle w:val="Hyperlink"/>
            <w:color w:val="337AB7"/>
            <w:shd w:val="clear" w:color="auto" w:fill="FFFFFF"/>
          </w:rPr>
          <w:t>https://eur-lex.europa.eu/eli/dir/2016/1148/oj?locale=bg</w:t>
        </w:r>
      </w:hyperlink>
      <w:r>
        <w:t>).</w:t>
      </w:r>
    </w:p>
  </w:footnote>
  <w:footnote w:id="12">
    <w:p w14:paraId="4020729B" w14:textId="77777777" w:rsidR="00FC1341" w:rsidRPr="0059544E" w:rsidRDefault="00FC1341" w:rsidP="00253A9A">
      <w:pPr>
        <w:pStyle w:val="FootnoteText"/>
        <w:rPr>
          <w:color w:val="333333"/>
        </w:rPr>
      </w:pPr>
      <w:r>
        <w:rPr>
          <w:rStyle w:val="FootnoteReference"/>
        </w:rPr>
        <w:footnoteRef/>
      </w:r>
      <w:r>
        <w:tab/>
        <w:t xml:space="preserve">Директива (ЕС) 2022/2555 на Европейския парламент и на Съвета от 14 декември 2022 г. относно мерки за високо общо ниво на киберсигурност в Съюза, за изменение на Регламент (ЕС) № 910/2014 и Директива (ЕС) 2018/1972 и за отмяна на Директива (ЕС) 2016/1148 (ОВ L 333, 27.12.2022 г., стр. 80—152, </w:t>
      </w:r>
      <w:r>
        <w:rPr>
          <w:color w:val="333333"/>
        </w:rPr>
        <w:t>ELI: </w:t>
      </w:r>
      <w:hyperlink r:id="rId6" w:tooltip="Дава достъп до този документ чрез неговия URI на ELI." w:history="1">
        <w:r>
          <w:rPr>
            <w:rStyle w:val="Hyperlink"/>
            <w:color w:val="337AB7"/>
          </w:rPr>
          <w:t>https://eur-lex.europa.eu/eli/dir/2022/2555/oj?locale=bg</w:t>
        </w:r>
      </w:hyperlink>
      <w:r>
        <w:t>).</w:t>
      </w:r>
    </w:p>
  </w:footnote>
  <w:footnote w:id="13">
    <w:p w14:paraId="37D9699E" w14:textId="77777777" w:rsidR="00FC1341" w:rsidRPr="000900A2" w:rsidRDefault="00FC1341" w:rsidP="00FC1341">
      <w:pPr>
        <w:pStyle w:val="FootnoteText"/>
      </w:pPr>
      <w:r>
        <w:rPr>
          <w:rStyle w:val="FootnoteReference"/>
        </w:rPr>
        <w:footnoteRef/>
      </w:r>
      <w:r>
        <w:tab/>
        <w:t xml:space="preserve">Създадена съгласно член 14 от </w:t>
      </w:r>
      <w:r>
        <w:rPr>
          <w:color w:val="333333"/>
          <w:shd w:val="clear" w:color="auto" w:fill="FFFFFF"/>
        </w:rPr>
        <w:t>Директива (EС) 2016/1148 на Европейския парламент и на Съвета от 6 юли 2016 г. относно мерки за високо общо ниво на сигурност на мрежите и информационните системи в Съюза (ОВ L 194, 19.7.2016 г., стр. 1—30,</w:t>
      </w:r>
      <w:r>
        <w:rPr>
          <w:i/>
          <w:color w:val="333333"/>
          <w:shd w:val="clear" w:color="auto" w:fill="FFFFFF"/>
        </w:rPr>
        <w:t xml:space="preserve"> </w:t>
      </w:r>
      <w:r>
        <w:rPr>
          <w:color w:val="333333"/>
          <w:shd w:val="clear" w:color="auto" w:fill="FFFFFF"/>
        </w:rPr>
        <w:t>ELI: </w:t>
      </w:r>
      <w:hyperlink r:id="rId7" w:tooltip="Дава достъп до този документ чрез неговия URI на ELI." w:history="1">
        <w:r>
          <w:rPr>
            <w:rStyle w:val="Hyperlink"/>
            <w:color w:val="337AB7"/>
          </w:rPr>
          <w:t>https://eur-lex.europa.eu/eli/dir/2016/1148/oj?locale=bg</w:t>
        </w:r>
      </w:hyperlink>
      <w:r>
        <w:t>)</w:t>
      </w:r>
    </w:p>
  </w:footnote>
  <w:footnote w:id="14">
    <w:p w14:paraId="2AB5ACEA" w14:textId="77777777" w:rsidR="00742B12" w:rsidRPr="00271A22" w:rsidRDefault="004B66F8" w:rsidP="00742B12">
      <w:pPr>
        <w:pStyle w:val="FootnoteText"/>
      </w:pPr>
      <w:r>
        <w:rPr>
          <w:rStyle w:val="FootnoteReference"/>
        </w:rPr>
        <w:footnoteRef/>
      </w:r>
      <w:r>
        <w:tab/>
        <w:t xml:space="preserve">Директива (ЕС) 2019/944 на Европейския парламент и на Съвета от 5 юни 2019 г. относно общите правила за вътрешния пазар на електроенергия и за изменение на Директива 2012/27/ЕС (ОВ L 158, 14.6.2019 г., стр. 125, ELI: </w:t>
      </w:r>
      <w:hyperlink r:id="rId8" w:history="1">
        <w:r>
          <w:rPr>
            <w:rStyle w:val="Hyperlink"/>
            <w:color w:val="337AB7"/>
            <w:shd w:val="clear" w:color="auto" w:fill="FFFFFF"/>
          </w:rPr>
          <w:t>https://eur-lex.europa.eu/eli/dir/2019/944/oj?locale=bg</w:t>
        </w:r>
      </w:hyperlink>
      <w:r>
        <w:t xml:space="preserve">) и Директива 2009/73/ЕО на Европейския парламент и на Съвета от 13 юли 2009 г. относно общите правила за вътрешния пазар на природен газ и за отмяна на Директива 2003/55/ЕО (ОВ L 211, 14.8.2009 г., стр. 94, </w:t>
      </w:r>
      <w:r>
        <w:rPr>
          <w:color w:val="333333"/>
          <w:shd w:val="clear" w:color="auto" w:fill="FFFFFF"/>
        </w:rPr>
        <w:t>ELI: </w:t>
      </w:r>
      <w:hyperlink r:id="rId9" w:tooltip="Дава достъп до този документ чрез неговия URI на ELI." w:history="1">
        <w:r>
          <w:rPr>
            <w:rStyle w:val="Hyperlink"/>
            <w:color w:val="337AB7"/>
            <w:shd w:val="clear" w:color="auto" w:fill="FFFFFF"/>
          </w:rPr>
          <w:t>https://eur-lex.europa.eu/eli/dir/2009/73/oj?locale=bg</w:t>
        </w:r>
      </w:hyperlink>
      <w:r>
        <w:t>).</w:t>
      </w:r>
    </w:p>
  </w:footnote>
  <w:footnote w:id="15">
    <w:p w14:paraId="16B750AC" w14:textId="77777777" w:rsidR="00A14709" w:rsidRPr="0059544E" w:rsidRDefault="00A14709" w:rsidP="00253A9A">
      <w:pPr>
        <w:pStyle w:val="FootnoteText"/>
        <w:rPr>
          <w:shd w:val="clear" w:color="auto" w:fill="FFFFFF"/>
        </w:rPr>
      </w:pPr>
      <w:r>
        <w:rPr>
          <w:rStyle w:val="FootnoteReference"/>
        </w:rPr>
        <w:footnoteRef/>
      </w:r>
      <w:r>
        <w:tab/>
      </w:r>
      <w:r>
        <w:rPr>
          <w:shd w:val="clear" w:color="auto" w:fill="FFFFFF"/>
        </w:rPr>
        <w:t xml:space="preserve">Регламент (ЕС) 2017/1938 на Европейския парламент и на Съвета от 25 октомври 2017 г. относно мерките за гарантиране на сигурността на доставките на газ и за отмяна на Регламент (ЕС) № 994/2010 (ОВ L 280, 28.10.2017 г., стр. 1—56, ELI: </w:t>
      </w:r>
      <w:hyperlink r:id="rId10" w:history="1">
        <w:r>
          <w:rPr>
            <w:rStyle w:val="Hyperlink"/>
            <w:color w:val="337AB7"/>
            <w:shd w:val="clear" w:color="auto" w:fill="FFFFFF"/>
          </w:rPr>
          <w:t>https://eur-lex.europa.eu/eli/reg/2017/1938/oj?locale=bg</w:t>
        </w:r>
      </w:hyperlink>
      <w:r>
        <w:rPr>
          <w:shd w:val="clear" w:color="auto" w:fill="FFFFFF"/>
        </w:rPr>
        <w:t>).</w:t>
      </w:r>
    </w:p>
  </w:footnote>
  <w:footnote w:id="16">
    <w:p w14:paraId="119E8ACA" w14:textId="77777777" w:rsidR="00A14709" w:rsidRPr="00271A22" w:rsidRDefault="00A14709" w:rsidP="00253A9A">
      <w:pPr>
        <w:pStyle w:val="FootnoteText"/>
        <w:rPr>
          <w:shd w:val="clear" w:color="auto" w:fill="FFFFFF"/>
        </w:rPr>
      </w:pPr>
      <w:r>
        <w:rPr>
          <w:rStyle w:val="FootnoteReference"/>
        </w:rPr>
        <w:footnoteRef/>
      </w:r>
      <w:r>
        <w:tab/>
      </w:r>
      <w:r>
        <w:rPr>
          <w:shd w:val="clear" w:color="auto" w:fill="FFFFFF"/>
        </w:rPr>
        <w:t xml:space="preserve">Регламент (ЕС) 2019/941 на Европейския парламент и на Съвета от 5 юни 2019 г. за готовност за справяне с рискове в електроенергийния сектор и за отмяна на Директива 2005/89/ЕО (ОВ L 158, 14.6.2019 г., стр. 1—21, </w:t>
      </w:r>
      <w:r>
        <w:rPr>
          <w:color w:val="333333"/>
        </w:rPr>
        <w:t>ELI: </w:t>
      </w:r>
      <w:hyperlink r:id="rId11" w:tooltip="Дава достъп до този документ чрез неговия URI на ELI." w:history="1">
        <w:r>
          <w:rPr>
            <w:rStyle w:val="Hyperlink"/>
            <w:color w:val="337AB7"/>
          </w:rPr>
          <w:t>https://eur-lex.europa.eu/eli/reg/2019/941/oj?locale=bg</w:t>
        </w:r>
      </w:hyperlink>
      <w:r>
        <w:rPr>
          <w:shd w:val="clear" w:color="auto" w:fill="FFFFFF"/>
        </w:rPr>
        <w:t>).</w:t>
      </w:r>
    </w:p>
  </w:footnote>
  <w:footnote w:id="17">
    <w:p w14:paraId="0A3F129F" w14:textId="77777777" w:rsidR="00A14709" w:rsidRPr="00271A22" w:rsidRDefault="00A14709" w:rsidP="00253A9A">
      <w:pPr>
        <w:pStyle w:val="FootnoteText"/>
        <w:rPr>
          <w:shd w:val="clear" w:color="auto" w:fill="FFFFFF"/>
        </w:rPr>
      </w:pPr>
      <w:r>
        <w:rPr>
          <w:rStyle w:val="FootnoteReference"/>
        </w:rPr>
        <w:footnoteRef/>
      </w:r>
      <w:r>
        <w:tab/>
      </w:r>
      <w:r>
        <w:rPr>
          <w:shd w:val="clear" w:color="auto" w:fill="FFFFFF"/>
        </w:rPr>
        <w:t xml:space="preserve">Регламент (ЕО) № 1008/2008 на Европейския парламент и на Съвета от 24 септември 2008 г. относно общите правила за извършване на въздухоплавателни услуги в Общността (преработен) (ОВ L 293, 31.10.2008 г., стр. 3—20, </w:t>
      </w:r>
      <w:hyperlink r:id="rId12" w:tooltip="Дава достъп до този документ чрез неговия URI на ELI." w:history="1">
        <w:r>
          <w:rPr>
            <w:rStyle w:val="Hyperlink"/>
            <w:color w:val="337AB7"/>
          </w:rPr>
          <w:t>https://eur-lex.europa.eu/eli/reg/2008/1008/oj?locale=bg</w:t>
        </w:r>
      </w:hyperlink>
      <w:r>
        <w:rPr>
          <w:shd w:val="clear" w:color="auto" w:fill="FFFFFF"/>
        </w:rPr>
        <w:t>).</w:t>
      </w:r>
    </w:p>
  </w:footnote>
  <w:footnote w:id="18">
    <w:p w14:paraId="30BA09D2" w14:textId="77777777" w:rsidR="005F053A" w:rsidRPr="004E6F4E" w:rsidRDefault="005F053A" w:rsidP="005F053A">
      <w:pPr>
        <w:pStyle w:val="FootnoteText"/>
      </w:pPr>
      <w:r>
        <w:rPr>
          <w:rStyle w:val="FootnoteReference"/>
        </w:rPr>
        <w:footnoteRef/>
      </w:r>
      <w:r>
        <w:tab/>
        <w:t xml:space="preserve">Съобщение на Комисията до Европейския парламент, Съвета, Европейската централна банка, Европейския икономически и социален комитет и Комитета на регионите „Европейската икономическа и финансова система: насърчаване на откритостта, силата и устойчивостта“ COM/2021/32 final. </w:t>
      </w:r>
    </w:p>
  </w:footnote>
  <w:footnote w:id="19">
    <w:p w14:paraId="6C178FA2" w14:textId="77777777" w:rsidR="00A14709" w:rsidRPr="009E22BB" w:rsidRDefault="00A14709" w:rsidP="00253A9A">
      <w:pPr>
        <w:pStyle w:val="FootnoteText"/>
      </w:pPr>
      <w:r>
        <w:rPr>
          <w:rStyle w:val="FootnoteReference"/>
        </w:rPr>
        <w:footnoteRef/>
      </w:r>
      <w:r>
        <w:tab/>
      </w:r>
      <w:r>
        <w:rPr>
          <w:shd w:val="clear" w:color="auto" w:fill="FFFFFF"/>
        </w:rPr>
        <w:t>Регламент (ЕС) 2021/821 на Европейския парламент и на Съвета от 20 май 2021 г. за въвеждане на режим на Съюза за контрол на износа, брокерската дейност, техническата помощ, транзита и трансфера на изделия с двойна употреба (преработен текст) (</w:t>
      </w:r>
      <w:r>
        <w:rPr>
          <w:color w:val="333333"/>
          <w:shd w:val="clear" w:color="auto" w:fill="FFFFFF"/>
        </w:rPr>
        <w:t xml:space="preserve">ОВ L 206, 11.6.2021 г., стр. 1—461, ELI: </w:t>
      </w:r>
      <w:hyperlink r:id="rId13" w:tooltip="Дава достъп до този документ чрез неговия URI на ELI." w:history="1">
        <w:r>
          <w:rPr>
            <w:rStyle w:val="Hyperlink"/>
            <w:color w:val="337AB7"/>
            <w:shd w:val="clear" w:color="auto" w:fill="FFFFFF"/>
          </w:rPr>
          <w:t>https://eur-lex.europa.eu/eli/reg/2021/821/oj?locale=bg</w:t>
        </w:r>
      </w:hyperlink>
      <w:r>
        <w:t>)</w:t>
      </w:r>
      <w:r>
        <w:rPr>
          <w:shd w:val="clear" w:color="auto" w:fill="FFFFFF"/>
        </w:rPr>
        <w:t>.</w:t>
      </w:r>
    </w:p>
  </w:footnote>
  <w:footnote w:id="20">
    <w:p w14:paraId="5EEE2B97" w14:textId="77777777" w:rsidR="00A14709" w:rsidRPr="009E22BB" w:rsidRDefault="00A14709" w:rsidP="00253A9A">
      <w:pPr>
        <w:pStyle w:val="FootnoteText"/>
      </w:pPr>
      <w:r>
        <w:rPr>
          <w:rStyle w:val="FootnoteReference"/>
        </w:rPr>
        <w:footnoteRef/>
      </w:r>
      <w:r>
        <w:tab/>
      </w:r>
      <w:r>
        <w:rPr>
          <w:color w:val="333333"/>
          <w:shd w:val="clear" w:color="auto" w:fill="FFFFFF"/>
        </w:rPr>
        <w:t>Регламент (ЕС) 2023/2675 на Европейския парламент и на Съвета от 22 ноември 2023 г. относно защитата на Съюза и неговите държави членки от икономическа принуда от страна на трети държави (ОВ L, 2023/2675, 7.12.2023 г., ELI: </w:t>
      </w:r>
      <w:hyperlink r:id="rId14" w:tooltip="Предоставя достъп до този документ чрез неговия унифициран идентификатор на ресурс (URI) на европейския идентификатор на законодателството (ELI)." w:history="1">
        <w:r>
          <w:rPr>
            <w:rStyle w:val="Hyperlink"/>
            <w:color w:val="337AB7"/>
            <w:shd w:val="clear" w:color="auto" w:fill="FFFFFF"/>
          </w:rPr>
          <w:t>https://eur-lex.europa.eu/eli/reg/2023/2675/oj?locale=bg</w:t>
        </w:r>
      </w:hyperlink>
      <w:r>
        <w:rPr>
          <w:color w:val="333333"/>
          <w:shd w:val="clear" w:color="auto" w:fill="FFFFFF"/>
        </w:rPr>
        <w:t xml:space="preserve">). </w:t>
      </w:r>
    </w:p>
  </w:footnote>
  <w:footnote w:id="21">
    <w:p w14:paraId="720B35DD" w14:textId="77777777" w:rsidR="00A14709" w:rsidRPr="00E22B9B" w:rsidRDefault="00A14709" w:rsidP="00253A9A">
      <w:pPr>
        <w:pStyle w:val="FootnoteText"/>
      </w:pPr>
      <w:r>
        <w:rPr>
          <w:rStyle w:val="FootnoteReference"/>
        </w:rPr>
        <w:footnoteRef/>
      </w:r>
      <w:r>
        <w:tab/>
        <w:t>Държавите членки, които изключват важни области от прилагането на своите механизми за скрининг — включително чрез тясно определяне на техния секторен обхват или освобождавания за инвеститори, свързани с определени юрисдикции извън ЕС — разполагат с ограничени средства за ефективно управление на рисковете, свързани с чуждестранните инвестиции в ЕС.</w:t>
      </w:r>
    </w:p>
  </w:footnote>
  <w:footnote w:id="22">
    <w:p w14:paraId="331E62B6" w14:textId="77777777" w:rsidR="00A14709" w:rsidRPr="00E22B9B" w:rsidRDefault="00A14709" w:rsidP="00253A9A">
      <w:pPr>
        <w:pStyle w:val="FootnoteText"/>
      </w:pPr>
      <w:r>
        <w:rPr>
          <w:rStyle w:val="FootnoteReference"/>
        </w:rPr>
        <w:footnoteRef/>
      </w:r>
      <w:r>
        <w:tab/>
        <w:t xml:space="preserve">Обобщеният доклад от целевата консултация е на разположение на уебсайта на Комисията: </w:t>
      </w:r>
      <w:hyperlink r:id="rId15" w:history="1">
        <w:r>
          <w:rPr>
            <w:rStyle w:val="Hyperlink"/>
            <w:color w:val="0070C0"/>
          </w:rPr>
          <w:t>https://policy.trade.ec.europa.eu/consultations/screening-foreign-direct-investments-fdi-evaluation-and-possible-revision-current-eu-framework_en?prefLang=bg</w:t>
        </w:r>
      </w:hyperlink>
      <w:r>
        <w:t>.</w:t>
      </w:r>
    </w:p>
  </w:footnote>
  <w:footnote w:id="23">
    <w:p w14:paraId="2FBDAAAC" w14:textId="77777777" w:rsidR="00A14709" w:rsidRPr="00E22B9B" w:rsidRDefault="00A14709" w:rsidP="00253A9A">
      <w:pPr>
        <w:pStyle w:val="FootnoteText"/>
      </w:pPr>
      <w:r>
        <w:rPr>
          <w:rStyle w:val="FootnoteReference"/>
        </w:rPr>
        <w:footnoteRef/>
      </w:r>
      <w:r>
        <w:tab/>
        <w:t xml:space="preserve">Отговорите на поканата за предоставяне на данни са на разположение на уебсайта на Комисията: </w:t>
      </w:r>
      <w:hyperlink r:id="rId16" w:history="1">
        <w:r>
          <w:rPr>
            <w:rStyle w:val="Hyperlink"/>
            <w:color w:val="0070C0"/>
          </w:rPr>
          <w:t>https://ec.europa.eu/info/law/better-regulation/have-your-say/initiatives/13739-Screening-of-foreign-direct-investments-FDI-evaluation-and-revision-of-the-EU-framework/feedback_bg?p_id=321865700</w:t>
        </w:r>
      </w:hyperlink>
      <w:r>
        <w:t>.</w:t>
      </w:r>
    </w:p>
  </w:footnote>
  <w:footnote w:id="24">
    <w:p w14:paraId="1A495810" w14:textId="77777777" w:rsidR="00A14709" w:rsidRPr="00E22B9B" w:rsidRDefault="00A14709" w:rsidP="00253A9A">
      <w:pPr>
        <w:pStyle w:val="FootnoteText"/>
      </w:pPr>
      <w:r>
        <w:rPr>
          <w:rStyle w:val="FootnoteReference"/>
        </w:rPr>
        <w:footnoteRef/>
      </w:r>
      <w:r>
        <w:tab/>
        <w:t xml:space="preserve">Проучването беше публикувано през ноември 2022 г.: </w:t>
      </w:r>
      <w:hyperlink r:id="rId17" w:history="1">
        <w:r>
          <w:rPr>
            <w:rStyle w:val="Hyperlink"/>
            <w:color w:val="0070C0"/>
          </w:rPr>
          <w:t>https://www.oecd.org/investment/investment-policy/oecd-eu-fdi-screening-assessment.pdf</w:t>
        </w:r>
      </w:hyperlink>
      <w:r>
        <w:t>.</w:t>
      </w:r>
    </w:p>
  </w:footnote>
  <w:footnote w:id="25">
    <w:p w14:paraId="0AC40D8C" w14:textId="77777777" w:rsidR="00A14709" w:rsidRPr="00E22B9B" w:rsidRDefault="00A14709" w:rsidP="00253A9A">
      <w:pPr>
        <w:pStyle w:val="FootnoteText"/>
      </w:pPr>
      <w:r>
        <w:rPr>
          <w:rStyle w:val="FootnoteReference"/>
        </w:rPr>
        <w:footnoteRef/>
      </w:r>
      <w:r>
        <w:tab/>
        <w:t>Инструментариум за по-добро регулиране за 2023 г., Инструмент № 7.</w:t>
      </w:r>
    </w:p>
  </w:footnote>
  <w:footnote w:id="26">
    <w:p w14:paraId="1E485C06" w14:textId="77777777" w:rsidR="00A14709" w:rsidRPr="00E22B9B" w:rsidRDefault="00A14709" w:rsidP="00253A9A">
      <w:pPr>
        <w:pStyle w:val="FootnoteText"/>
      </w:pPr>
      <w:r>
        <w:rPr>
          <w:rStyle w:val="FootnoteReference"/>
        </w:rPr>
        <w:footnoteRef/>
      </w:r>
      <w:r>
        <w:tab/>
        <w:t xml:space="preserve">COM(2022) 548 final: </w:t>
      </w:r>
      <w:hyperlink r:id="rId18" w:history="1">
        <w:r>
          <w:rPr>
            <w:rStyle w:val="Hyperlink"/>
            <w:color w:val="0070C0"/>
          </w:rPr>
          <w:t>https://eur-lex.europa.eu/resource.html?uri=cellar:413d324d-4fc3-11ed-92ed-01aa75ed71a1.0005.02/DOC_1&amp;format=PDF</w:t>
        </w:r>
      </w:hyperlink>
    </w:p>
  </w:footnote>
  <w:footnote w:id="27">
    <w:p w14:paraId="58FF1371" w14:textId="77777777" w:rsidR="00F67093" w:rsidRPr="0083607C" w:rsidRDefault="00F67093" w:rsidP="00774854">
      <w:pPr>
        <w:pStyle w:val="FootnoteText"/>
      </w:pPr>
      <w:r>
        <w:rPr>
          <w:rStyle w:val="FootnoteReference"/>
        </w:rPr>
        <w:footnoteRef/>
      </w:r>
      <w:r>
        <w:tab/>
        <w:t>ОВ C , г., стр.  .</w:t>
      </w:r>
    </w:p>
  </w:footnote>
  <w:footnote w:id="28">
    <w:p w14:paraId="4C99B7E8" w14:textId="77777777" w:rsidR="00F67093" w:rsidRPr="0083607C" w:rsidRDefault="00F67093" w:rsidP="00774854">
      <w:pPr>
        <w:pStyle w:val="FootnoteText"/>
      </w:pPr>
      <w:r>
        <w:rPr>
          <w:rStyle w:val="FootnoteReference"/>
        </w:rPr>
        <w:footnoteRef/>
      </w:r>
      <w:r>
        <w:tab/>
        <w:t>ОВ C , г., стр.  .</w:t>
      </w:r>
    </w:p>
  </w:footnote>
  <w:footnote w:id="29">
    <w:p w14:paraId="403121AA" w14:textId="77777777" w:rsidR="00A339DA" w:rsidRPr="0037548D" w:rsidRDefault="00A339DA">
      <w:pPr>
        <w:pStyle w:val="FootnoteText"/>
      </w:pPr>
      <w:r>
        <w:rPr>
          <w:rStyle w:val="FootnoteReference"/>
        </w:rPr>
        <w:footnoteRef/>
      </w:r>
      <w:r>
        <w:tab/>
      </w:r>
      <w:r>
        <w:rPr>
          <w:color w:val="333333"/>
          <w:shd w:val="clear" w:color="auto" w:fill="FFFFFF"/>
        </w:rPr>
        <w:t xml:space="preserve">Регламент (ЕС) 2018/1725 на Европейския парламент и на Съвета от 23 октомври 2018 г. относно защитата на физическите лица във връзка с обработването на лични данни от институциите, органите, службите и агенциите на Съюза и относно свободното движение на такива данни и за отмяна на Регламент (ЕО) № 45/2001 и Решение № 1247/2002/ЕО (ОВ L 295, 21.11.2018 г., стр. 39—98 , ELI: </w:t>
      </w:r>
      <w:hyperlink r:id="rId19" w:tooltip="Дава достъп до този документ чрез неговия URI на ELI." w:history="1">
        <w:r>
          <w:rPr>
            <w:rStyle w:val="Hyperlink"/>
            <w:color w:val="337AB7"/>
            <w:shd w:val="clear" w:color="auto" w:fill="FFFFFF"/>
          </w:rPr>
          <w:t>https://eur-lex.europa.eu/eli/reg/2018/1725/oj?locale=bg</w:t>
        </w:r>
      </w:hyperlink>
      <w:r>
        <w:t>)</w:t>
      </w:r>
      <w:r>
        <w:rPr>
          <w:color w:val="333333"/>
          <w:shd w:val="clear" w:color="auto" w:fill="FFFFFF"/>
        </w:rPr>
        <w:t xml:space="preserve"> </w:t>
      </w:r>
    </w:p>
  </w:footnote>
  <w:footnote w:id="30">
    <w:p w14:paraId="37E53D31" w14:textId="77777777" w:rsidR="008553CB" w:rsidRPr="0083607C" w:rsidRDefault="008553CB">
      <w:pPr>
        <w:pStyle w:val="FootnoteText"/>
      </w:pPr>
      <w:r>
        <w:rPr>
          <w:rStyle w:val="FootnoteReference"/>
        </w:rPr>
        <w:footnoteRef/>
      </w:r>
      <w:r>
        <w:tab/>
      </w:r>
      <w:bookmarkStart w:id="4" w:name="_Hlk155856705"/>
      <w:r>
        <w:t xml:space="preserve">Регламент (ЕС) 2019/452 на Европейския парламент и на Съвета от 19 март 2019 г. за създаване на рамка за скрининг на преки чуждестранни инвестиции в Съюза </w:t>
      </w:r>
      <w:bookmarkEnd w:id="4"/>
      <w:r>
        <w:t xml:space="preserve">(ОВ L 79I, 21.3.2019 г., стр. 1, ELI: </w:t>
      </w:r>
      <w:hyperlink r:id="rId20" w:history="1">
        <w:r>
          <w:rPr>
            <w:rStyle w:val="Hyperlink"/>
            <w:color w:val="337AB7"/>
            <w:shd w:val="clear" w:color="auto" w:fill="FFFFFF"/>
          </w:rPr>
          <w:t>https://eur-lex.europa.eu/eli/reg/2019/452/oj?locale=bg</w:t>
        </w:r>
      </w:hyperlink>
      <w:r>
        <w:t>).</w:t>
      </w:r>
    </w:p>
  </w:footnote>
  <w:footnote w:id="31">
    <w:p w14:paraId="706950BF" w14:textId="77777777" w:rsidR="003710BE" w:rsidRPr="003710BE" w:rsidRDefault="003710BE" w:rsidP="00253A9A">
      <w:pPr>
        <w:pStyle w:val="FootnoteText"/>
      </w:pPr>
      <w:r>
        <w:rPr>
          <w:rStyle w:val="FootnoteReference"/>
        </w:rPr>
        <w:footnoteRef/>
      </w:r>
      <w:r>
        <w:tab/>
        <w:t xml:space="preserve">Регламент (ЕО) № 1049/2001 на Европейския парламент и на Съвета от 30 май 2001 г. относно публичния достъп до документи на Европейския парламент, Съвета и Комисията (ОВ L 145, 31.5.2001 г., стр. 43—48, ELI: </w:t>
      </w:r>
      <w:hyperlink r:id="rId21" w:history="1">
        <w:r>
          <w:rPr>
            <w:rStyle w:val="Hyperlink"/>
            <w:color w:val="337AB7"/>
            <w:shd w:val="clear" w:color="auto" w:fill="FFFFFF"/>
          </w:rPr>
          <w:t>https://eur-lex.europa.eu/eli/reg/2001/1049/oj?locale=bg</w:t>
        </w:r>
      </w:hyperlink>
      <w:r>
        <w:rPr>
          <w:shd w:val="clear" w:color="auto" w:fill="FFFFFF"/>
        </w:rPr>
        <w:t>).</w:t>
      </w:r>
    </w:p>
  </w:footnote>
  <w:footnote w:id="32">
    <w:p w14:paraId="134BA853" w14:textId="77777777" w:rsidR="0079558A" w:rsidRPr="0083607C" w:rsidRDefault="0079558A">
      <w:pPr>
        <w:pStyle w:val="FootnoteText"/>
      </w:pPr>
      <w:r>
        <w:rPr>
          <w:rStyle w:val="FootnoteReference"/>
        </w:rPr>
        <w:footnoteRef/>
      </w:r>
      <w:r>
        <w:tab/>
        <w:t xml:space="preserve">Решение (ЕС, Евратом) 2015/443 на Комисията от 13 март 2015 г. относно сигурността в Комисията (ОВ L 72, 17.3.2015 г., стр. 41, ELI: </w:t>
      </w:r>
      <w:hyperlink r:id="rId22" w:history="1">
        <w:r>
          <w:rPr>
            <w:rStyle w:val="Hyperlink"/>
            <w:color w:val="337AB7"/>
            <w:shd w:val="clear" w:color="auto" w:fill="FFFFFF"/>
          </w:rPr>
          <w:t>https://eur-lex.europa.eu/eli/dec/2015/443/oj?locale=bg</w:t>
        </w:r>
      </w:hyperlink>
      <w:r>
        <w:t>).</w:t>
      </w:r>
    </w:p>
  </w:footnote>
  <w:footnote w:id="33">
    <w:p w14:paraId="58853238" w14:textId="77777777" w:rsidR="0079558A" w:rsidRPr="0083607C" w:rsidRDefault="0079558A">
      <w:pPr>
        <w:pStyle w:val="FootnoteText"/>
      </w:pPr>
      <w:r>
        <w:rPr>
          <w:rStyle w:val="FootnoteReference"/>
        </w:rPr>
        <w:footnoteRef/>
      </w:r>
      <w:r>
        <w:tab/>
        <w:t xml:space="preserve">Решение (ЕС, Евратом) 2015/444 на Комисията от 13 март 2015 г. относно правилата за сигурност за защита на класифицираната информация на EC (ОВ L 72, 17.3.2015 г., стр. 53, ELI: </w:t>
      </w:r>
      <w:hyperlink r:id="rId23" w:history="1">
        <w:r>
          <w:rPr>
            <w:rStyle w:val="Hyperlink"/>
            <w:color w:val="337AB7"/>
            <w:shd w:val="clear" w:color="auto" w:fill="FFFFFF"/>
          </w:rPr>
          <w:t>https://eur-lex.europa.eu/eli/dec/2015/444/oj?locale=bg</w:t>
        </w:r>
      </w:hyperlink>
      <w:r>
        <w:t>).</w:t>
      </w:r>
    </w:p>
  </w:footnote>
  <w:footnote w:id="34">
    <w:p w14:paraId="08E485C8" w14:textId="77777777" w:rsidR="0079558A" w:rsidRPr="0083607C" w:rsidRDefault="0079558A">
      <w:pPr>
        <w:pStyle w:val="FootnoteText"/>
      </w:pPr>
      <w:r>
        <w:rPr>
          <w:rStyle w:val="FootnoteReference"/>
        </w:rPr>
        <w:footnoteRef/>
      </w:r>
      <w:r>
        <w:tab/>
        <w:t>Споразумение между държавите членки на Европейския съюз, заседаващи в рамките на Съвета, относно защитата на класифицирана информация, която се обменя в интерес на Европейския съюз (ОВ C 202, 8.7.2011 г., стр. 13).</w:t>
      </w:r>
    </w:p>
  </w:footnote>
  <w:footnote w:id="35">
    <w:p w14:paraId="41ED11AA" w14:textId="77777777" w:rsidR="0079558A" w:rsidRPr="0083607C" w:rsidRDefault="0079558A">
      <w:pPr>
        <w:pStyle w:val="FootnoteText"/>
      </w:pPr>
      <w:r>
        <w:rPr>
          <w:rStyle w:val="FootnoteReference"/>
        </w:rPr>
        <w:footnoteRef/>
      </w:r>
      <w:r>
        <w:tab/>
        <w:t xml:space="preserve">Регламент (ЕС) 2016/679 на Европейския парламент и на Съвета от 27 април 2016 г.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(ОВ L 119, 4.5.2016 г., стр. 1, ELI: </w:t>
      </w:r>
      <w:hyperlink r:id="rId24" w:history="1">
        <w:r>
          <w:rPr>
            <w:rStyle w:val="Hyperlink"/>
            <w:color w:val="337AB7"/>
            <w:shd w:val="clear" w:color="auto" w:fill="FFFFFF"/>
          </w:rPr>
          <w:t>https://eur-lex.europa.eu/eli/reg/2016/679/oj?locale=bg</w:t>
        </w:r>
      </w:hyperlink>
      <w:r>
        <w:t>).</w:t>
      </w:r>
    </w:p>
  </w:footnote>
  <w:footnote w:id="36">
    <w:p w14:paraId="3ECB6F97" w14:textId="77777777" w:rsidR="0079558A" w:rsidRPr="0083607C" w:rsidRDefault="0079558A">
      <w:pPr>
        <w:pStyle w:val="FootnoteText"/>
      </w:pPr>
      <w:r>
        <w:rPr>
          <w:rStyle w:val="FootnoteReference"/>
        </w:rPr>
        <w:footnoteRef/>
      </w:r>
      <w:r>
        <w:tab/>
        <w:t xml:space="preserve">Регламент (ЕС) 2018/1725 на Европейския парламент и на Съвета от 23 октомври 2018 г. относно защитата на физическите лица във връзка с обработването на лични данни от институциите, органите, службите и агенциите на Съюза и относно свободното движение на такива данни и за отмяна на Регламент (ЕО) № 45/2001 и Решение № 1247/2002/ЕО (ОВ L 295, 21.11.2018 г., стр. 39, ELI: </w:t>
      </w:r>
      <w:hyperlink r:id="rId25" w:history="1">
        <w:r>
          <w:rPr>
            <w:rStyle w:val="Hyperlink"/>
            <w:color w:val="337AB7"/>
            <w:shd w:val="clear" w:color="auto" w:fill="FFFFFF"/>
          </w:rPr>
          <w:t>https://eur-lex.europa.eu/eli/reg/2018/1725/oj?locale=bg</w:t>
        </w:r>
      </w:hyperlink>
      <w:r>
        <w:t>).</w:t>
      </w:r>
    </w:p>
  </w:footnote>
  <w:footnote w:id="37">
    <w:p w14:paraId="1D84BC9D" w14:textId="77777777" w:rsidR="00413BCD" w:rsidRPr="0083607C" w:rsidRDefault="00413BCD" w:rsidP="00680062">
      <w:pPr>
        <w:pStyle w:val="FootnoteText"/>
      </w:pPr>
      <w:r>
        <w:rPr>
          <w:rStyle w:val="FootnoteReference"/>
        </w:rPr>
        <w:footnoteRef/>
      </w:r>
      <w:r>
        <w:tab/>
        <w:t>Решение на Съвета от 22 декември 1994 г. относно сключването от името на Европейската общност, що се отнася до въпроси от нейната компетентност, на споразуменията, постигнати на Уругвайския кръг на многостранните преговори (1986—1994 г.) (ОВ L 336, 23.12.1994 г., стр. 1).</w:t>
      </w:r>
    </w:p>
  </w:footnote>
  <w:footnote w:id="38">
    <w:p w14:paraId="084494D3" w14:textId="77777777" w:rsidR="00680062" w:rsidRPr="0083607C" w:rsidRDefault="00680062">
      <w:pPr>
        <w:pStyle w:val="FootnoteText"/>
      </w:pPr>
      <w:r>
        <w:rPr>
          <w:rStyle w:val="FootnoteReference"/>
        </w:rPr>
        <w:footnoteRef/>
      </w:r>
      <w:r>
        <w:tab/>
        <w:t xml:space="preserve">Регламент (ЕО) № 139/2004 на Съвета от 20 януари 2004 г. относно контрола върху концентрациите между предприятия (ОВ L 24, 29.1.2004 г., стр. 1, ELI: </w:t>
      </w:r>
      <w:hyperlink r:id="rId26" w:history="1">
        <w:r>
          <w:rPr>
            <w:rStyle w:val="Hyperlink"/>
            <w:color w:val="337AB7"/>
            <w:shd w:val="clear" w:color="auto" w:fill="FFFFFF"/>
          </w:rPr>
          <w:t>https://eur-lex.europa.eu/eli/reg/2004/139/oj?locale=bg</w:t>
        </w:r>
      </w:hyperlink>
      <w:r>
        <w:t>).</w:t>
      </w:r>
    </w:p>
  </w:footnote>
  <w:footnote w:id="39">
    <w:p w14:paraId="4A0E288F" w14:textId="77777777" w:rsidR="00D7554E" w:rsidRPr="0083607C" w:rsidRDefault="00D7554E">
      <w:pPr>
        <w:pStyle w:val="FootnoteText"/>
      </w:pPr>
      <w:r>
        <w:rPr>
          <w:rStyle w:val="FootnoteReference"/>
        </w:rPr>
        <w:footnoteRef/>
      </w:r>
      <w:r>
        <w:tab/>
        <w:t xml:space="preserve">Директива 2009/138/ЕО на Европейския парламент и на Съвета от 25 ноември 2009 г. относно започването и упражняването на застрахователна и презастрахователна дейност (Платежоспособност II) (ОВ L 335, 17.12.2009 г., стр. 1, ELI: </w:t>
      </w:r>
      <w:hyperlink r:id="rId27" w:history="1">
        <w:r>
          <w:rPr>
            <w:rStyle w:val="Hyperlink"/>
            <w:color w:val="337AB7"/>
            <w:shd w:val="clear" w:color="auto" w:fill="FFFFFF"/>
          </w:rPr>
          <w:t>https://eur-lex.europa.eu/eli/dir/2009/138/oj?locale=bg</w:t>
        </w:r>
      </w:hyperlink>
      <w:r>
        <w:t>).</w:t>
      </w:r>
    </w:p>
  </w:footnote>
  <w:footnote w:id="40">
    <w:p w14:paraId="1C36E1D9" w14:textId="77777777" w:rsidR="00B5696C" w:rsidRPr="0083607C" w:rsidRDefault="00B5696C">
      <w:pPr>
        <w:pStyle w:val="FootnoteText"/>
      </w:pPr>
      <w:r>
        <w:rPr>
          <w:rStyle w:val="FootnoteReference"/>
        </w:rPr>
        <w:footnoteRef/>
      </w:r>
      <w:r>
        <w:tab/>
        <w:t xml:space="preserve">Директива 2013/36/ЕС на Европейския парламент и на Съвета от 26 юни 2013 г. относно достъпа до осъществяването на дейност от кредитните институции и относно пруденциалния надзор върху кредитните институции и инвестиционните посредници, за изменение на Директива 2002/87/ЕО и за отмяна на директиви 2006/48/ЕО и 2006/49/ЕО (ОВ L 176, 27.6.2013 г., стр. 338, ELI: </w:t>
      </w:r>
      <w:hyperlink r:id="rId28" w:history="1">
        <w:r>
          <w:rPr>
            <w:rStyle w:val="Hyperlink"/>
            <w:color w:val="337AB7"/>
            <w:shd w:val="clear" w:color="auto" w:fill="FFFFFF"/>
          </w:rPr>
          <w:t>https://eur-lex.europa.eu/eli/dir/2013/36/oj?locale=bg</w:t>
        </w:r>
      </w:hyperlink>
      <w:r>
        <w:t>).</w:t>
      </w:r>
    </w:p>
  </w:footnote>
  <w:footnote w:id="41">
    <w:p w14:paraId="00830AE4" w14:textId="77777777" w:rsidR="00B5696C" w:rsidRPr="0083607C" w:rsidRDefault="00B5696C">
      <w:pPr>
        <w:pStyle w:val="FootnoteText"/>
      </w:pPr>
      <w:r>
        <w:rPr>
          <w:rStyle w:val="FootnoteReference"/>
        </w:rPr>
        <w:footnoteRef/>
      </w:r>
      <w:r>
        <w:tab/>
        <w:t xml:space="preserve">Директива 2014/65/ЕС на Европейския парламент и на Съвета от 15 май 2014 г. относно пазарите на финансови инструменти и за изменение на Директива 2002/92/ЕО и на Директива 2011/61/ЕС (ОВ L 173, 12.6.2014 г., стр. 349, ELI: </w:t>
      </w:r>
      <w:hyperlink r:id="rId29" w:history="1">
        <w:r>
          <w:rPr>
            <w:rStyle w:val="Hyperlink"/>
            <w:color w:val="337AB7"/>
            <w:shd w:val="clear" w:color="auto" w:fill="FFFFFF"/>
          </w:rPr>
          <w:t>https://eur-lex.europa.eu/eli/dir/2014/65/oj?locale=bg</w:t>
        </w:r>
      </w:hyperlink>
    </w:p>
  </w:footnote>
  <w:footnote w:id="42">
    <w:p w14:paraId="3E458420" w14:textId="77777777" w:rsidR="00A97F97" w:rsidRPr="0083607C" w:rsidRDefault="00A97F97">
      <w:pPr>
        <w:pStyle w:val="FootnoteText"/>
      </w:pPr>
      <w:r>
        <w:rPr>
          <w:rStyle w:val="FootnoteReference"/>
        </w:rPr>
        <w:footnoteRef/>
      </w:r>
      <w:r>
        <w:tab/>
        <w:t>ОВ L 123, 12.5.2016 г., стр. 1.</w:t>
      </w:r>
    </w:p>
  </w:footnote>
  <w:footnote w:id="43">
    <w:p w14:paraId="0BEA9B6B" w14:textId="77777777" w:rsidR="006A5C0F" w:rsidRPr="0083607C" w:rsidRDefault="006A5C0F">
      <w:pPr>
        <w:pStyle w:val="FootnoteText"/>
      </w:pPr>
      <w:r>
        <w:rPr>
          <w:rStyle w:val="FootnoteReference"/>
        </w:rPr>
        <w:footnoteRef/>
      </w:r>
      <w:r>
        <w:tab/>
        <w:t xml:space="preserve">Регламент (ЕС) № 182/2011 на Европейския парламент и на Съвета от 16 февруари 2011 г. за установяване на общите правила и принципи относно реда и условията за контрол от страна на държавите членки върху упражняването на изпълнителните правомощия от страна на Комисията (ОВ L 55, 28.2.2011 г., стр. 13, ELI: </w:t>
      </w:r>
      <w:hyperlink r:id="rId30" w:history="1">
        <w:r>
          <w:rPr>
            <w:rStyle w:val="Hyperlink"/>
            <w:color w:val="337AB7"/>
            <w:shd w:val="clear" w:color="auto" w:fill="FFFFFF"/>
          </w:rPr>
          <w:t>https://eur-lex.europa.eu/eli/reg/2011/182/oj?locale=bg</w:t>
        </w:r>
      </w:hyperlink>
      <w:r>
        <w:t>).</w:t>
      </w:r>
    </w:p>
  </w:footnote>
  <w:footnote w:id="44">
    <w:p w14:paraId="42590401" w14:textId="77777777" w:rsidR="002A2709" w:rsidRPr="009E109C" w:rsidRDefault="002A2709" w:rsidP="002A2709">
      <w:pPr>
        <w:pStyle w:val="FootnoteText"/>
      </w:pPr>
      <w:r>
        <w:rPr>
          <w:rStyle w:val="FootnoteReference"/>
        </w:rPr>
        <w:footnoteRef/>
      </w:r>
      <w:r>
        <w:tab/>
        <w:t>Директива 2013/34/ЕС на Европейския парламент и на Съвета от 26 юни 2013 г. относно годишните финансови отчети, консолидираните финансови отчети и свързаните доклади на някои видове предприятия и за изменение на Директива 2006/43/ЕО на Европейския парламент и на Съвета и за отмяна на Директиви 78/660/ЕИО и 83/349/ЕИО на Съвета (</w:t>
      </w:r>
      <w:r>
        <w:rPr>
          <w:i/>
        </w:rPr>
        <w:t>ОВ L 182, 29.6.2013 г., стр. 19—76, ELI:</w:t>
      </w:r>
      <w:r>
        <w:t xml:space="preserve"> </w:t>
      </w:r>
      <w:hyperlink r:id="rId31" w:tooltip="Дава достъп до този документ чрез неговия URI на ELI." w:history="1">
        <w:r>
          <w:rPr>
            <w:rStyle w:val="Hyperlink"/>
            <w:color w:val="337AB7"/>
            <w:shd w:val="clear" w:color="auto" w:fill="FFFFFF"/>
          </w:rPr>
          <w:t>https://eur-lex.europa.eu/eli/dir/2013/34/oj?locale=bg</w:t>
        </w:r>
      </w:hyperlink>
      <w:r>
        <w:t>).</w:t>
      </w:r>
    </w:p>
  </w:footnote>
  <w:footnote w:id="45">
    <w:p w14:paraId="6BFB73AD" w14:textId="77777777" w:rsidR="00F20ABE" w:rsidRPr="00A0142C" w:rsidRDefault="00F20ABE" w:rsidP="00F20ABE">
      <w:pPr>
        <w:pStyle w:val="FootnoteText"/>
      </w:pPr>
      <w:r>
        <w:rPr>
          <w:rStyle w:val="FootnoteReference"/>
        </w:rPr>
        <w:footnoteRef/>
      </w:r>
      <w:r>
        <w:tab/>
      </w:r>
      <w:r>
        <w:rPr>
          <w:color w:val="333333"/>
          <w:shd w:val="clear" w:color="auto" w:fill="FFFFFF"/>
        </w:rPr>
        <w:t xml:space="preserve">Регламент (ЕС, Евратом) 2018/1046 на Европейския парламент и на Съвета от 18 юли 2018 г. за финансовите правила, приложими за общия бюджет на Съюза, за изменение на регламенти (ЕС) № 1296/2013, (ЕС) № 1301/2013, (ЕС) № 1303/2013, (ЕС) № 1304/2013, (ЕС) № 1309/2013, (ЕС) № 1316/2013, (ЕС) № 223/2014 и (ЕС) № 283/2014 и на Решение № 541/2014/ЕС и за отмяна на Регламент (ЕС, Евратом) № 966/2012 (ОВ L 193, 30.7.2018 г., стр. 1—222, ELI: </w:t>
      </w:r>
      <w:hyperlink r:id="rId32" w:tooltip="Дава достъп до този документ чрез неговия URI на ELI." w:history="1">
        <w:r>
          <w:rPr>
            <w:rStyle w:val="Hyperlink"/>
            <w:color w:val="337AB7"/>
            <w:shd w:val="clear" w:color="auto" w:fill="FFFFFF"/>
          </w:rPr>
          <w:t>https://eur-lex.europa.eu/eli/reg/2018/1046/oj?locale=bg</w:t>
        </w:r>
      </w:hyperlink>
      <w:r>
        <w:t>).</w:t>
      </w:r>
    </w:p>
  </w:footnote>
  <w:footnote w:id="46">
    <w:p w14:paraId="2891A178" w14:textId="77777777" w:rsidR="00F20ABE" w:rsidRPr="00A0142C" w:rsidRDefault="00F20ABE" w:rsidP="00F20ABE">
      <w:pPr>
        <w:pStyle w:val="FootnoteText"/>
      </w:pPr>
      <w:r>
        <w:rPr>
          <w:rStyle w:val="FootnoteReference"/>
        </w:rPr>
        <w:footnoteRef/>
      </w:r>
      <w:r>
        <w:tab/>
        <w:t>Директива (ЕС) 2022/2557 на Европейския парламент и на Съвета от 14 декември 2022 г. за устойчивостта на критичните субекти и за отмяна на Директива 2008/114/ЕО на Съвета (ОВ L 333, 27.12.2022 г., стр. 164—198, ELI: </w:t>
      </w:r>
      <w:hyperlink r:id="rId33" w:tooltip="Дава достъп до този документ чрез неговия URI на ELI." w:history="1">
        <w:r>
          <w:rPr>
            <w:rStyle w:val="Hyperlink"/>
            <w:color w:val="337AB7"/>
            <w:shd w:val="clear" w:color="auto" w:fill="FFFFFF"/>
          </w:rPr>
          <w:t>https://eur-lex.europa.eu/eli/dir/2022/2557/oj?locale=bg</w:t>
        </w:r>
      </w:hyperlink>
      <w:r>
        <w:t>).</w:t>
      </w:r>
    </w:p>
  </w:footnote>
  <w:footnote w:id="47">
    <w:p w14:paraId="75EC488A" w14:textId="77777777" w:rsidR="00F17E2A" w:rsidRPr="00F17E2A" w:rsidRDefault="00F17E2A" w:rsidP="00F17E2A">
      <w:pPr>
        <w:pStyle w:val="FootnoteText"/>
      </w:pPr>
      <w:r>
        <w:rPr>
          <w:rStyle w:val="FootnoteReference"/>
        </w:rPr>
        <w:footnoteRef/>
      </w:r>
      <w:r>
        <w:tab/>
        <w:t xml:space="preserve">Директива (ЕС) 2022/2555 на Европейския парламент и на Съвета от 14 декември 2022 г. относно мерки за високо общо ниво на киберсигурност в Съюза, за изменение на Регламент (ЕС) № 910/2014 и Директива (ЕС) 2018/1972 и за отмяна на Директива (ЕС) 2016/1148 (ОВ L 333, 27.12.2022 г., стр. 80—152, </w:t>
      </w:r>
      <w:r>
        <w:rPr>
          <w:color w:val="333333"/>
        </w:rPr>
        <w:t>ELI: </w:t>
      </w:r>
      <w:hyperlink r:id="rId34" w:tooltip="Дава достъп до този документ чрез неговия URI на ELI." w:history="1">
        <w:r>
          <w:rPr>
            <w:rStyle w:val="Hyperlink"/>
            <w:color w:val="337AB7"/>
          </w:rPr>
          <w:t>https://eur-lex.europa.eu/eli/dir/2022/2555/oj?locale=bg</w:t>
        </w:r>
      </w:hyperlink>
      <w:r>
        <w:t>).</w:t>
      </w:r>
    </w:p>
  </w:footnote>
  <w:footnote w:id="48">
    <w:p w14:paraId="04A7CF12" w14:textId="77777777" w:rsidR="002337F9" w:rsidRPr="00E22B9B" w:rsidRDefault="002337F9" w:rsidP="00070956">
      <w:pPr>
        <w:pStyle w:val="FootnoteText"/>
      </w:pPr>
      <w:r>
        <w:rPr>
          <w:rStyle w:val="FootnoteReference"/>
        </w:rPr>
        <w:footnoteRef/>
      </w:r>
      <w:r>
        <w:tab/>
        <w:t>Съгласно член 58, параграф 2, буква а) или б) от Финансовия регламент.</w:t>
      </w:r>
    </w:p>
  </w:footnote>
  <w:footnote w:id="49">
    <w:p w14:paraId="34BF9F9C" w14:textId="77777777" w:rsidR="002337F9" w:rsidRPr="00E22B9B" w:rsidRDefault="002337F9" w:rsidP="00070956">
      <w:pPr>
        <w:pStyle w:val="FootnoteText"/>
      </w:pPr>
      <w:r>
        <w:rPr>
          <w:rStyle w:val="FootnoteReference"/>
        </w:rPr>
        <w:footnoteRef/>
      </w:r>
      <w:r>
        <w:tab/>
        <w:t>Многогод. = многогодишни бюджетни кредити/Едногод. = едногодишни бюджетни кредити.</w:t>
      </w:r>
    </w:p>
  </w:footnote>
  <w:footnote w:id="50">
    <w:p w14:paraId="365AF4BF" w14:textId="77777777" w:rsidR="002337F9" w:rsidRPr="00E22B9B" w:rsidRDefault="002337F9" w:rsidP="00070956">
      <w:pPr>
        <w:pStyle w:val="FootnoteText"/>
      </w:pPr>
      <w:r>
        <w:rPr>
          <w:rStyle w:val="FootnoteReference"/>
        </w:rPr>
        <w:footnoteRef/>
      </w:r>
      <w:r>
        <w:tab/>
        <w:t xml:space="preserve">ЕАСТ: Европейска асоциация за свободна търговия. </w:t>
      </w:r>
    </w:p>
  </w:footnote>
  <w:footnote w:id="51">
    <w:p w14:paraId="5A6C0B64" w14:textId="77777777" w:rsidR="002337F9" w:rsidRPr="00E22B9B" w:rsidRDefault="002337F9" w:rsidP="00070956">
      <w:pPr>
        <w:pStyle w:val="FootnoteText"/>
      </w:pPr>
      <w:r>
        <w:rPr>
          <w:rStyle w:val="FootnoteReference"/>
        </w:rPr>
        <w:footnoteRef/>
      </w:r>
      <w:r>
        <w:tab/>
        <w:t>Държави кандидатки и ако е приложимо, потенциални кандидатки от Западните Балкани.</w:t>
      </w:r>
    </w:p>
  </w:footnote>
  <w:footnote w:id="52">
    <w:p w14:paraId="7DFDEA85" w14:textId="77777777" w:rsidR="002337F9" w:rsidRPr="00E22B9B" w:rsidRDefault="002337F9" w:rsidP="00070956">
      <w:pPr>
        <w:pStyle w:val="FootnoteText"/>
      </w:pPr>
      <w:r>
        <w:rPr>
          <w:rStyle w:val="FootnoteReference"/>
        </w:rPr>
        <w:footnoteRef/>
      </w:r>
      <w:r>
        <w:tab/>
        <w:t>Техническа и/или административна помощ и разходи в подкрепа на изпълнението на програми и/или дейности на ЕС (предишни редове BA), непреки научни изследвания, преки научни изследвания.</w:t>
      </w:r>
    </w:p>
  </w:footnote>
  <w:footnote w:id="53">
    <w:p w14:paraId="111ADF70" w14:textId="77777777" w:rsidR="002337F9" w:rsidRPr="00E22B9B" w:rsidRDefault="002337F9" w:rsidP="00070956">
      <w:pPr>
        <w:pStyle w:val="FootnoteText"/>
      </w:pPr>
      <w:r>
        <w:rPr>
          <w:rStyle w:val="FootnoteReference"/>
        </w:rPr>
        <w:footnoteRef/>
      </w:r>
      <w:r>
        <w:tab/>
        <w:t>Резултатите са продуктите и услугите, които ще бъдат доставени (например брой финансирани обмени на учащи се, дължина на построените пътища в километри и т.н.).</w:t>
      </w:r>
    </w:p>
  </w:footnote>
  <w:footnote w:id="54">
    <w:p w14:paraId="4EFA8D8D" w14:textId="77777777" w:rsidR="002337F9" w:rsidRPr="00E22B9B" w:rsidRDefault="002337F9" w:rsidP="00070956">
      <w:pPr>
        <w:pStyle w:val="FootnoteText"/>
      </w:pPr>
      <w:r>
        <w:rPr>
          <w:rStyle w:val="FootnoteReference"/>
        </w:rPr>
        <w:footnoteRef/>
      </w:r>
      <w:r>
        <w:tab/>
        <w:t xml:space="preserve">Описана в точка 1.4.2. „Конкретна цел/конкретни цели ...“ </w:t>
      </w:r>
    </w:p>
  </w:footnote>
  <w:footnote w:id="55">
    <w:p w14:paraId="7D152718" w14:textId="77777777" w:rsidR="002337F9" w:rsidRDefault="002337F9" w:rsidP="002337F9">
      <w:pPr>
        <w:pStyle w:val="FootnoteText"/>
      </w:pPr>
      <w:r>
        <w:rPr>
          <w:rStyle w:val="FootnoteReference"/>
        </w:rPr>
        <w:footnoteRef/>
      </w:r>
      <w:r>
        <w:tab/>
      </w:r>
      <w:r>
        <w:rPr>
          <w:sz w:val="18"/>
        </w:rPr>
        <w:t>Техническа и/или административна помощ и разходи в подкрепа на изпълнението на програми и/или дейности на ЕС (предишни редове BA), непреки научни изследвания, преки научни изследвания.</w:t>
      </w:r>
    </w:p>
  </w:footnote>
  <w:footnote w:id="56">
    <w:p w14:paraId="2F89D1DC" w14:textId="77777777" w:rsidR="002337F9" w:rsidRPr="00E22B9B" w:rsidRDefault="002337F9" w:rsidP="00070956">
      <w:pPr>
        <w:pStyle w:val="FootnoteText"/>
      </w:pPr>
      <w:r>
        <w:rPr>
          <w:rStyle w:val="FootnoteReference"/>
        </w:rPr>
        <w:footnoteRef/>
      </w:r>
      <w:r>
        <w:tab/>
        <w:t xml:space="preserve">ДНП = договорно нает персонал; МП = местен персонал; КНЕ = командирован национален експерт; ПНА = персонал, нает чрез агенции за временна заетост; МЕД = младши експерт в делегация. </w:t>
      </w:r>
    </w:p>
  </w:footnote>
  <w:footnote w:id="57">
    <w:p w14:paraId="5544AE6D" w14:textId="77777777" w:rsidR="002337F9" w:rsidRPr="00E22B9B" w:rsidRDefault="002337F9" w:rsidP="00070956">
      <w:pPr>
        <w:pStyle w:val="FootnoteText"/>
      </w:pPr>
      <w:r>
        <w:rPr>
          <w:rStyle w:val="FootnoteReference"/>
        </w:rPr>
        <w:footnoteRef/>
      </w:r>
      <w:r>
        <w:tab/>
        <w:t>Подтаван за външния персонал, покрит с бюджетните кредити за оперативни разходи (предишни редове BA).</w:t>
      </w:r>
    </w:p>
  </w:footnote>
  <w:footnote w:id="58">
    <w:p w14:paraId="46E46CB4" w14:textId="77777777" w:rsidR="002337F9" w:rsidRPr="00E22B9B" w:rsidRDefault="002337F9" w:rsidP="00070956">
      <w:pPr>
        <w:pStyle w:val="FootnoteText"/>
      </w:pPr>
      <w:r>
        <w:rPr>
          <w:rStyle w:val="FootnoteReference"/>
        </w:rPr>
        <w:footnoteRef/>
      </w:r>
      <w:r>
        <w:tab/>
        <w:t>Година N е годината, през която започва да се осъществява предложението/инициативата. Моля, заменете буквата N с очакваната първа година от изпълнението (например: 2021 г.). Същото за следващите години.</w:t>
      </w:r>
    </w:p>
  </w:footnote>
  <w:footnote w:id="59">
    <w:p w14:paraId="442B1ED1" w14:textId="77777777" w:rsidR="002337F9" w:rsidRPr="00E22B9B" w:rsidRDefault="002337F9" w:rsidP="00070956">
      <w:pPr>
        <w:pStyle w:val="FootnoteText"/>
      </w:pPr>
      <w:r>
        <w:rPr>
          <w:rStyle w:val="FootnoteReference"/>
        </w:rPr>
        <w:footnoteRef/>
      </w:r>
      <w:r>
        <w:tab/>
        <w:t>Що се отнася до традиционните собствени ресурси (мита, налози върху захарта), посочените суми трябва да бъдат нетни, т.е. брутни суми, от които са приспаднати 20 % за разходи по събирането.</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A77CC" w14:textId="77777777" w:rsidR="00272311" w:rsidRDefault="002723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24E97" w14:textId="77777777" w:rsidR="00272311" w:rsidRDefault="00272311" w:rsidP="00272311">
    <w:pPr>
      <w:pStyle w:val="HeaderLandscap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DF585" w14:textId="77777777" w:rsidR="00272311" w:rsidRPr="00272311" w:rsidRDefault="00272311" w:rsidP="00272311">
    <w:pPr>
      <w:pStyle w:val="HeaderLandscap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8E9E6" w14:textId="77777777" w:rsidR="00272311" w:rsidRPr="00272311" w:rsidRDefault="00272311" w:rsidP="0027231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09D17" w14:textId="77777777" w:rsidR="00272311" w:rsidRPr="00272311" w:rsidRDefault="00272311" w:rsidP="00272311">
    <w:pPr>
      <w:pStyle w:val="HeaderLandscap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E4330B"/>
    <w:multiLevelType w:val="multilevel"/>
    <w:tmpl w:val="E0AA8C0A"/>
    <w:name w:val="List Dash 3"/>
    <w:lvl w:ilvl="0">
      <w:start w:val="1"/>
      <w:numFmt w:val="lowerRoman"/>
      <w:pStyle w:val="ListNumber1"/>
      <w:lvlText w:val="(%1)"/>
      <w:lvlJc w:val="left"/>
      <w:pPr>
        <w:tabs>
          <w:tab w:val="num" w:pos="1560"/>
        </w:tabs>
        <w:ind w:left="1560" w:hanging="709"/>
      </w:pPr>
      <w:rPr>
        <w:rFonts w:cs="Times New Roman" w:hint="default"/>
      </w:rPr>
    </w:lvl>
    <w:lvl w:ilvl="1">
      <w:start w:val="1"/>
      <w:numFmt w:val="lowerLetter"/>
      <w:pStyle w:val="ListNumber1Level2"/>
      <w:lvlText w:val="(%2)"/>
      <w:lvlJc w:val="left"/>
      <w:pPr>
        <w:tabs>
          <w:tab w:val="num" w:pos="2268"/>
        </w:tabs>
        <w:ind w:left="2268" w:hanging="708"/>
      </w:pPr>
      <w:rPr>
        <w:rFonts w:cs="Times New Roman" w:hint="default"/>
      </w:rPr>
    </w:lvl>
    <w:lvl w:ilvl="2">
      <w:start w:val="1"/>
      <w:numFmt w:val="bullet"/>
      <w:pStyle w:val="ListNumber1Level3"/>
      <w:lvlText w:val="–"/>
      <w:lvlJc w:val="left"/>
      <w:pPr>
        <w:tabs>
          <w:tab w:val="num" w:pos="2977"/>
        </w:tabs>
        <w:ind w:left="2977" w:hanging="709"/>
      </w:pPr>
      <w:rPr>
        <w:rFonts w:ascii="Times New Roman" w:hAnsi="Times New Roman" w:hint="default"/>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7" w15:restartNumberingAfterBreak="0">
    <w:nsid w:val="2D293CE3"/>
    <w:multiLevelType w:val="multilevel"/>
    <w:tmpl w:val="51BE518A"/>
    <w:lvl w:ilvl="0">
      <w:start w:val="1"/>
      <w:numFmt w:val="decimal"/>
      <w:pStyle w:val="LegalNumPar"/>
      <w:lvlText w:val="%1."/>
      <w:lvlJc w:val="left"/>
      <w:pPr>
        <w:ind w:left="476" w:hanging="476"/>
      </w:pPr>
      <w:rPr>
        <w:rFonts w:hint="default"/>
        <w:b w:val="0"/>
        <w:bCs w:val="0"/>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9"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1"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7"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8"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59D475C5"/>
    <w:multiLevelType w:val="hybridMultilevel"/>
    <w:tmpl w:val="76A0543A"/>
    <w:lvl w:ilvl="0" w:tplc="AB102E90">
      <w:start w:val="1"/>
      <w:numFmt w:val="decimal"/>
      <w:pStyle w:val="numpar10"/>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2"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3"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5"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8"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30"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21"/>
  </w:num>
  <w:num w:numId="3">
    <w:abstractNumId w:val="8"/>
  </w:num>
  <w:num w:numId="4">
    <w:abstractNumId w:val="17"/>
  </w:num>
  <w:num w:numId="5">
    <w:abstractNumId w:val="16"/>
  </w:num>
  <w:num w:numId="6">
    <w:abstractNumId w:val="28"/>
  </w:num>
  <w:num w:numId="7">
    <w:abstractNumId w:val="25"/>
  </w:num>
  <w:num w:numId="8">
    <w:abstractNumId w:val="29"/>
  </w:num>
  <w:num w:numId="9">
    <w:abstractNumId w:val="30"/>
  </w:num>
  <w:num w:numId="10">
    <w:abstractNumId w:val="1"/>
  </w:num>
  <w:num w:numId="11">
    <w:abstractNumId w:val="10"/>
  </w:num>
  <w:num w:numId="12">
    <w:abstractNumId w:val="2"/>
  </w:num>
  <w:num w:numId="13">
    <w:abstractNumId w:val="11"/>
  </w:num>
  <w:num w:numId="14">
    <w:abstractNumId w:val="9"/>
  </w:num>
  <w:num w:numId="15">
    <w:abstractNumId w:val="18"/>
  </w:num>
  <w:num w:numId="16">
    <w:abstractNumId w:val="7"/>
  </w:num>
  <w:num w:numId="17">
    <w:abstractNumId w:val="31"/>
    <w:lvlOverride w:ilvl="0">
      <w:startOverride w:val="1"/>
    </w:lvlOverride>
  </w:num>
  <w:num w:numId="18">
    <w:abstractNumId w:val="4"/>
  </w:num>
  <w:num w:numId="19">
    <w:abstractNumId w:val="15"/>
  </w:num>
  <w:num w:numId="20">
    <w:abstractNumId w:val="31"/>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 w:numId="32">
    <w:abstractNumId w:val="15"/>
    <w:lvlOverride w:ilvl="0">
      <w:startOverride w:val="1"/>
    </w:lvlOverride>
  </w:num>
  <w:num w:numId="33">
    <w:abstractNumId w:val="20"/>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lvlOverride w:ilvl="0">
      <w:startOverride w:val="1"/>
    </w:lvlOverride>
  </w:num>
  <w:num w:numId="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lvlOverride w:ilvl="0">
      <w:startOverride w:val="1"/>
    </w:lvlOverride>
  </w:num>
  <w:num w:numId="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1"/>
    </w:lvlOverride>
  </w:num>
  <w:num w:numId="49">
    <w:abstractNumId w:val="12"/>
    <w:lvlOverride w:ilvl="0">
      <w:startOverride w:val="1"/>
    </w:lvlOverride>
  </w:num>
  <w:num w:numId="50">
    <w:abstractNumId w:val="6"/>
    <w:lvlOverride w:ilvl="0">
      <w:startOverride w:val="1"/>
    </w:lvlOverride>
  </w:num>
  <w:num w:numId="51">
    <w:abstractNumId w:val="12"/>
    <w:lvlOverride w:ilvl="0">
      <w:startOverride w:val="1"/>
    </w:lvlOverride>
  </w:num>
  <w:num w:numId="52">
    <w:abstractNumId w:val="24"/>
  </w:num>
  <w:num w:numId="53">
    <w:abstractNumId w:val="12"/>
  </w:num>
  <w:num w:numId="54">
    <w:abstractNumId w:val="27"/>
  </w:num>
  <w:num w:numId="55">
    <w:abstractNumId w:val="6"/>
  </w:num>
  <w:num w:numId="56">
    <w:abstractNumId w:val="13"/>
  </w:num>
  <w:num w:numId="57">
    <w:abstractNumId w:val="14"/>
  </w:num>
  <w:num w:numId="58">
    <w:abstractNumId w:val="4"/>
  </w:num>
  <w:num w:numId="59">
    <w:abstractNumId w:val="26"/>
  </w:num>
  <w:num w:numId="60">
    <w:abstractNumId w:val="3"/>
  </w:num>
  <w:num w:numId="61">
    <w:abstractNumId w:val="15"/>
  </w:num>
  <w:num w:numId="62">
    <w:abstractNumId w:val="22"/>
  </w:num>
  <w:num w:numId="63">
    <w:abstractNumId w:val="23"/>
  </w:num>
  <w:num w:numId="64">
    <w:abstractNumId w:val="5"/>
  </w:num>
  <w:num w:numId="65">
    <w:abstractNumId w:val="19"/>
  </w:num>
  <w:num w:numId="66">
    <w:abstractNumId w:val="31"/>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numRestart w:val="eachSect"/>
    <w:footnote w:id="-1"/>
    <w:footnote w:id="0"/>
    <w:footnote w:id="1"/>
  </w:footnotePr>
  <w:endnotePr>
    <w:endnote w:id="-1"/>
    <w:endnote w:id="0"/>
    <w:endnote w:id="1"/>
  </w:endnotePr>
  <w:compat>
    <w:compatSetting w:name="compatibilityMode" w:uri="http://schemas.microsoft.com/office/word" w:val="12"/>
  </w:compat>
  <w:docVars>
    <w:docVar w:name="CR_RefLast" w:val="0"/>
    <w:docVar w:name="DQCDateTime" w:val="2024-03-04 15:43:10"/>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FigNum" w:val="1"/>
    <w:docVar w:name="LW_CORRIGENDUM" w:val="&lt;UNUSED&gt;"/>
    <w:docVar w:name="LW_COVERPAGE_EXISTS" w:val="True"/>
    <w:docVar w:name="LW_COVERPAGE_GUID" w:val="37A19535-44FA-4E55-AC06-C4763A29F5EA"/>
    <w:docVar w:name="LW_COVERPAGE_TYPE" w:val="1"/>
    <w:docVar w:name="LW_CROSSREFERENCE" w:val="{SWD(2024) 23 final} - {SWD(2024) 24 final}"/>
    <w:docVar w:name="LW_DocType" w:val="COM"/>
    <w:docVar w:name="LW_EMISSION" w:val="24.1.2024"/>
    <w:docVar w:name="LW_EMISSION_ISODATE" w:val="2024-01-24"/>
    <w:docVar w:name="LW_EMISSION_LOCATION" w:val="BRX"/>
    <w:docVar w:name="LW_EMISSION_PREFIX" w:val="\u1041?\u1088?\u1102?\u1082?\u1089?\u1077?\u1083?, "/>
    <w:docVar w:name="LW_EMISSION_SUFFIX" w:val=" \u1075?."/>
    <w:docVar w:name="LW_ID_DOCMODEL" w:val="SJ-023"/>
    <w:docVar w:name="LW_ID_DOCSIGNATURE" w:val="SJ-023"/>
    <w:docVar w:name="LW_ID_DOCSTRUCTURE" w:val="COM/PL/ORG"/>
    <w:docVar w:name="LW_ID_DOCTYPE" w:val="SJ-023"/>
    <w:docVar w:name="LW_ID_STATUT" w:val="SJ-023"/>
    <w:docVar w:name="LW_INSERT_EXP.MOTIFS.NEW" w:val="1"/>
    <w:docVar w:name="LW_INTERETEEE.CP" w:val="&lt;UNUSED&gt;"/>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I.NEW.CP" w:val="COD"/>
    <w:docVar w:name="LW_REF.II.NEW.CP_NUMBER" w:val="0017"/>
    <w:docVar w:name="LW_REF.II.NEW.CP_YEAR" w:val="2024"/>
    <w:docVar w:name="LW_REF.INST.NEW" w:val="COM"/>
    <w:docVar w:name="LW_REF.INST.NEW_ADOPTED" w:val="final"/>
    <w:docVar w:name="LW_REF.INST.NEW_TEXT" w:val="(2024) 2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u1055?\u1088?\u1077?\u1076?\u1083?\u1086?\u1078?\u1077?\u1085?\u1080?\u1077? \u1079?\u1072?"/>
    <w:docVar w:name="LW_SUPERTITRE" w:val="&lt;UNUSED&gt;"/>
    <w:docVar w:name="LW_TITRE.OBJ.CP" w:val="\u1086?\u1090?\u1085?\u1086?\u1089?\u1085?\u1086? \u1089?\u1082?\u1088?\u1080?\u1085?\u1080?\u1085?\u1075?\u1072? \u1085?\u1072? \u1095?\u1091?\u1078?\u1076?\u1077?\u1089?\u1090?\u1088?\u1072?\u1085?\u1085?\u1080? \u1080?\u1085?\u1074?\u1077?\u1089?\u1090?\u1080?\u1094?\u1080?\u1080? \u1074? \u1057?\u1098?\u1102?\u1079?\u1072? \u1080? \u1079?\u1072? \u1086?\u1090?\u1084?\u1103?\u1085?\u1072? \u1085?\u1072? \u1056?\u1077?\u1075?\u1083?\u1072?\u1084?\u1077?\u1085?\u1090? (\u1045?\u1057?) 2019/452 \u1085?\u1072? \u1045?\u1074?\u1088?\u1086?\u1087?\u1077?\u1081?\u1089?\u1082?\u1080?\u1103? \u1087?\u1072?\u1088?\u1083?\u1072?\u1084?\u1077?\u1085?\u1090? \u1080? \u1085?\u1072? \u1057?\u1098?\u1074?\u1077?\u1090?\u1072?"/>
    <w:docVar w:name="LW_TYPE.DOC.CP" w:val="\u1056?\u1045?\u1043?\u1051?\u1040?\u1052?\u1045?\u1053?\u1058? \u1053?\u1040? \u1045?\u1042?\u1056?\u1054?\u1055?\u1045?\u1049?\u1057?\u1050?\u1048?\u1071? \u1055?\u1040?\u1056?\u1051?\u1040?\u1052?\u1045?\u1053?\u1058? \u1048? \u1053?\u1040? \u1057?\u1066?\u1042?\u1045?\u1058?\u1040?"/>
    <w:docVar w:name="LwApiVersions" w:val="LW4CoDe 1.24.5.0; LW 9.0, Build 20240221"/>
  </w:docVars>
  <w:rsids>
    <w:rsidRoot w:val="00F67093"/>
    <w:rsid w:val="00000A4E"/>
    <w:rsid w:val="00001961"/>
    <w:rsid w:val="00002CD6"/>
    <w:rsid w:val="00002EE5"/>
    <w:rsid w:val="000030CC"/>
    <w:rsid w:val="000048C3"/>
    <w:rsid w:val="00004F68"/>
    <w:rsid w:val="000058B1"/>
    <w:rsid w:val="00006BE8"/>
    <w:rsid w:val="0000764C"/>
    <w:rsid w:val="000079B3"/>
    <w:rsid w:val="00007E97"/>
    <w:rsid w:val="000103FB"/>
    <w:rsid w:val="000117C1"/>
    <w:rsid w:val="000120BA"/>
    <w:rsid w:val="00012EB8"/>
    <w:rsid w:val="00013748"/>
    <w:rsid w:val="0001445B"/>
    <w:rsid w:val="00014CDE"/>
    <w:rsid w:val="00014D80"/>
    <w:rsid w:val="00014DE8"/>
    <w:rsid w:val="00015CA7"/>
    <w:rsid w:val="00015CBB"/>
    <w:rsid w:val="000160FD"/>
    <w:rsid w:val="000177CC"/>
    <w:rsid w:val="000210D3"/>
    <w:rsid w:val="000227F7"/>
    <w:rsid w:val="00022992"/>
    <w:rsid w:val="00022AF4"/>
    <w:rsid w:val="00022C87"/>
    <w:rsid w:val="00023B52"/>
    <w:rsid w:val="00023BA8"/>
    <w:rsid w:val="0002709F"/>
    <w:rsid w:val="0002741B"/>
    <w:rsid w:val="00027A23"/>
    <w:rsid w:val="00030771"/>
    <w:rsid w:val="00030E98"/>
    <w:rsid w:val="00031290"/>
    <w:rsid w:val="00031387"/>
    <w:rsid w:val="000319B7"/>
    <w:rsid w:val="00032463"/>
    <w:rsid w:val="00032C8C"/>
    <w:rsid w:val="0003483C"/>
    <w:rsid w:val="00034AF2"/>
    <w:rsid w:val="00036551"/>
    <w:rsid w:val="00036699"/>
    <w:rsid w:val="000375D8"/>
    <w:rsid w:val="000377D3"/>
    <w:rsid w:val="00037D66"/>
    <w:rsid w:val="00041A34"/>
    <w:rsid w:val="000420BD"/>
    <w:rsid w:val="0004223C"/>
    <w:rsid w:val="00042B92"/>
    <w:rsid w:val="00045376"/>
    <w:rsid w:val="00045866"/>
    <w:rsid w:val="000465B2"/>
    <w:rsid w:val="00047D62"/>
    <w:rsid w:val="00050956"/>
    <w:rsid w:val="00051834"/>
    <w:rsid w:val="00051ECB"/>
    <w:rsid w:val="00052195"/>
    <w:rsid w:val="00052EDF"/>
    <w:rsid w:val="00053190"/>
    <w:rsid w:val="000533FD"/>
    <w:rsid w:val="00054A68"/>
    <w:rsid w:val="00054C2E"/>
    <w:rsid w:val="00054D7A"/>
    <w:rsid w:val="0005698A"/>
    <w:rsid w:val="00056C34"/>
    <w:rsid w:val="0005717D"/>
    <w:rsid w:val="00057194"/>
    <w:rsid w:val="00057462"/>
    <w:rsid w:val="00061EFE"/>
    <w:rsid w:val="00062DC4"/>
    <w:rsid w:val="00062DF2"/>
    <w:rsid w:val="0006341D"/>
    <w:rsid w:val="00064780"/>
    <w:rsid w:val="00065921"/>
    <w:rsid w:val="000665B8"/>
    <w:rsid w:val="00066724"/>
    <w:rsid w:val="000667F3"/>
    <w:rsid w:val="00066C87"/>
    <w:rsid w:val="00066F7C"/>
    <w:rsid w:val="00067076"/>
    <w:rsid w:val="0006739C"/>
    <w:rsid w:val="000679C2"/>
    <w:rsid w:val="00067BDD"/>
    <w:rsid w:val="00067EB4"/>
    <w:rsid w:val="00070956"/>
    <w:rsid w:val="000709C5"/>
    <w:rsid w:val="000725F5"/>
    <w:rsid w:val="00072C70"/>
    <w:rsid w:val="000737E5"/>
    <w:rsid w:val="00075440"/>
    <w:rsid w:val="00076265"/>
    <w:rsid w:val="000764EC"/>
    <w:rsid w:val="000800D7"/>
    <w:rsid w:val="00080FBE"/>
    <w:rsid w:val="0008109E"/>
    <w:rsid w:val="00081398"/>
    <w:rsid w:val="000817D7"/>
    <w:rsid w:val="00081EB5"/>
    <w:rsid w:val="000820D7"/>
    <w:rsid w:val="00082C9B"/>
    <w:rsid w:val="00083577"/>
    <w:rsid w:val="00084135"/>
    <w:rsid w:val="00084E6B"/>
    <w:rsid w:val="00087622"/>
    <w:rsid w:val="00087C37"/>
    <w:rsid w:val="00087EFF"/>
    <w:rsid w:val="00087FF6"/>
    <w:rsid w:val="0009007C"/>
    <w:rsid w:val="00091A5F"/>
    <w:rsid w:val="00091BD8"/>
    <w:rsid w:val="00092023"/>
    <w:rsid w:val="0009292A"/>
    <w:rsid w:val="00092DBD"/>
    <w:rsid w:val="00092DC9"/>
    <w:rsid w:val="0009327D"/>
    <w:rsid w:val="00093361"/>
    <w:rsid w:val="00093F27"/>
    <w:rsid w:val="00093FBF"/>
    <w:rsid w:val="000940F5"/>
    <w:rsid w:val="0009444A"/>
    <w:rsid w:val="00094824"/>
    <w:rsid w:val="00094FA1"/>
    <w:rsid w:val="00094FBD"/>
    <w:rsid w:val="000952EE"/>
    <w:rsid w:val="00097019"/>
    <w:rsid w:val="000A0032"/>
    <w:rsid w:val="000A085B"/>
    <w:rsid w:val="000A09D3"/>
    <w:rsid w:val="000A0DB7"/>
    <w:rsid w:val="000A17FA"/>
    <w:rsid w:val="000A25D9"/>
    <w:rsid w:val="000A3620"/>
    <w:rsid w:val="000A3F48"/>
    <w:rsid w:val="000A4FD6"/>
    <w:rsid w:val="000A5A44"/>
    <w:rsid w:val="000A5A52"/>
    <w:rsid w:val="000A5E74"/>
    <w:rsid w:val="000A7AA2"/>
    <w:rsid w:val="000A7F2B"/>
    <w:rsid w:val="000B0E1C"/>
    <w:rsid w:val="000B15E9"/>
    <w:rsid w:val="000B1B5A"/>
    <w:rsid w:val="000B2730"/>
    <w:rsid w:val="000B38EE"/>
    <w:rsid w:val="000B3A73"/>
    <w:rsid w:val="000B46B2"/>
    <w:rsid w:val="000B4994"/>
    <w:rsid w:val="000B51A6"/>
    <w:rsid w:val="000B5543"/>
    <w:rsid w:val="000B6532"/>
    <w:rsid w:val="000B6FEF"/>
    <w:rsid w:val="000B70DD"/>
    <w:rsid w:val="000B7138"/>
    <w:rsid w:val="000C08A3"/>
    <w:rsid w:val="000C12BF"/>
    <w:rsid w:val="000C18CE"/>
    <w:rsid w:val="000C214B"/>
    <w:rsid w:val="000C5D56"/>
    <w:rsid w:val="000C7268"/>
    <w:rsid w:val="000C7AEE"/>
    <w:rsid w:val="000D0829"/>
    <w:rsid w:val="000D0F67"/>
    <w:rsid w:val="000D10C3"/>
    <w:rsid w:val="000D14DA"/>
    <w:rsid w:val="000D1CB7"/>
    <w:rsid w:val="000D23A8"/>
    <w:rsid w:val="000D3088"/>
    <w:rsid w:val="000D3C6C"/>
    <w:rsid w:val="000D4C60"/>
    <w:rsid w:val="000D52CF"/>
    <w:rsid w:val="000D603D"/>
    <w:rsid w:val="000D6158"/>
    <w:rsid w:val="000D70EF"/>
    <w:rsid w:val="000D72D7"/>
    <w:rsid w:val="000E0E3B"/>
    <w:rsid w:val="000E1CA2"/>
    <w:rsid w:val="000E1CE2"/>
    <w:rsid w:val="000E2179"/>
    <w:rsid w:val="000E22C9"/>
    <w:rsid w:val="000E366E"/>
    <w:rsid w:val="000E4258"/>
    <w:rsid w:val="000E5C49"/>
    <w:rsid w:val="000E64DF"/>
    <w:rsid w:val="000E730C"/>
    <w:rsid w:val="000E79C3"/>
    <w:rsid w:val="000F0ABF"/>
    <w:rsid w:val="000F0DD9"/>
    <w:rsid w:val="000F12A5"/>
    <w:rsid w:val="000F1398"/>
    <w:rsid w:val="000F14D6"/>
    <w:rsid w:val="000F17AA"/>
    <w:rsid w:val="000F1C2B"/>
    <w:rsid w:val="000F2413"/>
    <w:rsid w:val="000F2C9E"/>
    <w:rsid w:val="000F44F6"/>
    <w:rsid w:val="000F5447"/>
    <w:rsid w:val="000F746B"/>
    <w:rsid w:val="000F7472"/>
    <w:rsid w:val="000F74DF"/>
    <w:rsid w:val="000F7F46"/>
    <w:rsid w:val="000F7FFC"/>
    <w:rsid w:val="00100B2C"/>
    <w:rsid w:val="00101EFD"/>
    <w:rsid w:val="0010230F"/>
    <w:rsid w:val="001023EB"/>
    <w:rsid w:val="00103270"/>
    <w:rsid w:val="001034D0"/>
    <w:rsid w:val="001040B2"/>
    <w:rsid w:val="00105FF3"/>
    <w:rsid w:val="001065AC"/>
    <w:rsid w:val="001065F5"/>
    <w:rsid w:val="00110127"/>
    <w:rsid w:val="00110C83"/>
    <w:rsid w:val="00111670"/>
    <w:rsid w:val="0011246B"/>
    <w:rsid w:val="00113C7D"/>
    <w:rsid w:val="00113F00"/>
    <w:rsid w:val="00114667"/>
    <w:rsid w:val="0011494C"/>
    <w:rsid w:val="0011617D"/>
    <w:rsid w:val="00116F90"/>
    <w:rsid w:val="00120920"/>
    <w:rsid w:val="00122004"/>
    <w:rsid w:val="0012227A"/>
    <w:rsid w:val="00122CCB"/>
    <w:rsid w:val="001234C6"/>
    <w:rsid w:val="001238EF"/>
    <w:rsid w:val="0012464E"/>
    <w:rsid w:val="00124B39"/>
    <w:rsid w:val="00125110"/>
    <w:rsid w:val="0012513F"/>
    <w:rsid w:val="00125313"/>
    <w:rsid w:val="001263AD"/>
    <w:rsid w:val="0012650B"/>
    <w:rsid w:val="0012724A"/>
    <w:rsid w:val="001276EF"/>
    <w:rsid w:val="00127E8F"/>
    <w:rsid w:val="00130E68"/>
    <w:rsid w:val="00131360"/>
    <w:rsid w:val="00131697"/>
    <w:rsid w:val="00131EA6"/>
    <w:rsid w:val="00132D18"/>
    <w:rsid w:val="00133050"/>
    <w:rsid w:val="001334C6"/>
    <w:rsid w:val="001338F4"/>
    <w:rsid w:val="00133B93"/>
    <w:rsid w:val="00133DD9"/>
    <w:rsid w:val="001341F7"/>
    <w:rsid w:val="001342FB"/>
    <w:rsid w:val="00135567"/>
    <w:rsid w:val="00135821"/>
    <w:rsid w:val="0013676F"/>
    <w:rsid w:val="00136EA3"/>
    <w:rsid w:val="001378B2"/>
    <w:rsid w:val="00137DE3"/>
    <w:rsid w:val="00137E3E"/>
    <w:rsid w:val="00140C16"/>
    <w:rsid w:val="00142BC7"/>
    <w:rsid w:val="00142C77"/>
    <w:rsid w:val="00142E6F"/>
    <w:rsid w:val="00142F5C"/>
    <w:rsid w:val="001432A6"/>
    <w:rsid w:val="00143CEE"/>
    <w:rsid w:val="00145A64"/>
    <w:rsid w:val="00145EED"/>
    <w:rsid w:val="0014636E"/>
    <w:rsid w:val="00147561"/>
    <w:rsid w:val="00147CD1"/>
    <w:rsid w:val="00151071"/>
    <w:rsid w:val="00151303"/>
    <w:rsid w:val="00151AFC"/>
    <w:rsid w:val="00151B42"/>
    <w:rsid w:val="001523AC"/>
    <w:rsid w:val="001525C7"/>
    <w:rsid w:val="00152EEE"/>
    <w:rsid w:val="00154C6F"/>
    <w:rsid w:val="0016043F"/>
    <w:rsid w:val="0016135D"/>
    <w:rsid w:val="00161469"/>
    <w:rsid w:val="00161614"/>
    <w:rsid w:val="00161A2B"/>
    <w:rsid w:val="00162674"/>
    <w:rsid w:val="0016286E"/>
    <w:rsid w:val="00162CC4"/>
    <w:rsid w:val="00163329"/>
    <w:rsid w:val="0016438F"/>
    <w:rsid w:val="0016459C"/>
    <w:rsid w:val="00165277"/>
    <w:rsid w:val="0016549B"/>
    <w:rsid w:val="00165B03"/>
    <w:rsid w:val="00166E3A"/>
    <w:rsid w:val="00167950"/>
    <w:rsid w:val="00167E34"/>
    <w:rsid w:val="00170122"/>
    <w:rsid w:val="001710F9"/>
    <w:rsid w:val="0017168E"/>
    <w:rsid w:val="001716A8"/>
    <w:rsid w:val="00172292"/>
    <w:rsid w:val="001725E3"/>
    <w:rsid w:val="0017305B"/>
    <w:rsid w:val="0017496A"/>
    <w:rsid w:val="00174A92"/>
    <w:rsid w:val="001750AA"/>
    <w:rsid w:val="00175FE3"/>
    <w:rsid w:val="0017691E"/>
    <w:rsid w:val="00176E9F"/>
    <w:rsid w:val="00177BAC"/>
    <w:rsid w:val="00181D5E"/>
    <w:rsid w:val="00182247"/>
    <w:rsid w:val="001822DA"/>
    <w:rsid w:val="00182448"/>
    <w:rsid w:val="00183051"/>
    <w:rsid w:val="00183519"/>
    <w:rsid w:val="0018400A"/>
    <w:rsid w:val="00184588"/>
    <w:rsid w:val="00184593"/>
    <w:rsid w:val="001846E7"/>
    <w:rsid w:val="00184CCD"/>
    <w:rsid w:val="0018505F"/>
    <w:rsid w:val="00185227"/>
    <w:rsid w:val="001867D7"/>
    <w:rsid w:val="001871B8"/>
    <w:rsid w:val="00187E78"/>
    <w:rsid w:val="00190A17"/>
    <w:rsid w:val="00191554"/>
    <w:rsid w:val="00191A34"/>
    <w:rsid w:val="00191A3E"/>
    <w:rsid w:val="001925B5"/>
    <w:rsid w:val="00192A7A"/>
    <w:rsid w:val="00192B43"/>
    <w:rsid w:val="001933DF"/>
    <w:rsid w:val="0019499A"/>
    <w:rsid w:val="00195065"/>
    <w:rsid w:val="001955EC"/>
    <w:rsid w:val="00195F4A"/>
    <w:rsid w:val="00196DE5"/>
    <w:rsid w:val="00197114"/>
    <w:rsid w:val="001972E2"/>
    <w:rsid w:val="00197613"/>
    <w:rsid w:val="00197BA8"/>
    <w:rsid w:val="001A13C7"/>
    <w:rsid w:val="001A24DE"/>
    <w:rsid w:val="001A2E56"/>
    <w:rsid w:val="001A4E14"/>
    <w:rsid w:val="001A4E43"/>
    <w:rsid w:val="001A5631"/>
    <w:rsid w:val="001A750B"/>
    <w:rsid w:val="001A7EF0"/>
    <w:rsid w:val="001A7F95"/>
    <w:rsid w:val="001B045E"/>
    <w:rsid w:val="001B10EC"/>
    <w:rsid w:val="001B1D2C"/>
    <w:rsid w:val="001B247C"/>
    <w:rsid w:val="001B26E3"/>
    <w:rsid w:val="001B28D6"/>
    <w:rsid w:val="001B29E5"/>
    <w:rsid w:val="001B39B6"/>
    <w:rsid w:val="001B3DB8"/>
    <w:rsid w:val="001B5104"/>
    <w:rsid w:val="001B650D"/>
    <w:rsid w:val="001B6A2B"/>
    <w:rsid w:val="001B6AC6"/>
    <w:rsid w:val="001B6B3B"/>
    <w:rsid w:val="001B767A"/>
    <w:rsid w:val="001B78B1"/>
    <w:rsid w:val="001B7E0D"/>
    <w:rsid w:val="001C1039"/>
    <w:rsid w:val="001C15AB"/>
    <w:rsid w:val="001C1824"/>
    <w:rsid w:val="001C199A"/>
    <w:rsid w:val="001C24A0"/>
    <w:rsid w:val="001C3590"/>
    <w:rsid w:val="001C3DB3"/>
    <w:rsid w:val="001C4B04"/>
    <w:rsid w:val="001C4BC5"/>
    <w:rsid w:val="001C5E7F"/>
    <w:rsid w:val="001C6505"/>
    <w:rsid w:val="001C668C"/>
    <w:rsid w:val="001C6CAA"/>
    <w:rsid w:val="001C7D34"/>
    <w:rsid w:val="001D0990"/>
    <w:rsid w:val="001D19D7"/>
    <w:rsid w:val="001D235D"/>
    <w:rsid w:val="001D381A"/>
    <w:rsid w:val="001D40B9"/>
    <w:rsid w:val="001D4540"/>
    <w:rsid w:val="001D49AD"/>
    <w:rsid w:val="001D68B2"/>
    <w:rsid w:val="001E007B"/>
    <w:rsid w:val="001E1F76"/>
    <w:rsid w:val="001E2356"/>
    <w:rsid w:val="001E2937"/>
    <w:rsid w:val="001E2A06"/>
    <w:rsid w:val="001E397F"/>
    <w:rsid w:val="001E4ECA"/>
    <w:rsid w:val="001E5F1B"/>
    <w:rsid w:val="001E5F1D"/>
    <w:rsid w:val="001E76AE"/>
    <w:rsid w:val="001E7D1F"/>
    <w:rsid w:val="001F0A21"/>
    <w:rsid w:val="001F13AB"/>
    <w:rsid w:val="001F14B4"/>
    <w:rsid w:val="001F17CB"/>
    <w:rsid w:val="001F1BC7"/>
    <w:rsid w:val="001F1CEF"/>
    <w:rsid w:val="001F2C19"/>
    <w:rsid w:val="001F2CE0"/>
    <w:rsid w:val="001F2F3F"/>
    <w:rsid w:val="001F4651"/>
    <w:rsid w:val="001F49B5"/>
    <w:rsid w:val="001F4FBD"/>
    <w:rsid w:val="001F56CA"/>
    <w:rsid w:val="001F5804"/>
    <w:rsid w:val="001F5E2C"/>
    <w:rsid w:val="001F5E45"/>
    <w:rsid w:val="001F7AD9"/>
    <w:rsid w:val="001F7E68"/>
    <w:rsid w:val="00200F04"/>
    <w:rsid w:val="00201386"/>
    <w:rsid w:val="0020168A"/>
    <w:rsid w:val="002020F6"/>
    <w:rsid w:val="0020490A"/>
    <w:rsid w:val="00204BA4"/>
    <w:rsid w:val="00206CE2"/>
    <w:rsid w:val="00207442"/>
    <w:rsid w:val="00207486"/>
    <w:rsid w:val="002100DA"/>
    <w:rsid w:val="002106CD"/>
    <w:rsid w:val="0021091D"/>
    <w:rsid w:val="002109D1"/>
    <w:rsid w:val="00211201"/>
    <w:rsid w:val="00211220"/>
    <w:rsid w:val="00211A5D"/>
    <w:rsid w:val="0021258C"/>
    <w:rsid w:val="0021570D"/>
    <w:rsid w:val="00216333"/>
    <w:rsid w:val="0021637B"/>
    <w:rsid w:val="00216C9A"/>
    <w:rsid w:val="00217D23"/>
    <w:rsid w:val="00221499"/>
    <w:rsid w:val="00221D21"/>
    <w:rsid w:val="002221F0"/>
    <w:rsid w:val="00222FF8"/>
    <w:rsid w:val="002231FF"/>
    <w:rsid w:val="002239DF"/>
    <w:rsid w:val="00223A9A"/>
    <w:rsid w:val="00223AB3"/>
    <w:rsid w:val="0022426D"/>
    <w:rsid w:val="0022503A"/>
    <w:rsid w:val="002268C1"/>
    <w:rsid w:val="00227A48"/>
    <w:rsid w:val="002301C5"/>
    <w:rsid w:val="0023023A"/>
    <w:rsid w:val="002310C1"/>
    <w:rsid w:val="0023121C"/>
    <w:rsid w:val="00231DB4"/>
    <w:rsid w:val="0023246E"/>
    <w:rsid w:val="00232C1C"/>
    <w:rsid w:val="002332E6"/>
    <w:rsid w:val="00233699"/>
    <w:rsid w:val="002337F9"/>
    <w:rsid w:val="00233DC7"/>
    <w:rsid w:val="00234D41"/>
    <w:rsid w:val="0023566A"/>
    <w:rsid w:val="00235ADE"/>
    <w:rsid w:val="00237599"/>
    <w:rsid w:val="002378C8"/>
    <w:rsid w:val="00237C89"/>
    <w:rsid w:val="00237E40"/>
    <w:rsid w:val="00240D8E"/>
    <w:rsid w:val="002413DE"/>
    <w:rsid w:val="00241400"/>
    <w:rsid w:val="002414DD"/>
    <w:rsid w:val="002427B5"/>
    <w:rsid w:val="00243568"/>
    <w:rsid w:val="002438E1"/>
    <w:rsid w:val="00243B2D"/>
    <w:rsid w:val="00243CBE"/>
    <w:rsid w:val="0024452C"/>
    <w:rsid w:val="00244F41"/>
    <w:rsid w:val="0024654D"/>
    <w:rsid w:val="002468BB"/>
    <w:rsid w:val="00246C12"/>
    <w:rsid w:val="00246E13"/>
    <w:rsid w:val="0024709E"/>
    <w:rsid w:val="002474CF"/>
    <w:rsid w:val="00247779"/>
    <w:rsid w:val="00247AD3"/>
    <w:rsid w:val="00250B73"/>
    <w:rsid w:val="002520DA"/>
    <w:rsid w:val="002524FF"/>
    <w:rsid w:val="002529E0"/>
    <w:rsid w:val="00253A9A"/>
    <w:rsid w:val="0025447A"/>
    <w:rsid w:val="00254B29"/>
    <w:rsid w:val="00254CAB"/>
    <w:rsid w:val="0025531E"/>
    <w:rsid w:val="002553E3"/>
    <w:rsid w:val="002560D1"/>
    <w:rsid w:val="002566AA"/>
    <w:rsid w:val="00256DD8"/>
    <w:rsid w:val="00257FF2"/>
    <w:rsid w:val="00261A16"/>
    <w:rsid w:val="00261EF6"/>
    <w:rsid w:val="002623F9"/>
    <w:rsid w:val="00263102"/>
    <w:rsid w:val="00263CE9"/>
    <w:rsid w:val="00264474"/>
    <w:rsid w:val="00264A6F"/>
    <w:rsid w:val="00264A7A"/>
    <w:rsid w:val="00264B57"/>
    <w:rsid w:val="00264EF4"/>
    <w:rsid w:val="0026605A"/>
    <w:rsid w:val="00266106"/>
    <w:rsid w:val="00266B84"/>
    <w:rsid w:val="00266C33"/>
    <w:rsid w:val="00267AA6"/>
    <w:rsid w:val="0027090B"/>
    <w:rsid w:val="00270FF4"/>
    <w:rsid w:val="0027105E"/>
    <w:rsid w:val="0027122B"/>
    <w:rsid w:val="0027184B"/>
    <w:rsid w:val="00271A22"/>
    <w:rsid w:val="00271CCB"/>
    <w:rsid w:val="002720DA"/>
    <w:rsid w:val="00272215"/>
    <w:rsid w:val="00272311"/>
    <w:rsid w:val="002726A1"/>
    <w:rsid w:val="00272978"/>
    <w:rsid w:val="00272AD3"/>
    <w:rsid w:val="00272CB3"/>
    <w:rsid w:val="00273C2B"/>
    <w:rsid w:val="00273DF0"/>
    <w:rsid w:val="00274BEF"/>
    <w:rsid w:val="0027604A"/>
    <w:rsid w:val="002761AF"/>
    <w:rsid w:val="00276725"/>
    <w:rsid w:val="00277889"/>
    <w:rsid w:val="00277A1C"/>
    <w:rsid w:val="00277B79"/>
    <w:rsid w:val="00277B9A"/>
    <w:rsid w:val="00277E89"/>
    <w:rsid w:val="002808C4"/>
    <w:rsid w:val="002818A3"/>
    <w:rsid w:val="00281AA0"/>
    <w:rsid w:val="00282928"/>
    <w:rsid w:val="00282E6A"/>
    <w:rsid w:val="00282EA3"/>
    <w:rsid w:val="00283BBF"/>
    <w:rsid w:val="0028412E"/>
    <w:rsid w:val="002842A7"/>
    <w:rsid w:val="00284A4B"/>
    <w:rsid w:val="00284FF1"/>
    <w:rsid w:val="00285BEE"/>
    <w:rsid w:val="0028688D"/>
    <w:rsid w:val="002871AC"/>
    <w:rsid w:val="00287263"/>
    <w:rsid w:val="002879BB"/>
    <w:rsid w:val="00290938"/>
    <w:rsid w:val="00291271"/>
    <w:rsid w:val="00293553"/>
    <w:rsid w:val="002936F9"/>
    <w:rsid w:val="00293E17"/>
    <w:rsid w:val="0029533F"/>
    <w:rsid w:val="00295B2D"/>
    <w:rsid w:val="00296061"/>
    <w:rsid w:val="0029691B"/>
    <w:rsid w:val="002A0010"/>
    <w:rsid w:val="002A105A"/>
    <w:rsid w:val="002A2704"/>
    <w:rsid w:val="002A2709"/>
    <w:rsid w:val="002A3A65"/>
    <w:rsid w:val="002A5560"/>
    <w:rsid w:val="002A5C20"/>
    <w:rsid w:val="002A5EB5"/>
    <w:rsid w:val="002A6271"/>
    <w:rsid w:val="002A73DC"/>
    <w:rsid w:val="002A7C9B"/>
    <w:rsid w:val="002B0022"/>
    <w:rsid w:val="002B0116"/>
    <w:rsid w:val="002B044F"/>
    <w:rsid w:val="002B06EB"/>
    <w:rsid w:val="002B073F"/>
    <w:rsid w:val="002B08A1"/>
    <w:rsid w:val="002B2FEE"/>
    <w:rsid w:val="002B30AF"/>
    <w:rsid w:val="002B32C7"/>
    <w:rsid w:val="002B3EE7"/>
    <w:rsid w:val="002B4098"/>
    <w:rsid w:val="002B420E"/>
    <w:rsid w:val="002B507D"/>
    <w:rsid w:val="002B55BB"/>
    <w:rsid w:val="002B6374"/>
    <w:rsid w:val="002C012F"/>
    <w:rsid w:val="002C202C"/>
    <w:rsid w:val="002C2AB1"/>
    <w:rsid w:val="002C3093"/>
    <w:rsid w:val="002C3DFF"/>
    <w:rsid w:val="002C4867"/>
    <w:rsid w:val="002C4890"/>
    <w:rsid w:val="002C663A"/>
    <w:rsid w:val="002C6CA0"/>
    <w:rsid w:val="002C7A08"/>
    <w:rsid w:val="002C7E64"/>
    <w:rsid w:val="002D09B7"/>
    <w:rsid w:val="002D0A87"/>
    <w:rsid w:val="002D0C9D"/>
    <w:rsid w:val="002D1125"/>
    <w:rsid w:val="002D170E"/>
    <w:rsid w:val="002D210F"/>
    <w:rsid w:val="002D31EB"/>
    <w:rsid w:val="002D3EBE"/>
    <w:rsid w:val="002D5492"/>
    <w:rsid w:val="002D5929"/>
    <w:rsid w:val="002D5E26"/>
    <w:rsid w:val="002D66E1"/>
    <w:rsid w:val="002D69BA"/>
    <w:rsid w:val="002D70A9"/>
    <w:rsid w:val="002D7256"/>
    <w:rsid w:val="002D7294"/>
    <w:rsid w:val="002D738D"/>
    <w:rsid w:val="002E175F"/>
    <w:rsid w:val="002E2017"/>
    <w:rsid w:val="002E22CC"/>
    <w:rsid w:val="002E3CAC"/>
    <w:rsid w:val="002E476A"/>
    <w:rsid w:val="002E4F5D"/>
    <w:rsid w:val="002E5581"/>
    <w:rsid w:val="002E6464"/>
    <w:rsid w:val="002E6745"/>
    <w:rsid w:val="002E6F14"/>
    <w:rsid w:val="002E74D1"/>
    <w:rsid w:val="002F031F"/>
    <w:rsid w:val="002F190D"/>
    <w:rsid w:val="002F2597"/>
    <w:rsid w:val="002F34BA"/>
    <w:rsid w:val="002F3DFA"/>
    <w:rsid w:val="002F4E8D"/>
    <w:rsid w:val="002F6906"/>
    <w:rsid w:val="002F6F08"/>
    <w:rsid w:val="002F7701"/>
    <w:rsid w:val="002F7F07"/>
    <w:rsid w:val="00300130"/>
    <w:rsid w:val="003006B4"/>
    <w:rsid w:val="00300B80"/>
    <w:rsid w:val="00300FDD"/>
    <w:rsid w:val="00301A77"/>
    <w:rsid w:val="00302088"/>
    <w:rsid w:val="003021C3"/>
    <w:rsid w:val="00302AEE"/>
    <w:rsid w:val="00302BB6"/>
    <w:rsid w:val="00304055"/>
    <w:rsid w:val="00304485"/>
    <w:rsid w:val="00304BB6"/>
    <w:rsid w:val="003052AB"/>
    <w:rsid w:val="003059EF"/>
    <w:rsid w:val="00305ADE"/>
    <w:rsid w:val="00306E32"/>
    <w:rsid w:val="00307E17"/>
    <w:rsid w:val="0031005B"/>
    <w:rsid w:val="00310494"/>
    <w:rsid w:val="003114B2"/>
    <w:rsid w:val="003115AF"/>
    <w:rsid w:val="0031222D"/>
    <w:rsid w:val="00312770"/>
    <w:rsid w:val="0031369E"/>
    <w:rsid w:val="0031425A"/>
    <w:rsid w:val="003152D5"/>
    <w:rsid w:val="0031552C"/>
    <w:rsid w:val="00315912"/>
    <w:rsid w:val="003160D7"/>
    <w:rsid w:val="0031707D"/>
    <w:rsid w:val="00317AE1"/>
    <w:rsid w:val="0032081C"/>
    <w:rsid w:val="00321831"/>
    <w:rsid w:val="00321C1E"/>
    <w:rsid w:val="00321F07"/>
    <w:rsid w:val="00322B87"/>
    <w:rsid w:val="00322BBC"/>
    <w:rsid w:val="00322C31"/>
    <w:rsid w:val="00325274"/>
    <w:rsid w:val="003252DE"/>
    <w:rsid w:val="0032569E"/>
    <w:rsid w:val="00325B5A"/>
    <w:rsid w:val="00325F7F"/>
    <w:rsid w:val="00326EA8"/>
    <w:rsid w:val="00327187"/>
    <w:rsid w:val="00327C8D"/>
    <w:rsid w:val="00331B92"/>
    <w:rsid w:val="0033225F"/>
    <w:rsid w:val="00332BA1"/>
    <w:rsid w:val="0033344A"/>
    <w:rsid w:val="00334250"/>
    <w:rsid w:val="003349CC"/>
    <w:rsid w:val="00335342"/>
    <w:rsid w:val="00335C1F"/>
    <w:rsid w:val="00336107"/>
    <w:rsid w:val="00336890"/>
    <w:rsid w:val="00337901"/>
    <w:rsid w:val="00337AF6"/>
    <w:rsid w:val="00337CE2"/>
    <w:rsid w:val="00340368"/>
    <w:rsid w:val="003426FC"/>
    <w:rsid w:val="00344A4D"/>
    <w:rsid w:val="00344A5B"/>
    <w:rsid w:val="00344C4A"/>
    <w:rsid w:val="00344DBA"/>
    <w:rsid w:val="00345B50"/>
    <w:rsid w:val="0034602D"/>
    <w:rsid w:val="00346F83"/>
    <w:rsid w:val="00347C23"/>
    <w:rsid w:val="003502DF"/>
    <w:rsid w:val="00350FFF"/>
    <w:rsid w:val="0035143E"/>
    <w:rsid w:val="00351A36"/>
    <w:rsid w:val="0035219E"/>
    <w:rsid w:val="0035221C"/>
    <w:rsid w:val="00352A0D"/>
    <w:rsid w:val="0035306F"/>
    <w:rsid w:val="00353307"/>
    <w:rsid w:val="00353321"/>
    <w:rsid w:val="0035339E"/>
    <w:rsid w:val="00353495"/>
    <w:rsid w:val="00353C0A"/>
    <w:rsid w:val="003543C3"/>
    <w:rsid w:val="003549EA"/>
    <w:rsid w:val="00354BC4"/>
    <w:rsid w:val="00354DB0"/>
    <w:rsid w:val="003558F0"/>
    <w:rsid w:val="00356F67"/>
    <w:rsid w:val="00357D17"/>
    <w:rsid w:val="00360A89"/>
    <w:rsid w:val="00361716"/>
    <w:rsid w:val="00361F9D"/>
    <w:rsid w:val="00362CB3"/>
    <w:rsid w:val="00363610"/>
    <w:rsid w:val="00364E8F"/>
    <w:rsid w:val="00364FA3"/>
    <w:rsid w:val="00366B2A"/>
    <w:rsid w:val="00366C70"/>
    <w:rsid w:val="0036766B"/>
    <w:rsid w:val="00367F34"/>
    <w:rsid w:val="00370818"/>
    <w:rsid w:val="003710BE"/>
    <w:rsid w:val="003714CC"/>
    <w:rsid w:val="00371960"/>
    <w:rsid w:val="0037261B"/>
    <w:rsid w:val="00372885"/>
    <w:rsid w:val="00372E42"/>
    <w:rsid w:val="0037365A"/>
    <w:rsid w:val="00373C44"/>
    <w:rsid w:val="00374144"/>
    <w:rsid w:val="003741F6"/>
    <w:rsid w:val="0037496A"/>
    <w:rsid w:val="0037548D"/>
    <w:rsid w:val="00376D44"/>
    <w:rsid w:val="00377841"/>
    <w:rsid w:val="00380E6D"/>
    <w:rsid w:val="0038124C"/>
    <w:rsid w:val="003812CF"/>
    <w:rsid w:val="00381A09"/>
    <w:rsid w:val="00382610"/>
    <w:rsid w:val="0038288B"/>
    <w:rsid w:val="003834C4"/>
    <w:rsid w:val="00383ECB"/>
    <w:rsid w:val="00384083"/>
    <w:rsid w:val="00384D67"/>
    <w:rsid w:val="0038537E"/>
    <w:rsid w:val="003857A4"/>
    <w:rsid w:val="00385B2A"/>
    <w:rsid w:val="00385B8F"/>
    <w:rsid w:val="00385DF3"/>
    <w:rsid w:val="003861EF"/>
    <w:rsid w:val="00387211"/>
    <w:rsid w:val="00387328"/>
    <w:rsid w:val="0038787D"/>
    <w:rsid w:val="00387E91"/>
    <w:rsid w:val="0039006A"/>
    <w:rsid w:val="003907C8"/>
    <w:rsid w:val="0039086A"/>
    <w:rsid w:val="00390C2E"/>
    <w:rsid w:val="0039123E"/>
    <w:rsid w:val="00391A85"/>
    <w:rsid w:val="00391A8E"/>
    <w:rsid w:val="0039280C"/>
    <w:rsid w:val="00393985"/>
    <w:rsid w:val="003947CA"/>
    <w:rsid w:val="00395291"/>
    <w:rsid w:val="003961E2"/>
    <w:rsid w:val="0039642A"/>
    <w:rsid w:val="00396E92"/>
    <w:rsid w:val="00397268"/>
    <w:rsid w:val="003975A5"/>
    <w:rsid w:val="00397744"/>
    <w:rsid w:val="003A07E0"/>
    <w:rsid w:val="003A143B"/>
    <w:rsid w:val="003A17D9"/>
    <w:rsid w:val="003A188D"/>
    <w:rsid w:val="003A19B1"/>
    <w:rsid w:val="003A1D96"/>
    <w:rsid w:val="003A2405"/>
    <w:rsid w:val="003A271E"/>
    <w:rsid w:val="003A289A"/>
    <w:rsid w:val="003A32D2"/>
    <w:rsid w:val="003A366F"/>
    <w:rsid w:val="003A390E"/>
    <w:rsid w:val="003A3DF3"/>
    <w:rsid w:val="003A4537"/>
    <w:rsid w:val="003A4747"/>
    <w:rsid w:val="003A49EE"/>
    <w:rsid w:val="003A53AF"/>
    <w:rsid w:val="003A57D2"/>
    <w:rsid w:val="003A5E11"/>
    <w:rsid w:val="003B0839"/>
    <w:rsid w:val="003B193B"/>
    <w:rsid w:val="003B29AC"/>
    <w:rsid w:val="003B4F7D"/>
    <w:rsid w:val="003B543D"/>
    <w:rsid w:val="003B5779"/>
    <w:rsid w:val="003B5EFA"/>
    <w:rsid w:val="003B69A9"/>
    <w:rsid w:val="003B71CA"/>
    <w:rsid w:val="003B75A2"/>
    <w:rsid w:val="003B7E7E"/>
    <w:rsid w:val="003B7FCF"/>
    <w:rsid w:val="003C0181"/>
    <w:rsid w:val="003C0465"/>
    <w:rsid w:val="003C0763"/>
    <w:rsid w:val="003C0B89"/>
    <w:rsid w:val="003C15F4"/>
    <w:rsid w:val="003C1C61"/>
    <w:rsid w:val="003C2045"/>
    <w:rsid w:val="003C2C15"/>
    <w:rsid w:val="003C33F5"/>
    <w:rsid w:val="003C38D0"/>
    <w:rsid w:val="003C3FFA"/>
    <w:rsid w:val="003C4795"/>
    <w:rsid w:val="003C4E12"/>
    <w:rsid w:val="003C5BBC"/>
    <w:rsid w:val="003C6901"/>
    <w:rsid w:val="003C6915"/>
    <w:rsid w:val="003C6B70"/>
    <w:rsid w:val="003C6E0E"/>
    <w:rsid w:val="003C729C"/>
    <w:rsid w:val="003C745F"/>
    <w:rsid w:val="003C758B"/>
    <w:rsid w:val="003C773E"/>
    <w:rsid w:val="003C7FB6"/>
    <w:rsid w:val="003D04CF"/>
    <w:rsid w:val="003D0944"/>
    <w:rsid w:val="003D2260"/>
    <w:rsid w:val="003D3F7F"/>
    <w:rsid w:val="003D4B53"/>
    <w:rsid w:val="003D549C"/>
    <w:rsid w:val="003D6B27"/>
    <w:rsid w:val="003D7712"/>
    <w:rsid w:val="003D7925"/>
    <w:rsid w:val="003D7A98"/>
    <w:rsid w:val="003E06D5"/>
    <w:rsid w:val="003E111A"/>
    <w:rsid w:val="003E2879"/>
    <w:rsid w:val="003E2E07"/>
    <w:rsid w:val="003E3D59"/>
    <w:rsid w:val="003E3F0D"/>
    <w:rsid w:val="003E416D"/>
    <w:rsid w:val="003E49AA"/>
    <w:rsid w:val="003E56DB"/>
    <w:rsid w:val="003E64CC"/>
    <w:rsid w:val="003E771B"/>
    <w:rsid w:val="003F005D"/>
    <w:rsid w:val="003F1114"/>
    <w:rsid w:val="003F12EA"/>
    <w:rsid w:val="003F3D7B"/>
    <w:rsid w:val="003F4082"/>
    <w:rsid w:val="003F4690"/>
    <w:rsid w:val="003F650E"/>
    <w:rsid w:val="003F6FCC"/>
    <w:rsid w:val="003F75F8"/>
    <w:rsid w:val="00400590"/>
    <w:rsid w:val="004009CD"/>
    <w:rsid w:val="00401393"/>
    <w:rsid w:val="00401D3F"/>
    <w:rsid w:val="00402517"/>
    <w:rsid w:val="00402F4E"/>
    <w:rsid w:val="0040335D"/>
    <w:rsid w:val="0040351B"/>
    <w:rsid w:val="00403938"/>
    <w:rsid w:val="00404813"/>
    <w:rsid w:val="00404A8E"/>
    <w:rsid w:val="0040503C"/>
    <w:rsid w:val="004056F6"/>
    <w:rsid w:val="00410172"/>
    <w:rsid w:val="004108A7"/>
    <w:rsid w:val="00410BA0"/>
    <w:rsid w:val="00410E1E"/>
    <w:rsid w:val="0041150C"/>
    <w:rsid w:val="00412AF5"/>
    <w:rsid w:val="00412C10"/>
    <w:rsid w:val="00412C8C"/>
    <w:rsid w:val="00413BCD"/>
    <w:rsid w:val="00413D1C"/>
    <w:rsid w:val="00413E3B"/>
    <w:rsid w:val="004142CF"/>
    <w:rsid w:val="004144BE"/>
    <w:rsid w:val="00415A3B"/>
    <w:rsid w:val="0041781D"/>
    <w:rsid w:val="0042061C"/>
    <w:rsid w:val="0042128A"/>
    <w:rsid w:val="00421C68"/>
    <w:rsid w:val="00422376"/>
    <w:rsid w:val="0042300B"/>
    <w:rsid w:val="004231B8"/>
    <w:rsid w:val="00424DE9"/>
    <w:rsid w:val="004250A8"/>
    <w:rsid w:val="004252F0"/>
    <w:rsid w:val="0042559E"/>
    <w:rsid w:val="0042601F"/>
    <w:rsid w:val="004260D5"/>
    <w:rsid w:val="00426397"/>
    <w:rsid w:val="0042648E"/>
    <w:rsid w:val="00426A9A"/>
    <w:rsid w:val="00426F60"/>
    <w:rsid w:val="00427318"/>
    <w:rsid w:val="004311EE"/>
    <w:rsid w:val="00431772"/>
    <w:rsid w:val="00432643"/>
    <w:rsid w:val="004327FB"/>
    <w:rsid w:val="004330C0"/>
    <w:rsid w:val="004331B7"/>
    <w:rsid w:val="004334BE"/>
    <w:rsid w:val="00433D36"/>
    <w:rsid w:val="00433F30"/>
    <w:rsid w:val="004343D1"/>
    <w:rsid w:val="0043453C"/>
    <w:rsid w:val="004352DC"/>
    <w:rsid w:val="0043687E"/>
    <w:rsid w:val="0043743C"/>
    <w:rsid w:val="00440B2A"/>
    <w:rsid w:val="00440DA8"/>
    <w:rsid w:val="00440E12"/>
    <w:rsid w:val="00442447"/>
    <w:rsid w:val="00442EED"/>
    <w:rsid w:val="0044348C"/>
    <w:rsid w:val="00443F77"/>
    <w:rsid w:val="00444CBB"/>
    <w:rsid w:val="004459E9"/>
    <w:rsid w:val="00445B6C"/>
    <w:rsid w:val="004460C5"/>
    <w:rsid w:val="00446545"/>
    <w:rsid w:val="00446691"/>
    <w:rsid w:val="004467D7"/>
    <w:rsid w:val="00447A96"/>
    <w:rsid w:val="004502BF"/>
    <w:rsid w:val="00450AB9"/>
    <w:rsid w:val="00451320"/>
    <w:rsid w:val="004515EE"/>
    <w:rsid w:val="00451609"/>
    <w:rsid w:val="0045172D"/>
    <w:rsid w:val="004517A1"/>
    <w:rsid w:val="00452238"/>
    <w:rsid w:val="00452928"/>
    <w:rsid w:val="004535D0"/>
    <w:rsid w:val="004537F6"/>
    <w:rsid w:val="00453E1D"/>
    <w:rsid w:val="004541AA"/>
    <w:rsid w:val="00454B87"/>
    <w:rsid w:val="00454F18"/>
    <w:rsid w:val="004553B8"/>
    <w:rsid w:val="00455523"/>
    <w:rsid w:val="004566D4"/>
    <w:rsid w:val="004566F6"/>
    <w:rsid w:val="0045704B"/>
    <w:rsid w:val="0045726E"/>
    <w:rsid w:val="00457C95"/>
    <w:rsid w:val="00457E76"/>
    <w:rsid w:val="004602EC"/>
    <w:rsid w:val="0046085C"/>
    <w:rsid w:val="00460CE9"/>
    <w:rsid w:val="004611C2"/>
    <w:rsid w:val="004615BA"/>
    <w:rsid w:val="00461C11"/>
    <w:rsid w:val="00461C9A"/>
    <w:rsid w:val="00463EA9"/>
    <w:rsid w:val="00464406"/>
    <w:rsid w:val="00464E5A"/>
    <w:rsid w:val="00466AB1"/>
    <w:rsid w:val="004670B0"/>
    <w:rsid w:val="004704D0"/>
    <w:rsid w:val="004705CD"/>
    <w:rsid w:val="00470610"/>
    <w:rsid w:val="00470F08"/>
    <w:rsid w:val="004739A7"/>
    <w:rsid w:val="004741E7"/>
    <w:rsid w:val="0047614A"/>
    <w:rsid w:val="00477052"/>
    <w:rsid w:val="004771A1"/>
    <w:rsid w:val="00477987"/>
    <w:rsid w:val="00477A84"/>
    <w:rsid w:val="00477A95"/>
    <w:rsid w:val="004806CE"/>
    <w:rsid w:val="00480C1F"/>
    <w:rsid w:val="00480C7D"/>
    <w:rsid w:val="0048118F"/>
    <w:rsid w:val="00481365"/>
    <w:rsid w:val="004814C0"/>
    <w:rsid w:val="00481733"/>
    <w:rsid w:val="00482B80"/>
    <w:rsid w:val="004833C9"/>
    <w:rsid w:val="0048524E"/>
    <w:rsid w:val="00485401"/>
    <w:rsid w:val="00485449"/>
    <w:rsid w:val="0048603A"/>
    <w:rsid w:val="00486210"/>
    <w:rsid w:val="00487D46"/>
    <w:rsid w:val="00490582"/>
    <w:rsid w:val="00490ACF"/>
    <w:rsid w:val="00491710"/>
    <w:rsid w:val="004918FE"/>
    <w:rsid w:val="00492C22"/>
    <w:rsid w:val="004936D2"/>
    <w:rsid w:val="004940CD"/>
    <w:rsid w:val="00494A8E"/>
    <w:rsid w:val="00495141"/>
    <w:rsid w:val="0049537A"/>
    <w:rsid w:val="00495728"/>
    <w:rsid w:val="00495B54"/>
    <w:rsid w:val="00496380"/>
    <w:rsid w:val="00496E8A"/>
    <w:rsid w:val="004A0971"/>
    <w:rsid w:val="004A0A21"/>
    <w:rsid w:val="004A0F87"/>
    <w:rsid w:val="004A10F5"/>
    <w:rsid w:val="004A15DE"/>
    <w:rsid w:val="004A3573"/>
    <w:rsid w:val="004A3DB6"/>
    <w:rsid w:val="004A467E"/>
    <w:rsid w:val="004A5036"/>
    <w:rsid w:val="004A7F7E"/>
    <w:rsid w:val="004B00C9"/>
    <w:rsid w:val="004B1E1D"/>
    <w:rsid w:val="004B3800"/>
    <w:rsid w:val="004B4BE1"/>
    <w:rsid w:val="004B53EF"/>
    <w:rsid w:val="004B541B"/>
    <w:rsid w:val="004B5E8B"/>
    <w:rsid w:val="004B66F8"/>
    <w:rsid w:val="004B6FC7"/>
    <w:rsid w:val="004B7511"/>
    <w:rsid w:val="004B7712"/>
    <w:rsid w:val="004B788B"/>
    <w:rsid w:val="004B7C9D"/>
    <w:rsid w:val="004C0069"/>
    <w:rsid w:val="004C19F5"/>
    <w:rsid w:val="004C1BE1"/>
    <w:rsid w:val="004C2627"/>
    <w:rsid w:val="004C2BEE"/>
    <w:rsid w:val="004C3123"/>
    <w:rsid w:val="004C4137"/>
    <w:rsid w:val="004C42B5"/>
    <w:rsid w:val="004C4CE1"/>
    <w:rsid w:val="004C5C2B"/>
    <w:rsid w:val="004C5E5D"/>
    <w:rsid w:val="004C7741"/>
    <w:rsid w:val="004C7836"/>
    <w:rsid w:val="004D0058"/>
    <w:rsid w:val="004D17F4"/>
    <w:rsid w:val="004D1B36"/>
    <w:rsid w:val="004D1FCF"/>
    <w:rsid w:val="004D3DBF"/>
    <w:rsid w:val="004D3E8F"/>
    <w:rsid w:val="004D4242"/>
    <w:rsid w:val="004D43E3"/>
    <w:rsid w:val="004D4680"/>
    <w:rsid w:val="004D4DCD"/>
    <w:rsid w:val="004D54A1"/>
    <w:rsid w:val="004D623F"/>
    <w:rsid w:val="004D6AB2"/>
    <w:rsid w:val="004E12B0"/>
    <w:rsid w:val="004E17EF"/>
    <w:rsid w:val="004E1B93"/>
    <w:rsid w:val="004E1C77"/>
    <w:rsid w:val="004E25C7"/>
    <w:rsid w:val="004E2BDA"/>
    <w:rsid w:val="004E340F"/>
    <w:rsid w:val="004E354E"/>
    <w:rsid w:val="004E47FC"/>
    <w:rsid w:val="004E5652"/>
    <w:rsid w:val="004E6070"/>
    <w:rsid w:val="004E785F"/>
    <w:rsid w:val="004F0C5C"/>
    <w:rsid w:val="004F0C68"/>
    <w:rsid w:val="004F1028"/>
    <w:rsid w:val="004F10DC"/>
    <w:rsid w:val="004F1442"/>
    <w:rsid w:val="004F1A16"/>
    <w:rsid w:val="004F3909"/>
    <w:rsid w:val="004F4398"/>
    <w:rsid w:val="004F4646"/>
    <w:rsid w:val="004F4756"/>
    <w:rsid w:val="004F57DD"/>
    <w:rsid w:val="004F6A14"/>
    <w:rsid w:val="004F73ED"/>
    <w:rsid w:val="005003C2"/>
    <w:rsid w:val="00500FFE"/>
    <w:rsid w:val="005025F8"/>
    <w:rsid w:val="00503EB4"/>
    <w:rsid w:val="00503FAB"/>
    <w:rsid w:val="005057A6"/>
    <w:rsid w:val="005062CD"/>
    <w:rsid w:val="005064F4"/>
    <w:rsid w:val="00510CC6"/>
    <w:rsid w:val="0051121D"/>
    <w:rsid w:val="0051139B"/>
    <w:rsid w:val="005138C4"/>
    <w:rsid w:val="00513C5D"/>
    <w:rsid w:val="00513C6F"/>
    <w:rsid w:val="0051420E"/>
    <w:rsid w:val="0051543A"/>
    <w:rsid w:val="00516676"/>
    <w:rsid w:val="0051684B"/>
    <w:rsid w:val="005170C9"/>
    <w:rsid w:val="0051736C"/>
    <w:rsid w:val="0051772A"/>
    <w:rsid w:val="00517B44"/>
    <w:rsid w:val="00520354"/>
    <w:rsid w:val="005208BD"/>
    <w:rsid w:val="005212B6"/>
    <w:rsid w:val="0052183B"/>
    <w:rsid w:val="005222D9"/>
    <w:rsid w:val="0052294C"/>
    <w:rsid w:val="00522C2A"/>
    <w:rsid w:val="00523257"/>
    <w:rsid w:val="005232FA"/>
    <w:rsid w:val="005238FC"/>
    <w:rsid w:val="00525206"/>
    <w:rsid w:val="0052651C"/>
    <w:rsid w:val="0052659C"/>
    <w:rsid w:val="00526B9B"/>
    <w:rsid w:val="005301C6"/>
    <w:rsid w:val="00530231"/>
    <w:rsid w:val="005302AA"/>
    <w:rsid w:val="00530398"/>
    <w:rsid w:val="005304D5"/>
    <w:rsid w:val="00531371"/>
    <w:rsid w:val="005314BC"/>
    <w:rsid w:val="005323C5"/>
    <w:rsid w:val="00532827"/>
    <w:rsid w:val="00532CC1"/>
    <w:rsid w:val="0053300B"/>
    <w:rsid w:val="005333A6"/>
    <w:rsid w:val="005339EC"/>
    <w:rsid w:val="005344FB"/>
    <w:rsid w:val="00534783"/>
    <w:rsid w:val="005347BE"/>
    <w:rsid w:val="00535CC6"/>
    <w:rsid w:val="0053645E"/>
    <w:rsid w:val="00536BEA"/>
    <w:rsid w:val="00536E05"/>
    <w:rsid w:val="0053723B"/>
    <w:rsid w:val="005378BB"/>
    <w:rsid w:val="00537EEE"/>
    <w:rsid w:val="00541278"/>
    <w:rsid w:val="00541419"/>
    <w:rsid w:val="00541ABF"/>
    <w:rsid w:val="0054205D"/>
    <w:rsid w:val="005421F4"/>
    <w:rsid w:val="005426B3"/>
    <w:rsid w:val="00542C39"/>
    <w:rsid w:val="005436EA"/>
    <w:rsid w:val="00543BC7"/>
    <w:rsid w:val="0054479A"/>
    <w:rsid w:val="00544CFA"/>
    <w:rsid w:val="005457E8"/>
    <w:rsid w:val="00546C21"/>
    <w:rsid w:val="00546F0E"/>
    <w:rsid w:val="005479EE"/>
    <w:rsid w:val="00550510"/>
    <w:rsid w:val="00551327"/>
    <w:rsid w:val="00551702"/>
    <w:rsid w:val="00551D13"/>
    <w:rsid w:val="00552413"/>
    <w:rsid w:val="00553197"/>
    <w:rsid w:val="00553840"/>
    <w:rsid w:val="005540D2"/>
    <w:rsid w:val="0055437C"/>
    <w:rsid w:val="0055465C"/>
    <w:rsid w:val="005567D2"/>
    <w:rsid w:val="00556A4A"/>
    <w:rsid w:val="00560AB9"/>
    <w:rsid w:val="00560E71"/>
    <w:rsid w:val="00561009"/>
    <w:rsid w:val="005619DB"/>
    <w:rsid w:val="005626D1"/>
    <w:rsid w:val="005628A5"/>
    <w:rsid w:val="00562DA7"/>
    <w:rsid w:val="005631DB"/>
    <w:rsid w:val="00563804"/>
    <w:rsid w:val="0056486F"/>
    <w:rsid w:val="00564A38"/>
    <w:rsid w:val="00564EF7"/>
    <w:rsid w:val="00565716"/>
    <w:rsid w:val="00565C2D"/>
    <w:rsid w:val="00566C4B"/>
    <w:rsid w:val="00567445"/>
    <w:rsid w:val="005704E7"/>
    <w:rsid w:val="00570824"/>
    <w:rsid w:val="0057158F"/>
    <w:rsid w:val="00571E3F"/>
    <w:rsid w:val="00573110"/>
    <w:rsid w:val="005736F9"/>
    <w:rsid w:val="00574039"/>
    <w:rsid w:val="005744F3"/>
    <w:rsid w:val="005748E3"/>
    <w:rsid w:val="00574A22"/>
    <w:rsid w:val="00574A5F"/>
    <w:rsid w:val="00575FFA"/>
    <w:rsid w:val="0057601B"/>
    <w:rsid w:val="00577451"/>
    <w:rsid w:val="00577B64"/>
    <w:rsid w:val="00577EEB"/>
    <w:rsid w:val="00580975"/>
    <w:rsid w:val="00581C52"/>
    <w:rsid w:val="00582DC6"/>
    <w:rsid w:val="005832CA"/>
    <w:rsid w:val="005835C8"/>
    <w:rsid w:val="00583C21"/>
    <w:rsid w:val="00583D35"/>
    <w:rsid w:val="00583EFE"/>
    <w:rsid w:val="005840A2"/>
    <w:rsid w:val="00584ACC"/>
    <w:rsid w:val="00584DEE"/>
    <w:rsid w:val="005850DA"/>
    <w:rsid w:val="00585157"/>
    <w:rsid w:val="005852B3"/>
    <w:rsid w:val="005856A0"/>
    <w:rsid w:val="00585F32"/>
    <w:rsid w:val="00586CAC"/>
    <w:rsid w:val="00587330"/>
    <w:rsid w:val="00592E4C"/>
    <w:rsid w:val="00593EC3"/>
    <w:rsid w:val="00594A55"/>
    <w:rsid w:val="0059544E"/>
    <w:rsid w:val="00596622"/>
    <w:rsid w:val="005968F4"/>
    <w:rsid w:val="005969F7"/>
    <w:rsid w:val="00596C58"/>
    <w:rsid w:val="00597727"/>
    <w:rsid w:val="00597994"/>
    <w:rsid w:val="005A1E8C"/>
    <w:rsid w:val="005A2514"/>
    <w:rsid w:val="005A2518"/>
    <w:rsid w:val="005A334F"/>
    <w:rsid w:val="005A3750"/>
    <w:rsid w:val="005A41B3"/>
    <w:rsid w:val="005A5020"/>
    <w:rsid w:val="005A523B"/>
    <w:rsid w:val="005A5336"/>
    <w:rsid w:val="005A6DA2"/>
    <w:rsid w:val="005A7083"/>
    <w:rsid w:val="005A7298"/>
    <w:rsid w:val="005A77B5"/>
    <w:rsid w:val="005A7A15"/>
    <w:rsid w:val="005A7D5D"/>
    <w:rsid w:val="005B160A"/>
    <w:rsid w:val="005B1D41"/>
    <w:rsid w:val="005B1EB6"/>
    <w:rsid w:val="005B25B3"/>
    <w:rsid w:val="005B3812"/>
    <w:rsid w:val="005B38EF"/>
    <w:rsid w:val="005B4351"/>
    <w:rsid w:val="005B4C1E"/>
    <w:rsid w:val="005B6F62"/>
    <w:rsid w:val="005B72D4"/>
    <w:rsid w:val="005B7BE0"/>
    <w:rsid w:val="005C08D1"/>
    <w:rsid w:val="005C1749"/>
    <w:rsid w:val="005C1DB9"/>
    <w:rsid w:val="005C2287"/>
    <w:rsid w:val="005C2423"/>
    <w:rsid w:val="005C2708"/>
    <w:rsid w:val="005C370F"/>
    <w:rsid w:val="005C4D1C"/>
    <w:rsid w:val="005C54A1"/>
    <w:rsid w:val="005C6801"/>
    <w:rsid w:val="005C6F0E"/>
    <w:rsid w:val="005C716F"/>
    <w:rsid w:val="005D1357"/>
    <w:rsid w:val="005D2494"/>
    <w:rsid w:val="005D2EF7"/>
    <w:rsid w:val="005D35BE"/>
    <w:rsid w:val="005D3AD8"/>
    <w:rsid w:val="005D4147"/>
    <w:rsid w:val="005D46D4"/>
    <w:rsid w:val="005D48A4"/>
    <w:rsid w:val="005D59DD"/>
    <w:rsid w:val="005D5CEB"/>
    <w:rsid w:val="005D620F"/>
    <w:rsid w:val="005D7903"/>
    <w:rsid w:val="005D7B86"/>
    <w:rsid w:val="005E2813"/>
    <w:rsid w:val="005E35FC"/>
    <w:rsid w:val="005E36DB"/>
    <w:rsid w:val="005E389A"/>
    <w:rsid w:val="005E40D1"/>
    <w:rsid w:val="005E4225"/>
    <w:rsid w:val="005E60B6"/>
    <w:rsid w:val="005E70AA"/>
    <w:rsid w:val="005F04AB"/>
    <w:rsid w:val="005F053A"/>
    <w:rsid w:val="005F0E94"/>
    <w:rsid w:val="005F131E"/>
    <w:rsid w:val="005F1ACB"/>
    <w:rsid w:val="005F3267"/>
    <w:rsid w:val="005F3D01"/>
    <w:rsid w:val="005F4080"/>
    <w:rsid w:val="005F4CFB"/>
    <w:rsid w:val="005F6E89"/>
    <w:rsid w:val="0060006F"/>
    <w:rsid w:val="006003E8"/>
    <w:rsid w:val="00600440"/>
    <w:rsid w:val="006014AD"/>
    <w:rsid w:val="00602357"/>
    <w:rsid w:val="006027CF"/>
    <w:rsid w:val="006028F3"/>
    <w:rsid w:val="006033F2"/>
    <w:rsid w:val="0060399F"/>
    <w:rsid w:val="00603A30"/>
    <w:rsid w:val="00603C88"/>
    <w:rsid w:val="006053B3"/>
    <w:rsid w:val="006058C1"/>
    <w:rsid w:val="006061D6"/>
    <w:rsid w:val="00606910"/>
    <w:rsid w:val="00607740"/>
    <w:rsid w:val="00610E10"/>
    <w:rsid w:val="006111B9"/>
    <w:rsid w:val="006113FB"/>
    <w:rsid w:val="00613716"/>
    <w:rsid w:val="00613F59"/>
    <w:rsid w:val="00614480"/>
    <w:rsid w:val="006145D9"/>
    <w:rsid w:val="00614809"/>
    <w:rsid w:val="00614865"/>
    <w:rsid w:val="00615FE0"/>
    <w:rsid w:val="00617F9B"/>
    <w:rsid w:val="00620568"/>
    <w:rsid w:val="006208F1"/>
    <w:rsid w:val="00621F21"/>
    <w:rsid w:val="00622189"/>
    <w:rsid w:val="006223EF"/>
    <w:rsid w:val="00622A25"/>
    <w:rsid w:val="00622C2E"/>
    <w:rsid w:val="00623B67"/>
    <w:rsid w:val="006250B2"/>
    <w:rsid w:val="00625839"/>
    <w:rsid w:val="00625BD6"/>
    <w:rsid w:val="00626E37"/>
    <w:rsid w:val="00627546"/>
    <w:rsid w:val="0062776B"/>
    <w:rsid w:val="00627E71"/>
    <w:rsid w:val="00631E4C"/>
    <w:rsid w:val="00632752"/>
    <w:rsid w:val="006329EA"/>
    <w:rsid w:val="00632B4A"/>
    <w:rsid w:val="00633C63"/>
    <w:rsid w:val="006352EB"/>
    <w:rsid w:val="00635735"/>
    <w:rsid w:val="0063660E"/>
    <w:rsid w:val="006370C7"/>
    <w:rsid w:val="00637E6F"/>
    <w:rsid w:val="00642051"/>
    <w:rsid w:val="006422C3"/>
    <w:rsid w:val="00643492"/>
    <w:rsid w:val="0064373C"/>
    <w:rsid w:val="00643A56"/>
    <w:rsid w:val="00643BB7"/>
    <w:rsid w:val="00645510"/>
    <w:rsid w:val="006455EB"/>
    <w:rsid w:val="00645944"/>
    <w:rsid w:val="00646276"/>
    <w:rsid w:val="00646CAA"/>
    <w:rsid w:val="00647E49"/>
    <w:rsid w:val="0065035A"/>
    <w:rsid w:val="006503B7"/>
    <w:rsid w:val="0065101E"/>
    <w:rsid w:val="00651289"/>
    <w:rsid w:val="006525BC"/>
    <w:rsid w:val="00652607"/>
    <w:rsid w:val="00652923"/>
    <w:rsid w:val="006530CA"/>
    <w:rsid w:val="00653531"/>
    <w:rsid w:val="00654127"/>
    <w:rsid w:val="006547E0"/>
    <w:rsid w:val="0065508A"/>
    <w:rsid w:val="00655B3B"/>
    <w:rsid w:val="00655F25"/>
    <w:rsid w:val="00656CA6"/>
    <w:rsid w:val="00660446"/>
    <w:rsid w:val="006608AF"/>
    <w:rsid w:val="00661A8D"/>
    <w:rsid w:val="00661EB1"/>
    <w:rsid w:val="0066239D"/>
    <w:rsid w:val="00663144"/>
    <w:rsid w:val="00663178"/>
    <w:rsid w:val="0066317D"/>
    <w:rsid w:val="006633D2"/>
    <w:rsid w:val="00663698"/>
    <w:rsid w:val="00663946"/>
    <w:rsid w:val="0066426A"/>
    <w:rsid w:val="00664310"/>
    <w:rsid w:val="006643FE"/>
    <w:rsid w:val="00664C63"/>
    <w:rsid w:val="00665238"/>
    <w:rsid w:val="006659E8"/>
    <w:rsid w:val="00666283"/>
    <w:rsid w:val="006669C3"/>
    <w:rsid w:val="00666A9E"/>
    <w:rsid w:val="00670BE5"/>
    <w:rsid w:val="00673605"/>
    <w:rsid w:val="00673702"/>
    <w:rsid w:val="00673DDD"/>
    <w:rsid w:val="00674E2F"/>
    <w:rsid w:val="00674EF8"/>
    <w:rsid w:val="0067532B"/>
    <w:rsid w:val="00675E12"/>
    <w:rsid w:val="00675FEC"/>
    <w:rsid w:val="00676718"/>
    <w:rsid w:val="006769E5"/>
    <w:rsid w:val="00676BBB"/>
    <w:rsid w:val="00676C73"/>
    <w:rsid w:val="0067763B"/>
    <w:rsid w:val="00677CFD"/>
    <w:rsid w:val="00677FDF"/>
    <w:rsid w:val="00680062"/>
    <w:rsid w:val="00680B23"/>
    <w:rsid w:val="0068138B"/>
    <w:rsid w:val="00681C3F"/>
    <w:rsid w:val="00681EFF"/>
    <w:rsid w:val="0068237F"/>
    <w:rsid w:val="00682C85"/>
    <w:rsid w:val="006831E2"/>
    <w:rsid w:val="00683695"/>
    <w:rsid w:val="00684EEC"/>
    <w:rsid w:val="00685FBA"/>
    <w:rsid w:val="00686344"/>
    <w:rsid w:val="00690198"/>
    <w:rsid w:val="00692793"/>
    <w:rsid w:val="00693685"/>
    <w:rsid w:val="00693D3B"/>
    <w:rsid w:val="00695143"/>
    <w:rsid w:val="00695A1E"/>
    <w:rsid w:val="00696066"/>
    <w:rsid w:val="006974C0"/>
    <w:rsid w:val="00697EFE"/>
    <w:rsid w:val="006A027B"/>
    <w:rsid w:val="006A0801"/>
    <w:rsid w:val="006A0B70"/>
    <w:rsid w:val="006A1030"/>
    <w:rsid w:val="006A133F"/>
    <w:rsid w:val="006A144D"/>
    <w:rsid w:val="006A16F9"/>
    <w:rsid w:val="006A17C2"/>
    <w:rsid w:val="006A1EE5"/>
    <w:rsid w:val="006A2617"/>
    <w:rsid w:val="006A2F19"/>
    <w:rsid w:val="006A3BCD"/>
    <w:rsid w:val="006A3BED"/>
    <w:rsid w:val="006A4BA2"/>
    <w:rsid w:val="006A503D"/>
    <w:rsid w:val="006A5C0F"/>
    <w:rsid w:val="006A729A"/>
    <w:rsid w:val="006A7F46"/>
    <w:rsid w:val="006B0A71"/>
    <w:rsid w:val="006B159A"/>
    <w:rsid w:val="006B1B16"/>
    <w:rsid w:val="006B1DCC"/>
    <w:rsid w:val="006B1FF5"/>
    <w:rsid w:val="006B35EB"/>
    <w:rsid w:val="006B3938"/>
    <w:rsid w:val="006B4DC3"/>
    <w:rsid w:val="006B52E2"/>
    <w:rsid w:val="006B55B9"/>
    <w:rsid w:val="006B5882"/>
    <w:rsid w:val="006B59BB"/>
    <w:rsid w:val="006B626C"/>
    <w:rsid w:val="006B7561"/>
    <w:rsid w:val="006B7C05"/>
    <w:rsid w:val="006C0443"/>
    <w:rsid w:val="006C2DBB"/>
    <w:rsid w:val="006C2E56"/>
    <w:rsid w:val="006C2F88"/>
    <w:rsid w:val="006C39CC"/>
    <w:rsid w:val="006C3FA2"/>
    <w:rsid w:val="006C401F"/>
    <w:rsid w:val="006C42E6"/>
    <w:rsid w:val="006C455F"/>
    <w:rsid w:val="006C5801"/>
    <w:rsid w:val="006C67B5"/>
    <w:rsid w:val="006C6E60"/>
    <w:rsid w:val="006C7431"/>
    <w:rsid w:val="006C74EB"/>
    <w:rsid w:val="006D0244"/>
    <w:rsid w:val="006D0B17"/>
    <w:rsid w:val="006D1135"/>
    <w:rsid w:val="006D163F"/>
    <w:rsid w:val="006D171F"/>
    <w:rsid w:val="006D1BEB"/>
    <w:rsid w:val="006D2830"/>
    <w:rsid w:val="006D3078"/>
    <w:rsid w:val="006D311B"/>
    <w:rsid w:val="006D3D13"/>
    <w:rsid w:val="006D4851"/>
    <w:rsid w:val="006D54BE"/>
    <w:rsid w:val="006D5AF4"/>
    <w:rsid w:val="006D5E93"/>
    <w:rsid w:val="006D6685"/>
    <w:rsid w:val="006D6E1A"/>
    <w:rsid w:val="006E0DF9"/>
    <w:rsid w:val="006E2446"/>
    <w:rsid w:val="006E2E82"/>
    <w:rsid w:val="006E30C3"/>
    <w:rsid w:val="006E34A1"/>
    <w:rsid w:val="006E3CD4"/>
    <w:rsid w:val="006E450A"/>
    <w:rsid w:val="006E4A66"/>
    <w:rsid w:val="006E50FD"/>
    <w:rsid w:val="006E5377"/>
    <w:rsid w:val="006E69BC"/>
    <w:rsid w:val="006F1BD4"/>
    <w:rsid w:val="006F1D4B"/>
    <w:rsid w:val="006F2129"/>
    <w:rsid w:val="006F2282"/>
    <w:rsid w:val="006F3AE3"/>
    <w:rsid w:val="006F4957"/>
    <w:rsid w:val="006F4C67"/>
    <w:rsid w:val="006F50BA"/>
    <w:rsid w:val="006F55CA"/>
    <w:rsid w:val="006F5AB1"/>
    <w:rsid w:val="006F6940"/>
    <w:rsid w:val="006F69D5"/>
    <w:rsid w:val="006F6CB5"/>
    <w:rsid w:val="006F73D0"/>
    <w:rsid w:val="007000BB"/>
    <w:rsid w:val="00701203"/>
    <w:rsid w:val="00702C07"/>
    <w:rsid w:val="00702FB1"/>
    <w:rsid w:val="00703305"/>
    <w:rsid w:val="00704BCC"/>
    <w:rsid w:val="00707866"/>
    <w:rsid w:val="00710254"/>
    <w:rsid w:val="007118F5"/>
    <w:rsid w:val="00712A78"/>
    <w:rsid w:val="007133D8"/>
    <w:rsid w:val="007138C4"/>
    <w:rsid w:val="00714547"/>
    <w:rsid w:val="00714CA8"/>
    <w:rsid w:val="007154EA"/>
    <w:rsid w:val="00715670"/>
    <w:rsid w:val="00715EC1"/>
    <w:rsid w:val="007167B3"/>
    <w:rsid w:val="007167F3"/>
    <w:rsid w:val="00716A40"/>
    <w:rsid w:val="00717E71"/>
    <w:rsid w:val="00721AB3"/>
    <w:rsid w:val="00721FD3"/>
    <w:rsid w:val="00722750"/>
    <w:rsid w:val="00723490"/>
    <w:rsid w:val="007242F3"/>
    <w:rsid w:val="00724AFA"/>
    <w:rsid w:val="00725A9D"/>
    <w:rsid w:val="00726507"/>
    <w:rsid w:val="007266D4"/>
    <w:rsid w:val="00726BD9"/>
    <w:rsid w:val="00727C38"/>
    <w:rsid w:val="00731275"/>
    <w:rsid w:val="0073145A"/>
    <w:rsid w:val="00731D3E"/>
    <w:rsid w:val="00731D5B"/>
    <w:rsid w:val="00731DE6"/>
    <w:rsid w:val="007320C0"/>
    <w:rsid w:val="00733DD9"/>
    <w:rsid w:val="007340AF"/>
    <w:rsid w:val="00734E96"/>
    <w:rsid w:val="00734EE2"/>
    <w:rsid w:val="007354C4"/>
    <w:rsid w:val="007408D7"/>
    <w:rsid w:val="007412FD"/>
    <w:rsid w:val="007426C6"/>
    <w:rsid w:val="00742904"/>
    <w:rsid w:val="00742B12"/>
    <w:rsid w:val="00742F2B"/>
    <w:rsid w:val="007435B4"/>
    <w:rsid w:val="0074405D"/>
    <w:rsid w:val="00744CC7"/>
    <w:rsid w:val="00745EE4"/>
    <w:rsid w:val="0074624E"/>
    <w:rsid w:val="00746D34"/>
    <w:rsid w:val="0074728F"/>
    <w:rsid w:val="007504CA"/>
    <w:rsid w:val="00750FF1"/>
    <w:rsid w:val="00752011"/>
    <w:rsid w:val="0075275F"/>
    <w:rsid w:val="00752B33"/>
    <w:rsid w:val="00752D56"/>
    <w:rsid w:val="00753872"/>
    <w:rsid w:val="00753AB7"/>
    <w:rsid w:val="00753EFD"/>
    <w:rsid w:val="007547E9"/>
    <w:rsid w:val="00754AD7"/>
    <w:rsid w:val="00755566"/>
    <w:rsid w:val="00757FBD"/>
    <w:rsid w:val="0076043D"/>
    <w:rsid w:val="0076080C"/>
    <w:rsid w:val="007608E0"/>
    <w:rsid w:val="007613FE"/>
    <w:rsid w:val="00761E12"/>
    <w:rsid w:val="007634C3"/>
    <w:rsid w:val="00765675"/>
    <w:rsid w:val="00765A6E"/>
    <w:rsid w:val="00766BAF"/>
    <w:rsid w:val="007705CA"/>
    <w:rsid w:val="00770A70"/>
    <w:rsid w:val="00770D56"/>
    <w:rsid w:val="00770DB8"/>
    <w:rsid w:val="00770DF0"/>
    <w:rsid w:val="007710F1"/>
    <w:rsid w:val="00771688"/>
    <w:rsid w:val="0077246D"/>
    <w:rsid w:val="00773331"/>
    <w:rsid w:val="00773342"/>
    <w:rsid w:val="00773EDE"/>
    <w:rsid w:val="00774854"/>
    <w:rsid w:val="00775667"/>
    <w:rsid w:val="0077696B"/>
    <w:rsid w:val="00776BC7"/>
    <w:rsid w:val="00776DF3"/>
    <w:rsid w:val="007772B2"/>
    <w:rsid w:val="007777BE"/>
    <w:rsid w:val="00780259"/>
    <w:rsid w:val="0078052F"/>
    <w:rsid w:val="0078072D"/>
    <w:rsid w:val="0078092C"/>
    <w:rsid w:val="007817C0"/>
    <w:rsid w:val="007824A4"/>
    <w:rsid w:val="0078266F"/>
    <w:rsid w:val="00783B3D"/>
    <w:rsid w:val="0078448A"/>
    <w:rsid w:val="00784F0C"/>
    <w:rsid w:val="00785E28"/>
    <w:rsid w:val="00786FFA"/>
    <w:rsid w:val="00790D77"/>
    <w:rsid w:val="0079146A"/>
    <w:rsid w:val="007932EF"/>
    <w:rsid w:val="00793703"/>
    <w:rsid w:val="007939BD"/>
    <w:rsid w:val="00794418"/>
    <w:rsid w:val="007945B6"/>
    <w:rsid w:val="0079558A"/>
    <w:rsid w:val="007964A6"/>
    <w:rsid w:val="00796AEA"/>
    <w:rsid w:val="0079785C"/>
    <w:rsid w:val="007A00D4"/>
    <w:rsid w:val="007A0146"/>
    <w:rsid w:val="007A1766"/>
    <w:rsid w:val="007A18DC"/>
    <w:rsid w:val="007A1EB9"/>
    <w:rsid w:val="007A21D5"/>
    <w:rsid w:val="007A272D"/>
    <w:rsid w:val="007A2A01"/>
    <w:rsid w:val="007A2C1B"/>
    <w:rsid w:val="007A2C24"/>
    <w:rsid w:val="007A300E"/>
    <w:rsid w:val="007A314D"/>
    <w:rsid w:val="007A34AE"/>
    <w:rsid w:val="007A37A5"/>
    <w:rsid w:val="007A3BB0"/>
    <w:rsid w:val="007A3C67"/>
    <w:rsid w:val="007A42B6"/>
    <w:rsid w:val="007A4A68"/>
    <w:rsid w:val="007A5059"/>
    <w:rsid w:val="007A544F"/>
    <w:rsid w:val="007A5876"/>
    <w:rsid w:val="007A6460"/>
    <w:rsid w:val="007A6BCF"/>
    <w:rsid w:val="007A7A15"/>
    <w:rsid w:val="007B1C23"/>
    <w:rsid w:val="007B269F"/>
    <w:rsid w:val="007B2ABA"/>
    <w:rsid w:val="007B3C58"/>
    <w:rsid w:val="007B4CF9"/>
    <w:rsid w:val="007B589E"/>
    <w:rsid w:val="007B5904"/>
    <w:rsid w:val="007B739E"/>
    <w:rsid w:val="007B75AD"/>
    <w:rsid w:val="007B7CF0"/>
    <w:rsid w:val="007B7D36"/>
    <w:rsid w:val="007C29D9"/>
    <w:rsid w:val="007C2C9C"/>
    <w:rsid w:val="007C3D3D"/>
    <w:rsid w:val="007C3DE9"/>
    <w:rsid w:val="007C43C9"/>
    <w:rsid w:val="007C5C3C"/>
    <w:rsid w:val="007C64B4"/>
    <w:rsid w:val="007C7043"/>
    <w:rsid w:val="007C742D"/>
    <w:rsid w:val="007C7A0B"/>
    <w:rsid w:val="007C7BFA"/>
    <w:rsid w:val="007C7C6A"/>
    <w:rsid w:val="007D0CE7"/>
    <w:rsid w:val="007D17D1"/>
    <w:rsid w:val="007D2FA6"/>
    <w:rsid w:val="007D42AD"/>
    <w:rsid w:val="007D42E4"/>
    <w:rsid w:val="007D47CC"/>
    <w:rsid w:val="007D5297"/>
    <w:rsid w:val="007D59FD"/>
    <w:rsid w:val="007D7765"/>
    <w:rsid w:val="007D78C7"/>
    <w:rsid w:val="007E05B0"/>
    <w:rsid w:val="007E0D1E"/>
    <w:rsid w:val="007E19F0"/>
    <w:rsid w:val="007E1F9C"/>
    <w:rsid w:val="007E2367"/>
    <w:rsid w:val="007E2772"/>
    <w:rsid w:val="007E2777"/>
    <w:rsid w:val="007E2B2B"/>
    <w:rsid w:val="007E3552"/>
    <w:rsid w:val="007E4007"/>
    <w:rsid w:val="007E4177"/>
    <w:rsid w:val="007E5452"/>
    <w:rsid w:val="007E63E4"/>
    <w:rsid w:val="007E711E"/>
    <w:rsid w:val="007E7945"/>
    <w:rsid w:val="007F0B40"/>
    <w:rsid w:val="007F1536"/>
    <w:rsid w:val="007F17B2"/>
    <w:rsid w:val="007F1E83"/>
    <w:rsid w:val="007F24ED"/>
    <w:rsid w:val="007F2FE0"/>
    <w:rsid w:val="007F360D"/>
    <w:rsid w:val="007F480E"/>
    <w:rsid w:val="007F488D"/>
    <w:rsid w:val="007F4B71"/>
    <w:rsid w:val="007F4E1A"/>
    <w:rsid w:val="007F5347"/>
    <w:rsid w:val="007F5D82"/>
    <w:rsid w:val="007F5EB3"/>
    <w:rsid w:val="007F731A"/>
    <w:rsid w:val="007F732B"/>
    <w:rsid w:val="008017F6"/>
    <w:rsid w:val="00801A9A"/>
    <w:rsid w:val="00803726"/>
    <w:rsid w:val="00803799"/>
    <w:rsid w:val="00804DCF"/>
    <w:rsid w:val="0080518C"/>
    <w:rsid w:val="00805C41"/>
    <w:rsid w:val="00806477"/>
    <w:rsid w:val="00806599"/>
    <w:rsid w:val="00806A82"/>
    <w:rsid w:val="0080702C"/>
    <w:rsid w:val="008076BC"/>
    <w:rsid w:val="00807DA0"/>
    <w:rsid w:val="00807FBD"/>
    <w:rsid w:val="00811C97"/>
    <w:rsid w:val="008120A0"/>
    <w:rsid w:val="00812B93"/>
    <w:rsid w:val="00812F7D"/>
    <w:rsid w:val="00813C53"/>
    <w:rsid w:val="00814366"/>
    <w:rsid w:val="00814DC4"/>
    <w:rsid w:val="008152B1"/>
    <w:rsid w:val="00815EBB"/>
    <w:rsid w:val="00816090"/>
    <w:rsid w:val="00816B64"/>
    <w:rsid w:val="00816CBD"/>
    <w:rsid w:val="0082042D"/>
    <w:rsid w:val="008207A9"/>
    <w:rsid w:val="00821A94"/>
    <w:rsid w:val="00821AB8"/>
    <w:rsid w:val="00823A4F"/>
    <w:rsid w:val="00824C5F"/>
    <w:rsid w:val="00825582"/>
    <w:rsid w:val="008258CB"/>
    <w:rsid w:val="00827575"/>
    <w:rsid w:val="00827F55"/>
    <w:rsid w:val="008301E1"/>
    <w:rsid w:val="00830F4D"/>
    <w:rsid w:val="00831561"/>
    <w:rsid w:val="008318E1"/>
    <w:rsid w:val="00831EC3"/>
    <w:rsid w:val="00832E96"/>
    <w:rsid w:val="008332DB"/>
    <w:rsid w:val="00833A1E"/>
    <w:rsid w:val="0083415C"/>
    <w:rsid w:val="008344BD"/>
    <w:rsid w:val="008348FF"/>
    <w:rsid w:val="00834A67"/>
    <w:rsid w:val="00835862"/>
    <w:rsid w:val="0083607C"/>
    <w:rsid w:val="00837C43"/>
    <w:rsid w:val="00840B49"/>
    <w:rsid w:val="00840FC1"/>
    <w:rsid w:val="008413D3"/>
    <w:rsid w:val="00841DF1"/>
    <w:rsid w:val="00843754"/>
    <w:rsid w:val="00843C34"/>
    <w:rsid w:val="00844594"/>
    <w:rsid w:val="00844C1F"/>
    <w:rsid w:val="00844D17"/>
    <w:rsid w:val="008458CE"/>
    <w:rsid w:val="00846337"/>
    <w:rsid w:val="00846F3B"/>
    <w:rsid w:val="008474CB"/>
    <w:rsid w:val="008478D1"/>
    <w:rsid w:val="00847C4E"/>
    <w:rsid w:val="008501F1"/>
    <w:rsid w:val="00850575"/>
    <w:rsid w:val="00850970"/>
    <w:rsid w:val="008511D6"/>
    <w:rsid w:val="00851258"/>
    <w:rsid w:val="00851BA2"/>
    <w:rsid w:val="00853BE0"/>
    <w:rsid w:val="008544F4"/>
    <w:rsid w:val="008553CB"/>
    <w:rsid w:val="00855557"/>
    <w:rsid w:val="00855C3D"/>
    <w:rsid w:val="008570DA"/>
    <w:rsid w:val="00857786"/>
    <w:rsid w:val="00857F5F"/>
    <w:rsid w:val="00860581"/>
    <w:rsid w:val="00860CF7"/>
    <w:rsid w:val="00860F7B"/>
    <w:rsid w:val="00861FD1"/>
    <w:rsid w:val="008628E7"/>
    <w:rsid w:val="00863CF2"/>
    <w:rsid w:val="00864C48"/>
    <w:rsid w:val="00864E95"/>
    <w:rsid w:val="0086547B"/>
    <w:rsid w:val="00865549"/>
    <w:rsid w:val="00865E7F"/>
    <w:rsid w:val="00870803"/>
    <w:rsid w:val="00870BE1"/>
    <w:rsid w:val="00873F52"/>
    <w:rsid w:val="008741D7"/>
    <w:rsid w:val="00874D22"/>
    <w:rsid w:val="00876973"/>
    <w:rsid w:val="00876E37"/>
    <w:rsid w:val="00877D96"/>
    <w:rsid w:val="008802FE"/>
    <w:rsid w:val="00880AF1"/>
    <w:rsid w:val="00880BA9"/>
    <w:rsid w:val="00881A72"/>
    <w:rsid w:val="00881D61"/>
    <w:rsid w:val="00882DD3"/>
    <w:rsid w:val="0088378B"/>
    <w:rsid w:val="00883A9E"/>
    <w:rsid w:val="00883CAB"/>
    <w:rsid w:val="0088485C"/>
    <w:rsid w:val="008850F9"/>
    <w:rsid w:val="008855DA"/>
    <w:rsid w:val="00885B14"/>
    <w:rsid w:val="00887992"/>
    <w:rsid w:val="00887B28"/>
    <w:rsid w:val="008903DB"/>
    <w:rsid w:val="0089129A"/>
    <w:rsid w:val="008914B4"/>
    <w:rsid w:val="008930B0"/>
    <w:rsid w:val="008930C0"/>
    <w:rsid w:val="00893996"/>
    <w:rsid w:val="00894C36"/>
    <w:rsid w:val="00895EB6"/>
    <w:rsid w:val="0089611F"/>
    <w:rsid w:val="0089661F"/>
    <w:rsid w:val="00896722"/>
    <w:rsid w:val="00897105"/>
    <w:rsid w:val="0089747A"/>
    <w:rsid w:val="0089796D"/>
    <w:rsid w:val="00897D36"/>
    <w:rsid w:val="00897F48"/>
    <w:rsid w:val="008A1D30"/>
    <w:rsid w:val="008A23FC"/>
    <w:rsid w:val="008A2914"/>
    <w:rsid w:val="008A2AF8"/>
    <w:rsid w:val="008A32FE"/>
    <w:rsid w:val="008A3A5B"/>
    <w:rsid w:val="008A4648"/>
    <w:rsid w:val="008A52CA"/>
    <w:rsid w:val="008A5654"/>
    <w:rsid w:val="008A59CC"/>
    <w:rsid w:val="008A7DAD"/>
    <w:rsid w:val="008B03B2"/>
    <w:rsid w:val="008B07EE"/>
    <w:rsid w:val="008B1AE3"/>
    <w:rsid w:val="008B1D1A"/>
    <w:rsid w:val="008B2C79"/>
    <w:rsid w:val="008B2ECC"/>
    <w:rsid w:val="008B30F4"/>
    <w:rsid w:val="008B3E7A"/>
    <w:rsid w:val="008B424F"/>
    <w:rsid w:val="008B463F"/>
    <w:rsid w:val="008B498D"/>
    <w:rsid w:val="008B4AAD"/>
    <w:rsid w:val="008B4C55"/>
    <w:rsid w:val="008B6CF2"/>
    <w:rsid w:val="008B771D"/>
    <w:rsid w:val="008B79A3"/>
    <w:rsid w:val="008B7DF8"/>
    <w:rsid w:val="008C2869"/>
    <w:rsid w:val="008C2972"/>
    <w:rsid w:val="008C2A92"/>
    <w:rsid w:val="008C2BE9"/>
    <w:rsid w:val="008C2DEF"/>
    <w:rsid w:val="008C41AD"/>
    <w:rsid w:val="008C4A2B"/>
    <w:rsid w:val="008C5668"/>
    <w:rsid w:val="008C662C"/>
    <w:rsid w:val="008C7211"/>
    <w:rsid w:val="008C76C4"/>
    <w:rsid w:val="008C7A55"/>
    <w:rsid w:val="008D199D"/>
    <w:rsid w:val="008D23FF"/>
    <w:rsid w:val="008D28EC"/>
    <w:rsid w:val="008D51C7"/>
    <w:rsid w:val="008D5B0A"/>
    <w:rsid w:val="008D6261"/>
    <w:rsid w:val="008D62E1"/>
    <w:rsid w:val="008D6F07"/>
    <w:rsid w:val="008D7244"/>
    <w:rsid w:val="008E0181"/>
    <w:rsid w:val="008E0600"/>
    <w:rsid w:val="008E06DA"/>
    <w:rsid w:val="008E0CD6"/>
    <w:rsid w:val="008E0D89"/>
    <w:rsid w:val="008E0E72"/>
    <w:rsid w:val="008E128E"/>
    <w:rsid w:val="008E2363"/>
    <w:rsid w:val="008E2582"/>
    <w:rsid w:val="008E2F77"/>
    <w:rsid w:val="008E32D3"/>
    <w:rsid w:val="008E36C0"/>
    <w:rsid w:val="008E37F6"/>
    <w:rsid w:val="008E38F5"/>
    <w:rsid w:val="008E3AD8"/>
    <w:rsid w:val="008E3D6F"/>
    <w:rsid w:val="008E47F8"/>
    <w:rsid w:val="008E4B5E"/>
    <w:rsid w:val="008E4CFB"/>
    <w:rsid w:val="008E4D8E"/>
    <w:rsid w:val="008E4EF5"/>
    <w:rsid w:val="008E54BB"/>
    <w:rsid w:val="008E5F8B"/>
    <w:rsid w:val="008E65D4"/>
    <w:rsid w:val="008E6CC1"/>
    <w:rsid w:val="008E7070"/>
    <w:rsid w:val="008F041B"/>
    <w:rsid w:val="008F0D69"/>
    <w:rsid w:val="008F1B7C"/>
    <w:rsid w:val="008F2132"/>
    <w:rsid w:val="008F2D84"/>
    <w:rsid w:val="008F2D99"/>
    <w:rsid w:val="008F2F1D"/>
    <w:rsid w:val="008F3A73"/>
    <w:rsid w:val="008F3FB5"/>
    <w:rsid w:val="008F42C4"/>
    <w:rsid w:val="008F49E5"/>
    <w:rsid w:val="008F6CCD"/>
    <w:rsid w:val="008F7408"/>
    <w:rsid w:val="0090088F"/>
    <w:rsid w:val="009025F6"/>
    <w:rsid w:val="00903772"/>
    <w:rsid w:val="00906435"/>
    <w:rsid w:val="00906D41"/>
    <w:rsid w:val="009102B5"/>
    <w:rsid w:val="009102FC"/>
    <w:rsid w:val="009105E4"/>
    <w:rsid w:val="009109A7"/>
    <w:rsid w:val="00911134"/>
    <w:rsid w:val="009113D2"/>
    <w:rsid w:val="00911990"/>
    <w:rsid w:val="00911C6E"/>
    <w:rsid w:val="00912A61"/>
    <w:rsid w:val="009134F7"/>
    <w:rsid w:val="00913530"/>
    <w:rsid w:val="00913CC0"/>
    <w:rsid w:val="00915B26"/>
    <w:rsid w:val="009172D3"/>
    <w:rsid w:val="0091731B"/>
    <w:rsid w:val="009204D3"/>
    <w:rsid w:val="00920D39"/>
    <w:rsid w:val="009213E6"/>
    <w:rsid w:val="00922B6C"/>
    <w:rsid w:val="009238DC"/>
    <w:rsid w:val="00923A0F"/>
    <w:rsid w:val="00923FA5"/>
    <w:rsid w:val="00924FBF"/>
    <w:rsid w:val="00925712"/>
    <w:rsid w:val="00925BD4"/>
    <w:rsid w:val="00925DFD"/>
    <w:rsid w:val="00925F4F"/>
    <w:rsid w:val="00926035"/>
    <w:rsid w:val="00926C29"/>
    <w:rsid w:val="00926F85"/>
    <w:rsid w:val="0092729E"/>
    <w:rsid w:val="009276C6"/>
    <w:rsid w:val="00927941"/>
    <w:rsid w:val="00927FA1"/>
    <w:rsid w:val="00930993"/>
    <w:rsid w:val="00930DA8"/>
    <w:rsid w:val="00931633"/>
    <w:rsid w:val="009324D5"/>
    <w:rsid w:val="00932562"/>
    <w:rsid w:val="00932F8B"/>
    <w:rsid w:val="009336FB"/>
    <w:rsid w:val="00933CA3"/>
    <w:rsid w:val="00933F38"/>
    <w:rsid w:val="0093560A"/>
    <w:rsid w:val="00935C70"/>
    <w:rsid w:val="009361DE"/>
    <w:rsid w:val="00936C8C"/>
    <w:rsid w:val="009378D1"/>
    <w:rsid w:val="00937F84"/>
    <w:rsid w:val="0094096F"/>
    <w:rsid w:val="00940A36"/>
    <w:rsid w:val="00940B36"/>
    <w:rsid w:val="00941405"/>
    <w:rsid w:val="00942062"/>
    <w:rsid w:val="00942A78"/>
    <w:rsid w:val="0094351E"/>
    <w:rsid w:val="009438FF"/>
    <w:rsid w:val="009443AB"/>
    <w:rsid w:val="009447E1"/>
    <w:rsid w:val="00944A2D"/>
    <w:rsid w:val="00944F22"/>
    <w:rsid w:val="009459BD"/>
    <w:rsid w:val="00946D4B"/>
    <w:rsid w:val="00947395"/>
    <w:rsid w:val="00947FB9"/>
    <w:rsid w:val="009506DF"/>
    <w:rsid w:val="0095161B"/>
    <w:rsid w:val="00951A5E"/>
    <w:rsid w:val="00951D1C"/>
    <w:rsid w:val="00952084"/>
    <w:rsid w:val="00952E81"/>
    <w:rsid w:val="00953C11"/>
    <w:rsid w:val="00953E89"/>
    <w:rsid w:val="0095401C"/>
    <w:rsid w:val="009552D1"/>
    <w:rsid w:val="00957597"/>
    <w:rsid w:val="00957868"/>
    <w:rsid w:val="00957FE3"/>
    <w:rsid w:val="0096189E"/>
    <w:rsid w:val="009622A3"/>
    <w:rsid w:val="00962A42"/>
    <w:rsid w:val="00962DB0"/>
    <w:rsid w:val="00962E70"/>
    <w:rsid w:val="0096340F"/>
    <w:rsid w:val="009635A5"/>
    <w:rsid w:val="00964083"/>
    <w:rsid w:val="00964218"/>
    <w:rsid w:val="00964515"/>
    <w:rsid w:val="0096455A"/>
    <w:rsid w:val="0096478E"/>
    <w:rsid w:val="009657BC"/>
    <w:rsid w:val="00965A5A"/>
    <w:rsid w:val="009660BA"/>
    <w:rsid w:val="0096685B"/>
    <w:rsid w:val="00966BFD"/>
    <w:rsid w:val="00966CEE"/>
    <w:rsid w:val="00967384"/>
    <w:rsid w:val="0096747C"/>
    <w:rsid w:val="0096753A"/>
    <w:rsid w:val="00967E4E"/>
    <w:rsid w:val="00970129"/>
    <w:rsid w:val="00970430"/>
    <w:rsid w:val="009705EA"/>
    <w:rsid w:val="0097127F"/>
    <w:rsid w:val="009713D9"/>
    <w:rsid w:val="00974171"/>
    <w:rsid w:val="0097460A"/>
    <w:rsid w:val="00974881"/>
    <w:rsid w:val="00974AE5"/>
    <w:rsid w:val="00975FAA"/>
    <w:rsid w:val="009767CA"/>
    <w:rsid w:val="009778D8"/>
    <w:rsid w:val="00980705"/>
    <w:rsid w:val="00980879"/>
    <w:rsid w:val="00980B65"/>
    <w:rsid w:val="009823EA"/>
    <w:rsid w:val="00982D37"/>
    <w:rsid w:val="00983034"/>
    <w:rsid w:val="00983C8F"/>
    <w:rsid w:val="00984FD6"/>
    <w:rsid w:val="0098629E"/>
    <w:rsid w:val="00986C29"/>
    <w:rsid w:val="0098722F"/>
    <w:rsid w:val="009874E2"/>
    <w:rsid w:val="009876B4"/>
    <w:rsid w:val="00987E3E"/>
    <w:rsid w:val="009907DC"/>
    <w:rsid w:val="009924AA"/>
    <w:rsid w:val="0099389A"/>
    <w:rsid w:val="00993AD7"/>
    <w:rsid w:val="00993BA1"/>
    <w:rsid w:val="009947AB"/>
    <w:rsid w:val="00995C8B"/>
    <w:rsid w:val="00996615"/>
    <w:rsid w:val="0099698A"/>
    <w:rsid w:val="00996AB4"/>
    <w:rsid w:val="009978BD"/>
    <w:rsid w:val="00997ADC"/>
    <w:rsid w:val="009A016A"/>
    <w:rsid w:val="009A059D"/>
    <w:rsid w:val="009A0D5B"/>
    <w:rsid w:val="009A1808"/>
    <w:rsid w:val="009A1836"/>
    <w:rsid w:val="009A1A27"/>
    <w:rsid w:val="009A1B75"/>
    <w:rsid w:val="009A1F24"/>
    <w:rsid w:val="009A3575"/>
    <w:rsid w:val="009A4694"/>
    <w:rsid w:val="009A5678"/>
    <w:rsid w:val="009A7450"/>
    <w:rsid w:val="009A7AB4"/>
    <w:rsid w:val="009A7EF0"/>
    <w:rsid w:val="009B0A71"/>
    <w:rsid w:val="009B2012"/>
    <w:rsid w:val="009B2636"/>
    <w:rsid w:val="009B28CE"/>
    <w:rsid w:val="009B2BD5"/>
    <w:rsid w:val="009B2E9E"/>
    <w:rsid w:val="009B2FE8"/>
    <w:rsid w:val="009B3360"/>
    <w:rsid w:val="009B38E8"/>
    <w:rsid w:val="009B4C85"/>
    <w:rsid w:val="009B65A1"/>
    <w:rsid w:val="009B71D9"/>
    <w:rsid w:val="009B749B"/>
    <w:rsid w:val="009B76E3"/>
    <w:rsid w:val="009B7D3F"/>
    <w:rsid w:val="009C090B"/>
    <w:rsid w:val="009C1927"/>
    <w:rsid w:val="009C278A"/>
    <w:rsid w:val="009C27A8"/>
    <w:rsid w:val="009C34DC"/>
    <w:rsid w:val="009C44C0"/>
    <w:rsid w:val="009C46BF"/>
    <w:rsid w:val="009C4D8B"/>
    <w:rsid w:val="009C5508"/>
    <w:rsid w:val="009C550B"/>
    <w:rsid w:val="009C5521"/>
    <w:rsid w:val="009C74D0"/>
    <w:rsid w:val="009C7B4F"/>
    <w:rsid w:val="009D0171"/>
    <w:rsid w:val="009D02E2"/>
    <w:rsid w:val="009D0744"/>
    <w:rsid w:val="009D11E0"/>
    <w:rsid w:val="009D136E"/>
    <w:rsid w:val="009D14B4"/>
    <w:rsid w:val="009D3646"/>
    <w:rsid w:val="009D384C"/>
    <w:rsid w:val="009D3B3F"/>
    <w:rsid w:val="009D3D3C"/>
    <w:rsid w:val="009D41EC"/>
    <w:rsid w:val="009D5DEE"/>
    <w:rsid w:val="009D66C1"/>
    <w:rsid w:val="009D73D1"/>
    <w:rsid w:val="009D7F07"/>
    <w:rsid w:val="009E0503"/>
    <w:rsid w:val="009E109C"/>
    <w:rsid w:val="009E13EF"/>
    <w:rsid w:val="009E13FA"/>
    <w:rsid w:val="009E1699"/>
    <w:rsid w:val="009E227C"/>
    <w:rsid w:val="009E22BB"/>
    <w:rsid w:val="009E3265"/>
    <w:rsid w:val="009E37BF"/>
    <w:rsid w:val="009E5E0E"/>
    <w:rsid w:val="009E6642"/>
    <w:rsid w:val="009E7291"/>
    <w:rsid w:val="009F0CEF"/>
    <w:rsid w:val="009F0EE9"/>
    <w:rsid w:val="009F16E7"/>
    <w:rsid w:val="009F1810"/>
    <w:rsid w:val="009F256B"/>
    <w:rsid w:val="009F262C"/>
    <w:rsid w:val="009F2D4B"/>
    <w:rsid w:val="009F51C1"/>
    <w:rsid w:val="009F6CFC"/>
    <w:rsid w:val="009F7101"/>
    <w:rsid w:val="009F7B7E"/>
    <w:rsid w:val="009F7B8E"/>
    <w:rsid w:val="009F7C13"/>
    <w:rsid w:val="009F7CEC"/>
    <w:rsid w:val="009F7F75"/>
    <w:rsid w:val="00A0054E"/>
    <w:rsid w:val="00A00A86"/>
    <w:rsid w:val="00A00D96"/>
    <w:rsid w:val="00A01008"/>
    <w:rsid w:val="00A01259"/>
    <w:rsid w:val="00A0142C"/>
    <w:rsid w:val="00A01A36"/>
    <w:rsid w:val="00A0276B"/>
    <w:rsid w:val="00A02A95"/>
    <w:rsid w:val="00A03209"/>
    <w:rsid w:val="00A03231"/>
    <w:rsid w:val="00A03760"/>
    <w:rsid w:val="00A06506"/>
    <w:rsid w:val="00A067EB"/>
    <w:rsid w:val="00A06D7F"/>
    <w:rsid w:val="00A10BA8"/>
    <w:rsid w:val="00A11911"/>
    <w:rsid w:val="00A122B3"/>
    <w:rsid w:val="00A123D3"/>
    <w:rsid w:val="00A1251A"/>
    <w:rsid w:val="00A1279C"/>
    <w:rsid w:val="00A128EC"/>
    <w:rsid w:val="00A12EE9"/>
    <w:rsid w:val="00A13483"/>
    <w:rsid w:val="00A138E3"/>
    <w:rsid w:val="00A14709"/>
    <w:rsid w:val="00A14AFC"/>
    <w:rsid w:val="00A14FD9"/>
    <w:rsid w:val="00A15F7B"/>
    <w:rsid w:val="00A17FB9"/>
    <w:rsid w:val="00A200E7"/>
    <w:rsid w:val="00A20281"/>
    <w:rsid w:val="00A20A8F"/>
    <w:rsid w:val="00A20DF4"/>
    <w:rsid w:val="00A20EDB"/>
    <w:rsid w:val="00A21AD1"/>
    <w:rsid w:val="00A21C3C"/>
    <w:rsid w:val="00A22825"/>
    <w:rsid w:val="00A22B6A"/>
    <w:rsid w:val="00A23536"/>
    <w:rsid w:val="00A235EF"/>
    <w:rsid w:val="00A24F29"/>
    <w:rsid w:val="00A24F40"/>
    <w:rsid w:val="00A2517B"/>
    <w:rsid w:val="00A256B7"/>
    <w:rsid w:val="00A25B93"/>
    <w:rsid w:val="00A26B30"/>
    <w:rsid w:val="00A271F6"/>
    <w:rsid w:val="00A303C8"/>
    <w:rsid w:val="00A3040E"/>
    <w:rsid w:val="00A30423"/>
    <w:rsid w:val="00A308E0"/>
    <w:rsid w:val="00A3120B"/>
    <w:rsid w:val="00A31286"/>
    <w:rsid w:val="00A32A65"/>
    <w:rsid w:val="00A32F83"/>
    <w:rsid w:val="00A339DA"/>
    <w:rsid w:val="00A33DBA"/>
    <w:rsid w:val="00A35F52"/>
    <w:rsid w:val="00A365FC"/>
    <w:rsid w:val="00A403B6"/>
    <w:rsid w:val="00A409D7"/>
    <w:rsid w:val="00A417BE"/>
    <w:rsid w:val="00A41991"/>
    <w:rsid w:val="00A43EBE"/>
    <w:rsid w:val="00A448C5"/>
    <w:rsid w:val="00A449C8"/>
    <w:rsid w:val="00A44AA1"/>
    <w:rsid w:val="00A451D6"/>
    <w:rsid w:val="00A45D96"/>
    <w:rsid w:val="00A465D7"/>
    <w:rsid w:val="00A46B70"/>
    <w:rsid w:val="00A46B9F"/>
    <w:rsid w:val="00A46CE5"/>
    <w:rsid w:val="00A46D5E"/>
    <w:rsid w:val="00A46D8A"/>
    <w:rsid w:val="00A4757F"/>
    <w:rsid w:val="00A47B40"/>
    <w:rsid w:val="00A47FF3"/>
    <w:rsid w:val="00A508A2"/>
    <w:rsid w:val="00A508BA"/>
    <w:rsid w:val="00A50961"/>
    <w:rsid w:val="00A51675"/>
    <w:rsid w:val="00A521CA"/>
    <w:rsid w:val="00A52B13"/>
    <w:rsid w:val="00A539D1"/>
    <w:rsid w:val="00A53D00"/>
    <w:rsid w:val="00A551E1"/>
    <w:rsid w:val="00A553F2"/>
    <w:rsid w:val="00A56ED0"/>
    <w:rsid w:val="00A57B0D"/>
    <w:rsid w:val="00A60426"/>
    <w:rsid w:val="00A611E7"/>
    <w:rsid w:val="00A61E90"/>
    <w:rsid w:val="00A62219"/>
    <w:rsid w:val="00A62865"/>
    <w:rsid w:val="00A628EE"/>
    <w:rsid w:val="00A63172"/>
    <w:rsid w:val="00A6328F"/>
    <w:rsid w:val="00A65164"/>
    <w:rsid w:val="00A65503"/>
    <w:rsid w:val="00A65ED4"/>
    <w:rsid w:val="00A665AD"/>
    <w:rsid w:val="00A66E4E"/>
    <w:rsid w:val="00A67F7D"/>
    <w:rsid w:val="00A70FA5"/>
    <w:rsid w:val="00A71E10"/>
    <w:rsid w:val="00A72021"/>
    <w:rsid w:val="00A73EA4"/>
    <w:rsid w:val="00A742B3"/>
    <w:rsid w:val="00A746E6"/>
    <w:rsid w:val="00A74FE9"/>
    <w:rsid w:val="00A75325"/>
    <w:rsid w:val="00A75363"/>
    <w:rsid w:val="00A75949"/>
    <w:rsid w:val="00A75B85"/>
    <w:rsid w:val="00A76660"/>
    <w:rsid w:val="00A76CDF"/>
    <w:rsid w:val="00A77544"/>
    <w:rsid w:val="00A77881"/>
    <w:rsid w:val="00A81CE2"/>
    <w:rsid w:val="00A8204F"/>
    <w:rsid w:val="00A8214E"/>
    <w:rsid w:val="00A82887"/>
    <w:rsid w:val="00A83D0D"/>
    <w:rsid w:val="00A840B4"/>
    <w:rsid w:val="00A846F4"/>
    <w:rsid w:val="00A86110"/>
    <w:rsid w:val="00A86BC6"/>
    <w:rsid w:val="00A86C0C"/>
    <w:rsid w:val="00A874F6"/>
    <w:rsid w:val="00A87751"/>
    <w:rsid w:val="00A90652"/>
    <w:rsid w:val="00A9078D"/>
    <w:rsid w:val="00A90BDD"/>
    <w:rsid w:val="00A9129E"/>
    <w:rsid w:val="00A920EB"/>
    <w:rsid w:val="00A9231F"/>
    <w:rsid w:val="00A924B7"/>
    <w:rsid w:val="00A92E4A"/>
    <w:rsid w:val="00A93CD4"/>
    <w:rsid w:val="00A956AA"/>
    <w:rsid w:val="00A96CDD"/>
    <w:rsid w:val="00A97542"/>
    <w:rsid w:val="00A97F97"/>
    <w:rsid w:val="00AA05D1"/>
    <w:rsid w:val="00AA0759"/>
    <w:rsid w:val="00AA0D5F"/>
    <w:rsid w:val="00AA176D"/>
    <w:rsid w:val="00AA1D88"/>
    <w:rsid w:val="00AA3BCA"/>
    <w:rsid w:val="00AA4FED"/>
    <w:rsid w:val="00AA53A5"/>
    <w:rsid w:val="00AA5894"/>
    <w:rsid w:val="00AA705A"/>
    <w:rsid w:val="00AA7BDF"/>
    <w:rsid w:val="00AA7FC6"/>
    <w:rsid w:val="00AB0447"/>
    <w:rsid w:val="00AB0AEB"/>
    <w:rsid w:val="00AB0D81"/>
    <w:rsid w:val="00AB17AC"/>
    <w:rsid w:val="00AB20F3"/>
    <w:rsid w:val="00AB23A1"/>
    <w:rsid w:val="00AB33DA"/>
    <w:rsid w:val="00AB426D"/>
    <w:rsid w:val="00AB42C5"/>
    <w:rsid w:val="00AB456A"/>
    <w:rsid w:val="00AB4A0B"/>
    <w:rsid w:val="00AB5D3F"/>
    <w:rsid w:val="00AB5D78"/>
    <w:rsid w:val="00AB60DC"/>
    <w:rsid w:val="00AB64D7"/>
    <w:rsid w:val="00AB6632"/>
    <w:rsid w:val="00AB6B39"/>
    <w:rsid w:val="00AC0E85"/>
    <w:rsid w:val="00AC0EE3"/>
    <w:rsid w:val="00AC1AD3"/>
    <w:rsid w:val="00AC1E38"/>
    <w:rsid w:val="00AC2B2E"/>
    <w:rsid w:val="00AC2C0E"/>
    <w:rsid w:val="00AC2EAA"/>
    <w:rsid w:val="00AC3178"/>
    <w:rsid w:val="00AC68B7"/>
    <w:rsid w:val="00AC7CC9"/>
    <w:rsid w:val="00AC7D8E"/>
    <w:rsid w:val="00AC7DDA"/>
    <w:rsid w:val="00AD0C61"/>
    <w:rsid w:val="00AD456A"/>
    <w:rsid w:val="00AD45BF"/>
    <w:rsid w:val="00AD497F"/>
    <w:rsid w:val="00AD520A"/>
    <w:rsid w:val="00AD5772"/>
    <w:rsid w:val="00AD5912"/>
    <w:rsid w:val="00AD59E8"/>
    <w:rsid w:val="00AD5B19"/>
    <w:rsid w:val="00AD63B5"/>
    <w:rsid w:val="00AD66DF"/>
    <w:rsid w:val="00AD6AD7"/>
    <w:rsid w:val="00AD70E5"/>
    <w:rsid w:val="00AE04A5"/>
    <w:rsid w:val="00AE0D2B"/>
    <w:rsid w:val="00AE171C"/>
    <w:rsid w:val="00AE1815"/>
    <w:rsid w:val="00AE20A7"/>
    <w:rsid w:val="00AE2642"/>
    <w:rsid w:val="00AE36DC"/>
    <w:rsid w:val="00AE3D63"/>
    <w:rsid w:val="00AE4B10"/>
    <w:rsid w:val="00AE4C4F"/>
    <w:rsid w:val="00AE5694"/>
    <w:rsid w:val="00AE5B73"/>
    <w:rsid w:val="00AE5C59"/>
    <w:rsid w:val="00AE6480"/>
    <w:rsid w:val="00AE7566"/>
    <w:rsid w:val="00AE756C"/>
    <w:rsid w:val="00AE7773"/>
    <w:rsid w:val="00AF03F7"/>
    <w:rsid w:val="00AF04C9"/>
    <w:rsid w:val="00AF0ABA"/>
    <w:rsid w:val="00AF0ECA"/>
    <w:rsid w:val="00AF114D"/>
    <w:rsid w:val="00AF1879"/>
    <w:rsid w:val="00AF2D9F"/>
    <w:rsid w:val="00AF4648"/>
    <w:rsid w:val="00AF4B4C"/>
    <w:rsid w:val="00AF53E7"/>
    <w:rsid w:val="00AF5450"/>
    <w:rsid w:val="00AF6C0D"/>
    <w:rsid w:val="00AF6DC2"/>
    <w:rsid w:val="00AF6E59"/>
    <w:rsid w:val="00AF71E9"/>
    <w:rsid w:val="00AF76F8"/>
    <w:rsid w:val="00AF7EEC"/>
    <w:rsid w:val="00B021B8"/>
    <w:rsid w:val="00B02B97"/>
    <w:rsid w:val="00B04797"/>
    <w:rsid w:val="00B050EA"/>
    <w:rsid w:val="00B0511B"/>
    <w:rsid w:val="00B0688A"/>
    <w:rsid w:val="00B07366"/>
    <w:rsid w:val="00B0787C"/>
    <w:rsid w:val="00B07A64"/>
    <w:rsid w:val="00B07D41"/>
    <w:rsid w:val="00B10B38"/>
    <w:rsid w:val="00B111FA"/>
    <w:rsid w:val="00B114E5"/>
    <w:rsid w:val="00B121BC"/>
    <w:rsid w:val="00B143D0"/>
    <w:rsid w:val="00B150AD"/>
    <w:rsid w:val="00B161A6"/>
    <w:rsid w:val="00B17089"/>
    <w:rsid w:val="00B1724D"/>
    <w:rsid w:val="00B17992"/>
    <w:rsid w:val="00B17E89"/>
    <w:rsid w:val="00B20C96"/>
    <w:rsid w:val="00B22604"/>
    <w:rsid w:val="00B234E2"/>
    <w:rsid w:val="00B249C6"/>
    <w:rsid w:val="00B24D91"/>
    <w:rsid w:val="00B25996"/>
    <w:rsid w:val="00B25B01"/>
    <w:rsid w:val="00B25E88"/>
    <w:rsid w:val="00B26377"/>
    <w:rsid w:val="00B26C21"/>
    <w:rsid w:val="00B27241"/>
    <w:rsid w:val="00B27B9F"/>
    <w:rsid w:val="00B27D0D"/>
    <w:rsid w:val="00B304E3"/>
    <w:rsid w:val="00B30587"/>
    <w:rsid w:val="00B306B3"/>
    <w:rsid w:val="00B3083A"/>
    <w:rsid w:val="00B31F25"/>
    <w:rsid w:val="00B328E1"/>
    <w:rsid w:val="00B32A09"/>
    <w:rsid w:val="00B32BED"/>
    <w:rsid w:val="00B32DBE"/>
    <w:rsid w:val="00B33A2A"/>
    <w:rsid w:val="00B33E3F"/>
    <w:rsid w:val="00B34BA9"/>
    <w:rsid w:val="00B34FB1"/>
    <w:rsid w:val="00B35D8F"/>
    <w:rsid w:val="00B36392"/>
    <w:rsid w:val="00B366B7"/>
    <w:rsid w:val="00B36721"/>
    <w:rsid w:val="00B36D5A"/>
    <w:rsid w:val="00B373C5"/>
    <w:rsid w:val="00B400A7"/>
    <w:rsid w:val="00B402F0"/>
    <w:rsid w:val="00B40DD8"/>
    <w:rsid w:val="00B418CA"/>
    <w:rsid w:val="00B41911"/>
    <w:rsid w:val="00B41F7F"/>
    <w:rsid w:val="00B42C24"/>
    <w:rsid w:val="00B43183"/>
    <w:rsid w:val="00B46B6F"/>
    <w:rsid w:val="00B46CF7"/>
    <w:rsid w:val="00B46E42"/>
    <w:rsid w:val="00B4755E"/>
    <w:rsid w:val="00B47AA8"/>
    <w:rsid w:val="00B50014"/>
    <w:rsid w:val="00B500CC"/>
    <w:rsid w:val="00B50618"/>
    <w:rsid w:val="00B513FD"/>
    <w:rsid w:val="00B51586"/>
    <w:rsid w:val="00B516DC"/>
    <w:rsid w:val="00B517F7"/>
    <w:rsid w:val="00B520D1"/>
    <w:rsid w:val="00B52E04"/>
    <w:rsid w:val="00B53C77"/>
    <w:rsid w:val="00B53ECA"/>
    <w:rsid w:val="00B5403B"/>
    <w:rsid w:val="00B54435"/>
    <w:rsid w:val="00B54C99"/>
    <w:rsid w:val="00B553A9"/>
    <w:rsid w:val="00B56220"/>
    <w:rsid w:val="00B5640F"/>
    <w:rsid w:val="00B56520"/>
    <w:rsid w:val="00B5696C"/>
    <w:rsid w:val="00B57D6F"/>
    <w:rsid w:val="00B60105"/>
    <w:rsid w:val="00B607DA"/>
    <w:rsid w:val="00B60D1C"/>
    <w:rsid w:val="00B61593"/>
    <w:rsid w:val="00B63C0A"/>
    <w:rsid w:val="00B641F5"/>
    <w:rsid w:val="00B644F5"/>
    <w:rsid w:val="00B64951"/>
    <w:rsid w:val="00B65775"/>
    <w:rsid w:val="00B66D2E"/>
    <w:rsid w:val="00B679C0"/>
    <w:rsid w:val="00B67C08"/>
    <w:rsid w:val="00B70E19"/>
    <w:rsid w:val="00B7106E"/>
    <w:rsid w:val="00B7125E"/>
    <w:rsid w:val="00B71BD7"/>
    <w:rsid w:val="00B7296D"/>
    <w:rsid w:val="00B72A4E"/>
    <w:rsid w:val="00B72B0F"/>
    <w:rsid w:val="00B72D4A"/>
    <w:rsid w:val="00B7325F"/>
    <w:rsid w:val="00B74134"/>
    <w:rsid w:val="00B74E1A"/>
    <w:rsid w:val="00B75082"/>
    <w:rsid w:val="00B75750"/>
    <w:rsid w:val="00B76C63"/>
    <w:rsid w:val="00B7758D"/>
    <w:rsid w:val="00B80060"/>
    <w:rsid w:val="00B80214"/>
    <w:rsid w:val="00B80D16"/>
    <w:rsid w:val="00B8126C"/>
    <w:rsid w:val="00B8200F"/>
    <w:rsid w:val="00B82EEA"/>
    <w:rsid w:val="00B83586"/>
    <w:rsid w:val="00B8375C"/>
    <w:rsid w:val="00B83B75"/>
    <w:rsid w:val="00B8431A"/>
    <w:rsid w:val="00B8465D"/>
    <w:rsid w:val="00B84CCB"/>
    <w:rsid w:val="00B85AC6"/>
    <w:rsid w:val="00B85AE0"/>
    <w:rsid w:val="00B86F79"/>
    <w:rsid w:val="00B87370"/>
    <w:rsid w:val="00B8790E"/>
    <w:rsid w:val="00B87BF2"/>
    <w:rsid w:val="00B87C34"/>
    <w:rsid w:val="00B87E8E"/>
    <w:rsid w:val="00B901C2"/>
    <w:rsid w:val="00B904D6"/>
    <w:rsid w:val="00B9129A"/>
    <w:rsid w:val="00B91C89"/>
    <w:rsid w:val="00B92298"/>
    <w:rsid w:val="00B9235B"/>
    <w:rsid w:val="00B9282E"/>
    <w:rsid w:val="00B931A4"/>
    <w:rsid w:val="00B94093"/>
    <w:rsid w:val="00B94901"/>
    <w:rsid w:val="00B94CA6"/>
    <w:rsid w:val="00B95184"/>
    <w:rsid w:val="00B95E3A"/>
    <w:rsid w:val="00B9630C"/>
    <w:rsid w:val="00B96A21"/>
    <w:rsid w:val="00B96ABD"/>
    <w:rsid w:val="00B9770C"/>
    <w:rsid w:val="00BA047B"/>
    <w:rsid w:val="00BA07E4"/>
    <w:rsid w:val="00BA0DA6"/>
    <w:rsid w:val="00BA15D9"/>
    <w:rsid w:val="00BA191E"/>
    <w:rsid w:val="00BA2724"/>
    <w:rsid w:val="00BA2893"/>
    <w:rsid w:val="00BA2C09"/>
    <w:rsid w:val="00BA35DA"/>
    <w:rsid w:val="00BA3F65"/>
    <w:rsid w:val="00BA5A87"/>
    <w:rsid w:val="00BA605F"/>
    <w:rsid w:val="00BA6981"/>
    <w:rsid w:val="00BA6A4F"/>
    <w:rsid w:val="00BA70BE"/>
    <w:rsid w:val="00BA7705"/>
    <w:rsid w:val="00BA7B88"/>
    <w:rsid w:val="00BB0234"/>
    <w:rsid w:val="00BB1F42"/>
    <w:rsid w:val="00BB25BD"/>
    <w:rsid w:val="00BB3544"/>
    <w:rsid w:val="00BB3E39"/>
    <w:rsid w:val="00BB431D"/>
    <w:rsid w:val="00BB5CF1"/>
    <w:rsid w:val="00BB7568"/>
    <w:rsid w:val="00BC03AA"/>
    <w:rsid w:val="00BC23CE"/>
    <w:rsid w:val="00BC29E1"/>
    <w:rsid w:val="00BC319F"/>
    <w:rsid w:val="00BC3602"/>
    <w:rsid w:val="00BC3FFA"/>
    <w:rsid w:val="00BC4A4B"/>
    <w:rsid w:val="00BC4C47"/>
    <w:rsid w:val="00BC4C79"/>
    <w:rsid w:val="00BC592C"/>
    <w:rsid w:val="00BC7EEA"/>
    <w:rsid w:val="00BD0C57"/>
    <w:rsid w:val="00BD0F8B"/>
    <w:rsid w:val="00BD219B"/>
    <w:rsid w:val="00BD2233"/>
    <w:rsid w:val="00BD3356"/>
    <w:rsid w:val="00BD4301"/>
    <w:rsid w:val="00BD4684"/>
    <w:rsid w:val="00BD4856"/>
    <w:rsid w:val="00BD6436"/>
    <w:rsid w:val="00BD655B"/>
    <w:rsid w:val="00BD67C4"/>
    <w:rsid w:val="00BD7195"/>
    <w:rsid w:val="00BD756D"/>
    <w:rsid w:val="00BD7D0E"/>
    <w:rsid w:val="00BE089E"/>
    <w:rsid w:val="00BE10F8"/>
    <w:rsid w:val="00BE12BF"/>
    <w:rsid w:val="00BE1918"/>
    <w:rsid w:val="00BE2000"/>
    <w:rsid w:val="00BE224F"/>
    <w:rsid w:val="00BE2B74"/>
    <w:rsid w:val="00BE3173"/>
    <w:rsid w:val="00BE3CA0"/>
    <w:rsid w:val="00BE4490"/>
    <w:rsid w:val="00BE65E7"/>
    <w:rsid w:val="00BF0997"/>
    <w:rsid w:val="00BF0F4F"/>
    <w:rsid w:val="00BF18AE"/>
    <w:rsid w:val="00BF19C8"/>
    <w:rsid w:val="00BF2585"/>
    <w:rsid w:val="00BF29A0"/>
    <w:rsid w:val="00BF2BC4"/>
    <w:rsid w:val="00BF4EDC"/>
    <w:rsid w:val="00BF5D0B"/>
    <w:rsid w:val="00BF5D99"/>
    <w:rsid w:val="00BF6BB2"/>
    <w:rsid w:val="00BF6C5E"/>
    <w:rsid w:val="00BF6F33"/>
    <w:rsid w:val="00C00163"/>
    <w:rsid w:val="00C0056E"/>
    <w:rsid w:val="00C005A7"/>
    <w:rsid w:val="00C00A87"/>
    <w:rsid w:val="00C00BFA"/>
    <w:rsid w:val="00C01D5E"/>
    <w:rsid w:val="00C01EE5"/>
    <w:rsid w:val="00C05331"/>
    <w:rsid w:val="00C055D4"/>
    <w:rsid w:val="00C0574C"/>
    <w:rsid w:val="00C05D6D"/>
    <w:rsid w:val="00C06497"/>
    <w:rsid w:val="00C06553"/>
    <w:rsid w:val="00C0697D"/>
    <w:rsid w:val="00C10885"/>
    <w:rsid w:val="00C110AB"/>
    <w:rsid w:val="00C11841"/>
    <w:rsid w:val="00C11875"/>
    <w:rsid w:val="00C12301"/>
    <w:rsid w:val="00C12B0B"/>
    <w:rsid w:val="00C132DC"/>
    <w:rsid w:val="00C13BD8"/>
    <w:rsid w:val="00C13E46"/>
    <w:rsid w:val="00C1407A"/>
    <w:rsid w:val="00C144B6"/>
    <w:rsid w:val="00C1485D"/>
    <w:rsid w:val="00C1542A"/>
    <w:rsid w:val="00C15646"/>
    <w:rsid w:val="00C15B13"/>
    <w:rsid w:val="00C161CD"/>
    <w:rsid w:val="00C165B4"/>
    <w:rsid w:val="00C16BE1"/>
    <w:rsid w:val="00C17021"/>
    <w:rsid w:val="00C20A5F"/>
    <w:rsid w:val="00C20F76"/>
    <w:rsid w:val="00C218FE"/>
    <w:rsid w:val="00C21921"/>
    <w:rsid w:val="00C2198F"/>
    <w:rsid w:val="00C21B78"/>
    <w:rsid w:val="00C22DF8"/>
    <w:rsid w:val="00C233FD"/>
    <w:rsid w:val="00C23B2F"/>
    <w:rsid w:val="00C246BD"/>
    <w:rsid w:val="00C24D39"/>
    <w:rsid w:val="00C2556F"/>
    <w:rsid w:val="00C2706E"/>
    <w:rsid w:val="00C27ED4"/>
    <w:rsid w:val="00C30BA9"/>
    <w:rsid w:val="00C316BB"/>
    <w:rsid w:val="00C321D4"/>
    <w:rsid w:val="00C322CC"/>
    <w:rsid w:val="00C3264C"/>
    <w:rsid w:val="00C32722"/>
    <w:rsid w:val="00C32863"/>
    <w:rsid w:val="00C32B3B"/>
    <w:rsid w:val="00C33586"/>
    <w:rsid w:val="00C335A7"/>
    <w:rsid w:val="00C336D6"/>
    <w:rsid w:val="00C33A80"/>
    <w:rsid w:val="00C341AC"/>
    <w:rsid w:val="00C34D71"/>
    <w:rsid w:val="00C3557A"/>
    <w:rsid w:val="00C35B20"/>
    <w:rsid w:val="00C35D78"/>
    <w:rsid w:val="00C35ED3"/>
    <w:rsid w:val="00C36483"/>
    <w:rsid w:val="00C368D9"/>
    <w:rsid w:val="00C376C9"/>
    <w:rsid w:val="00C37713"/>
    <w:rsid w:val="00C37831"/>
    <w:rsid w:val="00C42C07"/>
    <w:rsid w:val="00C43016"/>
    <w:rsid w:val="00C432BA"/>
    <w:rsid w:val="00C43D0E"/>
    <w:rsid w:val="00C43FF1"/>
    <w:rsid w:val="00C45ACF"/>
    <w:rsid w:val="00C45D7D"/>
    <w:rsid w:val="00C465EC"/>
    <w:rsid w:val="00C46B0D"/>
    <w:rsid w:val="00C47006"/>
    <w:rsid w:val="00C47F60"/>
    <w:rsid w:val="00C50453"/>
    <w:rsid w:val="00C50E50"/>
    <w:rsid w:val="00C51D80"/>
    <w:rsid w:val="00C520CB"/>
    <w:rsid w:val="00C52420"/>
    <w:rsid w:val="00C52680"/>
    <w:rsid w:val="00C53245"/>
    <w:rsid w:val="00C5328A"/>
    <w:rsid w:val="00C54063"/>
    <w:rsid w:val="00C54A0C"/>
    <w:rsid w:val="00C54B0A"/>
    <w:rsid w:val="00C55756"/>
    <w:rsid w:val="00C55B4C"/>
    <w:rsid w:val="00C57BF7"/>
    <w:rsid w:val="00C57D82"/>
    <w:rsid w:val="00C60105"/>
    <w:rsid w:val="00C60808"/>
    <w:rsid w:val="00C6100A"/>
    <w:rsid w:val="00C61209"/>
    <w:rsid w:val="00C613FA"/>
    <w:rsid w:val="00C618DF"/>
    <w:rsid w:val="00C61E85"/>
    <w:rsid w:val="00C62B1D"/>
    <w:rsid w:val="00C62BF4"/>
    <w:rsid w:val="00C63021"/>
    <w:rsid w:val="00C6322A"/>
    <w:rsid w:val="00C64716"/>
    <w:rsid w:val="00C64D1C"/>
    <w:rsid w:val="00C65463"/>
    <w:rsid w:val="00C65A5E"/>
    <w:rsid w:val="00C6692F"/>
    <w:rsid w:val="00C66D93"/>
    <w:rsid w:val="00C66EE9"/>
    <w:rsid w:val="00C67CAD"/>
    <w:rsid w:val="00C70964"/>
    <w:rsid w:val="00C711C6"/>
    <w:rsid w:val="00C71BD8"/>
    <w:rsid w:val="00C71D77"/>
    <w:rsid w:val="00C722D9"/>
    <w:rsid w:val="00C7233A"/>
    <w:rsid w:val="00C729C7"/>
    <w:rsid w:val="00C72FEE"/>
    <w:rsid w:val="00C749B2"/>
    <w:rsid w:val="00C760A5"/>
    <w:rsid w:val="00C7618D"/>
    <w:rsid w:val="00C765CB"/>
    <w:rsid w:val="00C76AD0"/>
    <w:rsid w:val="00C77560"/>
    <w:rsid w:val="00C775B3"/>
    <w:rsid w:val="00C77D06"/>
    <w:rsid w:val="00C77F4B"/>
    <w:rsid w:val="00C80DAC"/>
    <w:rsid w:val="00C81EE4"/>
    <w:rsid w:val="00C82619"/>
    <w:rsid w:val="00C834A1"/>
    <w:rsid w:val="00C834C0"/>
    <w:rsid w:val="00C83E2B"/>
    <w:rsid w:val="00C84483"/>
    <w:rsid w:val="00C8485A"/>
    <w:rsid w:val="00C84BAF"/>
    <w:rsid w:val="00C86EC3"/>
    <w:rsid w:val="00C870C0"/>
    <w:rsid w:val="00C8791A"/>
    <w:rsid w:val="00C900B5"/>
    <w:rsid w:val="00C90AC7"/>
    <w:rsid w:val="00C91544"/>
    <w:rsid w:val="00C94A89"/>
    <w:rsid w:val="00C94B26"/>
    <w:rsid w:val="00C94E0A"/>
    <w:rsid w:val="00C95D1A"/>
    <w:rsid w:val="00C9682B"/>
    <w:rsid w:val="00C96867"/>
    <w:rsid w:val="00CA01DD"/>
    <w:rsid w:val="00CA0CAD"/>
    <w:rsid w:val="00CA1463"/>
    <w:rsid w:val="00CA192D"/>
    <w:rsid w:val="00CA1ACA"/>
    <w:rsid w:val="00CA211E"/>
    <w:rsid w:val="00CA2379"/>
    <w:rsid w:val="00CA2B9D"/>
    <w:rsid w:val="00CA37F8"/>
    <w:rsid w:val="00CA3D3D"/>
    <w:rsid w:val="00CA44E0"/>
    <w:rsid w:val="00CA5DED"/>
    <w:rsid w:val="00CA75E2"/>
    <w:rsid w:val="00CB08B2"/>
    <w:rsid w:val="00CB0D0A"/>
    <w:rsid w:val="00CB1471"/>
    <w:rsid w:val="00CB170B"/>
    <w:rsid w:val="00CB192B"/>
    <w:rsid w:val="00CB1ECF"/>
    <w:rsid w:val="00CB210A"/>
    <w:rsid w:val="00CB2C99"/>
    <w:rsid w:val="00CB2F04"/>
    <w:rsid w:val="00CB3334"/>
    <w:rsid w:val="00CB3C68"/>
    <w:rsid w:val="00CB49E4"/>
    <w:rsid w:val="00CB543D"/>
    <w:rsid w:val="00CB5751"/>
    <w:rsid w:val="00CB5C02"/>
    <w:rsid w:val="00CB5F3E"/>
    <w:rsid w:val="00CB60ED"/>
    <w:rsid w:val="00CB643A"/>
    <w:rsid w:val="00CB64B7"/>
    <w:rsid w:val="00CB69FD"/>
    <w:rsid w:val="00CC1CEA"/>
    <w:rsid w:val="00CC42DF"/>
    <w:rsid w:val="00CC45CB"/>
    <w:rsid w:val="00CC5897"/>
    <w:rsid w:val="00CC5BED"/>
    <w:rsid w:val="00CC6832"/>
    <w:rsid w:val="00CD3144"/>
    <w:rsid w:val="00CD3E2C"/>
    <w:rsid w:val="00CD4406"/>
    <w:rsid w:val="00CD71FF"/>
    <w:rsid w:val="00CD7310"/>
    <w:rsid w:val="00CD79A2"/>
    <w:rsid w:val="00CE0877"/>
    <w:rsid w:val="00CE2BC3"/>
    <w:rsid w:val="00CE2D4A"/>
    <w:rsid w:val="00CE3541"/>
    <w:rsid w:val="00CE5753"/>
    <w:rsid w:val="00CE79F4"/>
    <w:rsid w:val="00CF0175"/>
    <w:rsid w:val="00CF0C01"/>
    <w:rsid w:val="00CF103A"/>
    <w:rsid w:val="00CF1058"/>
    <w:rsid w:val="00CF1B64"/>
    <w:rsid w:val="00CF213E"/>
    <w:rsid w:val="00CF46EE"/>
    <w:rsid w:val="00CF53DC"/>
    <w:rsid w:val="00D00B09"/>
    <w:rsid w:val="00D00FAC"/>
    <w:rsid w:val="00D03221"/>
    <w:rsid w:val="00D042CF"/>
    <w:rsid w:val="00D043DC"/>
    <w:rsid w:val="00D04807"/>
    <w:rsid w:val="00D0622F"/>
    <w:rsid w:val="00D06632"/>
    <w:rsid w:val="00D06B4E"/>
    <w:rsid w:val="00D077C6"/>
    <w:rsid w:val="00D10AB5"/>
    <w:rsid w:val="00D115BA"/>
    <w:rsid w:val="00D1198E"/>
    <w:rsid w:val="00D12135"/>
    <w:rsid w:val="00D121D6"/>
    <w:rsid w:val="00D124C4"/>
    <w:rsid w:val="00D14DD5"/>
    <w:rsid w:val="00D151F9"/>
    <w:rsid w:val="00D15667"/>
    <w:rsid w:val="00D170EB"/>
    <w:rsid w:val="00D171DD"/>
    <w:rsid w:val="00D174F4"/>
    <w:rsid w:val="00D202E0"/>
    <w:rsid w:val="00D20381"/>
    <w:rsid w:val="00D205D8"/>
    <w:rsid w:val="00D21906"/>
    <w:rsid w:val="00D22796"/>
    <w:rsid w:val="00D231CD"/>
    <w:rsid w:val="00D238E3"/>
    <w:rsid w:val="00D247CC"/>
    <w:rsid w:val="00D25176"/>
    <w:rsid w:val="00D2518B"/>
    <w:rsid w:val="00D251A3"/>
    <w:rsid w:val="00D2556A"/>
    <w:rsid w:val="00D261B9"/>
    <w:rsid w:val="00D26F88"/>
    <w:rsid w:val="00D278D5"/>
    <w:rsid w:val="00D27DC5"/>
    <w:rsid w:val="00D301EC"/>
    <w:rsid w:val="00D31E20"/>
    <w:rsid w:val="00D32885"/>
    <w:rsid w:val="00D329A5"/>
    <w:rsid w:val="00D32B56"/>
    <w:rsid w:val="00D32D86"/>
    <w:rsid w:val="00D332C4"/>
    <w:rsid w:val="00D3330F"/>
    <w:rsid w:val="00D34044"/>
    <w:rsid w:val="00D343B1"/>
    <w:rsid w:val="00D34503"/>
    <w:rsid w:val="00D3451E"/>
    <w:rsid w:val="00D35054"/>
    <w:rsid w:val="00D35712"/>
    <w:rsid w:val="00D35C93"/>
    <w:rsid w:val="00D366D1"/>
    <w:rsid w:val="00D36D7D"/>
    <w:rsid w:val="00D37C1C"/>
    <w:rsid w:val="00D40485"/>
    <w:rsid w:val="00D424F8"/>
    <w:rsid w:val="00D42AF8"/>
    <w:rsid w:val="00D441B4"/>
    <w:rsid w:val="00D44CBD"/>
    <w:rsid w:val="00D44F87"/>
    <w:rsid w:val="00D45BE2"/>
    <w:rsid w:val="00D45FC3"/>
    <w:rsid w:val="00D469C8"/>
    <w:rsid w:val="00D46D71"/>
    <w:rsid w:val="00D47B93"/>
    <w:rsid w:val="00D50207"/>
    <w:rsid w:val="00D5081A"/>
    <w:rsid w:val="00D515FB"/>
    <w:rsid w:val="00D523F0"/>
    <w:rsid w:val="00D52C77"/>
    <w:rsid w:val="00D52FD6"/>
    <w:rsid w:val="00D53157"/>
    <w:rsid w:val="00D540AB"/>
    <w:rsid w:val="00D54832"/>
    <w:rsid w:val="00D55ADB"/>
    <w:rsid w:val="00D56021"/>
    <w:rsid w:val="00D56193"/>
    <w:rsid w:val="00D563F0"/>
    <w:rsid w:val="00D56664"/>
    <w:rsid w:val="00D56E99"/>
    <w:rsid w:val="00D60A0F"/>
    <w:rsid w:val="00D61515"/>
    <w:rsid w:val="00D61D05"/>
    <w:rsid w:val="00D622A0"/>
    <w:rsid w:val="00D6241F"/>
    <w:rsid w:val="00D62A5A"/>
    <w:rsid w:val="00D63380"/>
    <w:rsid w:val="00D63456"/>
    <w:rsid w:val="00D63467"/>
    <w:rsid w:val="00D640B3"/>
    <w:rsid w:val="00D6530C"/>
    <w:rsid w:val="00D658E0"/>
    <w:rsid w:val="00D65E60"/>
    <w:rsid w:val="00D6661D"/>
    <w:rsid w:val="00D70076"/>
    <w:rsid w:val="00D70C63"/>
    <w:rsid w:val="00D70D58"/>
    <w:rsid w:val="00D70EA8"/>
    <w:rsid w:val="00D723D9"/>
    <w:rsid w:val="00D72A1B"/>
    <w:rsid w:val="00D72FCB"/>
    <w:rsid w:val="00D73433"/>
    <w:rsid w:val="00D7375E"/>
    <w:rsid w:val="00D74119"/>
    <w:rsid w:val="00D74168"/>
    <w:rsid w:val="00D74421"/>
    <w:rsid w:val="00D74D6B"/>
    <w:rsid w:val="00D7554E"/>
    <w:rsid w:val="00D75DFB"/>
    <w:rsid w:val="00D76B9F"/>
    <w:rsid w:val="00D77395"/>
    <w:rsid w:val="00D80964"/>
    <w:rsid w:val="00D80FF8"/>
    <w:rsid w:val="00D818F9"/>
    <w:rsid w:val="00D81962"/>
    <w:rsid w:val="00D82037"/>
    <w:rsid w:val="00D825BC"/>
    <w:rsid w:val="00D83273"/>
    <w:rsid w:val="00D84E3E"/>
    <w:rsid w:val="00D85049"/>
    <w:rsid w:val="00D854E8"/>
    <w:rsid w:val="00D8550C"/>
    <w:rsid w:val="00D86717"/>
    <w:rsid w:val="00D86849"/>
    <w:rsid w:val="00D871C0"/>
    <w:rsid w:val="00D8751C"/>
    <w:rsid w:val="00D90232"/>
    <w:rsid w:val="00D9036F"/>
    <w:rsid w:val="00D90ABC"/>
    <w:rsid w:val="00D92071"/>
    <w:rsid w:val="00D929EA"/>
    <w:rsid w:val="00D93258"/>
    <w:rsid w:val="00D949B3"/>
    <w:rsid w:val="00D94FDE"/>
    <w:rsid w:val="00D953C0"/>
    <w:rsid w:val="00D96BAC"/>
    <w:rsid w:val="00D974BC"/>
    <w:rsid w:val="00D97E0B"/>
    <w:rsid w:val="00DA0A0A"/>
    <w:rsid w:val="00DA1BBA"/>
    <w:rsid w:val="00DA1C41"/>
    <w:rsid w:val="00DA24EE"/>
    <w:rsid w:val="00DA3063"/>
    <w:rsid w:val="00DA350C"/>
    <w:rsid w:val="00DA3794"/>
    <w:rsid w:val="00DA4043"/>
    <w:rsid w:val="00DA43CE"/>
    <w:rsid w:val="00DA50AF"/>
    <w:rsid w:val="00DA545D"/>
    <w:rsid w:val="00DA5C8D"/>
    <w:rsid w:val="00DA5E8A"/>
    <w:rsid w:val="00DA6D51"/>
    <w:rsid w:val="00DA7B53"/>
    <w:rsid w:val="00DA7FBB"/>
    <w:rsid w:val="00DB0DB9"/>
    <w:rsid w:val="00DB1AAB"/>
    <w:rsid w:val="00DB2BFE"/>
    <w:rsid w:val="00DB3E3C"/>
    <w:rsid w:val="00DB4939"/>
    <w:rsid w:val="00DB4F85"/>
    <w:rsid w:val="00DB4FCA"/>
    <w:rsid w:val="00DB5188"/>
    <w:rsid w:val="00DB529C"/>
    <w:rsid w:val="00DB5677"/>
    <w:rsid w:val="00DB5B8B"/>
    <w:rsid w:val="00DB6494"/>
    <w:rsid w:val="00DB7811"/>
    <w:rsid w:val="00DB7BEF"/>
    <w:rsid w:val="00DB7FA1"/>
    <w:rsid w:val="00DC0137"/>
    <w:rsid w:val="00DC125A"/>
    <w:rsid w:val="00DC273D"/>
    <w:rsid w:val="00DC5AD9"/>
    <w:rsid w:val="00DC5AE8"/>
    <w:rsid w:val="00DC6530"/>
    <w:rsid w:val="00DC6CD6"/>
    <w:rsid w:val="00DC7590"/>
    <w:rsid w:val="00DC7713"/>
    <w:rsid w:val="00DD0268"/>
    <w:rsid w:val="00DD0E81"/>
    <w:rsid w:val="00DD19FF"/>
    <w:rsid w:val="00DD2C5D"/>
    <w:rsid w:val="00DD2DE1"/>
    <w:rsid w:val="00DD398F"/>
    <w:rsid w:val="00DD41FF"/>
    <w:rsid w:val="00DD4240"/>
    <w:rsid w:val="00DD48EB"/>
    <w:rsid w:val="00DD6365"/>
    <w:rsid w:val="00DD6F4E"/>
    <w:rsid w:val="00DE0637"/>
    <w:rsid w:val="00DE0FCD"/>
    <w:rsid w:val="00DE120E"/>
    <w:rsid w:val="00DE1583"/>
    <w:rsid w:val="00DE2E90"/>
    <w:rsid w:val="00DE34C0"/>
    <w:rsid w:val="00DE353D"/>
    <w:rsid w:val="00DE3AC1"/>
    <w:rsid w:val="00DE3AFE"/>
    <w:rsid w:val="00DE3BD6"/>
    <w:rsid w:val="00DE3C4A"/>
    <w:rsid w:val="00DE432E"/>
    <w:rsid w:val="00DE46CB"/>
    <w:rsid w:val="00DE4F3E"/>
    <w:rsid w:val="00DE59DE"/>
    <w:rsid w:val="00DE7657"/>
    <w:rsid w:val="00DF04A2"/>
    <w:rsid w:val="00DF169C"/>
    <w:rsid w:val="00DF1F82"/>
    <w:rsid w:val="00DF20C1"/>
    <w:rsid w:val="00DF2399"/>
    <w:rsid w:val="00DF34A1"/>
    <w:rsid w:val="00DF36BB"/>
    <w:rsid w:val="00DF3DD9"/>
    <w:rsid w:val="00DF4056"/>
    <w:rsid w:val="00DF43AC"/>
    <w:rsid w:val="00DF5397"/>
    <w:rsid w:val="00DF6862"/>
    <w:rsid w:val="00DF7229"/>
    <w:rsid w:val="00E003D5"/>
    <w:rsid w:val="00E0051D"/>
    <w:rsid w:val="00E00B1C"/>
    <w:rsid w:val="00E0180F"/>
    <w:rsid w:val="00E019AC"/>
    <w:rsid w:val="00E021C8"/>
    <w:rsid w:val="00E02A00"/>
    <w:rsid w:val="00E02EB0"/>
    <w:rsid w:val="00E0321C"/>
    <w:rsid w:val="00E03C23"/>
    <w:rsid w:val="00E04202"/>
    <w:rsid w:val="00E04DDE"/>
    <w:rsid w:val="00E04EEA"/>
    <w:rsid w:val="00E05B4C"/>
    <w:rsid w:val="00E06806"/>
    <w:rsid w:val="00E0789B"/>
    <w:rsid w:val="00E07B05"/>
    <w:rsid w:val="00E07FBF"/>
    <w:rsid w:val="00E07FFE"/>
    <w:rsid w:val="00E10FDA"/>
    <w:rsid w:val="00E10FFB"/>
    <w:rsid w:val="00E13048"/>
    <w:rsid w:val="00E15E96"/>
    <w:rsid w:val="00E16592"/>
    <w:rsid w:val="00E16E04"/>
    <w:rsid w:val="00E1742A"/>
    <w:rsid w:val="00E17B9C"/>
    <w:rsid w:val="00E17D89"/>
    <w:rsid w:val="00E17E4E"/>
    <w:rsid w:val="00E20347"/>
    <w:rsid w:val="00E20377"/>
    <w:rsid w:val="00E20949"/>
    <w:rsid w:val="00E20DDC"/>
    <w:rsid w:val="00E21359"/>
    <w:rsid w:val="00E21C92"/>
    <w:rsid w:val="00E228E5"/>
    <w:rsid w:val="00E23A36"/>
    <w:rsid w:val="00E251DE"/>
    <w:rsid w:val="00E256E9"/>
    <w:rsid w:val="00E30301"/>
    <w:rsid w:val="00E3036D"/>
    <w:rsid w:val="00E30567"/>
    <w:rsid w:val="00E31862"/>
    <w:rsid w:val="00E31D71"/>
    <w:rsid w:val="00E33D32"/>
    <w:rsid w:val="00E3550A"/>
    <w:rsid w:val="00E35DAE"/>
    <w:rsid w:val="00E35E12"/>
    <w:rsid w:val="00E3620F"/>
    <w:rsid w:val="00E36803"/>
    <w:rsid w:val="00E3703E"/>
    <w:rsid w:val="00E378AD"/>
    <w:rsid w:val="00E4028A"/>
    <w:rsid w:val="00E4104E"/>
    <w:rsid w:val="00E4110C"/>
    <w:rsid w:val="00E41A9A"/>
    <w:rsid w:val="00E41E41"/>
    <w:rsid w:val="00E44542"/>
    <w:rsid w:val="00E44ADA"/>
    <w:rsid w:val="00E4647D"/>
    <w:rsid w:val="00E473A3"/>
    <w:rsid w:val="00E47598"/>
    <w:rsid w:val="00E47B67"/>
    <w:rsid w:val="00E47ED1"/>
    <w:rsid w:val="00E47F2F"/>
    <w:rsid w:val="00E51C45"/>
    <w:rsid w:val="00E5266C"/>
    <w:rsid w:val="00E52760"/>
    <w:rsid w:val="00E53AB9"/>
    <w:rsid w:val="00E544B7"/>
    <w:rsid w:val="00E5492A"/>
    <w:rsid w:val="00E55226"/>
    <w:rsid w:val="00E55AA7"/>
    <w:rsid w:val="00E56B3A"/>
    <w:rsid w:val="00E56D97"/>
    <w:rsid w:val="00E609CB"/>
    <w:rsid w:val="00E619D8"/>
    <w:rsid w:val="00E6223B"/>
    <w:rsid w:val="00E62579"/>
    <w:rsid w:val="00E63369"/>
    <w:rsid w:val="00E6354F"/>
    <w:rsid w:val="00E64AD9"/>
    <w:rsid w:val="00E64C4E"/>
    <w:rsid w:val="00E64F9E"/>
    <w:rsid w:val="00E65260"/>
    <w:rsid w:val="00E665F6"/>
    <w:rsid w:val="00E67081"/>
    <w:rsid w:val="00E671FB"/>
    <w:rsid w:val="00E67AF3"/>
    <w:rsid w:val="00E67C6F"/>
    <w:rsid w:val="00E67E59"/>
    <w:rsid w:val="00E70001"/>
    <w:rsid w:val="00E7127E"/>
    <w:rsid w:val="00E71374"/>
    <w:rsid w:val="00E71E7D"/>
    <w:rsid w:val="00E72215"/>
    <w:rsid w:val="00E72E40"/>
    <w:rsid w:val="00E736E1"/>
    <w:rsid w:val="00E738C1"/>
    <w:rsid w:val="00E7517E"/>
    <w:rsid w:val="00E7607E"/>
    <w:rsid w:val="00E778C2"/>
    <w:rsid w:val="00E77C66"/>
    <w:rsid w:val="00E77E74"/>
    <w:rsid w:val="00E80687"/>
    <w:rsid w:val="00E811B9"/>
    <w:rsid w:val="00E82F64"/>
    <w:rsid w:val="00E83193"/>
    <w:rsid w:val="00E831FB"/>
    <w:rsid w:val="00E835D1"/>
    <w:rsid w:val="00E84ED4"/>
    <w:rsid w:val="00E85A70"/>
    <w:rsid w:val="00E85D61"/>
    <w:rsid w:val="00E87508"/>
    <w:rsid w:val="00E87CF3"/>
    <w:rsid w:val="00E907B3"/>
    <w:rsid w:val="00E915C2"/>
    <w:rsid w:val="00E918DC"/>
    <w:rsid w:val="00E9192A"/>
    <w:rsid w:val="00E92169"/>
    <w:rsid w:val="00E9262E"/>
    <w:rsid w:val="00E92B16"/>
    <w:rsid w:val="00E931C2"/>
    <w:rsid w:val="00E938DA"/>
    <w:rsid w:val="00E94104"/>
    <w:rsid w:val="00E94C77"/>
    <w:rsid w:val="00E94F6A"/>
    <w:rsid w:val="00E95B8F"/>
    <w:rsid w:val="00E95EFD"/>
    <w:rsid w:val="00E96A8E"/>
    <w:rsid w:val="00E9702E"/>
    <w:rsid w:val="00E9751E"/>
    <w:rsid w:val="00EA019B"/>
    <w:rsid w:val="00EA030B"/>
    <w:rsid w:val="00EA0391"/>
    <w:rsid w:val="00EA0592"/>
    <w:rsid w:val="00EA0E33"/>
    <w:rsid w:val="00EA140D"/>
    <w:rsid w:val="00EA33C3"/>
    <w:rsid w:val="00EA4ED2"/>
    <w:rsid w:val="00EA5B9D"/>
    <w:rsid w:val="00EA703E"/>
    <w:rsid w:val="00EA785F"/>
    <w:rsid w:val="00EB0471"/>
    <w:rsid w:val="00EB2265"/>
    <w:rsid w:val="00EB2567"/>
    <w:rsid w:val="00EB2F64"/>
    <w:rsid w:val="00EB3AA2"/>
    <w:rsid w:val="00EB3ED8"/>
    <w:rsid w:val="00EB4080"/>
    <w:rsid w:val="00EB429A"/>
    <w:rsid w:val="00EB459D"/>
    <w:rsid w:val="00EB62B6"/>
    <w:rsid w:val="00EB6C35"/>
    <w:rsid w:val="00EB726A"/>
    <w:rsid w:val="00EB756F"/>
    <w:rsid w:val="00EC1224"/>
    <w:rsid w:val="00EC1513"/>
    <w:rsid w:val="00EC2033"/>
    <w:rsid w:val="00EC254D"/>
    <w:rsid w:val="00EC280D"/>
    <w:rsid w:val="00EC380C"/>
    <w:rsid w:val="00EC3E94"/>
    <w:rsid w:val="00EC3F34"/>
    <w:rsid w:val="00EC43D1"/>
    <w:rsid w:val="00EC57CA"/>
    <w:rsid w:val="00ED041A"/>
    <w:rsid w:val="00ED0A04"/>
    <w:rsid w:val="00ED1366"/>
    <w:rsid w:val="00ED1455"/>
    <w:rsid w:val="00ED179B"/>
    <w:rsid w:val="00ED1813"/>
    <w:rsid w:val="00ED1A4B"/>
    <w:rsid w:val="00ED23AF"/>
    <w:rsid w:val="00ED4063"/>
    <w:rsid w:val="00ED4D0E"/>
    <w:rsid w:val="00ED5C64"/>
    <w:rsid w:val="00ED5E19"/>
    <w:rsid w:val="00ED63BC"/>
    <w:rsid w:val="00ED6D15"/>
    <w:rsid w:val="00ED7669"/>
    <w:rsid w:val="00EE0548"/>
    <w:rsid w:val="00EE0B98"/>
    <w:rsid w:val="00EE1B29"/>
    <w:rsid w:val="00EE3311"/>
    <w:rsid w:val="00EE3E8F"/>
    <w:rsid w:val="00EE4DE2"/>
    <w:rsid w:val="00EE5790"/>
    <w:rsid w:val="00EE6104"/>
    <w:rsid w:val="00EF00BF"/>
    <w:rsid w:val="00EF054A"/>
    <w:rsid w:val="00EF06A5"/>
    <w:rsid w:val="00EF0B12"/>
    <w:rsid w:val="00EF0BE8"/>
    <w:rsid w:val="00EF0F90"/>
    <w:rsid w:val="00EF37C8"/>
    <w:rsid w:val="00EF4CE9"/>
    <w:rsid w:val="00EF5770"/>
    <w:rsid w:val="00EF59F7"/>
    <w:rsid w:val="00EF636D"/>
    <w:rsid w:val="00EF69A1"/>
    <w:rsid w:val="00EF6B41"/>
    <w:rsid w:val="00EF6B5F"/>
    <w:rsid w:val="00EF7B7B"/>
    <w:rsid w:val="00F009DE"/>
    <w:rsid w:val="00F00EDC"/>
    <w:rsid w:val="00F02F54"/>
    <w:rsid w:val="00F03384"/>
    <w:rsid w:val="00F0374A"/>
    <w:rsid w:val="00F03DF1"/>
    <w:rsid w:val="00F05285"/>
    <w:rsid w:val="00F053A6"/>
    <w:rsid w:val="00F0592F"/>
    <w:rsid w:val="00F05E43"/>
    <w:rsid w:val="00F06791"/>
    <w:rsid w:val="00F06960"/>
    <w:rsid w:val="00F0746C"/>
    <w:rsid w:val="00F1022A"/>
    <w:rsid w:val="00F11312"/>
    <w:rsid w:val="00F137AE"/>
    <w:rsid w:val="00F13C13"/>
    <w:rsid w:val="00F14408"/>
    <w:rsid w:val="00F14942"/>
    <w:rsid w:val="00F16321"/>
    <w:rsid w:val="00F17146"/>
    <w:rsid w:val="00F17314"/>
    <w:rsid w:val="00F1785C"/>
    <w:rsid w:val="00F17CC2"/>
    <w:rsid w:val="00F17CE9"/>
    <w:rsid w:val="00F17E2A"/>
    <w:rsid w:val="00F2011E"/>
    <w:rsid w:val="00F20209"/>
    <w:rsid w:val="00F203AE"/>
    <w:rsid w:val="00F20597"/>
    <w:rsid w:val="00F20ABE"/>
    <w:rsid w:val="00F20B51"/>
    <w:rsid w:val="00F20E47"/>
    <w:rsid w:val="00F21016"/>
    <w:rsid w:val="00F21530"/>
    <w:rsid w:val="00F21F6A"/>
    <w:rsid w:val="00F239AF"/>
    <w:rsid w:val="00F23A92"/>
    <w:rsid w:val="00F254C9"/>
    <w:rsid w:val="00F25835"/>
    <w:rsid w:val="00F25848"/>
    <w:rsid w:val="00F25AEB"/>
    <w:rsid w:val="00F26A62"/>
    <w:rsid w:val="00F3028C"/>
    <w:rsid w:val="00F343F0"/>
    <w:rsid w:val="00F34796"/>
    <w:rsid w:val="00F34DED"/>
    <w:rsid w:val="00F368B7"/>
    <w:rsid w:val="00F3715B"/>
    <w:rsid w:val="00F375E0"/>
    <w:rsid w:val="00F379FA"/>
    <w:rsid w:val="00F408A3"/>
    <w:rsid w:val="00F41519"/>
    <w:rsid w:val="00F41F13"/>
    <w:rsid w:val="00F435BF"/>
    <w:rsid w:val="00F46436"/>
    <w:rsid w:val="00F46C38"/>
    <w:rsid w:val="00F4701C"/>
    <w:rsid w:val="00F47C94"/>
    <w:rsid w:val="00F47DA4"/>
    <w:rsid w:val="00F50360"/>
    <w:rsid w:val="00F53782"/>
    <w:rsid w:val="00F538A7"/>
    <w:rsid w:val="00F548A7"/>
    <w:rsid w:val="00F54977"/>
    <w:rsid w:val="00F551BB"/>
    <w:rsid w:val="00F55205"/>
    <w:rsid w:val="00F5633A"/>
    <w:rsid w:val="00F57357"/>
    <w:rsid w:val="00F575DA"/>
    <w:rsid w:val="00F5782E"/>
    <w:rsid w:val="00F618EF"/>
    <w:rsid w:val="00F6201D"/>
    <w:rsid w:val="00F6298F"/>
    <w:rsid w:val="00F62AB2"/>
    <w:rsid w:val="00F649DB"/>
    <w:rsid w:val="00F651FA"/>
    <w:rsid w:val="00F65AA7"/>
    <w:rsid w:val="00F664FB"/>
    <w:rsid w:val="00F66993"/>
    <w:rsid w:val="00F67093"/>
    <w:rsid w:val="00F67BC5"/>
    <w:rsid w:val="00F708CE"/>
    <w:rsid w:val="00F7189C"/>
    <w:rsid w:val="00F72961"/>
    <w:rsid w:val="00F746C4"/>
    <w:rsid w:val="00F7474C"/>
    <w:rsid w:val="00F74F3C"/>
    <w:rsid w:val="00F76927"/>
    <w:rsid w:val="00F76BD7"/>
    <w:rsid w:val="00F76F63"/>
    <w:rsid w:val="00F77871"/>
    <w:rsid w:val="00F77F9B"/>
    <w:rsid w:val="00F80CC0"/>
    <w:rsid w:val="00F80FD2"/>
    <w:rsid w:val="00F8150E"/>
    <w:rsid w:val="00F81BB0"/>
    <w:rsid w:val="00F81DF0"/>
    <w:rsid w:val="00F82ADC"/>
    <w:rsid w:val="00F832AB"/>
    <w:rsid w:val="00F83C7A"/>
    <w:rsid w:val="00F83DCA"/>
    <w:rsid w:val="00F84459"/>
    <w:rsid w:val="00F84517"/>
    <w:rsid w:val="00F84C80"/>
    <w:rsid w:val="00F851D6"/>
    <w:rsid w:val="00F872C5"/>
    <w:rsid w:val="00F87BEA"/>
    <w:rsid w:val="00F907F8"/>
    <w:rsid w:val="00F90980"/>
    <w:rsid w:val="00F90DD6"/>
    <w:rsid w:val="00F91DD3"/>
    <w:rsid w:val="00F925FA"/>
    <w:rsid w:val="00F931BB"/>
    <w:rsid w:val="00F95685"/>
    <w:rsid w:val="00F9598C"/>
    <w:rsid w:val="00F96271"/>
    <w:rsid w:val="00F96312"/>
    <w:rsid w:val="00F96571"/>
    <w:rsid w:val="00F96A28"/>
    <w:rsid w:val="00F96B42"/>
    <w:rsid w:val="00F96F71"/>
    <w:rsid w:val="00F971D4"/>
    <w:rsid w:val="00F97C53"/>
    <w:rsid w:val="00FA0125"/>
    <w:rsid w:val="00FA0E76"/>
    <w:rsid w:val="00FA176D"/>
    <w:rsid w:val="00FA2B01"/>
    <w:rsid w:val="00FA2E09"/>
    <w:rsid w:val="00FA38B0"/>
    <w:rsid w:val="00FA3CB6"/>
    <w:rsid w:val="00FA4BD6"/>
    <w:rsid w:val="00FA500E"/>
    <w:rsid w:val="00FA5287"/>
    <w:rsid w:val="00FA5A2F"/>
    <w:rsid w:val="00FA6103"/>
    <w:rsid w:val="00FA755E"/>
    <w:rsid w:val="00FA78D3"/>
    <w:rsid w:val="00FB07B9"/>
    <w:rsid w:val="00FB27EF"/>
    <w:rsid w:val="00FB321F"/>
    <w:rsid w:val="00FB3C1B"/>
    <w:rsid w:val="00FB4488"/>
    <w:rsid w:val="00FB4672"/>
    <w:rsid w:val="00FB4FB9"/>
    <w:rsid w:val="00FB4FC1"/>
    <w:rsid w:val="00FB5B2F"/>
    <w:rsid w:val="00FB5BD2"/>
    <w:rsid w:val="00FB5EDB"/>
    <w:rsid w:val="00FB685A"/>
    <w:rsid w:val="00FB6C61"/>
    <w:rsid w:val="00FB79ED"/>
    <w:rsid w:val="00FC03CD"/>
    <w:rsid w:val="00FC1341"/>
    <w:rsid w:val="00FC2336"/>
    <w:rsid w:val="00FC2997"/>
    <w:rsid w:val="00FC2D8F"/>
    <w:rsid w:val="00FC2E81"/>
    <w:rsid w:val="00FC38F8"/>
    <w:rsid w:val="00FC4D70"/>
    <w:rsid w:val="00FC4D9A"/>
    <w:rsid w:val="00FC576F"/>
    <w:rsid w:val="00FC5E4E"/>
    <w:rsid w:val="00FC5F2F"/>
    <w:rsid w:val="00FC63D5"/>
    <w:rsid w:val="00FC73A3"/>
    <w:rsid w:val="00FD02FC"/>
    <w:rsid w:val="00FD1002"/>
    <w:rsid w:val="00FD1318"/>
    <w:rsid w:val="00FD2265"/>
    <w:rsid w:val="00FD2796"/>
    <w:rsid w:val="00FD326C"/>
    <w:rsid w:val="00FD393E"/>
    <w:rsid w:val="00FD3A77"/>
    <w:rsid w:val="00FD3B10"/>
    <w:rsid w:val="00FD3D4D"/>
    <w:rsid w:val="00FD3FE2"/>
    <w:rsid w:val="00FD419E"/>
    <w:rsid w:val="00FD42EA"/>
    <w:rsid w:val="00FD6EE9"/>
    <w:rsid w:val="00FE04FD"/>
    <w:rsid w:val="00FE05ED"/>
    <w:rsid w:val="00FE2605"/>
    <w:rsid w:val="00FE284C"/>
    <w:rsid w:val="00FE47C6"/>
    <w:rsid w:val="00FE4FE4"/>
    <w:rsid w:val="00FE53ED"/>
    <w:rsid w:val="00FE78C8"/>
    <w:rsid w:val="00FF003D"/>
    <w:rsid w:val="00FF15B4"/>
    <w:rsid w:val="00FF2431"/>
    <w:rsid w:val="00FF29EE"/>
    <w:rsid w:val="00FF2D80"/>
    <w:rsid w:val="00FF3422"/>
    <w:rsid w:val="00FF4296"/>
    <w:rsid w:val="00FF4783"/>
    <w:rsid w:val="00FF5088"/>
    <w:rsid w:val="00FF51E7"/>
    <w:rsid w:val="00FF5C2A"/>
    <w:rsid w:val="0114A7D7"/>
    <w:rsid w:val="0135B904"/>
    <w:rsid w:val="020AF728"/>
    <w:rsid w:val="020D346E"/>
    <w:rsid w:val="0211FD2A"/>
    <w:rsid w:val="0220E1E7"/>
    <w:rsid w:val="026E4697"/>
    <w:rsid w:val="02A98C0F"/>
    <w:rsid w:val="02B17995"/>
    <w:rsid w:val="02B4AE38"/>
    <w:rsid w:val="02F4E09A"/>
    <w:rsid w:val="03093235"/>
    <w:rsid w:val="03B4FF4D"/>
    <w:rsid w:val="03C816CE"/>
    <w:rsid w:val="03E2763D"/>
    <w:rsid w:val="03ED84A1"/>
    <w:rsid w:val="042E0977"/>
    <w:rsid w:val="04596A1D"/>
    <w:rsid w:val="04890DEF"/>
    <w:rsid w:val="049A1C44"/>
    <w:rsid w:val="050FC4C3"/>
    <w:rsid w:val="0513A555"/>
    <w:rsid w:val="0580012C"/>
    <w:rsid w:val="05E132C4"/>
    <w:rsid w:val="06A3C110"/>
    <w:rsid w:val="06A907DD"/>
    <w:rsid w:val="071147E4"/>
    <w:rsid w:val="0753B607"/>
    <w:rsid w:val="075ED093"/>
    <w:rsid w:val="07AD90A0"/>
    <w:rsid w:val="08311F84"/>
    <w:rsid w:val="083BC4EC"/>
    <w:rsid w:val="084DE48B"/>
    <w:rsid w:val="08EF564D"/>
    <w:rsid w:val="08FC3ACF"/>
    <w:rsid w:val="08FFF9FB"/>
    <w:rsid w:val="091BE8AD"/>
    <w:rsid w:val="098F425D"/>
    <w:rsid w:val="09DEB2EC"/>
    <w:rsid w:val="09F665F9"/>
    <w:rsid w:val="0A106442"/>
    <w:rsid w:val="0A10E8A6"/>
    <w:rsid w:val="0A4DE205"/>
    <w:rsid w:val="0A5C0747"/>
    <w:rsid w:val="0AA3631D"/>
    <w:rsid w:val="0AB5E2F6"/>
    <w:rsid w:val="0B2EC92B"/>
    <w:rsid w:val="0B5B5D69"/>
    <w:rsid w:val="0B5F2AE7"/>
    <w:rsid w:val="0BBE0807"/>
    <w:rsid w:val="0C585BDB"/>
    <w:rsid w:val="0E40C53E"/>
    <w:rsid w:val="0E52E407"/>
    <w:rsid w:val="0E5A6E58"/>
    <w:rsid w:val="0E7EBC2A"/>
    <w:rsid w:val="0ED5BA02"/>
    <w:rsid w:val="0EEAFE16"/>
    <w:rsid w:val="0EF325C9"/>
    <w:rsid w:val="0EF7B066"/>
    <w:rsid w:val="0F21CA31"/>
    <w:rsid w:val="0F6CBC8A"/>
    <w:rsid w:val="0F895419"/>
    <w:rsid w:val="0F9DD4E4"/>
    <w:rsid w:val="10468558"/>
    <w:rsid w:val="10572ED8"/>
    <w:rsid w:val="105F7BDD"/>
    <w:rsid w:val="1076B05D"/>
    <w:rsid w:val="10CB999D"/>
    <w:rsid w:val="113B3BFA"/>
    <w:rsid w:val="1178D7D9"/>
    <w:rsid w:val="121F674C"/>
    <w:rsid w:val="12465DBF"/>
    <w:rsid w:val="12543039"/>
    <w:rsid w:val="12C79D5F"/>
    <w:rsid w:val="1351146F"/>
    <w:rsid w:val="137958EA"/>
    <w:rsid w:val="1395F54C"/>
    <w:rsid w:val="13B2B416"/>
    <w:rsid w:val="13F4201C"/>
    <w:rsid w:val="140E8FB1"/>
    <w:rsid w:val="14154A2A"/>
    <w:rsid w:val="1422E21F"/>
    <w:rsid w:val="14907A69"/>
    <w:rsid w:val="14A09062"/>
    <w:rsid w:val="14B6DCFF"/>
    <w:rsid w:val="14ECE4D0"/>
    <w:rsid w:val="14F737D1"/>
    <w:rsid w:val="1560E5A8"/>
    <w:rsid w:val="15B83DC8"/>
    <w:rsid w:val="15E14358"/>
    <w:rsid w:val="1611A154"/>
    <w:rsid w:val="1635B19D"/>
    <w:rsid w:val="164B2E73"/>
    <w:rsid w:val="166284A0"/>
    <w:rsid w:val="16B9C101"/>
    <w:rsid w:val="16BE6FC7"/>
    <w:rsid w:val="16C1613C"/>
    <w:rsid w:val="16C27C81"/>
    <w:rsid w:val="171104E0"/>
    <w:rsid w:val="17662552"/>
    <w:rsid w:val="1782F656"/>
    <w:rsid w:val="179C5384"/>
    <w:rsid w:val="17F7FF73"/>
    <w:rsid w:val="1822B1D6"/>
    <w:rsid w:val="187FAB0C"/>
    <w:rsid w:val="18A0B007"/>
    <w:rsid w:val="18A1514E"/>
    <w:rsid w:val="18DC1B31"/>
    <w:rsid w:val="1924E229"/>
    <w:rsid w:val="193823E5"/>
    <w:rsid w:val="19568D62"/>
    <w:rsid w:val="19645EE6"/>
    <w:rsid w:val="1984C49E"/>
    <w:rsid w:val="199FCF2C"/>
    <w:rsid w:val="19C668A8"/>
    <w:rsid w:val="19CF3A70"/>
    <w:rsid w:val="19D68186"/>
    <w:rsid w:val="1A2363AB"/>
    <w:rsid w:val="1A717668"/>
    <w:rsid w:val="1AA0656F"/>
    <w:rsid w:val="1AEE1430"/>
    <w:rsid w:val="1BCCA78E"/>
    <w:rsid w:val="1BE16203"/>
    <w:rsid w:val="1C5716CD"/>
    <w:rsid w:val="1CC1AB51"/>
    <w:rsid w:val="1CDD06E9"/>
    <w:rsid w:val="1D05B6E3"/>
    <w:rsid w:val="1D52CF30"/>
    <w:rsid w:val="1DA27531"/>
    <w:rsid w:val="1E5AF8BA"/>
    <w:rsid w:val="1E5E5541"/>
    <w:rsid w:val="1E6EAFC8"/>
    <w:rsid w:val="1E9C9E80"/>
    <w:rsid w:val="1F2D8EB8"/>
    <w:rsid w:val="1F3BC8F6"/>
    <w:rsid w:val="1FA371C5"/>
    <w:rsid w:val="1FD48620"/>
    <w:rsid w:val="1FFAA6EF"/>
    <w:rsid w:val="2035D0D4"/>
    <w:rsid w:val="20BC33CC"/>
    <w:rsid w:val="213EA03B"/>
    <w:rsid w:val="2186FDC9"/>
    <w:rsid w:val="21AB6168"/>
    <w:rsid w:val="21BEAC25"/>
    <w:rsid w:val="222C9FCD"/>
    <w:rsid w:val="225EDA16"/>
    <w:rsid w:val="2278F78B"/>
    <w:rsid w:val="22BC012E"/>
    <w:rsid w:val="22FBEC78"/>
    <w:rsid w:val="2304F139"/>
    <w:rsid w:val="233926F0"/>
    <w:rsid w:val="23510534"/>
    <w:rsid w:val="2386F6F3"/>
    <w:rsid w:val="23EF60B1"/>
    <w:rsid w:val="2406070B"/>
    <w:rsid w:val="242BFDBE"/>
    <w:rsid w:val="24583219"/>
    <w:rsid w:val="24609BC0"/>
    <w:rsid w:val="248F5842"/>
    <w:rsid w:val="24CE1812"/>
    <w:rsid w:val="24DA4D26"/>
    <w:rsid w:val="25383EA2"/>
    <w:rsid w:val="257A0ED8"/>
    <w:rsid w:val="25AE6929"/>
    <w:rsid w:val="25B66B34"/>
    <w:rsid w:val="25BC0E0E"/>
    <w:rsid w:val="25DCC3D0"/>
    <w:rsid w:val="25DFD630"/>
    <w:rsid w:val="25EDEE2A"/>
    <w:rsid w:val="25EEBBE1"/>
    <w:rsid w:val="26136A76"/>
    <w:rsid w:val="269DB9BB"/>
    <w:rsid w:val="26DE1FA2"/>
    <w:rsid w:val="27031D8B"/>
    <w:rsid w:val="2732FCAB"/>
    <w:rsid w:val="27789431"/>
    <w:rsid w:val="27929BEE"/>
    <w:rsid w:val="27E488C2"/>
    <w:rsid w:val="27E71FFA"/>
    <w:rsid w:val="28243AA9"/>
    <w:rsid w:val="28409DC5"/>
    <w:rsid w:val="285E359F"/>
    <w:rsid w:val="28AEAA34"/>
    <w:rsid w:val="290FA63A"/>
    <w:rsid w:val="294E47AF"/>
    <w:rsid w:val="2A0DD8FD"/>
    <w:rsid w:val="2A445BDD"/>
    <w:rsid w:val="2A735B10"/>
    <w:rsid w:val="2AA85AA6"/>
    <w:rsid w:val="2B280142"/>
    <w:rsid w:val="2B581C67"/>
    <w:rsid w:val="2B95DDD4"/>
    <w:rsid w:val="2BE64AF6"/>
    <w:rsid w:val="2BF84391"/>
    <w:rsid w:val="2C31F4E8"/>
    <w:rsid w:val="2C35D24F"/>
    <w:rsid w:val="2C607E16"/>
    <w:rsid w:val="2D06672E"/>
    <w:rsid w:val="2D1E7F8D"/>
    <w:rsid w:val="2D39A0C5"/>
    <w:rsid w:val="2D39C42F"/>
    <w:rsid w:val="2D509E7B"/>
    <w:rsid w:val="2DE2ED05"/>
    <w:rsid w:val="2E10C560"/>
    <w:rsid w:val="2E2CBEFB"/>
    <w:rsid w:val="2E33CD31"/>
    <w:rsid w:val="2E33EF59"/>
    <w:rsid w:val="2E4ADAE9"/>
    <w:rsid w:val="2E4CCE6A"/>
    <w:rsid w:val="2E508DE5"/>
    <w:rsid w:val="2E6893EF"/>
    <w:rsid w:val="2E7CDABF"/>
    <w:rsid w:val="2EC7FBB9"/>
    <w:rsid w:val="2EC9A99A"/>
    <w:rsid w:val="2ECA0A33"/>
    <w:rsid w:val="2ED88BD7"/>
    <w:rsid w:val="2EFC5368"/>
    <w:rsid w:val="2F144135"/>
    <w:rsid w:val="2F4500F0"/>
    <w:rsid w:val="2F6CF454"/>
    <w:rsid w:val="2F75C813"/>
    <w:rsid w:val="2FD2F0E6"/>
    <w:rsid w:val="2FD543C7"/>
    <w:rsid w:val="2FECF62B"/>
    <w:rsid w:val="3040AB85"/>
    <w:rsid w:val="3097CAA6"/>
    <w:rsid w:val="30AA1D6F"/>
    <w:rsid w:val="30BE9156"/>
    <w:rsid w:val="30CCFDEA"/>
    <w:rsid w:val="30F09031"/>
    <w:rsid w:val="30F73BAE"/>
    <w:rsid w:val="31070151"/>
    <w:rsid w:val="311F4445"/>
    <w:rsid w:val="3120FE7B"/>
    <w:rsid w:val="3175A83D"/>
    <w:rsid w:val="318DF525"/>
    <w:rsid w:val="318EF9DA"/>
    <w:rsid w:val="31B42511"/>
    <w:rsid w:val="31CC4A48"/>
    <w:rsid w:val="321A02D8"/>
    <w:rsid w:val="326AF08E"/>
    <w:rsid w:val="32B14550"/>
    <w:rsid w:val="32CCD52A"/>
    <w:rsid w:val="32FFE778"/>
    <w:rsid w:val="334B69DE"/>
    <w:rsid w:val="3391278B"/>
    <w:rsid w:val="339F8FEA"/>
    <w:rsid w:val="33CBB308"/>
    <w:rsid w:val="3440219D"/>
    <w:rsid w:val="34C2427C"/>
    <w:rsid w:val="353A4CC7"/>
    <w:rsid w:val="3559DE61"/>
    <w:rsid w:val="355F83DF"/>
    <w:rsid w:val="364FC08E"/>
    <w:rsid w:val="3664CEFC"/>
    <w:rsid w:val="36B0DE00"/>
    <w:rsid w:val="36F4E574"/>
    <w:rsid w:val="36FBC4B4"/>
    <w:rsid w:val="37613D30"/>
    <w:rsid w:val="37F770E6"/>
    <w:rsid w:val="38399719"/>
    <w:rsid w:val="38C4CDFE"/>
    <w:rsid w:val="38CB81EE"/>
    <w:rsid w:val="38EAD3D8"/>
    <w:rsid w:val="390AEB47"/>
    <w:rsid w:val="3918C9FC"/>
    <w:rsid w:val="396E9D6F"/>
    <w:rsid w:val="39A323A3"/>
    <w:rsid w:val="39B0937D"/>
    <w:rsid w:val="39C6A829"/>
    <w:rsid w:val="3A014263"/>
    <w:rsid w:val="3A0C9218"/>
    <w:rsid w:val="3A2C8636"/>
    <w:rsid w:val="3A5AF80A"/>
    <w:rsid w:val="3A7C6C5F"/>
    <w:rsid w:val="3A924795"/>
    <w:rsid w:val="3ABFFA96"/>
    <w:rsid w:val="3AE87251"/>
    <w:rsid w:val="3B0E77EF"/>
    <w:rsid w:val="3B43A911"/>
    <w:rsid w:val="3B53D472"/>
    <w:rsid w:val="3B5ED7FF"/>
    <w:rsid w:val="3BDF9FBF"/>
    <w:rsid w:val="3C253B97"/>
    <w:rsid w:val="3C50924B"/>
    <w:rsid w:val="3C76AD45"/>
    <w:rsid w:val="3CD612A6"/>
    <w:rsid w:val="3D78F80C"/>
    <w:rsid w:val="3DC2A255"/>
    <w:rsid w:val="3DD1D512"/>
    <w:rsid w:val="3DF3FC90"/>
    <w:rsid w:val="3DF9EB01"/>
    <w:rsid w:val="3E3A0385"/>
    <w:rsid w:val="3E954F65"/>
    <w:rsid w:val="3E9D17AF"/>
    <w:rsid w:val="3EC47CA2"/>
    <w:rsid w:val="3EE39ECA"/>
    <w:rsid w:val="3F4A9538"/>
    <w:rsid w:val="3F79FA87"/>
    <w:rsid w:val="3F8587E5"/>
    <w:rsid w:val="3FA3D24E"/>
    <w:rsid w:val="3FCFA61B"/>
    <w:rsid w:val="3FD8FCDC"/>
    <w:rsid w:val="402B544D"/>
    <w:rsid w:val="40660CAB"/>
    <w:rsid w:val="4096F54E"/>
    <w:rsid w:val="40AE4793"/>
    <w:rsid w:val="40FA4317"/>
    <w:rsid w:val="4113E643"/>
    <w:rsid w:val="41DDC5FE"/>
    <w:rsid w:val="41E8E5A3"/>
    <w:rsid w:val="42C0FB76"/>
    <w:rsid w:val="433DDAE7"/>
    <w:rsid w:val="435E9304"/>
    <w:rsid w:val="43785FC0"/>
    <w:rsid w:val="43BC175B"/>
    <w:rsid w:val="43C9E344"/>
    <w:rsid w:val="43D3687C"/>
    <w:rsid w:val="447B6702"/>
    <w:rsid w:val="45489F6F"/>
    <w:rsid w:val="4571A357"/>
    <w:rsid w:val="457B6FA5"/>
    <w:rsid w:val="459FE7E3"/>
    <w:rsid w:val="45C48CB5"/>
    <w:rsid w:val="45E135AA"/>
    <w:rsid w:val="4649D355"/>
    <w:rsid w:val="465B0E4A"/>
    <w:rsid w:val="4663C51E"/>
    <w:rsid w:val="466477C9"/>
    <w:rsid w:val="46E26E74"/>
    <w:rsid w:val="47294CE3"/>
    <w:rsid w:val="47494DF4"/>
    <w:rsid w:val="474ED13D"/>
    <w:rsid w:val="4819BBFD"/>
    <w:rsid w:val="48587394"/>
    <w:rsid w:val="48624D9D"/>
    <w:rsid w:val="48980D49"/>
    <w:rsid w:val="48C8D89A"/>
    <w:rsid w:val="48DAF1C8"/>
    <w:rsid w:val="48E0B390"/>
    <w:rsid w:val="490A6BD2"/>
    <w:rsid w:val="49105762"/>
    <w:rsid w:val="494A3C41"/>
    <w:rsid w:val="498F0AD5"/>
    <w:rsid w:val="4A66C74A"/>
    <w:rsid w:val="4A9ED439"/>
    <w:rsid w:val="4AF39ED8"/>
    <w:rsid w:val="4B515CBF"/>
    <w:rsid w:val="4B5C2C5F"/>
    <w:rsid w:val="4B71E5C2"/>
    <w:rsid w:val="4B725C7C"/>
    <w:rsid w:val="4B866F05"/>
    <w:rsid w:val="4B9056CB"/>
    <w:rsid w:val="4B9D06B1"/>
    <w:rsid w:val="4BF92CB4"/>
    <w:rsid w:val="4C0D48E3"/>
    <w:rsid w:val="4C2B24FB"/>
    <w:rsid w:val="4C4062EB"/>
    <w:rsid w:val="4C90C9A4"/>
    <w:rsid w:val="4CAEB072"/>
    <w:rsid w:val="4CCB0E2D"/>
    <w:rsid w:val="4D06557D"/>
    <w:rsid w:val="4D0DB623"/>
    <w:rsid w:val="4D41D6E2"/>
    <w:rsid w:val="4D48E5F6"/>
    <w:rsid w:val="4D616943"/>
    <w:rsid w:val="4D8CADF5"/>
    <w:rsid w:val="4D8FE347"/>
    <w:rsid w:val="4DC3B382"/>
    <w:rsid w:val="4EBF5C7D"/>
    <w:rsid w:val="4EE07379"/>
    <w:rsid w:val="4F01D7C6"/>
    <w:rsid w:val="4F3058CA"/>
    <w:rsid w:val="4F68727F"/>
    <w:rsid w:val="4F72609B"/>
    <w:rsid w:val="4F731A7F"/>
    <w:rsid w:val="4F84F894"/>
    <w:rsid w:val="5062C73A"/>
    <w:rsid w:val="50963984"/>
    <w:rsid w:val="509F42D8"/>
    <w:rsid w:val="50E315F5"/>
    <w:rsid w:val="50ECE413"/>
    <w:rsid w:val="51963C5A"/>
    <w:rsid w:val="5197B25D"/>
    <w:rsid w:val="51B22C2F"/>
    <w:rsid w:val="51F050DF"/>
    <w:rsid w:val="521096CA"/>
    <w:rsid w:val="522E8DBA"/>
    <w:rsid w:val="5321BC2D"/>
    <w:rsid w:val="5394FD53"/>
    <w:rsid w:val="53A59844"/>
    <w:rsid w:val="53D16103"/>
    <w:rsid w:val="53EA1AA6"/>
    <w:rsid w:val="5426EEF8"/>
    <w:rsid w:val="5448238F"/>
    <w:rsid w:val="549D98B5"/>
    <w:rsid w:val="54DD1572"/>
    <w:rsid w:val="54E445D0"/>
    <w:rsid w:val="553AA4B2"/>
    <w:rsid w:val="557B0110"/>
    <w:rsid w:val="55CA6F8A"/>
    <w:rsid w:val="5642F98E"/>
    <w:rsid w:val="570FF8D7"/>
    <w:rsid w:val="5720ED44"/>
    <w:rsid w:val="5795CF71"/>
    <w:rsid w:val="579A7B6D"/>
    <w:rsid w:val="57AF16F5"/>
    <w:rsid w:val="57E32688"/>
    <w:rsid w:val="57FD7E18"/>
    <w:rsid w:val="587EDF3F"/>
    <w:rsid w:val="58939057"/>
    <w:rsid w:val="589ED0CA"/>
    <w:rsid w:val="58B60669"/>
    <w:rsid w:val="58EC6FC6"/>
    <w:rsid w:val="598C464A"/>
    <w:rsid w:val="5A1C0B72"/>
    <w:rsid w:val="5A51A3F9"/>
    <w:rsid w:val="5A5A12CC"/>
    <w:rsid w:val="5A8F10B4"/>
    <w:rsid w:val="5A99148C"/>
    <w:rsid w:val="5AA0EDE9"/>
    <w:rsid w:val="5AB20A18"/>
    <w:rsid w:val="5AC6AA12"/>
    <w:rsid w:val="5B0B3180"/>
    <w:rsid w:val="5B2C6C48"/>
    <w:rsid w:val="5B336860"/>
    <w:rsid w:val="5B5A5A1D"/>
    <w:rsid w:val="5B6B6B4C"/>
    <w:rsid w:val="5BAC4B28"/>
    <w:rsid w:val="5BB2B1C4"/>
    <w:rsid w:val="5BFF0D44"/>
    <w:rsid w:val="5C19F734"/>
    <w:rsid w:val="5C27E36C"/>
    <w:rsid w:val="5C34E4ED"/>
    <w:rsid w:val="5C5BFCC5"/>
    <w:rsid w:val="5CFFB604"/>
    <w:rsid w:val="5D08DA28"/>
    <w:rsid w:val="5D16B257"/>
    <w:rsid w:val="5D224906"/>
    <w:rsid w:val="5D2E91DE"/>
    <w:rsid w:val="5D74CD86"/>
    <w:rsid w:val="5DC3C502"/>
    <w:rsid w:val="5E39A456"/>
    <w:rsid w:val="5E68446F"/>
    <w:rsid w:val="5E75F499"/>
    <w:rsid w:val="5F3CEB68"/>
    <w:rsid w:val="5F4E8F00"/>
    <w:rsid w:val="5F6C85AF"/>
    <w:rsid w:val="5F95AEBA"/>
    <w:rsid w:val="603B3218"/>
    <w:rsid w:val="6060C5DC"/>
    <w:rsid w:val="60A2FCDB"/>
    <w:rsid w:val="60BD623E"/>
    <w:rsid w:val="60E8742A"/>
    <w:rsid w:val="610EA47D"/>
    <w:rsid w:val="6165B1A8"/>
    <w:rsid w:val="61B64A67"/>
    <w:rsid w:val="623F4ED1"/>
    <w:rsid w:val="62454951"/>
    <w:rsid w:val="62477EF8"/>
    <w:rsid w:val="6257F49C"/>
    <w:rsid w:val="62898D7A"/>
    <w:rsid w:val="62A5BB39"/>
    <w:rsid w:val="62D1E5A6"/>
    <w:rsid w:val="630D1579"/>
    <w:rsid w:val="632455CB"/>
    <w:rsid w:val="633E7A45"/>
    <w:rsid w:val="634D0B70"/>
    <w:rsid w:val="63612F58"/>
    <w:rsid w:val="6378DC01"/>
    <w:rsid w:val="63A8AB6E"/>
    <w:rsid w:val="63D41C70"/>
    <w:rsid w:val="63E29939"/>
    <w:rsid w:val="6410CE41"/>
    <w:rsid w:val="641F7545"/>
    <w:rsid w:val="64323D38"/>
    <w:rsid w:val="65559396"/>
    <w:rsid w:val="65D1BF30"/>
    <w:rsid w:val="6615798E"/>
    <w:rsid w:val="66198C2D"/>
    <w:rsid w:val="662F1AAE"/>
    <w:rsid w:val="66918CB4"/>
    <w:rsid w:val="669C0C28"/>
    <w:rsid w:val="66FE9BF4"/>
    <w:rsid w:val="670423F9"/>
    <w:rsid w:val="6738792E"/>
    <w:rsid w:val="674D2904"/>
    <w:rsid w:val="67B6B048"/>
    <w:rsid w:val="67E1BA49"/>
    <w:rsid w:val="6811EB68"/>
    <w:rsid w:val="6878AA71"/>
    <w:rsid w:val="688072AC"/>
    <w:rsid w:val="68B27ABB"/>
    <w:rsid w:val="6920BDAF"/>
    <w:rsid w:val="692873C3"/>
    <w:rsid w:val="697C56FD"/>
    <w:rsid w:val="6985085E"/>
    <w:rsid w:val="69BA698A"/>
    <w:rsid w:val="6A00ACF8"/>
    <w:rsid w:val="6A1DFA72"/>
    <w:rsid w:val="6AC5ABAF"/>
    <w:rsid w:val="6AF180CE"/>
    <w:rsid w:val="6B3160E7"/>
    <w:rsid w:val="6B534DAA"/>
    <w:rsid w:val="6BD5F892"/>
    <w:rsid w:val="6BD6EBCC"/>
    <w:rsid w:val="6C6210D9"/>
    <w:rsid w:val="6CBBE545"/>
    <w:rsid w:val="6CDAE0CE"/>
    <w:rsid w:val="6CED4A11"/>
    <w:rsid w:val="6CFFC9EA"/>
    <w:rsid w:val="6D26C852"/>
    <w:rsid w:val="6DAAE239"/>
    <w:rsid w:val="6DEEC69E"/>
    <w:rsid w:val="6E593A6B"/>
    <w:rsid w:val="6E9CD214"/>
    <w:rsid w:val="6EF9EE7D"/>
    <w:rsid w:val="6F5211D7"/>
    <w:rsid w:val="6F6D1832"/>
    <w:rsid w:val="6F7E4AC5"/>
    <w:rsid w:val="6F86931C"/>
    <w:rsid w:val="7039AEB8"/>
    <w:rsid w:val="70651D6C"/>
    <w:rsid w:val="70E2C074"/>
    <w:rsid w:val="7153116E"/>
    <w:rsid w:val="719957F0"/>
    <w:rsid w:val="71CFE614"/>
    <w:rsid w:val="71F9F239"/>
    <w:rsid w:val="71FACBCE"/>
    <w:rsid w:val="7227F096"/>
    <w:rsid w:val="72321248"/>
    <w:rsid w:val="72B8E0FD"/>
    <w:rsid w:val="72BE5376"/>
    <w:rsid w:val="734DA70F"/>
    <w:rsid w:val="7366073B"/>
    <w:rsid w:val="737EE49D"/>
    <w:rsid w:val="73C44C0A"/>
    <w:rsid w:val="73FF2B02"/>
    <w:rsid w:val="740DAE3B"/>
    <w:rsid w:val="741C146E"/>
    <w:rsid w:val="743D3884"/>
    <w:rsid w:val="744601A6"/>
    <w:rsid w:val="7459D41D"/>
    <w:rsid w:val="747C977E"/>
    <w:rsid w:val="74BAC5AD"/>
    <w:rsid w:val="74F1B372"/>
    <w:rsid w:val="7515E438"/>
    <w:rsid w:val="753CB5E4"/>
    <w:rsid w:val="75566210"/>
    <w:rsid w:val="7562F1C3"/>
    <w:rsid w:val="75967DAE"/>
    <w:rsid w:val="75E0CC71"/>
    <w:rsid w:val="7614EF19"/>
    <w:rsid w:val="7618498C"/>
    <w:rsid w:val="7688A835"/>
    <w:rsid w:val="76942C57"/>
    <w:rsid w:val="76AA29BE"/>
    <w:rsid w:val="76B37E9E"/>
    <w:rsid w:val="771286FA"/>
    <w:rsid w:val="771E0D26"/>
    <w:rsid w:val="7734B4F6"/>
    <w:rsid w:val="773599AE"/>
    <w:rsid w:val="774C23F5"/>
    <w:rsid w:val="7779744B"/>
    <w:rsid w:val="77EE3991"/>
    <w:rsid w:val="780340C4"/>
    <w:rsid w:val="78337C84"/>
    <w:rsid w:val="784A694C"/>
    <w:rsid w:val="78E4D6E0"/>
    <w:rsid w:val="78FFDD3B"/>
    <w:rsid w:val="790CD294"/>
    <w:rsid w:val="79443129"/>
    <w:rsid w:val="7964DFC7"/>
    <w:rsid w:val="798A09F2"/>
    <w:rsid w:val="79E30FF1"/>
    <w:rsid w:val="79F949E4"/>
    <w:rsid w:val="7A2F4F39"/>
    <w:rsid w:val="7A532D43"/>
    <w:rsid w:val="7A9975E7"/>
    <w:rsid w:val="7AE734D1"/>
    <w:rsid w:val="7AED60F8"/>
    <w:rsid w:val="7AEE87CE"/>
    <w:rsid w:val="7B0C625A"/>
    <w:rsid w:val="7B25DA53"/>
    <w:rsid w:val="7B8D69DE"/>
    <w:rsid w:val="7BF399B5"/>
    <w:rsid w:val="7CB4D20A"/>
    <w:rsid w:val="7CC1AAB4"/>
    <w:rsid w:val="7D08DBB0"/>
    <w:rsid w:val="7D3B5770"/>
    <w:rsid w:val="7E0A0848"/>
    <w:rsid w:val="7F43574F"/>
    <w:rsid w:val="7F52E35B"/>
    <w:rsid w:val="7F790275"/>
    <w:rsid w:val="7F879CC1"/>
    <w:rsid w:val="7F94AF47"/>
    <w:rsid w:val="7FBB75C2"/>
    <w:rsid w:val="7FBF1047"/>
    <w:rsid w:val="7FE2ADDE"/>
    <w:rsid w:val="7FECEB07"/>
    <w:rsid w:val="7FF37F97"/>
    <w:rsid w:val="7FFB132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E8CC9ED"/>
  <w15:docId w15:val="{83D00DF0-C2A6-4C1D-9008-AB10462FB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bg-BG"/>
    </w:rPr>
  </w:style>
  <w:style w:type="paragraph" w:styleId="Heading1">
    <w:name w:val="heading 1"/>
    <w:basedOn w:val="Normal"/>
    <w:next w:val="Text1"/>
    <w:link w:val="Heading1Char"/>
    <w:uiPriority w:val="9"/>
    <w:qFormat/>
    <w:pPr>
      <w:keepNext/>
      <w:numPr>
        <w:numId w:val="5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5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5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59"/>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59"/>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59"/>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59"/>
      </w:numPr>
      <w:outlineLvl w:val="6"/>
    </w:pPr>
    <w:rPr>
      <w:rFonts w:eastAsiaTheme="majorEastAsia"/>
      <w:iCs/>
    </w:rPr>
  </w:style>
  <w:style w:type="paragraph" w:styleId="Heading8">
    <w:name w:val="heading 8"/>
    <w:basedOn w:val="Normal"/>
    <w:next w:val="Normal"/>
    <w:link w:val="Heading8Char"/>
    <w:uiPriority w:val="9"/>
    <w:semiHidden/>
    <w:unhideWhenUsed/>
    <w:qFormat/>
    <w:rsid w:val="00E0321C"/>
    <w:pPr>
      <w:keepNext/>
      <w:keepLines/>
      <w:spacing w:before="40" w:after="0" w:line="300" w:lineRule="auto"/>
      <w:jc w:val="left"/>
      <w:outlineLvl w:val="7"/>
    </w:pPr>
    <w:rPr>
      <w:rFonts w:asciiTheme="majorHAnsi" w:eastAsiaTheme="majorEastAsia" w:hAnsiTheme="majorHAnsi" w:cstheme="majorBidi"/>
      <w:i/>
      <w:sz w:val="22"/>
    </w:rPr>
  </w:style>
  <w:style w:type="paragraph" w:styleId="Heading9">
    <w:name w:val="heading 9"/>
    <w:basedOn w:val="Normal"/>
    <w:next w:val="Normal"/>
    <w:link w:val="Heading9Char"/>
    <w:uiPriority w:val="9"/>
    <w:semiHidden/>
    <w:unhideWhenUsed/>
    <w:qFormat/>
    <w:rsid w:val="00E0321C"/>
    <w:pPr>
      <w:keepNext/>
      <w:keepLines/>
      <w:spacing w:before="40" w:after="0" w:line="300" w:lineRule="auto"/>
      <w:jc w:val="left"/>
      <w:outlineLvl w:val="8"/>
    </w:pPr>
    <w:rPr>
      <w:rFonts w:asciiTheme="minorHAnsi" w:eastAsiaTheme="minorEastAsia" w:hAnsiTheme="minorHAnsi" w:cstheme="minorBidi"/>
      <w:b/>
      <w:i/>
      <w:sz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rsid w:val="00F67093"/>
    <w:pPr>
      <w:numPr>
        <w:numId w:val="2"/>
      </w:numPr>
    </w:pPr>
  </w:style>
  <w:style w:type="paragraph" w:styleId="ListNumber">
    <w:name w:val="List Number"/>
    <w:basedOn w:val="Normal"/>
    <w:rsid w:val="00F67093"/>
    <w:pPr>
      <w:numPr>
        <w:numId w:val="6"/>
      </w:numPr>
    </w:pPr>
  </w:style>
  <w:style w:type="paragraph" w:customStyle="1" w:styleId="ListBullet1">
    <w:name w:val="List Bullet 1"/>
    <w:basedOn w:val="Normal"/>
    <w:rsid w:val="00F67093"/>
    <w:pPr>
      <w:numPr>
        <w:numId w:val="1"/>
      </w:numPr>
    </w:pPr>
  </w:style>
  <w:style w:type="paragraph" w:customStyle="1" w:styleId="ListDash">
    <w:name w:val="List Dash"/>
    <w:basedOn w:val="Normal"/>
    <w:rsid w:val="00F67093"/>
    <w:pPr>
      <w:numPr>
        <w:numId w:val="3"/>
      </w:numPr>
    </w:pPr>
  </w:style>
  <w:style w:type="paragraph" w:customStyle="1" w:styleId="ListDash1">
    <w:name w:val="List Dash 1"/>
    <w:basedOn w:val="Normal"/>
    <w:rsid w:val="00F67093"/>
    <w:pPr>
      <w:numPr>
        <w:numId w:val="4"/>
      </w:numPr>
    </w:pPr>
  </w:style>
  <w:style w:type="paragraph" w:customStyle="1" w:styleId="ListDash2">
    <w:name w:val="List Dash 2"/>
    <w:basedOn w:val="Normal"/>
    <w:rsid w:val="00F67093"/>
    <w:pPr>
      <w:numPr>
        <w:numId w:val="5"/>
      </w:numPr>
    </w:pPr>
  </w:style>
  <w:style w:type="paragraph" w:customStyle="1" w:styleId="ListNumberLevel2">
    <w:name w:val="List Number (Level 2)"/>
    <w:basedOn w:val="Normal"/>
    <w:rsid w:val="00F67093"/>
    <w:pPr>
      <w:numPr>
        <w:ilvl w:val="1"/>
        <w:numId w:val="6"/>
      </w:numPr>
    </w:pPr>
  </w:style>
  <w:style w:type="paragraph" w:customStyle="1" w:styleId="ListNumberLevel3">
    <w:name w:val="List Number (Level 3)"/>
    <w:basedOn w:val="Normal"/>
    <w:rsid w:val="00F67093"/>
    <w:pPr>
      <w:numPr>
        <w:ilvl w:val="2"/>
        <w:numId w:val="6"/>
      </w:numPr>
    </w:pPr>
  </w:style>
  <w:style w:type="paragraph" w:customStyle="1" w:styleId="ListNumberLevel4">
    <w:name w:val="List Number (Level 4)"/>
    <w:basedOn w:val="Normal"/>
    <w:rsid w:val="00F67093"/>
    <w:pPr>
      <w:numPr>
        <w:ilvl w:val="3"/>
        <w:numId w:val="6"/>
      </w:numPr>
    </w:pPr>
  </w:style>
  <w:style w:type="table" w:styleId="TableGrid">
    <w:name w:val="Table Grid"/>
    <w:basedOn w:val="TableNormal"/>
    <w:rsid w:val="00F67093"/>
    <w:pPr>
      <w:spacing w:before="120" w:after="120" w:line="240" w:lineRule="auto"/>
      <w:jc w:val="both"/>
    </w:pPr>
    <w:rPr>
      <w:rFonts w:ascii="Times New Roman" w:eastAsia="Times New Roman"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67093"/>
    <w:rPr>
      <w:color w:val="0000FF"/>
      <w:u w:val="single"/>
    </w:rPr>
  </w:style>
  <w:style w:type="paragraph" w:styleId="ListBullet">
    <w:name w:val="List Bullet"/>
    <w:basedOn w:val="Normal"/>
    <w:rsid w:val="00F67093"/>
    <w:pPr>
      <w:numPr>
        <w:numId w:val="7"/>
      </w:numPr>
    </w:pPr>
  </w:style>
  <w:style w:type="paragraph" w:styleId="ListBullet2">
    <w:name w:val="List Bullet 2"/>
    <w:basedOn w:val="Normal"/>
    <w:rsid w:val="00F67093"/>
    <w:pPr>
      <w:numPr>
        <w:numId w:val="8"/>
      </w:numPr>
    </w:pPr>
  </w:style>
  <w:style w:type="paragraph" w:styleId="ListBullet3">
    <w:name w:val="List Bullet 3"/>
    <w:basedOn w:val="Normal"/>
    <w:rsid w:val="00F67093"/>
    <w:pPr>
      <w:numPr>
        <w:numId w:val="9"/>
      </w:numPr>
    </w:pPr>
  </w:style>
  <w:style w:type="paragraph" w:styleId="ListNumber2">
    <w:name w:val="List Number 2"/>
    <w:basedOn w:val="Normal"/>
    <w:rsid w:val="00F67093"/>
    <w:pPr>
      <w:numPr>
        <w:numId w:val="13"/>
      </w:numPr>
    </w:pPr>
  </w:style>
  <w:style w:type="paragraph" w:styleId="ListNumber3">
    <w:name w:val="List Number 3"/>
    <w:basedOn w:val="Normal"/>
    <w:rsid w:val="00F67093"/>
    <w:pPr>
      <w:numPr>
        <w:numId w:val="14"/>
      </w:numPr>
    </w:pPr>
  </w:style>
  <w:style w:type="paragraph" w:styleId="ListNumber4">
    <w:name w:val="List Number 4"/>
    <w:basedOn w:val="Normal"/>
    <w:rsid w:val="00F67093"/>
    <w:pPr>
      <w:numPr>
        <w:numId w:val="15"/>
      </w:numPr>
    </w:pPr>
  </w:style>
  <w:style w:type="paragraph" w:customStyle="1" w:styleId="ListDash3">
    <w:name w:val="List Dash 3"/>
    <w:basedOn w:val="Normal"/>
    <w:rsid w:val="00F67093"/>
    <w:pPr>
      <w:numPr>
        <w:numId w:val="10"/>
      </w:numPr>
    </w:pPr>
  </w:style>
  <w:style w:type="paragraph" w:customStyle="1" w:styleId="ListDash4">
    <w:name w:val="List Dash 4"/>
    <w:basedOn w:val="Normal"/>
    <w:rsid w:val="00F67093"/>
    <w:pPr>
      <w:numPr>
        <w:numId w:val="11"/>
      </w:numPr>
    </w:pPr>
  </w:style>
  <w:style w:type="paragraph" w:customStyle="1" w:styleId="ListNumber1">
    <w:name w:val="List Number 1"/>
    <w:basedOn w:val="Text1"/>
    <w:rsid w:val="00F67093"/>
    <w:pPr>
      <w:numPr>
        <w:numId w:val="12"/>
      </w:numPr>
    </w:pPr>
  </w:style>
  <w:style w:type="paragraph" w:customStyle="1" w:styleId="ListNumber1Level2">
    <w:name w:val="List Number 1 (Level 2)"/>
    <w:basedOn w:val="Text1"/>
    <w:rsid w:val="00F67093"/>
    <w:pPr>
      <w:numPr>
        <w:ilvl w:val="1"/>
        <w:numId w:val="12"/>
      </w:numPr>
    </w:pPr>
  </w:style>
  <w:style w:type="paragraph" w:customStyle="1" w:styleId="ListNumber2Level2">
    <w:name w:val="List Number 2 (Level 2)"/>
    <w:basedOn w:val="Text2"/>
    <w:rsid w:val="00F67093"/>
    <w:pPr>
      <w:numPr>
        <w:ilvl w:val="1"/>
        <w:numId w:val="13"/>
      </w:numPr>
    </w:pPr>
  </w:style>
  <w:style w:type="paragraph" w:customStyle="1" w:styleId="ListNumber3Level2">
    <w:name w:val="List Number 3 (Level 2)"/>
    <w:basedOn w:val="Text3"/>
    <w:rsid w:val="00F67093"/>
    <w:pPr>
      <w:numPr>
        <w:ilvl w:val="1"/>
        <w:numId w:val="14"/>
      </w:numPr>
    </w:pPr>
  </w:style>
  <w:style w:type="paragraph" w:customStyle="1" w:styleId="ListNumber4Level2">
    <w:name w:val="List Number 4 (Level 2)"/>
    <w:basedOn w:val="Text4"/>
    <w:rsid w:val="00F67093"/>
    <w:pPr>
      <w:numPr>
        <w:ilvl w:val="1"/>
        <w:numId w:val="15"/>
      </w:numPr>
    </w:pPr>
  </w:style>
  <w:style w:type="paragraph" w:customStyle="1" w:styleId="ListNumber1Level3">
    <w:name w:val="List Number 1 (Level 3)"/>
    <w:basedOn w:val="Text1"/>
    <w:rsid w:val="00F67093"/>
    <w:pPr>
      <w:numPr>
        <w:ilvl w:val="2"/>
        <w:numId w:val="12"/>
      </w:numPr>
    </w:pPr>
  </w:style>
  <w:style w:type="paragraph" w:customStyle="1" w:styleId="ListNumber2Level3">
    <w:name w:val="List Number 2 (Level 3)"/>
    <w:basedOn w:val="Text2"/>
    <w:rsid w:val="00F67093"/>
    <w:pPr>
      <w:numPr>
        <w:ilvl w:val="2"/>
        <w:numId w:val="13"/>
      </w:numPr>
    </w:pPr>
  </w:style>
  <w:style w:type="paragraph" w:customStyle="1" w:styleId="ListNumber3Level3">
    <w:name w:val="List Number 3 (Level 3)"/>
    <w:basedOn w:val="Text3"/>
    <w:rsid w:val="00F67093"/>
    <w:pPr>
      <w:numPr>
        <w:ilvl w:val="2"/>
        <w:numId w:val="14"/>
      </w:numPr>
    </w:pPr>
  </w:style>
  <w:style w:type="paragraph" w:customStyle="1" w:styleId="ListNumber4Level3">
    <w:name w:val="List Number 4 (Level 3)"/>
    <w:basedOn w:val="Text4"/>
    <w:rsid w:val="00F67093"/>
    <w:pPr>
      <w:numPr>
        <w:ilvl w:val="2"/>
        <w:numId w:val="15"/>
      </w:numPr>
    </w:pPr>
  </w:style>
  <w:style w:type="paragraph" w:customStyle="1" w:styleId="ListNumber1Level4">
    <w:name w:val="List Number 1 (Level 4)"/>
    <w:basedOn w:val="Text1"/>
    <w:rsid w:val="00F67093"/>
    <w:pPr>
      <w:numPr>
        <w:ilvl w:val="3"/>
        <w:numId w:val="12"/>
      </w:numPr>
    </w:pPr>
  </w:style>
  <w:style w:type="paragraph" w:customStyle="1" w:styleId="ListNumber2Level4">
    <w:name w:val="List Number 2 (Level 4)"/>
    <w:basedOn w:val="Text2"/>
    <w:rsid w:val="00F67093"/>
    <w:pPr>
      <w:numPr>
        <w:ilvl w:val="3"/>
        <w:numId w:val="13"/>
      </w:numPr>
    </w:pPr>
  </w:style>
  <w:style w:type="paragraph" w:customStyle="1" w:styleId="ListNumber3Level4">
    <w:name w:val="List Number 3 (Level 4)"/>
    <w:basedOn w:val="Text3"/>
    <w:rsid w:val="00F67093"/>
    <w:pPr>
      <w:numPr>
        <w:ilvl w:val="3"/>
        <w:numId w:val="14"/>
      </w:numPr>
    </w:pPr>
  </w:style>
  <w:style w:type="paragraph" w:customStyle="1" w:styleId="ListNumber4Level4">
    <w:name w:val="List Number 4 (Level 4)"/>
    <w:basedOn w:val="Text4"/>
    <w:rsid w:val="00F67093"/>
    <w:pPr>
      <w:numPr>
        <w:ilvl w:val="3"/>
        <w:numId w:val="15"/>
      </w:numPr>
    </w:pPr>
  </w:style>
  <w:style w:type="paragraph" w:customStyle="1" w:styleId="Annexetitreacte">
    <w:name w:val="Annexe titre (acte)"/>
    <w:basedOn w:val="Normal"/>
    <w:next w:val="Normal"/>
    <w:rsid w:val="00F67093"/>
    <w:pPr>
      <w:jc w:val="center"/>
    </w:pPr>
    <w:rPr>
      <w:b/>
      <w:u w:val="single"/>
    </w:rPr>
  </w:style>
  <w:style w:type="paragraph" w:customStyle="1" w:styleId="Annexetitreexposglobal">
    <w:name w:val="Annexe titre (exposé global)"/>
    <w:basedOn w:val="Normal"/>
    <w:next w:val="Normal"/>
    <w:rsid w:val="00F67093"/>
    <w:pPr>
      <w:jc w:val="center"/>
    </w:pPr>
    <w:rPr>
      <w:b/>
      <w:u w:val="single"/>
    </w:rPr>
  </w:style>
  <w:style w:type="paragraph" w:customStyle="1" w:styleId="Annexetitrefichefinacte">
    <w:name w:val="Annexe titre (fiche fin. acte)"/>
    <w:basedOn w:val="Normal"/>
    <w:next w:val="Normal"/>
    <w:rsid w:val="00F67093"/>
    <w:pPr>
      <w:jc w:val="center"/>
    </w:pPr>
    <w:rPr>
      <w:b/>
      <w:u w:val="single"/>
    </w:rPr>
  </w:style>
  <w:style w:type="paragraph" w:customStyle="1" w:styleId="Annexetitrefichefinglobale">
    <w:name w:val="Annexe titre (fiche fin. globale)"/>
    <w:basedOn w:val="Normal"/>
    <w:next w:val="Normal"/>
    <w:rsid w:val="00F67093"/>
    <w:pPr>
      <w:jc w:val="center"/>
    </w:pPr>
    <w:rPr>
      <w:b/>
      <w:u w:val="single"/>
    </w:rPr>
  </w:style>
  <w:style w:type="paragraph" w:customStyle="1" w:styleId="Annexetitreglobale">
    <w:name w:val="Annexe titre (globale)"/>
    <w:basedOn w:val="Normal"/>
    <w:next w:val="Normal"/>
    <w:rsid w:val="00F67093"/>
    <w:pPr>
      <w:jc w:val="center"/>
    </w:pPr>
    <w:rPr>
      <w:b/>
      <w:u w:val="single"/>
    </w:rPr>
  </w:style>
  <w:style w:type="paragraph" w:customStyle="1" w:styleId="Exposdesmotifstitreglobal">
    <w:name w:val="Exposé des motifs titre (global)"/>
    <w:basedOn w:val="Normal"/>
    <w:next w:val="Normal"/>
    <w:rsid w:val="00F67093"/>
    <w:pPr>
      <w:jc w:val="center"/>
    </w:pPr>
    <w:rPr>
      <w:b/>
      <w:u w:val="single"/>
    </w:rPr>
  </w:style>
  <w:style w:type="paragraph" w:customStyle="1" w:styleId="Langueoriginale">
    <w:name w:val="Langue originale"/>
    <w:basedOn w:val="Normal"/>
    <w:rsid w:val="00F67093"/>
    <w:pPr>
      <w:spacing w:before="360"/>
      <w:jc w:val="center"/>
    </w:pPr>
    <w:rPr>
      <w:caps/>
    </w:rPr>
  </w:style>
  <w:style w:type="paragraph" w:customStyle="1" w:styleId="Phrasefinale">
    <w:name w:val="Phrase finale"/>
    <w:basedOn w:val="Normal"/>
    <w:next w:val="Normal"/>
    <w:rsid w:val="00F67093"/>
    <w:pPr>
      <w:spacing w:before="360" w:after="0"/>
      <w:jc w:val="center"/>
    </w:pPr>
  </w:style>
  <w:style w:type="paragraph" w:customStyle="1" w:styleId="Prliminairetitre">
    <w:name w:val="Préliminaire titre"/>
    <w:basedOn w:val="Normal"/>
    <w:next w:val="Normal"/>
    <w:rsid w:val="00F67093"/>
    <w:pPr>
      <w:spacing w:before="360" w:after="360"/>
      <w:jc w:val="center"/>
    </w:pPr>
    <w:rPr>
      <w:b/>
    </w:rPr>
  </w:style>
  <w:style w:type="paragraph" w:customStyle="1" w:styleId="Prliminairetype">
    <w:name w:val="Préliminaire type"/>
    <w:basedOn w:val="Normal"/>
    <w:next w:val="Normal"/>
    <w:rsid w:val="00F67093"/>
    <w:pPr>
      <w:spacing w:before="360" w:after="0"/>
      <w:jc w:val="center"/>
    </w:pPr>
    <w:rPr>
      <w:b/>
    </w:rPr>
  </w:style>
  <w:style w:type="paragraph" w:customStyle="1" w:styleId="Rfrenceinstitutionelle">
    <w:name w:val="Référence institutionelle"/>
    <w:basedOn w:val="Normal"/>
    <w:next w:val="Statut"/>
    <w:rsid w:val="00F67093"/>
    <w:pPr>
      <w:spacing w:before="0" w:after="240"/>
      <w:ind w:left="5103"/>
      <w:jc w:val="left"/>
    </w:pPr>
  </w:style>
  <w:style w:type="paragraph" w:customStyle="1" w:styleId="Rfrenceinterinstitutionelle">
    <w:name w:val="Référence interinstitutionelle"/>
    <w:basedOn w:val="Normal"/>
    <w:next w:val="Statut"/>
    <w:rsid w:val="00F67093"/>
    <w:pPr>
      <w:spacing w:before="0" w:after="0"/>
      <w:ind w:left="5103"/>
      <w:jc w:val="left"/>
    </w:pPr>
  </w:style>
  <w:style w:type="paragraph" w:customStyle="1" w:styleId="Rfrenceinterinstitutionelleprliminaire">
    <w:name w:val="Référence interinstitutionelle (préliminaire)"/>
    <w:basedOn w:val="Normal"/>
    <w:next w:val="Normal"/>
    <w:rsid w:val="00F67093"/>
    <w:pPr>
      <w:spacing w:before="0" w:after="0"/>
      <w:ind w:left="5103"/>
      <w:jc w:val="left"/>
    </w:pPr>
  </w:style>
  <w:style w:type="paragraph" w:customStyle="1" w:styleId="Sous-titreobjetprliminaire">
    <w:name w:val="Sous-titre objet (préliminaire)"/>
    <w:basedOn w:val="Normal"/>
    <w:rsid w:val="00F67093"/>
    <w:pPr>
      <w:spacing w:before="0" w:after="0"/>
      <w:jc w:val="center"/>
    </w:pPr>
    <w:rPr>
      <w:b/>
    </w:rPr>
  </w:style>
  <w:style w:type="paragraph" w:customStyle="1" w:styleId="Statutprliminaire">
    <w:name w:val="Statut (préliminaire)"/>
    <w:basedOn w:val="Normal"/>
    <w:next w:val="Normal"/>
    <w:rsid w:val="00F67093"/>
    <w:pPr>
      <w:spacing w:before="360" w:after="0"/>
      <w:jc w:val="center"/>
    </w:pPr>
  </w:style>
  <w:style w:type="paragraph" w:customStyle="1" w:styleId="Titreobjetprliminaire">
    <w:name w:val="Titre objet (préliminaire)"/>
    <w:basedOn w:val="Normal"/>
    <w:next w:val="Normal"/>
    <w:rsid w:val="00F67093"/>
    <w:pPr>
      <w:spacing w:before="360" w:after="360"/>
      <w:jc w:val="center"/>
    </w:pPr>
    <w:rPr>
      <w:b/>
    </w:rPr>
  </w:style>
  <w:style w:type="paragraph" w:customStyle="1" w:styleId="Typedudocumentprliminaire">
    <w:name w:val="Type du document (préliminaire)"/>
    <w:basedOn w:val="Normal"/>
    <w:next w:val="Normal"/>
    <w:rsid w:val="00F67093"/>
    <w:pPr>
      <w:spacing w:before="360" w:after="0"/>
      <w:jc w:val="center"/>
    </w:pPr>
    <w:rPr>
      <w:b/>
    </w:rPr>
  </w:style>
  <w:style w:type="paragraph" w:customStyle="1" w:styleId="Fichefinancirestandardtitre">
    <w:name w:val="Fiche financière (standard) titre"/>
    <w:basedOn w:val="Normal"/>
    <w:next w:val="Normal"/>
    <w:rsid w:val="00F67093"/>
    <w:pPr>
      <w:jc w:val="center"/>
    </w:pPr>
    <w:rPr>
      <w:b/>
      <w:u w:val="single"/>
    </w:rPr>
  </w:style>
  <w:style w:type="paragraph" w:customStyle="1" w:styleId="Fichefinancirestandardtitreacte">
    <w:name w:val="Fiche financière (standard) titre (acte)"/>
    <w:basedOn w:val="Normal"/>
    <w:next w:val="Normal"/>
    <w:rsid w:val="00F67093"/>
    <w:pPr>
      <w:jc w:val="center"/>
    </w:pPr>
    <w:rPr>
      <w:b/>
      <w:u w:val="single"/>
    </w:rPr>
  </w:style>
  <w:style w:type="paragraph" w:customStyle="1" w:styleId="Fichefinanciretravailtitre">
    <w:name w:val="Fiche financière (travail) titre"/>
    <w:basedOn w:val="Normal"/>
    <w:next w:val="Normal"/>
    <w:rsid w:val="00F67093"/>
    <w:pPr>
      <w:jc w:val="center"/>
    </w:pPr>
    <w:rPr>
      <w:b/>
      <w:u w:val="single"/>
    </w:rPr>
  </w:style>
  <w:style w:type="paragraph" w:customStyle="1" w:styleId="Fichefinanciretravailtitreacte">
    <w:name w:val="Fiche financière (travail) titre (acte)"/>
    <w:basedOn w:val="Normal"/>
    <w:next w:val="Normal"/>
    <w:rsid w:val="00F67093"/>
    <w:pPr>
      <w:jc w:val="center"/>
    </w:pPr>
    <w:rPr>
      <w:b/>
      <w:u w:val="single"/>
    </w:rPr>
  </w:style>
  <w:style w:type="paragraph" w:customStyle="1" w:styleId="Fichefinancireattributiontitre">
    <w:name w:val="Fiche financière (attribution) titre"/>
    <w:basedOn w:val="Normal"/>
    <w:next w:val="Normal"/>
    <w:rsid w:val="00F67093"/>
    <w:pPr>
      <w:jc w:val="center"/>
    </w:pPr>
    <w:rPr>
      <w:b/>
      <w:u w:val="single"/>
    </w:rPr>
  </w:style>
  <w:style w:type="paragraph" w:customStyle="1" w:styleId="Fichefinancireattributiontitreacte">
    <w:name w:val="Fiche financière (attribution) titre (acte)"/>
    <w:basedOn w:val="Normal"/>
    <w:next w:val="Normal"/>
    <w:rsid w:val="00F67093"/>
    <w:pPr>
      <w:jc w:val="center"/>
    </w:pPr>
    <w:rPr>
      <w:b/>
      <w:u w:val="single"/>
    </w:rPr>
  </w:style>
  <w:style w:type="character" w:styleId="CommentReference">
    <w:name w:val="annotation reference"/>
    <w:rsid w:val="00F67093"/>
    <w:rPr>
      <w:rFonts w:cs="Times New Roman"/>
      <w:sz w:val="16"/>
    </w:rPr>
  </w:style>
  <w:style w:type="paragraph" w:styleId="CommentText">
    <w:name w:val="annotation text"/>
    <w:basedOn w:val="Normal"/>
    <w:link w:val="CommentTextChar"/>
    <w:qFormat/>
    <w:rsid w:val="00F67093"/>
    <w:rPr>
      <w:sz w:val="20"/>
    </w:rPr>
  </w:style>
  <w:style w:type="character" w:customStyle="1" w:styleId="CommentTextChar">
    <w:name w:val="Comment Text Char"/>
    <w:basedOn w:val="DefaultParagraphFont"/>
    <w:link w:val="CommentText"/>
    <w:qFormat/>
    <w:rsid w:val="00F67093"/>
    <w:rPr>
      <w:rFonts w:ascii="Times New Roman" w:eastAsia="Times New Roman" w:hAnsi="Times New Roman" w:cs="Times New Roman"/>
      <w:sz w:val="20"/>
    </w:rPr>
  </w:style>
  <w:style w:type="paragraph" w:styleId="CommentSubject">
    <w:name w:val="annotation subject"/>
    <w:basedOn w:val="CommentText"/>
    <w:next w:val="CommentText"/>
    <w:link w:val="CommentSubjectChar"/>
    <w:rsid w:val="00F67093"/>
    <w:rPr>
      <w:b/>
    </w:rPr>
  </w:style>
  <w:style w:type="character" w:customStyle="1" w:styleId="CommentSubjectChar">
    <w:name w:val="Comment Subject Char"/>
    <w:basedOn w:val="CommentTextChar"/>
    <w:link w:val="CommentSubject"/>
    <w:rsid w:val="00F67093"/>
    <w:rPr>
      <w:rFonts w:ascii="Times New Roman" w:eastAsia="Times New Roman" w:hAnsi="Times New Roman" w:cs="Times New Roman"/>
      <w:b/>
      <w:sz w:val="20"/>
    </w:rPr>
  </w:style>
  <w:style w:type="paragraph" w:styleId="BalloonText">
    <w:name w:val="Balloon Text"/>
    <w:basedOn w:val="Normal"/>
    <w:link w:val="BalloonTextChar"/>
    <w:rsid w:val="00F67093"/>
    <w:rPr>
      <w:rFonts w:ascii="Tahoma" w:eastAsia="Times New Roman" w:hAnsi="Tahoma" w:cs="Tahoma"/>
      <w:sz w:val="16"/>
    </w:rPr>
  </w:style>
  <w:style w:type="character" w:customStyle="1" w:styleId="BalloonTextChar">
    <w:name w:val="Balloon Text Char"/>
    <w:basedOn w:val="DefaultParagraphFont"/>
    <w:link w:val="BalloonText"/>
    <w:rsid w:val="00F67093"/>
    <w:rPr>
      <w:rFonts w:ascii="Tahoma" w:eastAsia="Times New Roman" w:hAnsi="Tahoma" w:cs="Tahoma"/>
      <w:sz w:val="16"/>
    </w:rPr>
  </w:style>
  <w:style w:type="paragraph" w:styleId="Caption">
    <w:name w:val="caption"/>
    <w:basedOn w:val="Normal"/>
    <w:next w:val="Normal"/>
    <w:qFormat/>
    <w:rsid w:val="00F67093"/>
    <w:rPr>
      <w:b/>
      <w:sz w:val="20"/>
    </w:rPr>
  </w:style>
  <w:style w:type="paragraph" w:styleId="TableofFigures">
    <w:name w:val="table of figures"/>
    <w:basedOn w:val="Normal"/>
    <w:next w:val="Normal"/>
    <w:rsid w:val="00F67093"/>
  </w:style>
  <w:style w:type="character" w:styleId="PageNumber">
    <w:name w:val="page number"/>
    <w:rsid w:val="00F67093"/>
  </w:style>
  <w:style w:type="character" w:customStyle="1" w:styleId="tw4winMark">
    <w:name w:val="tw4winMark"/>
    <w:rsid w:val="00F67093"/>
    <w:rPr>
      <w:vanish/>
      <w:color w:val="800080"/>
      <w:vertAlign w:val="subscript"/>
    </w:rPr>
  </w:style>
  <w:style w:type="character" w:styleId="FollowedHyperlink">
    <w:name w:val="FollowedHyperlink"/>
    <w:rsid w:val="00F67093"/>
    <w:rPr>
      <w:color w:val="800080"/>
      <w:u w:val="single"/>
    </w:rPr>
  </w:style>
  <w:style w:type="paragraph" w:customStyle="1" w:styleId="Sous-titreobjet">
    <w:name w:val="Sous-titre objet"/>
    <w:basedOn w:val="Normal"/>
    <w:rsid w:val="00F67093"/>
    <w:pPr>
      <w:spacing w:before="0" w:after="0"/>
      <w:jc w:val="center"/>
    </w:pPr>
    <w:rPr>
      <w:b/>
    </w:rPr>
  </w:style>
  <w:style w:type="paragraph" w:customStyle="1" w:styleId="Sous-titreobjetPagedecouverture">
    <w:name w:val="Sous-titre objet (Page de couverture)"/>
    <w:basedOn w:val="Sous-titreobjet"/>
    <w:rsid w:val="00F67093"/>
  </w:style>
  <w:style w:type="paragraph" w:styleId="Revision">
    <w:name w:val="Revision"/>
    <w:hidden/>
    <w:uiPriority w:val="99"/>
    <w:semiHidden/>
    <w:rsid w:val="00F67093"/>
    <w:rPr>
      <w:rFonts w:ascii="Calibri" w:eastAsia="Calibri" w:hAnsi="Calibri" w:cs="Times New Roman"/>
      <w:sz w:val="24"/>
    </w:rPr>
  </w:style>
  <w:style w:type="paragraph" w:customStyle="1" w:styleId="FooterCoverPage">
    <w:name w:val="Footer Cover Page"/>
    <w:basedOn w:val="Normal"/>
    <w:link w:val="FooterCoverPageChar"/>
    <w:rsid w:val="00F67093"/>
    <w:pPr>
      <w:tabs>
        <w:tab w:val="center" w:pos="4535"/>
        <w:tab w:val="right" w:pos="9071"/>
        <w:tab w:val="right" w:pos="9921"/>
      </w:tabs>
      <w:spacing w:before="360" w:after="0"/>
      <w:ind w:left="-850" w:right="-850"/>
      <w:jc w:val="left"/>
    </w:pPr>
  </w:style>
  <w:style w:type="character" w:customStyle="1" w:styleId="TOCHeadingChar">
    <w:name w:val="TOC Heading Char"/>
    <w:uiPriority w:val="39"/>
    <w:rsid w:val="00F67093"/>
    <w:rPr>
      <w:rFonts w:ascii="Times New Roman" w:hAnsi="Times New Roman" w:cs="Times New Roman"/>
      <w:b/>
      <w:sz w:val="28"/>
    </w:rPr>
  </w:style>
  <w:style w:type="character" w:customStyle="1" w:styleId="FooterCoverPageChar">
    <w:name w:val="Footer Cover Page Char"/>
    <w:link w:val="FooterCoverPage"/>
    <w:rsid w:val="00F67093"/>
    <w:rPr>
      <w:rFonts w:ascii="Times New Roman" w:eastAsia="Calibri" w:hAnsi="Times New Roman" w:cs="Times New Roman"/>
      <w:sz w:val="24"/>
    </w:rPr>
  </w:style>
  <w:style w:type="paragraph" w:customStyle="1" w:styleId="HeaderCoverPage">
    <w:name w:val="Header Cover Page"/>
    <w:basedOn w:val="Normal"/>
    <w:link w:val="HeaderCoverPageChar"/>
    <w:rsid w:val="00F67093"/>
    <w:pPr>
      <w:tabs>
        <w:tab w:val="center" w:pos="4535"/>
        <w:tab w:val="right" w:pos="9071"/>
      </w:tabs>
      <w:spacing w:before="0"/>
    </w:pPr>
  </w:style>
  <w:style w:type="character" w:customStyle="1" w:styleId="HeaderCoverPageChar">
    <w:name w:val="Header Cover Page Char"/>
    <w:link w:val="HeaderCoverPage"/>
    <w:rsid w:val="00F67093"/>
    <w:rPr>
      <w:rFonts w:ascii="Times New Roman" w:eastAsia="Calibri" w:hAnsi="Times New Roman" w:cs="Times New Roman"/>
      <w:sz w:val="24"/>
    </w:rPr>
  </w:style>
  <w:style w:type="character" w:customStyle="1" w:styleId="FooterSensitivityChar">
    <w:name w:val="Footer Sensitivity Char"/>
    <w:rsid w:val="00F67093"/>
    <w:rPr>
      <w:rFonts w:ascii="Times New Roman" w:hAnsi="Times New Roman" w:cs="Times New Roman"/>
      <w:b/>
      <w:sz w:val="32"/>
    </w:rPr>
  </w:style>
  <w:style w:type="character" w:customStyle="1" w:styleId="HeaderSensitivityChar">
    <w:name w:val="Header Sensitivity Char"/>
    <w:rsid w:val="00F67093"/>
    <w:rPr>
      <w:rFonts w:ascii="Times New Roman" w:hAnsi="Times New Roman" w:cs="Times New Roman"/>
      <w:b/>
      <w:sz w:val="32"/>
    </w:rPr>
  </w:style>
  <w:style w:type="character" w:customStyle="1" w:styleId="HeaderSensitivityRightChar">
    <w:name w:val="Header Sensitivity Right Char"/>
    <w:rsid w:val="00F67093"/>
    <w:rPr>
      <w:rFonts w:ascii="Times New Roman" w:hAnsi="Times New Roman" w:cs="Times New Roman"/>
      <w:sz w:val="28"/>
    </w:rPr>
  </w:style>
  <w:style w:type="paragraph" w:customStyle="1" w:styleId="LegalNumPar">
    <w:name w:val="LegalNumPar"/>
    <w:basedOn w:val="Normal"/>
    <w:rsid w:val="00E0321C"/>
    <w:pPr>
      <w:numPr>
        <w:numId w:val="16"/>
      </w:numPr>
      <w:spacing w:before="0" w:after="160" w:line="360" w:lineRule="auto"/>
      <w:jc w:val="left"/>
    </w:pPr>
    <w:rPr>
      <w:rFonts w:asciiTheme="minorHAnsi" w:eastAsiaTheme="minorEastAsia" w:hAnsiTheme="minorHAnsi" w:cstheme="minorBidi"/>
    </w:rPr>
  </w:style>
  <w:style w:type="paragraph" w:customStyle="1" w:styleId="LegalNumPar2">
    <w:name w:val="LegalNumPar2"/>
    <w:basedOn w:val="Normal"/>
    <w:rsid w:val="00E0321C"/>
    <w:pPr>
      <w:numPr>
        <w:ilvl w:val="1"/>
        <w:numId w:val="16"/>
      </w:numPr>
      <w:spacing w:before="0" w:after="160" w:line="360" w:lineRule="auto"/>
      <w:jc w:val="left"/>
    </w:pPr>
    <w:rPr>
      <w:rFonts w:asciiTheme="minorHAnsi" w:eastAsiaTheme="minorEastAsia" w:hAnsiTheme="minorHAnsi" w:cstheme="minorBidi"/>
    </w:rPr>
  </w:style>
  <w:style w:type="paragraph" w:customStyle="1" w:styleId="LegalNumPar3">
    <w:name w:val="LegalNumPar3"/>
    <w:basedOn w:val="Normal"/>
    <w:rsid w:val="00E0321C"/>
    <w:pPr>
      <w:numPr>
        <w:ilvl w:val="2"/>
        <w:numId w:val="16"/>
      </w:numPr>
      <w:spacing w:before="0" w:after="160" w:line="360" w:lineRule="auto"/>
      <w:jc w:val="left"/>
    </w:pPr>
    <w:rPr>
      <w:rFonts w:asciiTheme="minorHAnsi" w:eastAsiaTheme="minorEastAsia" w:hAnsiTheme="minorHAnsi" w:cstheme="minorBidi"/>
    </w:rPr>
  </w:style>
  <w:style w:type="character" w:customStyle="1" w:styleId="Heading8Char">
    <w:name w:val="Heading 8 Char"/>
    <w:basedOn w:val="DefaultParagraphFont"/>
    <w:link w:val="Heading8"/>
    <w:uiPriority w:val="9"/>
    <w:semiHidden/>
    <w:rsid w:val="00E0321C"/>
    <w:rPr>
      <w:rFonts w:asciiTheme="majorHAnsi" w:eastAsiaTheme="majorEastAsia" w:hAnsiTheme="majorHAnsi" w:cstheme="majorBidi"/>
      <w:i/>
    </w:rPr>
  </w:style>
  <w:style w:type="character" w:customStyle="1" w:styleId="Heading9Char">
    <w:name w:val="Heading 9 Char"/>
    <w:basedOn w:val="DefaultParagraphFont"/>
    <w:link w:val="Heading9"/>
    <w:uiPriority w:val="9"/>
    <w:semiHidden/>
    <w:rsid w:val="00E0321C"/>
    <w:rPr>
      <w:rFonts w:eastAsiaTheme="minorEastAsia"/>
      <w:b/>
      <w:i/>
      <w:sz w:val="21"/>
    </w:rPr>
  </w:style>
  <w:style w:type="paragraph" w:customStyle="1" w:styleId="p1">
    <w:name w:val="p1"/>
    <w:basedOn w:val="Normal"/>
    <w:rsid w:val="00E0321C"/>
    <w:pPr>
      <w:spacing w:before="100" w:beforeAutospacing="1" w:after="100" w:afterAutospacing="1"/>
      <w:jc w:val="left"/>
    </w:pPr>
    <w:rPr>
      <w:rFonts w:eastAsiaTheme="minorEastAsia"/>
    </w:rPr>
  </w:style>
  <w:style w:type="paragraph" w:customStyle="1" w:styleId="p2">
    <w:name w:val="p2"/>
    <w:basedOn w:val="Normal"/>
    <w:rsid w:val="00E0321C"/>
    <w:pPr>
      <w:spacing w:before="100" w:beforeAutospacing="1" w:after="100" w:afterAutospacing="1"/>
      <w:jc w:val="left"/>
    </w:pPr>
    <w:rPr>
      <w:rFonts w:eastAsiaTheme="minorEastAsia"/>
    </w:rPr>
  </w:style>
  <w:style w:type="character" w:customStyle="1" w:styleId="s1">
    <w:name w:val="s1"/>
    <w:basedOn w:val="DefaultParagraphFont"/>
    <w:rsid w:val="00E0321C"/>
  </w:style>
  <w:style w:type="character" w:customStyle="1" w:styleId="s2">
    <w:name w:val="s2"/>
    <w:basedOn w:val="DefaultParagraphFont"/>
    <w:rsid w:val="00E0321C"/>
  </w:style>
  <w:style w:type="paragraph" w:styleId="ListParagraph">
    <w:name w:val="List Paragraph"/>
    <w:basedOn w:val="Normal"/>
    <w:uiPriority w:val="34"/>
    <w:qFormat/>
    <w:rsid w:val="00E0321C"/>
    <w:pPr>
      <w:spacing w:before="0" w:after="160" w:line="300" w:lineRule="auto"/>
      <w:ind w:left="720"/>
      <w:contextualSpacing/>
      <w:jc w:val="left"/>
    </w:pPr>
    <w:rPr>
      <w:rFonts w:asciiTheme="minorHAnsi" w:eastAsiaTheme="minorEastAsia" w:hAnsiTheme="minorHAnsi" w:cstheme="minorBidi"/>
      <w:sz w:val="21"/>
    </w:rPr>
  </w:style>
  <w:style w:type="paragraph" w:styleId="NormalWeb">
    <w:name w:val="Normal (Web)"/>
    <w:basedOn w:val="Normal"/>
    <w:uiPriority w:val="99"/>
    <w:unhideWhenUsed/>
    <w:rsid w:val="00E0321C"/>
    <w:pPr>
      <w:spacing w:before="100" w:beforeAutospacing="1" w:after="100" w:afterAutospacing="1"/>
      <w:jc w:val="left"/>
    </w:pPr>
  </w:style>
  <w:style w:type="paragraph" w:customStyle="1" w:styleId="Normal1">
    <w:name w:val="Normal1"/>
    <w:basedOn w:val="Normal"/>
    <w:rsid w:val="00E0321C"/>
    <w:pPr>
      <w:spacing w:before="100" w:beforeAutospacing="1" w:after="100" w:afterAutospacing="1"/>
      <w:jc w:val="left"/>
    </w:pPr>
  </w:style>
  <w:style w:type="paragraph" w:customStyle="1" w:styleId="Normal2">
    <w:name w:val="Normal2"/>
    <w:basedOn w:val="Normal"/>
    <w:rsid w:val="00E0321C"/>
    <w:pPr>
      <w:spacing w:before="100" w:beforeAutospacing="1" w:after="100" w:afterAutospacing="1"/>
      <w:jc w:val="left"/>
    </w:pPr>
  </w:style>
  <w:style w:type="paragraph" w:customStyle="1" w:styleId="Normal3">
    <w:name w:val="Normal3"/>
    <w:basedOn w:val="Normal"/>
    <w:rsid w:val="00E0321C"/>
    <w:pPr>
      <w:spacing w:before="100" w:beforeAutospacing="1" w:after="100" w:afterAutospacing="1"/>
      <w:jc w:val="left"/>
    </w:pPr>
  </w:style>
  <w:style w:type="paragraph" w:customStyle="1" w:styleId="sti-art">
    <w:name w:val="sti-art"/>
    <w:basedOn w:val="Normal"/>
    <w:rsid w:val="00E0321C"/>
    <w:pPr>
      <w:spacing w:before="100" w:beforeAutospacing="1" w:after="100" w:afterAutospacing="1"/>
      <w:jc w:val="left"/>
    </w:pPr>
  </w:style>
  <w:style w:type="paragraph" w:customStyle="1" w:styleId="Normal4">
    <w:name w:val="Normal4"/>
    <w:basedOn w:val="Normal"/>
    <w:rsid w:val="00E0321C"/>
    <w:pPr>
      <w:spacing w:before="100" w:beforeAutospacing="1" w:after="100" w:afterAutospacing="1"/>
      <w:jc w:val="left"/>
    </w:pPr>
  </w:style>
  <w:style w:type="paragraph" w:customStyle="1" w:styleId="ti-art">
    <w:name w:val="ti-art"/>
    <w:basedOn w:val="Normal"/>
    <w:rsid w:val="00E0321C"/>
    <w:pPr>
      <w:spacing w:before="100" w:beforeAutospacing="1" w:after="100" w:afterAutospacing="1"/>
      <w:jc w:val="left"/>
    </w:pPr>
  </w:style>
  <w:style w:type="character" w:customStyle="1" w:styleId="super">
    <w:name w:val="super"/>
    <w:basedOn w:val="DefaultParagraphFont"/>
    <w:rsid w:val="00E0321C"/>
  </w:style>
  <w:style w:type="paragraph" w:customStyle="1" w:styleId="Normal5">
    <w:name w:val="Normal5"/>
    <w:basedOn w:val="Normal"/>
    <w:rsid w:val="00E0321C"/>
    <w:pPr>
      <w:spacing w:before="100" w:beforeAutospacing="1" w:after="100" w:afterAutospacing="1"/>
      <w:jc w:val="left"/>
    </w:pPr>
  </w:style>
  <w:style w:type="character" w:customStyle="1" w:styleId="italic">
    <w:name w:val="italic"/>
    <w:basedOn w:val="DefaultParagraphFont"/>
    <w:rsid w:val="00E0321C"/>
  </w:style>
  <w:style w:type="paragraph" w:customStyle="1" w:styleId="Normal6">
    <w:name w:val="Normal6"/>
    <w:basedOn w:val="Normal"/>
    <w:rsid w:val="00E0321C"/>
    <w:pPr>
      <w:spacing w:before="100" w:beforeAutospacing="1" w:after="100" w:afterAutospacing="1"/>
      <w:jc w:val="left"/>
    </w:pPr>
  </w:style>
  <w:style w:type="paragraph" w:styleId="Title">
    <w:name w:val="Title"/>
    <w:basedOn w:val="Normal"/>
    <w:next w:val="Normal"/>
    <w:link w:val="TitleChar"/>
    <w:uiPriority w:val="10"/>
    <w:qFormat/>
    <w:rsid w:val="00E0321C"/>
    <w:pPr>
      <w:pBdr>
        <w:top w:val="single" w:sz="6" w:space="8" w:color="9BBB59" w:themeColor="accent3"/>
        <w:bottom w:val="single" w:sz="6" w:space="8" w:color="9BBB59" w:themeColor="accent3"/>
      </w:pBdr>
      <w:spacing w:before="0" w:after="400"/>
      <w:contextualSpacing/>
      <w:jc w:val="center"/>
    </w:pPr>
    <w:rPr>
      <w:rFonts w:asciiTheme="majorHAnsi" w:eastAsiaTheme="majorEastAsia" w:hAnsiTheme="majorHAnsi" w:cstheme="majorBidi"/>
      <w:caps/>
      <w:color w:val="1F497D" w:themeColor="text2"/>
      <w:spacing w:val="30"/>
      <w:sz w:val="72"/>
    </w:rPr>
  </w:style>
  <w:style w:type="character" w:customStyle="1" w:styleId="TitleChar">
    <w:name w:val="Title Char"/>
    <w:basedOn w:val="DefaultParagraphFont"/>
    <w:link w:val="Title"/>
    <w:uiPriority w:val="10"/>
    <w:rsid w:val="00E0321C"/>
    <w:rPr>
      <w:rFonts w:asciiTheme="majorHAnsi" w:eastAsiaTheme="majorEastAsia" w:hAnsiTheme="majorHAnsi" w:cstheme="majorBidi"/>
      <w:caps/>
      <w:color w:val="1F497D" w:themeColor="text2"/>
      <w:spacing w:val="30"/>
      <w:sz w:val="72"/>
    </w:rPr>
  </w:style>
  <w:style w:type="paragraph" w:styleId="Subtitle">
    <w:name w:val="Subtitle"/>
    <w:basedOn w:val="Normal"/>
    <w:next w:val="Normal"/>
    <w:link w:val="SubtitleChar"/>
    <w:uiPriority w:val="11"/>
    <w:qFormat/>
    <w:rsid w:val="00E0321C"/>
    <w:pPr>
      <w:numPr>
        <w:ilvl w:val="1"/>
      </w:numPr>
      <w:spacing w:before="0" w:after="160" w:line="300" w:lineRule="auto"/>
      <w:jc w:val="center"/>
    </w:pPr>
    <w:rPr>
      <w:rFonts w:asciiTheme="minorHAnsi" w:eastAsiaTheme="minorEastAsia" w:hAnsiTheme="minorHAnsi" w:cstheme="minorBidi"/>
      <w:color w:val="1F497D" w:themeColor="text2"/>
      <w:sz w:val="28"/>
    </w:rPr>
  </w:style>
  <w:style w:type="character" w:customStyle="1" w:styleId="SubtitleChar">
    <w:name w:val="Subtitle Char"/>
    <w:basedOn w:val="DefaultParagraphFont"/>
    <w:link w:val="Subtitle"/>
    <w:uiPriority w:val="11"/>
    <w:rsid w:val="00E0321C"/>
    <w:rPr>
      <w:rFonts w:eastAsiaTheme="minorEastAsia"/>
      <w:color w:val="1F497D" w:themeColor="text2"/>
      <w:sz w:val="28"/>
    </w:rPr>
  </w:style>
  <w:style w:type="character" w:styleId="Strong">
    <w:name w:val="Strong"/>
    <w:basedOn w:val="DefaultParagraphFont"/>
    <w:uiPriority w:val="22"/>
    <w:qFormat/>
    <w:rsid w:val="00E0321C"/>
    <w:rPr>
      <w:b/>
    </w:rPr>
  </w:style>
  <w:style w:type="character" w:styleId="Emphasis">
    <w:name w:val="Emphasis"/>
    <w:basedOn w:val="DefaultParagraphFont"/>
    <w:uiPriority w:val="20"/>
    <w:qFormat/>
    <w:rsid w:val="00E0321C"/>
    <w:rPr>
      <w:i/>
      <w:color w:val="000000" w:themeColor="text1"/>
    </w:rPr>
  </w:style>
  <w:style w:type="paragraph" w:styleId="NoSpacing">
    <w:name w:val="No Spacing"/>
    <w:uiPriority w:val="1"/>
    <w:qFormat/>
    <w:rsid w:val="00E0321C"/>
    <w:pPr>
      <w:spacing w:after="0" w:line="240" w:lineRule="auto"/>
    </w:pPr>
    <w:rPr>
      <w:rFonts w:eastAsiaTheme="minorEastAsia"/>
      <w:sz w:val="21"/>
    </w:rPr>
  </w:style>
  <w:style w:type="paragraph" w:styleId="Quote">
    <w:name w:val="Quote"/>
    <w:basedOn w:val="Normal"/>
    <w:next w:val="Normal"/>
    <w:link w:val="QuoteChar"/>
    <w:uiPriority w:val="29"/>
    <w:qFormat/>
    <w:rsid w:val="00E0321C"/>
    <w:pPr>
      <w:spacing w:before="160" w:after="160" w:line="300" w:lineRule="auto"/>
      <w:ind w:left="720" w:right="720"/>
      <w:jc w:val="center"/>
    </w:pPr>
    <w:rPr>
      <w:rFonts w:asciiTheme="minorHAnsi" w:eastAsiaTheme="minorEastAsia" w:hAnsiTheme="minorHAnsi" w:cstheme="minorBidi"/>
      <w:i/>
      <w:color w:val="76923C" w:themeColor="accent3" w:themeShade="BF"/>
    </w:rPr>
  </w:style>
  <w:style w:type="character" w:customStyle="1" w:styleId="QuoteChar">
    <w:name w:val="Quote Char"/>
    <w:basedOn w:val="DefaultParagraphFont"/>
    <w:link w:val="Quote"/>
    <w:uiPriority w:val="29"/>
    <w:rsid w:val="00E0321C"/>
    <w:rPr>
      <w:rFonts w:eastAsiaTheme="minorEastAsia"/>
      <w:i/>
      <w:color w:val="76923C" w:themeColor="accent3" w:themeShade="BF"/>
      <w:sz w:val="24"/>
    </w:rPr>
  </w:style>
  <w:style w:type="paragraph" w:styleId="IntenseQuote">
    <w:name w:val="Intense Quote"/>
    <w:basedOn w:val="Normal"/>
    <w:next w:val="Normal"/>
    <w:link w:val="IntenseQuoteChar"/>
    <w:uiPriority w:val="30"/>
    <w:qFormat/>
    <w:rsid w:val="00E0321C"/>
    <w:pPr>
      <w:spacing w:before="160" w:after="160" w:line="276" w:lineRule="auto"/>
      <w:ind w:left="936" w:right="936"/>
      <w:jc w:val="center"/>
    </w:pPr>
    <w:rPr>
      <w:rFonts w:asciiTheme="majorHAnsi" w:eastAsiaTheme="majorEastAsia" w:hAnsiTheme="majorHAnsi" w:cstheme="majorBidi"/>
      <w:caps/>
      <w:color w:val="365F91" w:themeColor="accent1" w:themeShade="BF"/>
      <w:sz w:val="28"/>
    </w:rPr>
  </w:style>
  <w:style w:type="character" w:customStyle="1" w:styleId="IntenseQuoteChar">
    <w:name w:val="Intense Quote Char"/>
    <w:basedOn w:val="DefaultParagraphFont"/>
    <w:link w:val="IntenseQuote"/>
    <w:uiPriority w:val="30"/>
    <w:rsid w:val="00E0321C"/>
    <w:rPr>
      <w:rFonts w:asciiTheme="majorHAnsi" w:eastAsiaTheme="majorEastAsia" w:hAnsiTheme="majorHAnsi" w:cstheme="majorBidi"/>
      <w:caps/>
      <w:color w:val="365F91" w:themeColor="accent1" w:themeShade="BF"/>
      <w:sz w:val="28"/>
    </w:rPr>
  </w:style>
  <w:style w:type="character" w:styleId="SubtleEmphasis">
    <w:name w:val="Subtle Emphasis"/>
    <w:basedOn w:val="DefaultParagraphFont"/>
    <w:uiPriority w:val="19"/>
    <w:qFormat/>
    <w:rsid w:val="00E0321C"/>
    <w:rPr>
      <w:i/>
      <w:color w:val="595959" w:themeColor="text1" w:themeTint="A6"/>
    </w:rPr>
  </w:style>
  <w:style w:type="character" w:styleId="IntenseEmphasis">
    <w:name w:val="Intense Emphasis"/>
    <w:basedOn w:val="DefaultParagraphFont"/>
    <w:uiPriority w:val="21"/>
    <w:qFormat/>
    <w:rsid w:val="00E0321C"/>
    <w:rPr>
      <w:b/>
      <w:i/>
    </w:rPr>
  </w:style>
  <w:style w:type="character" w:styleId="SubtleReference">
    <w:name w:val="Subtle Reference"/>
    <w:basedOn w:val="DefaultParagraphFont"/>
    <w:uiPriority w:val="31"/>
    <w:qFormat/>
    <w:rsid w:val="00E0321C"/>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0321C"/>
    <w:rPr>
      <w:b/>
      <w:caps w:val="0"/>
      <w:smallCaps/>
      <w:spacing w:val="0"/>
      <w:u w:val="single"/>
    </w:rPr>
  </w:style>
  <w:style w:type="character" w:styleId="BookTitle">
    <w:name w:val="Book Title"/>
    <w:basedOn w:val="DefaultParagraphFont"/>
    <w:uiPriority w:val="33"/>
    <w:qFormat/>
    <w:rsid w:val="00E0321C"/>
    <w:rPr>
      <w:b/>
      <w:caps w:val="0"/>
      <w:smallCaps/>
      <w:spacing w:val="0"/>
    </w:rPr>
  </w:style>
  <w:style w:type="character" w:customStyle="1" w:styleId="Mention">
    <w:name w:val="Mention"/>
    <w:basedOn w:val="DefaultParagraphFont"/>
    <w:uiPriority w:val="99"/>
    <w:unhideWhenUsed/>
    <w:rPr>
      <w:color w:val="2B579A"/>
      <w:shd w:val="clear" w:color="auto" w:fill="E6E6E6"/>
    </w:rPr>
  </w:style>
  <w:style w:type="character" w:customStyle="1" w:styleId="cf01">
    <w:name w:val="cf01"/>
    <w:basedOn w:val="DefaultParagraphFont"/>
    <w:rsid w:val="001065AC"/>
    <w:rPr>
      <w:rFonts w:ascii="Segoe UI" w:hAnsi="Segoe UI" w:cs="Segoe UI" w:hint="default"/>
      <w:sz w:val="18"/>
    </w:rPr>
  </w:style>
  <w:style w:type="character" w:customStyle="1" w:styleId="UnresolvedMention">
    <w:name w:val="Unresolved Mention"/>
    <w:basedOn w:val="DefaultParagraphFont"/>
    <w:uiPriority w:val="99"/>
    <w:semiHidden/>
    <w:unhideWhenUsed/>
    <w:rsid w:val="00007E97"/>
    <w:rPr>
      <w:color w:val="605E5C"/>
      <w:shd w:val="clear" w:color="auto" w:fill="E1DFDD"/>
    </w:rPr>
  </w:style>
  <w:style w:type="paragraph" w:customStyle="1" w:styleId="oj-ti-grseq-1">
    <w:name w:val="oj-ti-grseq-1"/>
    <w:basedOn w:val="Normal"/>
    <w:rsid w:val="00041A34"/>
    <w:pPr>
      <w:spacing w:before="100" w:beforeAutospacing="1" w:after="100" w:afterAutospacing="1"/>
      <w:jc w:val="left"/>
    </w:pPr>
  </w:style>
  <w:style w:type="character" w:customStyle="1" w:styleId="oj-bold">
    <w:name w:val="oj-bold"/>
    <w:basedOn w:val="DefaultParagraphFont"/>
    <w:rsid w:val="00041A34"/>
  </w:style>
  <w:style w:type="character" w:customStyle="1" w:styleId="oj-super">
    <w:name w:val="oj-super"/>
    <w:basedOn w:val="DefaultParagraphFont"/>
    <w:rsid w:val="00041A34"/>
  </w:style>
  <w:style w:type="paragraph" w:customStyle="1" w:styleId="oj-normal">
    <w:name w:val="oj-normal"/>
    <w:basedOn w:val="Normal"/>
    <w:rsid w:val="00041A34"/>
    <w:pPr>
      <w:spacing w:before="100" w:beforeAutospacing="1" w:after="100" w:afterAutospacing="1"/>
      <w:jc w:val="left"/>
    </w:pPr>
  </w:style>
  <w:style w:type="paragraph" w:customStyle="1" w:styleId="BVIfnrCarCarCarCarCharCharCharCharCar">
    <w:name w:val="BVI fnr Car Car Car Car Char Char Char Char Car"/>
    <w:basedOn w:val="Normal"/>
    <w:link w:val="FootnoteReference"/>
    <w:uiPriority w:val="99"/>
    <w:rsid w:val="00CB08B2"/>
    <w:pPr>
      <w:spacing w:after="160" w:line="240" w:lineRule="exact"/>
      <w:jc w:val="left"/>
    </w:pPr>
    <w:rPr>
      <w:rFonts w:asciiTheme="minorHAnsi" w:hAnsiTheme="minorHAnsi" w:cstheme="minorBidi"/>
      <w:sz w:val="22"/>
      <w:vertAlign w:val="superscript"/>
    </w:rPr>
  </w:style>
  <w:style w:type="paragraph" w:customStyle="1" w:styleId="title-bold">
    <w:name w:val="title-bold"/>
    <w:basedOn w:val="Normal"/>
    <w:rsid w:val="00CB08B2"/>
    <w:pPr>
      <w:spacing w:before="100" w:beforeAutospacing="1" w:after="100" w:afterAutospacing="1"/>
      <w:jc w:val="left"/>
    </w:pPr>
  </w:style>
  <w:style w:type="character" w:customStyle="1" w:styleId="None">
    <w:name w:val="None"/>
    <w:rsid w:val="00CB08B2"/>
  </w:style>
  <w:style w:type="paragraph" w:customStyle="1" w:styleId="titrearticle">
    <w:name w:val="titrearticle"/>
    <w:basedOn w:val="Normal"/>
    <w:rsid w:val="00124B39"/>
    <w:pPr>
      <w:spacing w:before="100" w:beforeAutospacing="1" w:after="100" w:afterAutospacing="1"/>
      <w:jc w:val="left"/>
    </w:pPr>
  </w:style>
  <w:style w:type="paragraph" w:customStyle="1" w:styleId="li">
    <w:name w:val="li"/>
    <w:basedOn w:val="Normal"/>
    <w:rsid w:val="00124B39"/>
    <w:pPr>
      <w:spacing w:before="100" w:beforeAutospacing="1" w:after="100" w:afterAutospacing="1"/>
      <w:jc w:val="left"/>
    </w:pPr>
  </w:style>
  <w:style w:type="character" w:customStyle="1" w:styleId="num">
    <w:name w:val="num"/>
    <w:basedOn w:val="DefaultParagraphFont"/>
    <w:rsid w:val="00124B39"/>
  </w:style>
  <w:style w:type="paragraph" w:customStyle="1" w:styleId="numpar">
    <w:name w:val="num par"/>
    <w:basedOn w:val="li"/>
    <w:rsid w:val="00124B39"/>
    <w:pPr>
      <w:shd w:val="clear" w:color="auto" w:fill="FFFFFF"/>
      <w:spacing w:before="0" w:beforeAutospacing="0" w:after="0" w:afterAutospacing="0"/>
      <w:jc w:val="both"/>
    </w:pPr>
    <w:rPr>
      <w:color w:val="333333"/>
      <w:sz w:val="27"/>
    </w:rPr>
  </w:style>
  <w:style w:type="paragraph" w:customStyle="1" w:styleId="numpar10">
    <w:name w:val="num par 1"/>
    <w:basedOn w:val="li"/>
    <w:rsid w:val="00124B39"/>
    <w:pPr>
      <w:numPr>
        <w:numId w:val="33"/>
      </w:numPr>
      <w:shd w:val="clear" w:color="auto" w:fill="FFFFFF"/>
      <w:spacing w:before="0" w:beforeAutospacing="0" w:after="0" w:afterAutospacing="0"/>
      <w:jc w:val="both"/>
    </w:pPr>
    <w:rPr>
      <w:color w:val="333333"/>
      <w:sz w:val="27"/>
    </w:rPr>
  </w:style>
  <w:style w:type="paragraph" w:customStyle="1" w:styleId="Normal7">
    <w:name w:val="Normal7"/>
    <w:basedOn w:val="Normal"/>
    <w:rsid w:val="00A20A8F"/>
    <w:pPr>
      <w:spacing w:before="100" w:beforeAutospacing="1" w:after="100" w:afterAutospacing="1"/>
      <w:jc w:val="left"/>
    </w:pPr>
  </w:style>
  <w:style w:type="paragraph" w:customStyle="1" w:styleId="Body">
    <w:name w:val="Body"/>
    <w:basedOn w:val="Normal"/>
    <w:link w:val="BodyChar"/>
    <w:qFormat/>
    <w:rsid w:val="00AE2642"/>
    <w:pPr>
      <w:spacing w:before="0" w:after="240"/>
      <w:jc w:val="left"/>
    </w:pPr>
    <w:rPr>
      <w:rFonts w:ascii="Verdana" w:eastAsia="Times New Roman" w:hAnsi="Verdana"/>
      <w:sz w:val="18"/>
    </w:rPr>
  </w:style>
  <w:style w:type="character" w:customStyle="1" w:styleId="BodyChar">
    <w:name w:val="Body Char"/>
    <w:link w:val="Body"/>
    <w:rsid w:val="00AE2642"/>
    <w:rPr>
      <w:rFonts w:ascii="Verdana" w:eastAsia="Times New Roman" w:hAnsi="Verdana" w:cs="Times New Roman"/>
      <w:sz w:val="18"/>
    </w:rPr>
  </w:style>
  <w:style w:type="paragraph" w:customStyle="1" w:styleId="Titrearticle0">
    <w:name w:val="Titre article"/>
    <w:basedOn w:val="Normal"/>
    <w:next w:val="Normal"/>
    <w:pPr>
      <w:keepNext/>
      <w:spacing w:before="360"/>
      <w:jc w:val="center"/>
    </w:pPr>
    <w:rPr>
      <w:i/>
    </w:rPr>
  </w:style>
  <w:style w:type="paragraph" w:customStyle="1" w:styleId="Titrearticle1">
    <w:name w:val="Titre article"/>
    <w:basedOn w:val="Normal"/>
    <w:next w:val="Normal"/>
    <w:pPr>
      <w:keepNext/>
      <w:spacing w:before="360"/>
      <w:jc w:val="center"/>
    </w:pPr>
    <w:rPr>
      <w:i/>
    </w:rPr>
  </w:style>
  <w:style w:type="paragraph" w:customStyle="1" w:styleId="Normal10">
    <w:name w:val="Normal 1"/>
    <w:basedOn w:val="Point0letter"/>
    <w:rsid w:val="00546C21"/>
    <w:pPr>
      <w:numPr>
        <w:numId w:val="0"/>
      </w:numPr>
      <w:tabs>
        <w:tab w:val="left" w:pos="5000"/>
      </w:tabs>
      <w:spacing w:after="0"/>
      <w:ind w:left="850"/>
    </w:pPr>
  </w:style>
  <w:style w:type="paragraph" w:customStyle="1" w:styleId="Titrearticle2">
    <w:name w:val="Titre article"/>
    <w:basedOn w:val="Normal"/>
    <w:next w:val="Normal"/>
    <w:pPr>
      <w:keepNext/>
      <w:spacing w:before="360"/>
      <w:jc w:val="center"/>
    </w:pPr>
    <w:rPr>
      <w:i/>
    </w:rPr>
  </w:style>
  <w:style w:type="paragraph" w:customStyle="1" w:styleId="Titrearticle3">
    <w:name w:val="Titre article"/>
    <w:basedOn w:val="Normal"/>
    <w:next w:val="Normal"/>
    <w:pPr>
      <w:keepNext/>
      <w:spacing w:before="360"/>
      <w:jc w:val="center"/>
    </w:pPr>
    <w:rPr>
      <w:i/>
    </w:rPr>
  </w:style>
  <w:style w:type="paragraph" w:customStyle="1" w:styleId="Titrearticle4">
    <w:name w:val="Titre article"/>
    <w:basedOn w:val="Normal"/>
    <w:next w:val="Normal"/>
    <w:pPr>
      <w:keepNext/>
      <w:spacing w:before="360"/>
      <w:jc w:val="center"/>
    </w:pPr>
    <w:rPr>
      <w:i/>
    </w:rPr>
  </w:style>
  <w:style w:type="paragraph" w:customStyle="1" w:styleId="Titrearticle5">
    <w:name w:val="Titre article"/>
    <w:basedOn w:val="Normal"/>
    <w:next w:val="Normal"/>
    <w:pPr>
      <w:keepNext/>
      <w:spacing w:before="360"/>
      <w:jc w:val="center"/>
    </w:pPr>
    <w:rPr>
      <w:i/>
    </w:rPr>
  </w:style>
  <w:style w:type="paragraph" w:customStyle="1" w:styleId="Annex">
    <w:name w:val="Annex"/>
    <w:basedOn w:val="NormalCentered"/>
    <w:rsid w:val="00AD45BF"/>
    <w:rPr>
      <w:b/>
    </w:rPr>
  </w:style>
  <w:style w:type="paragraph" w:customStyle="1" w:styleId="Titrearticle6">
    <w:name w:val="Titre article"/>
    <w:basedOn w:val="Normal"/>
    <w:next w:val="Normal"/>
    <w:pPr>
      <w:keepNext/>
      <w:spacing w:before="360"/>
      <w:jc w:val="center"/>
    </w:pPr>
    <w:rPr>
      <w:i/>
    </w:rPr>
  </w:style>
  <w:style w:type="paragraph" w:customStyle="1" w:styleId="Titrearticle7">
    <w:name w:val="Titre article"/>
    <w:basedOn w:val="Normal"/>
    <w:next w:val="Normal"/>
    <w:pPr>
      <w:keepNext/>
      <w:spacing w:before="360"/>
      <w:jc w:val="center"/>
    </w:pPr>
    <w:rPr>
      <w:i/>
    </w:rPr>
  </w:style>
  <w:style w:type="paragraph" w:customStyle="1" w:styleId="Titrearticle8">
    <w:name w:val="Titre article"/>
    <w:basedOn w:val="Normal"/>
    <w:next w:val="Normal"/>
    <w:pPr>
      <w:keepNext/>
      <w:spacing w:before="360"/>
      <w:jc w:val="center"/>
    </w:pPr>
    <w:rPr>
      <w:i/>
    </w:rPr>
  </w:style>
  <w:style w:type="paragraph" w:customStyle="1" w:styleId="Titrearticle9">
    <w:name w:val="Titre article"/>
    <w:basedOn w:val="Normal"/>
    <w:next w:val="Normal"/>
    <w:pPr>
      <w:keepNext/>
      <w:spacing w:before="360"/>
      <w:jc w:val="center"/>
    </w:pPr>
    <w:rPr>
      <w:i/>
    </w:rPr>
  </w:style>
  <w:style w:type="paragraph" w:customStyle="1" w:styleId="Titrearticlea">
    <w:name w:val="Titre article"/>
    <w:basedOn w:val="Normal"/>
    <w:next w:val="Normal"/>
    <w:pPr>
      <w:keepNext/>
      <w:spacing w:before="360"/>
      <w:jc w:val="center"/>
    </w:pPr>
    <w:rPr>
      <w:i/>
    </w:rPr>
  </w:style>
  <w:style w:type="paragraph" w:customStyle="1" w:styleId="Titrearticleb">
    <w:name w:val="Titre article"/>
    <w:basedOn w:val="Normal"/>
    <w:next w:val="Normal"/>
    <w:pPr>
      <w:keepNext/>
      <w:spacing w:before="360"/>
      <w:jc w:val="center"/>
    </w:pPr>
    <w:rPr>
      <w:i/>
    </w:rPr>
  </w:style>
  <w:style w:type="paragraph" w:customStyle="1" w:styleId="Titrearticlec">
    <w:name w:val="Titre article"/>
    <w:basedOn w:val="Normal"/>
    <w:next w:val="Normal"/>
    <w:pPr>
      <w:keepNext/>
      <w:spacing w:before="360"/>
      <w:jc w:val="center"/>
    </w:pPr>
    <w:rPr>
      <w:i/>
    </w:rPr>
  </w:style>
  <w:style w:type="paragraph" w:customStyle="1" w:styleId="Titrearticled">
    <w:name w:val="Titre article"/>
    <w:basedOn w:val="Normal"/>
    <w:next w:val="Normal"/>
    <w:pPr>
      <w:keepNext/>
      <w:spacing w:before="360"/>
      <w:jc w:val="center"/>
    </w:pPr>
    <w:rPr>
      <w:i/>
    </w:rPr>
  </w:style>
  <w:style w:type="paragraph" w:customStyle="1" w:styleId="Heading">
    <w:name w:val="Heading"/>
    <w:basedOn w:val="Normal"/>
    <w:rsid w:val="006A7F46"/>
    <w:pPr>
      <w:jc w:val="center"/>
    </w:pPr>
    <w:rPr>
      <w:b/>
    </w:rPr>
  </w:style>
  <w:style w:type="paragraph" w:customStyle="1" w:styleId="Titrearticlee">
    <w:name w:val="Titre article"/>
    <w:basedOn w:val="Normal"/>
    <w:next w:val="Normal"/>
    <w:pPr>
      <w:keepNext/>
      <w:spacing w:before="360"/>
      <w:jc w:val="center"/>
    </w:pPr>
    <w:rPr>
      <w:i/>
    </w:rPr>
  </w:style>
  <w:style w:type="paragraph" w:customStyle="1" w:styleId="Titrearticlef">
    <w:name w:val="Titre article"/>
    <w:basedOn w:val="Normal"/>
    <w:next w:val="Normal"/>
    <w:pPr>
      <w:keepNext/>
      <w:spacing w:before="360"/>
      <w:jc w:val="center"/>
    </w:pPr>
    <w:rPr>
      <w:i/>
    </w:rPr>
  </w:style>
  <w:style w:type="paragraph" w:customStyle="1" w:styleId="Titrearticlef0">
    <w:name w:val="Titre article"/>
    <w:basedOn w:val="Normal"/>
    <w:next w:val="Normal"/>
    <w:pPr>
      <w:keepNext/>
      <w:spacing w:before="360"/>
      <w:jc w:val="center"/>
    </w:pPr>
    <w:rPr>
      <w:i/>
    </w:rPr>
  </w:style>
  <w:style w:type="paragraph" w:customStyle="1" w:styleId="Titrearticlef1">
    <w:name w:val="Titre article"/>
    <w:basedOn w:val="Normal"/>
    <w:next w:val="Normal"/>
    <w:pPr>
      <w:keepNext/>
      <w:spacing w:before="360"/>
      <w:jc w:val="center"/>
    </w:pPr>
    <w:rPr>
      <w:i/>
    </w:rPr>
  </w:style>
  <w:style w:type="paragraph" w:customStyle="1" w:styleId="Titrearticlef2">
    <w:name w:val="Titre article"/>
    <w:basedOn w:val="Normal"/>
    <w:next w:val="Normal"/>
    <w:pPr>
      <w:keepNext/>
      <w:spacing w:before="360"/>
      <w:jc w:val="center"/>
    </w:pPr>
    <w:rPr>
      <w:i/>
    </w:rPr>
  </w:style>
  <w:style w:type="paragraph" w:customStyle="1" w:styleId="Titrearticlef3">
    <w:name w:val="Titre article"/>
    <w:basedOn w:val="Normal"/>
    <w:next w:val="Normal"/>
    <w:pPr>
      <w:keepNext/>
      <w:spacing w:before="360"/>
      <w:jc w:val="center"/>
    </w:pPr>
    <w:rPr>
      <w:i/>
    </w:rPr>
  </w:style>
  <w:style w:type="paragraph" w:customStyle="1" w:styleId="pf0">
    <w:name w:val="pf0"/>
    <w:basedOn w:val="Normal"/>
    <w:rsid w:val="00FC73A3"/>
    <w:pPr>
      <w:spacing w:before="100" w:beforeAutospacing="1" w:after="100" w:afterAutospacing="1"/>
      <w:jc w:val="left"/>
    </w:pPr>
  </w:style>
  <w:style w:type="character" w:customStyle="1" w:styleId="cf11">
    <w:name w:val="cf11"/>
    <w:basedOn w:val="DefaultParagraphFont"/>
    <w:rsid w:val="00FC73A3"/>
    <w:rPr>
      <w:rFonts w:ascii="Segoe UI" w:hAnsi="Segoe UI" w:cs="Segoe UI" w:hint="default"/>
      <w:sz w:val="18"/>
    </w:rPr>
  </w:style>
  <w:style w:type="character" w:customStyle="1" w:styleId="footnotereference0">
    <w:name w:val="footnotereference"/>
    <w:basedOn w:val="DefaultParagraphFont"/>
    <w:rsid w:val="007167F3"/>
  </w:style>
  <w:style w:type="paragraph" w:customStyle="1" w:styleId="paragraph">
    <w:name w:val="paragraph"/>
    <w:basedOn w:val="Normal"/>
    <w:rsid w:val="00827575"/>
    <w:pPr>
      <w:spacing w:before="100" w:beforeAutospacing="1" w:after="100" w:afterAutospacing="1"/>
      <w:jc w:val="left"/>
    </w:pPr>
  </w:style>
  <w:style w:type="character" w:customStyle="1" w:styleId="normaltextrun">
    <w:name w:val="normaltextrun"/>
    <w:basedOn w:val="DefaultParagraphFont"/>
    <w:rsid w:val="00827575"/>
  </w:style>
  <w:style w:type="paragraph" w:customStyle="1" w:styleId="Titrearticlef4">
    <w:name w:val="Titre article"/>
    <w:basedOn w:val="Normal"/>
    <w:next w:val="Normal"/>
    <w:pPr>
      <w:keepNext/>
      <w:spacing w:before="360"/>
      <w:jc w:val="center"/>
    </w:pPr>
    <w:rPr>
      <w:i/>
    </w:rPr>
  </w:style>
  <w:style w:type="paragraph" w:customStyle="1" w:styleId="Text10">
    <w:name w:val="Text1"/>
    <w:basedOn w:val="Normal"/>
    <w:rsid w:val="00C01EE5"/>
  </w:style>
  <w:style w:type="paragraph" w:customStyle="1" w:styleId="Titrearticlef5">
    <w:name w:val="Titre article"/>
    <w:basedOn w:val="Normal"/>
    <w:next w:val="Normal"/>
    <w:pPr>
      <w:keepNext/>
      <w:spacing w:before="360"/>
      <w:jc w:val="center"/>
    </w:pPr>
    <w:rPr>
      <w:i/>
    </w:rPr>
  </w:style>
  <w:style w:type="paragraph" w:customStyle="1" w:styleId="Titrearticlef6">
    <w:name w:val="Titre article"/>
    <w:basedOn w:val="Normal"/>
    <w:next w:val="Normal"/>
    <w:pPr>
      <w:keepNext/>
      <w:spacing w:before="360"/>
      <w:jc w:val="center"/>
    </w:pPr>
    <w:rPr>
      <w:i/>
    </w:rPr>
  </w:style>
  <w:style w:type="paragraph" w:customStyle="1" w:styleId="Titrearticlef7">
    <w:name w:val="Titre article"/>
    <w:basedOn w:val="Normal"/>
    <w:next w:val="Normal"/>
    <w:pPr>
      <w:keepNext/>
      <w:spacing w:before="360"/>
      <w:jc w:val="center"/>
    </w:pPr>
    <w:rPr>
      <w:i/>
    </w:rPr>
  </w:style>
  <w:style w:type="paragraph" w:customStyle="1" w:styleId="Titrearticlef8">
    <w:name w:val="Titre article"/>
    <w:basedOn w:val="Normal"/>
    <w:next w:val="Normal"/>
    <w:pPr>
      <w:keepNext/>
      <w:spacing w:before="360"/>
      <w:jc w:val="center"/>
    </w:pPr>
    <w:rPr>
      <w:i/>
    </w:rPr>
  </w:style>
  <w:style w:type="paragraph" w:customStyle="1" w:styleId="Titrearticlef9">
    <w:name w:val="Titre article"/>
    <w:basedOn w:val="Normal"/>
    <w:next w:val="Normal"/>
    <w:pPr>
      <w:keepNext/>
      <w:spacing w:before="360"/>
      <w:jc w:val="center"/>
    </w:pPr>
    <w:rPr>
      <w:i/>
    </w:rPr>
  </w:style>
  <w:style w:type="paragraph" w:customStyle="1" w:styleId="Titrearticlefa">
    <w:name w:val="Titre article"/>
    <w:basedOn w:val="Normal"/>
    <w:next w:val="Normal"/>
    <w:pPr>
      <w:keepNext/>
      <w:spacing w:before="360"/>
      <w:jc w:val="center"/>
    </w:pPr>
    <w:rPr>
      <w:i/>
    </w:rPr>
  </w:style>
  <w:style w:type="paragraph" w:customStyle="1" w:styleId="Titrearticlefb">
    <w:name w:val="Titre article"/>
    <w:basedOn w:val="Normal"/>
    <w:next w:val="Normal"/>
    <w:pPr>
      <w:keepNext/>
      <w:spacing w:before="360"/>
      <w:jc w:val="center"/>
    </w:pPr>
    <w:rPr>
      <w:i/>
    </w:rPr>
  </w:style>
  <w:style w:type="paragraph" w:customStyle="1" w:styleId="Titrearticlefc">
    <w:name w:val="Titre article"/>
    <w:basedOn w:val="Normal"/>
    <w:next w:val="Normal"/>
    <w:pPr>
      <w:keepNext/>
      <w:spacing w:before="360"/>
      <w:jc w:val="center"/>
    </w:pPr>
    <w:rPr>
      <w:i/>
    </w:rPr>
  </w:style>
  <w:style w:type="paragraph" w:customStyle="1" w:styleId="Titrearticlefd">
    <w:name w:val="Titre article"/>
    <w:basedOn w:val="Normal"/>
    <w:next w:val="Normal"/>
    <w:pPr>
      <w:keepNext/>
      <w:spacing w:before="360"/>
      <w:jc w:val="center"/>
    </w:pPr>
    <w:rPr>
      <w:i/>
    </w:rPr>
  </w:style>
  <w:style w:type="paragraph" w:customStyle="1" w:styleId="Titrearticlefe">
    <w:name w:val="Titre article"/>
    <w:basedOn w:val="Normal"/>
    <w:next w:val="Normal"/>
    <w:pPr>
      <w:keepNext/>
      <w:spacing w:before="360"/>
      <w:jc w:val="center"/>
    </w:pPr>
    <w:rPr>
      <w:i/>
    </w:rPr>
  </w:style>
  <w:style w:type="paragraph" w:customStyle="1" w:styleId="Titrearticleff">
    <w:name w:val="Titre article"/>
    <w:basedOn w:val="Normal"/>
    <w:next w:val="Normal"/>
    <w:pPr>
      <w:keepNext/>
      <w:spacing w:before="360"/>
      <w:jc w:val="center"/>
    </w:pPr>
    <w:rPr>
      <w:i/>
    </w:rPr>
  </w:style>
  <w:style w:type="paragraph" w:customStyle="1" w:styleId="Titrearticleff0">
    <w:name w:val="Titre article"/>
    <w:basedOn w:val="Normal"/>
    <w:next w:val="Normal"/>
    <w:pPr>
      <w:keepNext/>
      <w:spacing w:before="360"/>
      <w:jc w:val="center"/>
    </w:pPr>
    <w:rPr>
      <w:i/>
    </w:rPr>
  </w:style>
  <w:style w:type="paragraph" w:customStyle="1" w:styleId="Titrearticleff1">
    <w:name w:val="Titre article"/>
    <w:basedOn w:val="Normal"/>
    <w:next w:val="Normal"/>
    <w:pPr>
      <w:keepNext/>
      <w:spacing w:before="360"/>
      <w:jc w:val="center"/>
    </w:pPr>
    <w:rPr>
      <w:i/>
    </w:rPr>
  </w:style>
  <w:style w:type="paragraph" w:customStyle="1" w:styleId="Titrearticleff2">
    <w:name w:val="Titre article"/>
    <w:basedOn w:val="Normal"/>
    <w:next w:val="Normal"/>
    <w:pPr>
      <w:keepNext/>
      <w:spacing w:before="360"/>
      <w:jc w:val="center"/>
    </w:pPr>
    <w:rPr>
      <w:i/>
    </w:rPr>
  </w:style>
  <w:style w:type="paragraph" w:customStyle="1" w:styleId="Titrearticleff3">
    <w:name w:val="Titre article"/>
    <w:basedOn w:val="Normal"/>
    <w:next w:val="Normal"/>
    <w:pPr>
      <w:keepNext/>
      <w:spacing w:before="360"/>
      <w:jc w:val="center"/>
    </w:pPr>
    <w:rPr>
      <w:i/>
    </w:rPr>
  </w:style>
  <w:style w:type="paragraph" w:customStyle="1" w:styleId="Titrearticleff4">
    <w:name w:val="Titre article"/>
    <w:basedOn w:val="Normal"/>
    <w:next w:val="Normal"/>
    <w:pPr>
      <w:keepNext/>
      <w:spacing w:before="360"/>
      <w:jc w:val="center"/>
    </w:pPr>
    <w:rPr>
      <w:i/>
    </w:rPr>
  </w:style>
  <w:style w:type="paragraph" w:customStyle="1" w:styleId="Titrearticleff5">
    <w:name w:val="Titre article"/>
    <w:basedOn w:val="Normal"/>
    <w:next w:val="Normal"/>
    <w:pPr>
      <w:keepNext/>
      <w:spacing w:before="360"/>
      <w:jc w:val="center"/>
    </w:pPr>
    <w:rPr>
      <w:i/>
    </w:rPr>
  </w:style>
  <w:style w:type="paragraph" w:customStyle="1" w:styleId="Titrearticleff6">
    <w:name w:val="Titre article"/>
    <w:basedOn w:val="Normal"/>
    <w:next w:val="Normal"/>
    <w:pPr>
      <w:keepNext/>
      <w:spacing w:before="360"/>
      <w:jc w:val="center"/>
    </w:pPr>
    <w:rPr>
      <w:i/>
    </w:rPr>
  </w:style>
  <w:style w:type="paragraph" w:customStyle="1" w:styleId="Titrearticleff7">
    <w:name w:val="Titre article"/>
    <w:basedOn w:val="Normal"/>
    <w:next w:val="Normal"/>
    <w:pPr>
      <w:keepNext/>
      <w:spacing w:before="360"/>
      <w:jc w:val="center"/>
    </w:pPr>
    <w:rPr>
      <w:i/>
    </w:rPr>
  </w:style>
  <w:style w:type="paragraph" w:customStyle="1" w:styleId="Titrearticleff8">
    <w:name w:val="Titre article"/>
    <w:basedOn w:val="Normal"/>
    <w:next w:val="Normal"/>
    <w:pPr>
      <w:keepNext/>
      <w:spacing w:before="360"/>
      <w:jc w:val="center"/>
    </w:pPr>
    <w:rPr>
      <w:i/>
    </w:rPr>
  </w:style>
  <w:style w:type="paragraph" w:customStyle="1" w:styleId="Titrearticleff9">
    <w:name w:val="Titre article"/>
    <w:basedOn w:val="Normal"/>
    <w:next w:val="Normal"/>
    <w:pPr>
      <w:keepNext/>
      <w:spacing w:before="360"/>
      <w:jc w:val="center"/>
    </w:pPr>
    <w:rPr>
      <w:i/>
    </w:rPr>
  </w:style>
  <w:style w:type="paragraph" w:customStyle="1" w:styleId="Titrearticleffa">
    <w:name w:val="Titre article"/>
    <w:basedOn w:val="Normal"/>
    <w:next w:val="Normal"/>
    <w:pPr>
      <w:keepNext/>
      <w:spacing w:before="360"/>
      <w:jc w:val="center"/>
    </w:pPr>
    <w:rPr>
      <w:i/>
    </w:rPr>
  </w:style>
  <w:style w:type="paragraph" w:customStyle="1" w:styleId="Titrearticleffb">
    <w:name w:val="Titre article"/>
    <w:basedOn w:val="Normal"/>
    <w:next w:val="Normal"/>
    <w:pPr>
      <w:keepNext/>
      <w:spacing w:before="360"/>
      <w:jc w:val="center"/>
    </w:pPr>
    <w:rPr>
      <w:i/>
    </w:rPr>
  </w:style>
  <w:style w:type="paragraph" w:customStyle="1" w:styleId="Titrearticleffc">
    <w:name w:val="Titre article"/>
    <w:basedOn w:val="Normal"/>
    <w:next w:val="Normal"/>
    <w:pPr>
      <w:keepNext/>
      <w:spacing w:before="360"/>
      <w:jc w:val="center"/>
    </w:pPr>
    <w:rPr>
      <w:i/>
    </w:rPr>
  </w:style>
  <w:style w:type="character" w:customStyle="1" w:styleId="HeaderChar">
    <w:name w:val="Header Char"/>
    <w:basedOn w:val="DefaultParagraphFont"/>
    <w:link w:val="Header"/>
    <w:uiPriority w:val="99"/>
    <w:rsid w:val="00272311"/>
    <w:rPr>
      <w:rFonts w:ascii="Times New Roman" w:hAnsi="Times New Roman" w:cs="Times New Roman"/>
      <w:sz w:val="24"/>
      <w:lang w:val="bg-BG"/>
    </w:rPr>
  </w:style>
  <w:style w:type="character" w:customStyle="1" w:styleId="FooterChar">
    <w:name w:val="Footer Char"/>
    <w:basedOn w:val="DefaultParagraphFont"/>
    <w:link w:val="Footer"/>
    <w:uiPriority w:val="99"/>
    <w:rsid w:val="00272311"/>
    <w:rPr>
      <w:rFonts w:ascii="Times New Roman" w:hAnsi="Times New Roman" w:cs="Times New Roman"/>
      <w:sz w:val="24"/>
      <w:lang w:val="bg-BG"/>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bg-BG"/>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bg-BG"/>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bg-BG"/>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bg-BG"/>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bg-BG"/>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bg-BG"/>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bg-BG"/>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link w:val="BVIfnrCarCarCarCarCharCharCharCharCar"/>
    <w:uiPriority w:val="99"/>
    <w:semiHidden/>
    <w:unhideWhenUsed/>
    <w:rPr>
      <w:shd w:val="clear" w:color="auto" w:fill="auto"/>
      <w:vertAlign w:val="superscript"/>
    </w:rPr>
  </w:style>
  <w:style w:type="paragraph" w:customStyle="1" w:styleId="HeaderSensitivity">
    <w:name w:val="Header Sensitivity"/>
    <w:basedOn w:val="Normal"/>
    <w:rsid w:val="00272311"/>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272311"/>
    <w:pPr>
      <w:spacing w:before="0"/>
      <w:jc w:val="right"/>
    </w:pPr>
    <w:rPr>
      <w:sz w:val="28"/>
    </w:rPr>
  </w:style>
  <w:style w:type="paragraph" w:customStyle="1" w:styleId="FooterSensitivity">
    <w:name w:val="Footer Sensitivity"/>
    <w:basedOn w:val="Normal"/>
    <w:rsid w:val="00272311"/>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52"/>
      </w:numPr>
    </w:pPr>
  </w:style>
  <w:style w:type="paragraph" w:customStyle="1" w:styleId="Tiret1">
    <w:name w:val="Tiret 1"/>
    <w:basedOn w:val="Point1"/>
    <w:pPr>
      <w:numPr>
        <w:numId w:val="53"/>
      </w:numPr>
    </w:pPr>
  </w:style>
  <w:style w:type="paragraph" w:customStyle="1" w:styleId="Tiret2">
    <w:name w:val="Tiret 2"/>
    <w:basedOn w:val="Point2"/>
    <w:pPr>
      <w:numPr>
        <w:numId w:val="54"/>
      </w:numPr>
    </w:pPr>
  </w:style>
  <w:style w:type="paragraph" w:customStyle="1" w:styleId="Tiret3">
    <w:name w:val="Tiret 3"/>
    <w:basedOn w:val="Point3"/>
    <w:pPr>
      <w:numPr>
        <w:numId w:val="55"/>
      </w:numPr>
    </w:pPr>
  </w:style>
  <w:style w:type="paragraph" w:customStyle="1" w:styleId="Tiret4">
    <w:name w:val="Tiret 4"/>
    <w:basedOn w:val="Point4"/>
    <w:pPr>
      <w:numPr>
        <w:numId w:val="56"/>
      </w:numPr>
    </w:pPr>
  </w:style>
  <w:style w:type="paragraph" w:customStyle="1" w:styleId="Tiret5">
    <w:name w:val="Tiret 5"/>
    <w:basedOn w:val="Point5"/>
    <w:pPr>
      <w:numPr>
        <w:numId w:val="5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58"/>
      </w:numPr>
    </w:pPr>
  </w:style>
  <w:style w:type="paragraph" w:customStyle="1" w:styleId="NumPar2">
    <w:name w:val="NumPar 2"/>
    <w:basedOn w:val="Normal"/>
    <w:next w:val="Text1"/>
    <w:pPr>
      <w:numPr>
        <w:ilvl w:val="1"/>
        <w:numId w:val="58"/>
      </w:numPr>
    </w:pPr>
  </w:style>
  <w:style w:type="paragraph" w:customStyle="1" w:styleId="NumPar3">
    <w:name w:val="NumPar 3"/>
    <w:basedOn w:val="Normal"/>
    <w:next w:val="Text1"/>
    <w:pPr>
      <w:numPr>
        <w:ilvl w:val="2"/>
        <w:numId w:val="58"/>
      </w:numPr>
    </w:pPr>
  </w:style>
  <w:style w:type="paragraph" w:customStyle="1" w:styleId="NumPar4">
    <w:name w:val="NumPar 4"/>
    <w:basedOn w:val="Normal"/>
    <w:next w:val="Text1"/>
    <w:pPr>
      <w:numPr>
        <w:ilvl w:val="3"/>
        <w:numId w:val="58"/>
      </w:numPr>
    </w:pPr>
  </w:style>
  <w:style w:type="paragraph" w:customStyle="1" w:styleId="NumPar5">
    <w:name w:val="NumPar 5"/>
    <w:basedOn w:val="Normal"/>
    <w:next w:val="Text2"/>
    <w:pPr>
      <w:numPr>
        <w:ilvl w:val="4"/>
        <w:numId w:val="58"/>
      </w:numPr>
    </w:pPr>
  </w:style>
  <w:style w:type="paragraph" w:customStyle="1" w:styleId="NumPar6">
    <w:name w:val="NumPar 6"/>
    <w:basedOn w:val="Normal"/>
    <w:next w:val="Text2"/>
    <w:pPr>
      <w:numPr>
        <w:ilvl w:val="5"/>
        <w:numId w:val="58"/>
      </w:numPr>
    </w:pPr>
  </w:style>
  <w:style w:type="paragraph" w:customStyle="1" w:styleId="NumPar7">
    <w:name w:val="NumPar 7"/>
    <w:basedOn w:val="Normal"/>
    <w:next w:val="Text2"/>
    <w:pPr>
      <w:numPr>
        <w:ilvl w:val="6"/>
        <w:numId w:val="5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60"/>
      </w:numPr>
    </w:pPr>
  </w:style>
  <w:style w:type="paragraph" w:customStyle="1" w:styleId="Point1number">
    <w:name w:val="Point 1 (number)"/>
    <w:basedOn w:val="Normal"/>
    <w:pPr>
      <w:numPr>
        <w:ilvl w:val="2"/>
        <w:numId w:val="60"/>
      </w:numPr>
    </w:pPr>
  </w:style>
  <w:style w:type="paragraph" w:customStyle="1" w:styleId="Point2number">
    <w:name w:val="Point 2 (number)"/>
    <w:basedOn w:val="Normal"/>
    <w:pPr>
      <w:numPr>
        <w:ilvl w:val="4"/>
        <w:numId w:val="60"/>
      </w:numPr>
    </w:pPr>
  </w:style>
  <w:style w:type="paragraph" w:customStyle="1" w:styleId="Point3number">
    <w:name w:val="Point 3 (number)"/>
    <w:basedOn w:val="Normal"/>
    <w:pPr>
      <w:numPr>
        <w:ilvl w:val="6"/>
        <w:numId w:val="60"/>
      </w:numPr>
    </w:pPr>
  </w:style>
  <w:style w:type="paragraph" w:customStyle="1" w:styleId="Point0letter">
    <w:name w:val="Point 0 (letter)"/>
    <w:basedOn w:val="Normal"/>
    <w:pPr>
      <w:numPr>
        <w:ilvl w:val="1"/>
        <w:numId w:val="60"/>
      </w:numPr>
    </w:pPr>
  </w:style>
  <w:style w:type="paragraph" w:customStyle="1" w:styleId="Point1letter">
    <w:name w:val="Point 1 (letter)"/>
    <w:basedOn w:val="Normal"/>
    <w:pPr>
      <w:numPr>
        <w:ilvl w:val="3"/>
        <w:numId w:val="60"/>
      </w:numPr>
    </w:pPr>
  </w:style>
  <w:style w:type="paragraph" w:customStyle="1" w:styleId="Point2letter">
    <w:name w:val="Point 2 (letter)"/>
    <w:basedOn w:val="Normal"/>
    <w:pPr>
      <w:numPr>
        <w:ilvl w:val="5"/>
        <w:numId w:val="60"/>
      </w:numPr>
    </w:pPr>
  </w:style>
  <w:style w:type="paragraph" w:customStyle="1" w:styleId="Point3letter">
    <w:name w:val="Point 3 (letter)"/>
    <w:basedOn w:val="Normal"/>
    <w:pPr>
      <w:numPr>
        <w:ilvl w:val="7"/>
        <w:numId w:val="60"/>
      </w:numPr>
    </w:pPr>
  </w:style>
  <w:style w:type="paragraph" w:customStyle="1" w:styleId="Point4letter">
    <w:name w:val="Point 4 (letter)"/>
    <w:basedOn w:val="Normal"/>
    <w:pPr>
      <w:numPr>
        <w:ilvl w:val="8"/>
        <w:numId w:val="60"/>
      </w:numPr>
    </w:pPr>
  </w:style>
  <w:style w:type="paragraph" w:customStyle="1" w:styleId="Bullet0">
    <w:name w:val="Bullet 0"/>
    <w:basedOn w:val="Normal"/>
    <w:pPr>
      <w:numPr>
        <w:numId w:val="61"/>
      </w:numPr>
    </w:pPr>
  </w:style>
  <w:style w:type="paragraph" w:customStyle="1" w:styleId="Bullet1">
    <w:name w:val="Bullet 1"/>
    <w:basedOn w:val="Normal"/>
    <w:pPr>
      <w:numPr>
        <w:numId w:val="62"/>
      </w:numPr>
    </w:pPr>
  </w:style>
  <w:style w:type="paragraph" w:customStyle="1" w:styleId="Bullet2">
    <w:name w:val="Bullet 2"/>
    <w:basedOn w:val="Normal"/>
    <w:pPr>
      <w:numPr>
        <w:numId w:val="63"/>
      </w:numPr>
    </w:pPr>
  </w:style>
  <w:style w:type="paragraph" w:customStyle="1" w:styleId="Bullet3">
    <w:name w:val="Bullet 3"/>
    <w:basedOn w:val="Normal"/>
    <w:pPr>
      <w:numPr>
        <w:numId w:val="64"/>
      </w:numPr>
    </w:pPr>
  </w:style>
  <w:style w:type="paragraph" w:customStyle="1" w:styleId="Bullet4">
    <w:name w:val="Bullet 4"/>
    <w:basedOn w:val="Normal"/>
    <w:pPr>
      <w:numPr>
        <w:numId w:val="6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6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ffd"/>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ffd">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ffd"/>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272311"/>
    <w:pPr>
      <w:tabs>
        <w:tab w:val="center" w:pos="4535"/>
        <w:tab w:val="right" w:pos="9071"/>
      </w:tabs>
      <w:spacing w:before="0"/>
    </w:pPr>
  </w:style>
  <w:style w:type="paragraph" w:customStyle="1" w:styleId="HeaderLandscape">
    <w:name w:val="HeaderLandscape"/>
    <w:basedOn w:val="Normal"/>
    <w:rsid w:val="00272311"/>
    <w:pPr>
      <w:tabs>
        <w:tab w:val="center" w:pos="7285"/>
        <w:tab w:val="right" w:pos="14003"/>
      </w:tabs>
      <w:spacing w:before="0"/>
    </w:pPr>
  </w:style>
  <w:style w:type="paragraph" w:styleId="Footer">
    <w:name w:val="footer"/>
    <w:basedOn w:val="Normal"/>
    <w:link w:val="FooterChar"/>
    <w:uiPriority w:val="99"/>
    <w:unhideWhenUsed/>
    <w:rsid w:val="00272311"/>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272311"/>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749501">
      <w:bodyDiv w:val="1"/>
      <w:marLeft w:val="0"/>
      <w:marRight w:val="0"/>
      <w:marTop w:val="0"/>
      <w:marBottom w:val="0"/>
      <w:divBdr>
        <w:top w:val="none" w:sz="0" w:space="0" w:color="auto"/>
        <w:left w:val="none" w:sz="0" w:space="0" w:color="auto"/>
        <w:bottom w:val="none" w:sz="0" w:space="0" w:color="auto"/>
        <w:right w:val="none" w:sz="0" w:space="0" w:color="auto"/>
      </w:divBdr>
    </w:div>
    <w:div w:id="122509223">
      <w:bodyDiv w:val="1"/>
      <w:marLeft w:val="0"/>
      <w:marRight w:val="0"/>
      <w:marTop w:val="0"/>
      <w:marBottom w:val="0"/>
      <w:divBdr>
        <w:top w:val="none" w:sz="0" w:space="0" w:color="auto"/>
        <w:left w:val="none" w:sz="0" w:space="0" w:color="auto"/>
        <w:bottom w:val="none" w:sz="0" w:space="0" w:color="auto"/>
        <w:right w:val="none" w:sz="0" w:space="0" w:color="auto"/>
      </w:divBdr>
    </w:div>
    <w:div w:id="178079825">
      <w:bodyDiv w:val="1"/>
      <w:marLeft w:val="0"/>
      <w:marRight w:val="0"/>
      <w:marTop w:val="0"/>
      <w:marBottom w:val="0"/>
      <w:divBdr>
        <w:top w:val="none" w:sz="0" w:space="0" w:color="auto"/>
        <w:left w:val="none" w:sz="0" w:space="0" w:color="auto"/>
        <w:bottom w:val="none" w:sz="0" w:space="0" w:color="auto"/>
        <w:right w:val="none" w:sz="0" w:space="0" w:color="auto"/>
      </w:divBdr>
    </w:div>
    <w:div w:id="293562626">
      <w:bodyDiv w:val="1"/>
      <w:marLeft w:val="0"/>
      <w:marRight w:val="0"/>
      <w:marTop w:val="0"/>
      <w:marBottom w:val="0"/>
      <w:divBdr>
        <w:top w:val="none" w:sz="0" w:space="0" w:color="auto"/>
        <w:left w:val="none" w:sz="0" w:space="0" w:color="auto"/>
        <w:bottom w:val="none" w:sz="0" w:space="0" w:color="auto"/>
        <w:right w:val="none" w:sz="0" w:space="0" w:color="auto"/>
      </w:divBdr>
    </w:div>
    <w:div w:id="654266222">
      <w:bodyDiv w:val="1"/>
      <w:marLeft w:val="0"/>
      <w:marRight w:val="0"/>
      <w:marTop w:val="0"/>
      <w:marBottom w:val="0"/>
      <w:divBdr>
        <w:top w:val="none" w:sz="0" w:space="0" w:color="auto"/>
        <w:left w:val="none" w:sz="0" w:space="0" w:color="auto"/>
        <w:bottom w:val="none" w:sz="0" w:space="0" w:color="auto"/>
        <w:right w:val="none" w:sz="0" w:space="0" w:color="auto"/>
      </w:divBdr>
    </w:div>
    <w:div w:id="733431909">
      <w:bodyDiv w:val="1"/>
      <w:marLeft w:val="0"/>
      <w:marRight w:val="0"/>
      <w:marTop w:val="0"/>
      <w:marBottom w:val="0"/>
      <w:divBdr>
        <w:top w:val="none" w:sz="0" w:space="0" w:color="auto"/>
        <w:left w:val="none" w:sz="0" w:space="0" w:color="auto"/>
        <w:bottom w:val="none" w:sz="0" w:space="0" w:color="auto"/>
        <w:right w:val="none" w:sz="0" w:space="0" w:color="auto"/>
      </w:divBdr>
    </w:div>
    <w:div w:id="817645054">
      <w:bodyDiv w:val="1"/>
      <w:marLeft w:val="0"/>
      <w:marRight w:val="0"/>
      <w:marTop w:val="0"/>
      <w:marBottom w:val="0"/>
      <w:divBdr>
        <w:top w:val="none" w:sz="0" w:space="0" w:color="auto"/>
        <w:left w:val="none" w:sz="0" w:space="0" w:color="auto"/>
        <w:bottom w:val="none" w:sz="0" w:space="0" w:color="auto"/>
        <w:right w:val="none" w:sz="0" w:space="0" w:color="auto"/>
      </w:divBdr>
      <w:divsChild>
        <w:div w:id="1466191994">
          <w:marLeft w:val="0"/>
          <w:marRight w:val="0"/>
          <w:marTop w:val="0"/>
          <w:marBottom w:val="0"/>
          <w:divBdr>
            <w:top w:val="none" w:sz="0" w:space="0" w:color="auto"/>
            <w:left w:val="none" w:sz="0" w:space="0" w:color="auto"/>
            <w:bottom w:val="none" w:sz="0" w:space="0" w:color="auto"/>
            <w:right w:val="none" w:sz="0" w:space="0" w:color="auto"/>
          </w:divBdr>
          <w:divsChild>
            <w:div w:id="1276912438">
              <w:marLeft w:val="0"/>
              <w:marRight w:val="0"/>
              <w:marTop w:val="0"/>
              <w:marBottom w:val="0"/>
              <w:divBdr>
                <w:top w:val="none" w:sz="0" w:space="0" w:color="auto"/>
                <w:left w:val="none" w:sz="0" w:space="0" w:color="auto"/>
                <w:bottom w:val="none" w:sz="0" w:space="0" w:color="auto"/>
                <w:right w:val="none" w:sz="0" w:space="0" w:color="auto"/>
              </w:divBdr>
              <w:divsChild>
                <w:div w:id="1271010501">
                  <w:marLeft w:val="0"/>
                  <w:marRight w:val="0"/>
                  <w:marTop w:val="0"/>
                  <w:marBottom w:val="0"/>
                  <w:divBdr>
                    <w:top w:val="none" w:sz="0" w:space="0" w:color="auto"/>
                    <w:left w:val="none" w:sz="0" w:space="0" w:color="auto"/>
                    <w:bottom w:val="none" w:sz="0" w:space="0" w:color="auto"/>
                    <w:right w:val="none" w:sz="0" w:space="0" w:color="auto"/>
                  </w:divBdr>
                  <w:divsChild>
                    <w:div w:id="62878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019563">
      <w:bodyDiv w:val="1"/>
      <w:marLeft w:val="0"/>
      <w:marRight w:val="0"/>
      <w:marTop w:val="0"/>
      <w:marBottom w:val="0"/>
      <w:divBdr>
        <w:top w:val="none" w:sz="0" w:space="0" w:color="auto"/>
        <w:left w:val="none" w:sz="0" w:space="0" w:color="auto"/>
        <w:bottom w:val="none" w:sz="0" w:space="0" w:color="auto"/>
        <w:right w:val="none" w:sz="0" w:space="0" w:color="auto"/>
      </w:divBdr>
    </w:div>
    <w:div w:id="1053583707">
      <w:bodyDiv w:val="1"/>
      <w:marLeft w:val="0"/>
      <w:marRight w:val="0"/>
      <w:marTop w:val="0"/>
      <w:marBottom w:val="0"/>
      <w:divBdr>
        <w:top w:val="none" w:sz="0" w:space="0" w:color="auto"/>
        <w:left w:val="none" w:sz="0" w:space="0" w:color="auto"/>
        <w:bottom w:val="none" w:sz="0" w:space="0" w:color="auto"/>
        <w:right w:val="none" w:sz="0" w:space="0" w:color="auto"/>
      </w:divBdr>
    </w:div>
    <w:div w:id="1506287354">
      <w:bodyDiv w:val="1"/>
      <w:marLeft w:val="0"/>
      <w:marRight w:val="0"/>
      <w:marTop w:val="0"/>
      <w:marBottom w:val="0"/>
      <w:divBdr>
        <w:top w:val="none" w:sz="0" w:space="0" w:color="auto"/>
        <w:left w:val="none" w:sz="0" w:space="0" w:color="auto"/>
        <w:bottom w:val="none" w:sz="0" w:space="0" w:color="auto"/>
        <w:right w:val="none" w:sz="0" w:space="0" w:color="auto"/>
      </w:divBdr>
    </w:div>
    <w:div w:id="1519537797">
      <w:bodyDiv w:val="1"/>
      <w:marLeft w:val="0"/>
      <w:marRight w:val="0"/>
      <w:marTop w:val="0"/>
      <w:marBottom w:val="0"/>
      <w:divBdr>
        <w:top w:val="none" w:sz="0" w:space="0" w:color="auto"/>
        <w:left w:val="none" w:sz="0" w:space="0" w:color="auto"/>
        <w:bottom w:val="none" w:sz="0" w:space="0" w:color="auto"/>
        <w:right w:val="none" w:sz="0" w:space="0" w:color="auto"/>
      </w:divBdr>
    </w:div>
    <w:div w:id="1536698737">
      <w:bodyDiv w:val="1"/>
      <w:marLeft w:val="0"/>
      <w:marRight w:val="0"/>
      <w:marTop w:val="0"/>
      <w:marBottom w:val="0"/>
      <w:divBdr>
        <w:top w:val="none" w:sz="0" w:space="0" w:color="auto"/>
        <w:left w:val="none" w:sz="0" w:space="0" w:color="auto"/>
        <w:bottom w:val="none" w:sz="0" w:space="0" w:color="auto"/>
        <w:right w:val="none" w:sz="0" w:space="0" w:color="auto"/>
      </w:divBdr>
    </w:div>
    <w:div w:id="1683968308">
      <w:bodyDiv w:val="1"/>
      <w:marLeft w:val="0"/>
      <w:marRight w:val="0"/>
      <w:marTop w:val="0"/>
      <w:marBottom w:val="0"/>
      <w:divBdr>
        <w:top w:val="none" w:sz="0" w:space="0" w:color="auto"/>
        <w:left w:val="none" w:sz="0" w:space="0" w:color="auto"/>
        <w:bottom w:val="none" w:sz="0" w:space="0" w:color="auto"/>
        <w:right w:val="none" w:sz="0" w:space="0" w:color="auto"/>
      </w:divBdr>
    </w:div>
    <w:div w:id="1747916227">
      <w:bodyDiv w:val="1"/>
      <w:marLeft w:val="0"/>
      <w:marRight w:val="0"/>
      <w:marTop w:val="0"/>
      <w:marBottom w:val="0"/>
      <w:divBdr>
        <w:top w:val="none" w:sz="0" w:space="0" w:color="auto"/>
        <w:left w:val="none" w:sz="0" w:space="0" w:color="auto"/>
        <w:bottom w:val="none" w:sz="0" w:space="0" w:color="auto"/>
        <w:right w:val="none" w:sz="0" w:space="0" w:color="auto"/>
      </w:divBdr>
    </w:div>
    <w:div w:id="1768236332">
      <w:bodyDiv w:val="1"/>
      <w:marLeft w:val="0"/>
      <w:marRight w:val="0"/>
      <w:marTop w:val="0"/>
      <w:marBottom w:val="0"/>
      <w:divBdr>
        <w:top w:val="none" w:sz="0" w:space="0" w:color="auto"/>
        <w:left w:val="none" w:sz="0" w:space="0" w:color="auto"/>
        <w:bottom w:val="none" w:sz="0" w:space="0" w:color="auto"/>
        <w:right w:val="none" w:sz="0" w:space="0" w:color="auto"/>
      </w:divBdr>
      <w:divsChild>
        <w:div w:id="1481965602">
          <w:marLeft w:val="0"/>
          <w:marRight w:val="0"/>
          <w:marTop w:val="0"/>
          <w:marBottom w:val="0"/>
          <w:divBdr>
            <w:top w:val="none" w:sz="0" w:space="0" w:color="auto"/>
            <w:left w:val="none" w:sz="0" w:space="0" w:color="auto"/>
            <w:bottom w:val="none" w:sz="0" w:space="0" w:color="auto"/>
            <w:right w:val="none" w:sz="0" w:space="0" w:color="auto"/>
          </w:divBdr>
          <w:divsChild>
            <w:div w:id="1427001315">
              <w:marLeft w:val="0"/>
              <w:marRight w:val="0"/>
              <w:marTop w:val="0"/>
              <w:marBottom w:val="0"/>
              <w:divBdr>
                <w:top w:val="none" w:sz="0" w:space="0" w:color="auto"/>
                <w:left w:val="none" w:sz="0" w:space="0" w:color="auto"/>
                <w:bottom w:val="none" w:sz="0" w:space="0" w:color="auto"/>
                <w:right w:val="none" w:sz="0" w:space="0" w:color="auto"/>
              </w:divBdr>
              <w:divsChild>
                <w:div w:id="1427917388">
                  <w:marLeft w:val="0"/>
                  <w:marRight w:val="0"/>
                  <w:marTop w:val="0"/>
                  <w:marBottom w:val="0"/>
                  <w:divBdr>
                    <w:top w:val="none" w:sz="0" w:space="0" w:color="auto"/>
                    <w:left w:val="none" w:sz="0" w:space="0" w:color="auto"/>
                    <w:bottom w:val="none" w:sz="0" w:space="0" w:color="auto"/>
                    <w:right w:val="none" w:sz="0" w:space="0" w:color="auto"/>
                  </w:divBdr>
                  <w:divsChild>
                    <w:div w:id="184058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969817">
      <w:bodyDiv w:val="1"/>
      <w:marLeft w:val="0"/>
      <w:marRight w:val="0"/>
      <w:marTop w:val="0"/>
      <w:marBottom w:val="0"/>
      <w:divBdr>
        <w:top w:val="none" w:sz="0" w:space="0" w:color="auto"/>
        <w:left w:val="none" w:sz="0" w:space="0" w:color="auto"/>
        <w:bottom w:val="none" w:sz="0" w:space="0" w:color="auto"/>
        <w:right w:val="none" w:sz="0" w:space="0" w:color="auto"/>
      </w:divBdr>
    </w:div>
    <w:div w:id="1824277471">
      <w:bodyDiv w:val="1"/>
      <w:marLeft w:val="0"/>
      <w:marRight w:val="0"/>
      <w:marTop w:val="0"/>
      <w:marBottom w:val="0"/>
      <w:divBdr>
        <w:top w:val="none" w:sz="0" w:space="0" w:color="auto"/>
        <w:left w:val="none" w:sz="0" w:space="0" w:color="auto"/>
        <w:bottom w:val="none" w:sz="0" w:space="0" w:color="auto"/>
        <w:right w:val="none" w:sz="0" w:space="0" w:color="auto"/>
      </w:divBdr>
    </w:div>
    <w:div w:id="1826816473">
      <w:bodyDiv w:val="1"/>
      <w:marLeft w:val="0"/>
      <w:marRight w:val="0"/>
      <w:marTop w:val="0"/>
      <w:marBottom w:val="0"/>
      <w:divBdr>
        <w:top w:val="none" w:sz="0" w:space="0" w:color="auto"/>
        <w:left w:val="none" w:sz="0" w:space="0" w:color="auto"/>
        <w:bottom w:val="none" w:sz="0" w:space="0" w:color="auto"/>
        <w:right w:val="none" w:sz="0" w:space="0" w:color="auto"/>
      </w:divBdr>
    </w:div>
    <w:div w:id="1868642274">
      <w:bodyDiv w:val="1"/>
      <w:marLeft w:val="0"/>
      <w:marRight w:val="0"/>
      <w:marTop w:val="0"/>
      <w:marBottom w:val="0"/>
      <w:divBdr>
        <w:top w:val="none" w:sz="0" w:space="0" w:color="auto"/>
        <w:left w:val="none" w:sz="0" w:space="0" w:color="auto"/>
        <w:bottom w:val="none" w:sz="0" w:space="0" w:color="auto"/>
        <w:right w:val="none" w:sz="0" w:space="0" w:color="auto"/>
      </w:divBdr>
      <w:divsChild>
        <w:div w:id="1404644008">
          <w:marLeft w:val="0"/>
          <w:marRight w:val="0"/>
          <w:marTop w:val="0"/>
          <w:marBottom w:val="0"/>
          <w:divBdr>
            <w:top w:val="none" w:sz="0" w:space="0" w:color="auto"/>
            <w:left w:val="none" w:sz="0" w:space="0" w:color="auto"/>
            <w:bottom w:val="none" w:sz="0" w:space="0" w:color="auto"/>
            <w:right w:val="none" w:sz="0" w:space="0" w:color="auto"/>
          </w:divBdr>
          <w:divsChild>
            <w:div w:id="507254137">
              <w:marLeft w:val="0"/>
              <w:marRight w:val="0"/>
              <w:marTop w:val="0"/>
              <w:marBottom w:val="0"/>
              <w:divBdr>
                <w:top w:val="none" w:sz="0" w:space="0" w:color="auto"/>
                <w:left w:val="none" w:sz="0" w:space="0" w:color="auto"/>
                <w:bottom w:val="none" w:sz="0" w:space="0" w:color="auto"/>
                <w:right w:val="none" w:sz="0" w:space="0" w:color="auto"/>
              </w:divBdr>
              <w:divsChild>
                <w:div w:id="662045563">
                  <w:marLeft w:val="0"/>
                  <w:marRight w:val="0"/>
                  <w:marTop w:val="0"/>
                  <w:marBottom w:val="0"/>
                  <w:divBdr>
                    <w:top w:val="none" w:sz="0" w:space="0" w:color="auto"/>
                    <w:left w:val="none" w:sz="0" w:space="0" w:color="auto"/>
                    <w:bottom w:val="none" w:sz="0" w:space="0" w:color="auto"/>
                    <w:right w:val="none" w:sz="0" w:space="0" w:color="auto"/>
                  </w:divBdr>
                  <w:divsChild>
                    <w:div w:id="87269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1512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7.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eli/dir/2019/944/oj?locale=bg" TargetMode="External"/><Relationship Id="rId13" Type="http://schemas.openxmlformats.org/officeDocument/2006/relationships/hyperlink" Target="https://eur-lex.europa.eu/eli/reg/2021/821/oj?locale=bg" TargetMode="External"/><Relationship Id="rId18" Type="http://schemas.openxmlformats.org/officeDocument/2006/relationships/hyperlink" Target="https://eur-lex.europa.eu/resource.html?uri=cellar:413d324d-4fc3-11ed-92ed-01aa75ed71a1.0005.02/DOC_1&amp;format=PDF" TargetMode="External"/><Relationship Id="rId26" Type="http://schemas.openxmlformats.org/officeDocument/2006/relationships/hyperlink" Target="https://eur-lex.europa.eu/legal-content/EN-BG/TXT/?from=BG&amp;uri=CELEX%3A32004R0139" TargetMode="External"/><Relationship Id="rId3" Type="http://schemas.openxmlformats.org/officeDocument/2006/relationships/hyperlink" Target="https://eur-lex.europa.eu/eli/dir/2008/114/oj?locale=bg" TargetMode="External"/><Relationship Id="rId21" Type="http://schemas.openxmlformats.org/officeDocument/2006/relationships/hyperlink" Target="https://eur-lex.europa.eu/eli/reg/2001/1049/oj?locale=bg" TargetMode="External"/><Relationship Id="rId34" Type="http://schemas.openxmlformats.org/officeDocument/2006/relationships/hyperlink" Target="https://eur-lex.europa.eu/eli/dir/2022/2555/oj?locale=bg" TargetMode="External"/><Relationship Id="rId7" Type="http://schemas.openxmlformats.org/officeDocument/2006/relationships/hyperlink" Target="https://eur-lex.europa.eu/eli/dir/2016/1148/oj?locale=bg" TargetMode="External"/><Relationship Id="rId12" Type="http://schemas.openxmlformats.org/officeDocument/2006/relationships/hyperlink" Target="https://eur-lex.europa.eu/eli/reg/2008/1008/oj?locale=bg" TargetMode="External"/><Relationship Id="rId17" Type="http://schemas.openxmlformats.org/officeDocument/2006/relationships/hyperlink" Target="https://www.oecd.org/investment/investment-policy/oecd-eu-fdi-screening-assessment.pdf" TargetMode="External"/><Relationship Id="rId25" Type="http://schemas.openxmlformats.org/officeDocument/2006/relationships/hyperlink" Target="https://eur-lex.europa.eu/eli/reg/2018/1725/oj?locale=bg" TargetMode="External"/><Relationship Id="rId33" Type="http://schemas.openxmlformats.org/officeDocument/2006/relationships/hyperlink" Target="https://eur-lex.europa.eu/eli/dir/2022/2557/oj?locale=bg" TargetMode="External"/><Relationship Id="rId2" Type="http://schemas.openxmlformats.org/officeDocument/2006/relationships/hyperlink" Target="https://eur-lex.europa.eu/eli/reg/2022/2560/oj?locale=bg" TargetMode="External"/><Relationship Id="rId16" Type="http://schemas.openxmlformats.org/officeDocument/2006/relationships/hyperlink" Target="https://ec.europa.eu/info/law/better-regulation/have-your-say/initiatives/13739-Screening-of-foreign-direct-investments-FDI-evaluation-and-revision-of-the-EU-framework/feedback_bg?p_id=32186570" TargetMode="External"/><Relationship Id="rId20" Type="http://schemas.openxmlformats.org/officeDocument/2006/relationships/hyperlink" Target="https://eur-lex.europa.eu/eli/reg/2019/452/oj?locale=bg" TargetMode="External"/><Relationship Id="rId29" Type="http://schemas.openxmlformats.org/officeDocument/2006/relationships/hyperlink" Target="https://eur-lex.europa.eu/eli/dir/2014/65/oj?locale=bg" TargetMode="External"/><Relationship Id="rId1" Type="http://schemas.openxmlformats.org/officeDocument/2006/relationships/hyperlink" Target="https://eur-lex.europa.eu/legal-content/EN-BG/TXT/?from=BG&amp;uri=CELEX%3A32004R0139" TargetMode="External"/><Relationship Id="rId6" Type="http://schemas.openxmlformats.org/officeDocument/2006/relationships/hyperlink" Target="https://eur-lex.europa.eu/eli/dir/2022/2555/oj?locale=bg" TargetMode="External"/><Relationship Id="rId11" Type="http://schemas.openxmlformats.org/officeDocument/2006/relationships/hyperlink" Target="https://eur-lex.europa.eu/eli/reg/2019/941/oj?locale=bg" TargetMode="External"/><Relationship Id="rId24" Type="http://schemas.openxmlformats.org/officeDocument/2006/relationships/hyperlink" Target="https://eur-lex.europa.eu/eli/reg/2016/679/oj?locale=bg" TargetMode="External"/><Relationship Id="rId32" Type="http://schemas.openxmlformats.org/officeDocument/2006/relationships/hyperlink" Target="https://eur-lex.europa.eu/eli/reg/2018/1046/oj?locale=bg" TargetMode="External"/><Relationship Id="rId5" Type="http://schemas.openxmlformats.org/officeDocument/2006/relationships/hyperlink" Target="https://eur-lex.europa.eu/eli/dir/2016/1148/oj?locale=bg" TargetMode="External"/><Relationship Id="rId15" Type="http://schemas.openxmlformats.org/officeDocument/2006/relationships/hyperlink" Target="https://policy.trade.ec.europa.eu/consultations/screening-foreign-direct-investments-fdi-evaluation-and-possible-revision-current-eu-framework_en?prefLang=bg" TargetMode="External"/><Relationship Id="rId23" Type="http://schemas.openxmlformats.org/officeDocument/2006/relationships/hyperlink" Target="https://eur-lex.europa.eu/eli/dec/2015/444/oj?locale=bg" TargetMode="External"/><Relationship Id="rId28" Type="http://schemas.openxmlformats.org/officeDocument/2006/relationships/hyperlink" Target="https://eur-lex.europa.eu/eli/dir/2013/36/oj?locale=bg%23" TargetMode="External"/><Relationship Id="rId10" Type="http://schemas.openxmlformats.org/officeDocument/2006/relationships/hyperlink" Target="https://eur-lex.europa.eu/eli/reg/2017/1938/oj?locale=bg" TargetMode="External"/><Relationship Id="rId19" Type="http://schemas.openxmlformats.org/officeDocument/2006/relationships/hyperlink" Target="https://eur-lex.europa.eu/eli/reg/2018/1725/oj?locale=bg" TargetMode="External"/><Relationship Id="rId31" Type="http://schemas.openxmlformats.org/officeDocument/2006/relationships/hyperlink" Target="https://eur-lex.europa.eu/eli/dir/2013/34/oj?locale=bg" TargetMode="External"/><Relationship Id="rId4" Type="http://schemas.openxmlformats.org/officeDocument/2006/relationships/hyperlink" Target="https://eur-lex.europa.eu/eli/dir/2022/2557/oj?locale=bg" TargetMode="External"/><Relationship Id="rId9" Type="http://schemas.openxmlformats.org/officeDocument/2006/relationships/hyperlink" Target="https://eur-lex.europa.eu/eli/dir/2009/73/oj?locale=bg" TargetMode="External"/><Relationship Id="rId14" Type="http://schemas.openxmlformats.org/officeDocument/2006/relationships/hyperlink" Target="https://eur-lex.europa.eu/eli/reg/2023/2675/oj?locale=bg" TargetMode="External"/><Relationship Id="rId22" Type="http://schemas.openxmlformats.org/officeDocument/2006/relationships/hyperlink" Target="https://eur-lex.europa.eu/eli/dec/2015/443/oj?locale=bg" TargetMode="External"/><Relationship Id="rId27" Type="http://schemas.openxmlformats.org/officeDocument/2006/relationships/hyperlink" Target="https://eur-lex.europa.eu/eli/dir/2009/138/oj?locale=bg" TargetMode="External"/><Relationship Id="rId30" Type="http://schemas.openxmlformats.org/officeDocument/2006/relationships/hyperlink" Target="https://eur-lex.europa.eu/eli/reg/2011/182/oj?locale=b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91101ED19659B489105E64B8BBAA979" ma:contentTypeVersion="1" ma:contentTypeDescription="Create a new document in this library." ma:contentTypeScope="" ma:versionID="6348812c78e7b4996127e4dc2b522d86">
  <xsd:schema xmlns:xsd="http://www.w3.org/2001/XMLSchema" xmlns:xs="http://www.w3.org/2001/XMLSchema" xmlns:p="http://schemas.microsoft.com/office/2006/metadata/properties" xmlns:ns3="94cd775c-4b45-4aff-9377-5f863f412b2c" targetNamespace="http://schemas.microsoft.com/office/2006/metadata/properties" ma:root="true" ma:fieldsID="fc57b65f4d981a58bb4e57930e77b5fc" ns3:_="">
    <xsd:import namespace="94cd775c-4b45-4aff-9377-5f863f412b2c"/>
    <xsd:element name="properties">
      <xsd:complexType>
        <xsd:sequence>
          <xsd:element name="documentManagement">
            <xsd:complexType>
              <xsd:all>
                <xsd:element ref="ns3:EC_Collab_Reference"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cd775c-4b45-4aff-9377-5f863f412b2c"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C_Collab_DocumentLanguage xmlns="94cd775c-4b45-4aff-9377-5f863f412b2c">EN</EC_Collab_DocumentLanguage>
    <EC_Collab_Status xmlns="94cd775c-4b45-4aff-9377-5f863f412b2c">Not Started</EC_Collab_Status>
    <EC_Collab_Reference xmlns="94cd775c-4b45-4aff-9377-5f863f412b2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75A75-7BB6-4FEC-8AC7-C9CE847471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cd775c-4b45-4aff-9377-5f863f412b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9FE5A2-6271-47CA-B1DC-FFA79E93590B}">
  <ds:schemaRefs>
    <ds:schemaRef ds:uri="http://schemas.microsoft.com/sharepoint/v3/contenttype/forms"/>
  </ds:schemaRefs>
</ds:datastoreItem>
</file>

<file path=customXml/itemProps3.xml><?xml version="1.0" encoding="utf-8"?>
<ds:datastoreItem xmlns:ds="http://schemas.openxmlformats.org/officeDocument/2006/customXml" ds:itemID="{9A6C40A6-6793-4E6B-8F94-E36A1BF27375}">
  <ds:schemaRefs>
    <ds:schemaRef ds:uri="http://schemas.microsoft.com/office/2006/metadata/properties"/>
    <ds:schemaRef ds:uri="http://schemas.microsoft.com/office/infopath/2007/PartnerControls"/>
    <ds:schemaRef ds:uri="94cd775c-4b45-4aff-9377-5f863f412b2c"/>
  </ds:schemaRefs>
</ds:datastoreItem>
</file>

<file path=customXml/itemProps4.xml><?xml version="1.0" encoding="utf-8"?>
<ds:datastoreItem xmlns:ds="http://schemas.openxmlformats.org/officeDocument/2006/customXml" ds:itemID="{78F497B4-7357-46A7-B808-C35AC9CF7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24</TotalTime>
  <Pages>13</Pages>
  <Words>28025</Words>
  <Characters>159743</Characters>
  <Application>Microsoft Office Word</Application>
  <DocSecurity>0</DocSecurity>
  <Lines>1331</Lines>
  <Paragraphs>374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33</cp:revision>
  <cp:lastPrinted>2024-01-11T19:34:00Z</cp:lastPrinted>
  <dcterms:created xsi:type="dcterms:W3CDTF">2024-01-24T17:08:00Z</dcterms:created>
  <dcterms:modified xsi:type="dcterms:W3CDTF">2024-03-04T14:43:00Z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MSIP_Label_6bd9ddd1-4d20-43f6-abfa-fc3c07406f94_Enabled">
    <vt:lpwstr>true</vt:lpwstr>
  </property>
  <property fmtid="{D5CDD505-2E9C-101B-9397-08002B2CF9AE}" pid="6" name="MSIP_Label_6bd9ddd1-4d20-43f6-abfa-fc3c07406f94_SetDate">
    <vt:lpwstr>2023-08-28T10:17:46Z</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8fad0829-9448-4c57-afde-c7cfbaccba8a</vt:lpwstr>
  </property>
  <property fmtid="{D5CDD505-2E9C-101B-9397-08002B2CF9AE}" pid="11" name="MSIP_Label_6bd9ddd1-4d20-43f6-abfa-fc3c07406f94_ContentBits">
    <vt:lpwstr>0</vt:lpwstr>
  </property>
  <property fmtid="{D5CDD505-2E9C-101B-9397-08002B2CF9AE}" pid="12" name="Created using">
    <vt:lpwstr>LW 9.0, Build 20230317</vt:lpwstr>
  </property>
  <property fmtid="{D5CDD505-2E9C-101B-9397-08002B2CF9AE}" pid="13" name="Part">
    <vt:lpwstr>1</vt:lpwstr>
  </property>
  <property fmtid="{D5CDD505-2E9C-101B-9397-08002B2CF9AE}" pid="14" name="Total parts">
    <vt:lpwstr>1</vt:lpwstr>
  </property>
  <property fmtid="{D5CDD505-2E9C-101B-9397-08002B2CF9AE}" pid="15" name="Level of sensitivity">
    <vt:lpwstr>Standard treatment</vt:lpwstr>
  </property>
  <property fmtid="{D5CDD505-2E9C-101B-9397-08002B2CF9AE}" pid="16" name="LWTemplateID">
    <vt:lpwstr>SJ-023</vt:lpwstr>
  </property>
  <property fmtid="{D5CDD505-2E9C-101B-9397-08002B2CF9AE}" pid="17" name="ContentTypeId">
    <vt:lpwstr>0x010100258AA79CEB83498886A3A0868112325000C91101ED19659B489105E64B8BBAA979</vt:lpwstr>
  </property>
  <property fmtid="{D5CDD505-2E9C-101B-9397-08002B2CF9AE}" pid="18" name="DQCStatus">
    <vt:lpwstr>Green (DQC version 03)</vt:lpwstr>
  </property>
</Properties>
</file>