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87820" w14:textId="65AF9C3F" w:rsidR="00455B3D" w:rsidRPr="00230876" w:rsidRDefault="004F2ADA" w:rsidP="004F2ADA">
      <w:pPr>
        <w:pStyle w:val="Pagedecouverture"/>
        <w:rPr>
          <w:noProof/>
        </w:rPr>
      </w:pPr>
      <w:r>
        <w:rPr>
          <w:noProof/>
        </w:rPr>
        <w:pict w14:anchorId="30589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B1AF621-69E1-4812-824A-3F8C9A86844E" style="width:455.25pt;height:401.25pt">
            <v:imagedata r:id="rId11" o:title=""/>
          </v:shape>
        </w:pict>
      </w:r>
    </w:p>
    <w:p w14:paraId="1E754269" w14:textId="77777777" w:rsidR="00455B3D" w:rsidRPr="00230876" w:rsidRDefault="00455B3D" w:rsidP="00455B3D">
      <w:pPr>
        <w:rPr>
          <w:noProof/>
        </w:rPr>
        <w:sectPr w:rsidR="00455B3D" w:rsidRPr="00230876" w:rsidSect="004F2ADA">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1381875F" w14:textId="77777777" w:rsidR="00455B3D" w:rsidRPr="00230876" w:rsidRDefault="00455B3D" w:rsidP="00455B3D">
      <w:pPr>
        <w:pStyle w:val="Annexetitre"/>
        <w:rPr>
          <w:noProof/>
        </w:rPr>
      </w:pPr>
      <w:bookmarkStart w:id="0" w:name="_GoBack"/>
      <w:bookmarkEnd w:id="0"/>
      <w:r w:rsidRPr="00230876">
        <w:rPr>
          <w:noProof/>
        </w:rPr>
        <w:lastRenderedPageBreak/>
        <w:t xml:space="preserve">ANHANG I </w:t>
      </w:r>
    </w:p>
    <w:p w14:paraId="6B32F717" w14:textId="77777777" w:rsidR="00991DF8" w:rsidRPr="00230876" w:rsidRDefault="00991DF8" w:rsidP="00991DF8">
      <w:pPr>
        <w:shd w:val="clear" w:color="auto" w:fill="FFFFFF" w:themeFill="background1"/>
        <w:tabs>
          <w:tab w:val="left" w:pos="5000"/>
        </w:tabs>
        <w:spacing w:after="0"/>
        <w:jc w:val="center"/>
        <w:rPr>
          <w:b/>
          <w:noProof/>
        </w:rPr>
      </w:pPr>
      <w:r w:rsidRPr="00230876">
        <w:rPr>
          <w:b/>
          <w:noProof/>
        </w:rPr>
        <w:t>Projekte oder Programme von Unionsinteresse</w:t>
      </w:r>
    </w:p>
    <w:p w14:paraId="1D3E144F" w14:textId="77777777" w:rsidR="00991DF8" w:rsidRPr="00230876" w:rsidRDefault="00991DF8" w:rsidP="00E209ED">
      <w:pPr>
        <w:pStyle w:val="NumPar1"/>
        <w:numPr>
          <w:ilvl w:val="0"/>
          <w:numId w:val="6"/>
        </w:numPr>
        <w:rPr>
          <w:b/>
          <w:noProof/>
        </w:rPr>
      </w:pPr>
      <w:r w:rsidRPr="00230876">
        <w:rPr>
          <w:rStyle w:val="oj-bold"/>
          <w:b/>
          <w:noProof/>
          <w:color w:val="333333"/>
        </w:rPr>
        <w:t>Vorbereitende Maßnahme zur Vorbereitung des neuen Programms EU-GOVSATCOM</w:t>
      </w:r>
    </w:p>
    <w:p w14:paraId="719DE45A" w14:textId="77777777" w:rsidR="00482747" w:rsidRPr="00230876" w:rsidRDefault="00991DF8" w:rsidP="00B34E95">
      <w:pPr>
        <w:rPr>
          <w:noProof/>
        </w:rPr>
      </w:pPr>
      <w:r w:rsidRPr="00230876">
        <w:rPr>
          <w:noProof/>
        </w:rPr>
        <w:t>Verordnung (EU, Euratom) 2018/1046 des Europäischen Parlaments und des Rates vom 18. Juli 2018 über die Haushaltsordnung für den Gesamthaushaltsplan der Union, zur Änderung der Verordnungen (EU) Nr. 1296/2013, (EU) Nr. 1301/2013, (EU) Nr. 1303/2013, (EU) Nr. 1304/2013, (EU) Nr. 1309/2013, (EU) Nr. 1316/2013, (EU) Nr. 223/2014, (EU) Nr. 283/2014 und des Beschlusses Nr. 541/2014/EU sowie zur Aufhebung der Verordnung (EU, Euratom) Nr. 966/2012, insbesondere Artikel 58 Absatz 2 Buchstabe b (</w:t>
      </w:r>
      <w:hyperlink r:id="rId18" w:history="1">
        <w:r w:rsidRPr="00230876">
          <w:rPr>
            <w:rStyle w:val="Hyperlink"/>
            <w:noProof/>
            <w:color w:val="337AB7"/>
          </w:rPr>
          <w:t>ABl. L 193 vom 30.7.2018, S. 1</w:t>
        </w:r>
      </w:hyperlink>
      <w:r w:rsidRPr="00230876">
        <w:rPr>
          <w:rStyle w:val="Hyperlink"/>
          <w:noProof/>
          <w:color w:val="337AB7"/>
        </w:rPr>
        <w:t xml:space="preserve">, ELI: </w:t>
      </w:r>
      <w:hyperlink r:id="rId19" w:history="1">
        <w:r w:rsidRPr="00230876">
          <w:rPr>
            <w:rStyle w:val="Hyperlink"/>
            <w:noProof/>
          </w:rPr>
          <w:t>http://data.europa.eu/eli/reg/2018/1046/oj</w:t>
        </w:r>
      </w:hyperlink>
      <w:r w:rsidRPr="00230876">
        <w:rPr>
          <w:noProof/>
        </w:rPr>
        <w:t>).</w:t>
      </w:r>
    </w:p>
    <w:p w14:paraId="514E3FBD" w14:textId="77777777" w:rsidR="00991DF8" w:rsidRPr="00230876" w:rsidRDefault="00991DF8" w:rsidP="00907F22">
      <w:pPr>
        <w:pStyle w:val="NumPar1"/>
        <w:rPr>
          <w:b/>
          <w:noProof/>
        </w:rPr>
      </w:pPr>
      <w:r w:rsidRPr="00230876">
        <w:rPr>
          <w:rStyle w:val="oj-bold"/>
          <w:b/>
          <w:noProof/>
          <w:color w:val="333333"/>
        </w:rPr>
        <w:t>Weltraumprogramm</w:t>
      </w:r>
    </w:p>
    <w:p w14:paraId="41F016FE" w14:textId="77777777" w:rsidR="00991DF8" w:rsidRPr="00230876" w:rsidRDefault="00991DF8" w:rsidP="00B34E95">
      <w:pPr>
        <w:rPr>
          <w:noProof/>
        </w:rPr>
      </w:pPr>
      <w:r w:rsidRPr="00230876">
        <w:rPr>
          <w:noProof/>
        </w:rPr>
        <w:t>Verordnung (EU) 2021/696 des Europäischen Parlaments und des Rates vom 28. April 2021 zur Einrichtung des Weltraumprogramms der Union und der Agentur der Europäischen Union für das Weltraumprogramm und zur Aufhebung der Verordnungen (EU) Nr. 912/2010, (EU) Nr. 1285/2013 und (EU) Nr. 377/2014 sowie des Beschlusses Nr. 541/2014/EU (</w:t>
      </w:r>
      <w:hyperlink r:id="rId20" w:history="1">
        <w:r w:rsidRPr="00230876">
          <w:rPr>
            <w:rStyle w:val="Hyperlink"/>
            <w:noProof/>
            <w:color w:val="337AB7"/>
          </w:rPr>
          <w:t>ABl. L 170 vom 12.5.2021, S. 69</w:t>
        </w:r>
      </w:hyperlink>
      <w:r w:rsidRPr="00230876">
        <w:rPr>
          <w:rStyle w:val="Hyperlink"/>
          <w:noProof/>
          <w:color w:val="337AB7"/>
        </w:rPr>
        <w:t xml:space="preserve">, ELI: </w:t>
      </w:r>
      <w:hyperlink r:id="rId21" w:history="1">
        <w:r w:rsidRPr="00230876">
          <w:rPr>
            <w:rStyle w:val="Hyperlink"/>
            <w:noProof/>
          </w:rPr>
          <w:t>http://data.europa.eu/eli/reg/2021/696/oj</w:t>
        </w:r>
      </w:hyperlink>
      <w:r w:rsidRPr="00230876">
        <w:rPr>
          <w:noProof/>
        </w:rPr>
        <w:t>).</w:t>
      </w:r>
    </w:p>
    <w:p w14:paraId="32AEE63E" w14:textId="77777777" w:rsidR="00482747" w:rsidRPr="00230876" w:rsidRDefault="00482747" w:rsidP="00482747">
      <w:pPr>
        <w:pStyle w:val="NumPar1"/>
        <w:rPr>
          <w:b/>
          <w:noProof/>
        </w:rPr>
      </w:pPr>
      <w:r w:rsidRPr="00230876">
        <w:rPr>
          <w:b/>
          <w:noProof/>
        </w:rPr>
        <w:t xml:space="preserve">Programm der Union für sichere Konnektivität </w:t>
      </w:r>
    </w:p>
    <w:p w14:paraId="7AC39570" w14:textId="77777777" w:rsidR="00482747" w:rsidRPr="00230876" w:rsidRDefault="00026113" w:rsidP="00C173B2">
      <w:pPr>
        <w:rPr>
          <w:noProof/>
        </w:rPr>
      </w:pPr>
      <w:hyperlink r:id="rId22" w:history="1">
        <w:r w:rsidR="004E496D" w:rsidRPr="00BF4449">
          <w:rPr>
            <w:rStyle w:val="Hyperlink"/>
            <w:noProof/>
            <w:color w:val="auto"/>
            <w:u w:val="none"/>
          </w:rPr>
          <w:t>Verordnung (EU) 2023/588 des Europäischen Parlaments und des Rates vom 15. März 2023 zur Einrichtung des Programms der Union für sichere Konnektivität für den Zeitraum 2023–2027</w:t>
        </w:r>
      </w:hyperlink>
      <w:r w:rsidR="004E496D" w:rsidRPr="00BF4449">
        <w:rPr>
          <w:noProof/>
        </w:rPr>
        <w:t xml:space="preserve"> </w:t>
      </w:r>
      <w:r w:rsidR="004E496D" w:rsidRPr="00230876">
        <w:rPr>
          <w:noProof/>
        </w:rPr>
        <w:t>(</w:t>
      </w:r>
      <w:hyperlink r:id="rId23" w:history="1">
        <w:r w:rsidR="004E496D" w:rsidRPr="00230876">
          <w:rPr>
            <w:rStyle w:val="Hyperlink"/>
            <w:noProof/>
          </w:rPr>
          <w:t>ABl. L 79 vom 17.3.2023, S. 1</w:t>
        </w:r>
      </w:hyperlink>
      <w:r w:rsidR="004E496D" w:rsidRPr="00230876">
        <w:rPr>
          <w:noProof/>
        </w:rPr>
        <w:t xml:space="preserve">, </w:t>
      </w:r>
      <w:r w:rsidR="004E496D" w:rsidRPr="00230876">
        <w:rPr>
          <w:rStyle w:val="Hyperlink"/>
          <w:noProof/>
          <w:color w:val="337AB7"/>
        </w:rPr>
        <w:t>ELI:</w:t>
      </w:r>
      <w:r w:rsidR="004E496D" w:rsidRPr="00230876">
        <w:rPr>
          <w:noProof/>
        </w:rPr>
        <w:t xml:space="preserve"> </w:t>
      </w:r>
      <w:hyperlink r:id="rId24" w:tooltip="Ermöglicht den Zugriff auf dieses Dokument über seinen ELI-URI." w:history="1">
        <w:r w:rsidR="004E496D" w:rsidRPr="00230876">
          <w:rPr>
            <w:rStyle w:val="Hyperlink"/>
            <w:noProof/>
          </w:rPr>
          <w:t>http://data.europa.eu/eli/reg/2023/588/oj</w:t>
        </w:r>
      </w:hyperlink>
      <w:r w:rsidR="004E496D" w:rsidRPr="00230876">
        <w:rPr>
          <w:noProof/>
        </w:rPr>
        <w:t>).</w:t>
      </w:r>
    </w:p>
    <w:p w14:paraId="3C48DD61" w14:textId="77777777" w:rsidR="00991DF8" w:rsidRPr="00230876" w:rsidRDefault="00991DF8" w:rsidP="00907F22">
      <w:pPr>
        <w:pStyle w:val="NumPar1"/>
        <w:rPr>
          <w:b/>
          <w:noProof/>
        </w:rPr>
      </w:pPr>
      <w:r w:rsidRPr="00230876">
        <w:rPr>
          <w:rStyle w:val="oj-bold"/>
          <w:b/>
          <w:noProof/>
          <w:color w:val="333333"/>
        </w:rPr>
        <w:t>Horizont 2020, einschließlich der Forschungs- und Entwicklungsprogramme gemäß Artikel 185 AEUV, und gemeinsamer Unternehmen oder sonstiger gemäß Artikel 187 AEUV eingerichteter Strukturen</w:t>
      </w:r>
    </w:p>
    <w:p w14:paraId="52619719" w14:textId="77777777" w:rsidR="00991DF8" w:rsidRPr="00230876" w:rsidRDefault="00991DF8" w:rsidP="00B34E95">
      <w:pPr>
        <w:rPr>
          <w:noProof/>
        </w:rPr>
      </w:pPr>
      <w:r w:rsidRPr="00230876">
        <w:rPr>
          <w:noProof/>
        </w:rPr>
        <w:t>Verordnung (EU) Nr. 1291/2013 des Europäischen Parlaments und des Rates vom 11. Dezember 2013 über das Rahmenprogramm für Forschung und Innovation Horizont 2020 (2014–2020) und zur Aufhebung des Beschlusses Nr. 1982/2006/EG (</w:t>
      </w:r>
      <w:hyperlink r:id="rId25" w:history="1">
        <w:r w:rsidRPr="00230876">
          <w:rPr>
            <w:rStyle w:val="Hyperlink"/>
            <w:noProof/>
            <w:color w:val="337AB7"/>
          </w:rPr>
          <w:t>ABl. L 347 vom 20.12.2013, S. 104</w:t>
        </w:r>
      </w:hyperlink>
      <w:r w:rsidRPr="00230876">
        <w:rPr>
          <w:rStyle w:val="Hyperlink"/>
          <w:noProof/>
          <w:color w:val="337AB7"/>
        </w:rPr>
        <w:t xml:space="preserve">, ELI: </w:t>
      </w:r>
      <w:hyperlink r:id="rId26" w:history="1">
        <w:r w:rsidRPr="00230876">
          <w:rPr>
            <w:rStyle w:val="Hyperlink"/>
            <w:noProof/>
          </w:rPr>
          <w:t>http://data.europa.eu/eli/reg/2013/1291/oj</w:t>
        </w:r>
      </w:hyperlink>
      <w:r w:rsidRPr="00230876">
        <w:rPr>
          <w:noProof/>
        </w:rPr>
        <w:t xml:space="preserve">). </w:t>
      </w:r>
    </w:p>
    <w:p w14:paraId="04EE7127" w14:textId="77777777" w:rsidR="00991DF8" w:rsidRPr="00230876" w:rsidRDefault="00991DF8" w:rsidP="00907F22">
      <w:pPr>
        <w:pStyle w:val="NumPar1"/>
        <w:rPr>
          <w:b/>
          <w:noProof/>
        </w:rPr>
      </w:pPr>
      <w:r w:rsidRPr="00230876">
        <w:rPr>
          <w:rStyle w:val="oj-bold"/>
          <w:b/>
          <w:noProof/>
          <w:color w:val="333333"/>
        </w:rPr>
        <w:t>Horizont Europa, einschließlich der Forschungs- und Entwicklungsprogramme gemäß Artikel 185 AEUV, und gemeinsamer Unternehmen oder sonstiger gemäß Artikel 187 AEUV eingerichteter Strukturen</w:t>
      </w:r>
    </w:p>
    <w:p w14:paraId="4A779B31" w14:textId="378BDD01" w:rsidR="00991DF8" w:rsidRPr="00230876" w:rsidRDefault="00991DF8" w:rsidP="00B34E95">
      <w:pPr>
        <w:rPr>
          <w:noProof/>
        </w:rPr>
      </w:pPr>
      <w:r w:rsidRPr="00230876">
        <w:rPr>
          <w:noProof/>
        </w:rPr>
        <w:t>Verordnung (EU) 2021/695 des Europäischen Parlaments und des Rates vom 28. April 2021 zur Einrichtung von „Horizont Europa“, dem Rahmenprogramm für Forschung und Innovation, sowie über dessen Regeln für die Beteiligung und die Verbreitung der Ergebnisse und zur Aufhebung der Verordnungen (EU) Nr. 1290/2013 und (EU) Nr. 1291/2013 (</w:t>
      </w:r>
      <w:hyperlink r:id="rId27" w:history="1">
        <w:r w:rsidRPr="00230876">
          <w:rPr>
            <w:rStyle w:val="Hyperlink"/>
            <w:noProof/>
            <w:color w:val="337AB7"/>
          </w:rPr>
          <w:t>ABl. L 170 vom 12.5.2021, S. 1</w:t>
        </w:r>
      </w:hyperlink>
      <w:r w:rsidRPr="00230876">
        <w:rPr>
          <w:rStyle w:val="Hyperlink"/>
          <w:noProof/>
          <w:color w:val="337AB7"/>
        </w:rPr>
        <w:t xml:space="preserve">, ELI: </w:t>
      </w:r>
      <w:hyperlink r:id="rId28" w:history="1">
        <w:r w:rsidRPr="00230876">
          <w:rPr>
            <w:rStyle w:val="Hyperlink"/>
            <w:noProof/>
          </w:rPr>
          <w:t>http://data.europa.eu/eli/reg/2021/695/oj</w:t>
        </w:r>
      </w:hyperlink>
      <w:r w:rsidRPr="00230876">
        <w:rPr>
          <w:noProof/>
        </w:rPr>
        <w:t>).</w:t>
      </w:r>
    </w:p>
    <w:p w14:paraId="69897F37" w14:textId="77777777" w:rsidR="00991DF8" w:rsidRPr="00230876" w:rsidRDefault="00991DF8" w:rsidP="00907F22">
      <w:pPr>
        <w:pStyle w:val="NumPar1"/>
        <w:rPr>
          <w:b/>
          <w:noProof/>
        </w:rPr>
      </w:pPr>
      <w:r w:rsidRPr="00230876">
        <w:rPr>
          <w:rStyle w:val="oj-bold"/>
          <w:b/>
          <w:noProof/>
          <w:color w:val="333333"/>
        </w:rPr>
        <w:t>Euratom-Programm für Forschung und Ausbildung (2021-2025)</w:t>
      </w:r>
    </w:p>
    <w:p w14:paraId="5AE247B5" w14:textId="53749201" w:rsidR="00991DF8" w:rsidRPr="00230876" w:rsidRDefault="00991DF8" w:rsidP="00B34E95">
      <w:pPr>
        <w:rPr>
          <w:noProof/>
        </w:rPr>
      </w:pPr>
      <w:r w:rsidRPr="00230876">
        <w:rPr>
          <w:noProof/>
        </w:rPr>
        <w:t>Verordnung (Euratom) 2021/765 des Rates vom 10. Mai 2021 über das Programm der Europäischen Atomgemeinschaft für Forschung und Ausbildung (2021–2025) in Ergänzung des Rahmenprogramms für Forschung und Innovation „Horizont Europa“ und zur Aufhebung der Verordnung (Euratom) 2018/1563 (</w:t>
      </w:r>
      <w:hyperlink r:id="rId29" w:history="1">
        <w:r w:rsidRPr="00230876">
          <w:rPr>
            <w:rStyle w:val="Hyperlink"/>
            <w:noProof/>
            <w:color w:val="337AB7"/>
          </w:rPr>
          <w:t>ABl. L 167 I vom 12.5.2021, S. 81</w:t>
        </w:r>
      </w:hyperlink>
      <w:r w:rsidRPr="00230876">
        <w:rPr>
          <w:rStyle w:val="Hyperlink"/>
          <w:noProof/>
          <w:color w:val="337AB7"/>
        </w:rPr>
        <w:t xml:space="preserve">, ELI: </w:t>
      </w:r>
      <w:hyperlink r:id="rId30" w:history="1">
        <w:r w:rsidRPr="00230876">
          <w:rPr>
            <w:rStyle w:val="Hyperlink"/>
            <w:noProof/>
          </w:rPr>
          <w:t>http://data.europa.eu/eli/reg/2021/765/oj</w:t>
        </w:r>
      </w:hyperlink>
      <w:r w:rsidRPr="00230876">
        <w:rPr>
          <w:noProof/>
        </w:rPr>
        <w:t>).</w:t>
      </w:r>
    </w:p>
    <w:p w14:paraId="35E5C5B8" w14:textId="77777777" w:rsidR="00991DF8" w:rsidRPr="00230876" w:rsidRDefault="00991DF8" w:rsidP="001D61DC">
      <w:pPr>
        <w:pStyle w:val="NumPar1"/>
        <w:spacing w:before="720"/>
        <w:ind w:left="851" w:hanging="851"/>
        <w:rPr>
          <w:b/>
          <w:noProof/>
        </w:rPr>
      </w:pPr>
      <w:r w:rsidRPr="00230876">
        <w:rPr>
          <w:rStyle w:val="oj-bold"/>
          <w:b/>
          <w:noProof/>
          <w:color w:val="333333"/>
        </w:rPr>
        <w:t>Transeuropäisches Verkehrsnetz (TEN-V)</w:t>
      </w:r>
    </w:p>
    <w:p w14:paraId="4ADEEAF3" w14:textId="3A120722" w:rsidR="00991DF8" w:rsidRPr="00230876" w:rsidRDefault="00991DF8" w:rsidP="00B34E95">
      <w:pPr>
        <w:rPr>
          <w:noProof/>
        </w:rPr>
      </w:pPr>
      <w:r w:rsidRPr="00230876">
        <w:rPr>
          <w:noProof/>
        </w:rPr>
        <w:t>Verordnung (EU) Nr. 1315/2013 des Europäischen Parlaments und des Rates vom 11. Dezember 2013 über Leitlinien der Union für den Aufbau eines transeuropäischen Verkehrsnetzes und zur Aufhebung des Beschlusses Nr. 661/2010/EU (</w:t>
      </w:r>
      <w:hyperlink r:id="rId31" w:history="1">
        <w:r w:rsidRPr="00230876">
          <w:rPr>
            <w:rStyle w:val="Hyperlink"/>
            <w:noProof/>
            <w:color w:val="337AB7"/>
          </w:rPr>
          <w:t>ABl. L 348 vom 20.12.2013, S. 1</w:t>
        </w:r>
      </w:hyperlink>
      <w:r w:rsidRPr="00230876">
        <w:rPr>
          <w:rStyle w:val="Hyperlink"/>
          <w:noProof/>
          <w:color w:val="337AB7"/>
        </w:rPr>
        <w:t xml:space="preserve">, ELI: </w:t>
      </w:r>
      <w:hyperlink r:id="rId32" w:history="1">
        <w:r w:rsidRPr="00230876">
          <w:rPr>
            <w:rStyle w:val="Hyperlink"/>
            <w:noProof/>
          </w:rPr>
          <w:t>http://data.europa.eu/eli/reg/2013/1315/oj</w:t>
        </w:r>
      </w:hyperlink>
      <w:r w:rsidRPr="00230876">
        <w:rPr>
          <w:noProof/>
        </w:rPr>
        <w:t>).</w:t>
      </w:r>
    </w:p>
    <w:p w14:paraId="64E85493" w14:textId="77777777" w:rsidR="00991DF8" w:rsidRPr="00230876" w:rsidRDefault="00991DF8" w:rsidP="00907F22">
      <w:pPr>
        <w:pStyle w:val="NumPar1"/>
        <w:rPr>
          <w:b/>
          <w:noProof/>
        </w:rPr>
      </w:pPr>
      <w:r w:rsidRPr="00230876">
        <w:rPr>
          <w:rStyle w:val="oj-bold"/>
          <w:b/>
          <w:noProof/>
          <w:color w:val="333333"/>
        </w:rPr>
        <w:t>Transeuropäische Energienetze (TEN-E)</w:t>
      </w:r>
    </w:p>
    <w:p w14:paraId="4001859C" w14:textId="60A863DD" w:rsidR="00991DF8" w:rsidRPr="00230876" w:rsidRDefault="00991DF8" w:rsidP="00B34E95">
      <w:pPr>
        <w:rPr>
          <w:noProof/>
        </w:rPr>
      </w:pPr>
      <w:r w:rsidRPr="00230876">
        <w:rPr>
          <w:noProof/>
        </w:rPr>
        <w:t>Verordnung (EU) Nr. 347/2013 des Europäischen Parlaments und des Rates vom 17. April 2013 zu Leitlinien für die transeuropäische Energieinfrastruktur und zur Aufhebung der Entscheidung Nr. 1364/2006/EG und zur Änderung der Verordnungen (EG) Nr. 713/2009, (EG) Nr. 714/2009 und (EG) Nr. 715/2009 (</w:t>
      </w:r>
      <w:hyperlink r:id="rId33" w:history="1">
        <w:r w:rsidRPr="00230876">
          <w:rPr>
            <w:rStyle w:val="Hyperlink"/>
            <w:noProof/>
            <w:color w:val="337AB7"/>
          </w:rPr>
          <w:t>ABl. L 115 vom 25.4.2013, S. 39</w:t>
        </w:r>
      </w:hyperlink>
      <w:r w:rsidRPr="00230876">
        <w:rPr>
          <w:rStyle w:val="Hyperlink"/>
          <w:noProof/>
          <w:color w:val="337AB7"/>
        </w:rPr>
        <w:t xml:space="preserve">, ELI: </w:t>
      </w:r>
      <w:hyperlink r:id="rId34" w:history="1">
        <w:r w:rsidRPr="00230876">
          <w:rPr>
            <w:rStyle w:val="Hyperlink"/>
            <w:noProof/>
          </w:rPr>
          <w:t>http://data.europa.eu/eli/reg/2013/347/oj</w:t>
        </w:r>
      </w:hyperlink>
      <w:r w:rsidRPr="00230876">
        <w:rPr>
          <w:noProof/>
        </w:rPr>
        <w:t>).</w:t>
      </w:r>
    </w:p>
    <w:p w14:paraId="156F9554" w14:textId="77777777" w:rsidR="00991DF8" w:rsidRPr="00230876" w:rsidRDefault="00991DF8" w:rsidP="00907F22">
      <w:pPr>
        <w:pStyle w:val="NumPar1"/>
        <w:rPr>
          <w:b/>
          <w:noProof/>
          <w:color w:val="333333"/>
        </w:rPr>
      </w:pPr>
      <w:bookmarkStart w:id="1" w:name="_Hlk155874190"/>
      <w:r w:rsidRPr="00230876">
        <w:rPr>
          <w:rStyle w:val="oj-bold"/>
          <w:b/>
          <w:noProof/>
          <w:color w:val="333333"/>
        </w:rPr>
        <w:t>Transeuropäische Netze im Bereich der Telekommunikation</w:t>
      </w:r>
      <w:r w:rsidRPr="00230876">
        <w:rPr>
          <w:b/>
          <w:noProof/>
          <w:color w:val="333333"/>
        </w:rPr>
        <w:t xml:space="preserve"> </w:t>
      </w:r>
      <w:r w:rsidRPr="00230876">
        <w:rPr>
          <w:rStyle w:val="FootnoteReference"/>
          <w:b/>
          <w:noProof/>
          <w:color w:val="333333"/>
        </w:rPr>
        <w:footnoteReference w:id="1"/>
      </w:r>
    </w:p>
    <w:p w14:paraId="74C08151" w14:textId="77777777" w:rsidR="00991DF8" w:rsidRPr="00230876" w:rsidRDefault="00991DF8" w:rsidP="00B34E95">
      <w:pPr>
        <w:rPr>
          <w:noProof/>
        </w:rPr>
      </w:pPr>
      <w:r w:rsidRPr="00230876">
        <w:rPr>
          <w:noProof/>
        </w:rPr>
        <w:t>Verordnung (EU) Nr. 283/2014 des Europäischen Parlaments und des Rates vom 11. März 2014 über Leitlinien für transeuropäische Netze im Bereich der Telekommunikationsinfrastruktur und zur Aufhebung der Entscheidung Nr. 1336/97/EG (</w:t>
      </w:r>
      <w:hyperlink r:id="rId35" w:history="1">
        <w:r w:rsidRPr="00230876">
          <w:rPr>
            <w:rStyle w:val="Hyperlink"/>
            <w:noProof/>
            <w:color w:val="337AB7"/>
          </w:rPr>
          <w:t>ABl. L 86 vom 21.3.2014, S. 14</w:t>
        </w:r>
      </w:hyperlink>
      <w:r w:rsidRPr="00230876">
        <w:rPr>
          <w:rStyle w:val="Hyperlink"/>
          <w:noProof/>
          <w:color w:val="337AB7"/>
        </w:rPr>
        <w:t xml:space="preserve">, ELI: </w:t>
      </w:r>
      <w:hyperlink r:id="rId36" w:history="1">
        <w:r w:rsidRPr="00230876">
          <w:rPr>
            <w:rStyle w:val="Hyperlink"/>
            <w:noProof/>
          </w:rPr>
          <w:t>http://data.europa.eu/eli/reg/2014/283/oj</w:t>
        </w:r>
      </w:hyperlink>
      <w:r w:rsidRPr="00230876">
        <w:rPr>
          <w:rStyle w:val="Hyperlink"/>
          <w:noProof/>
          <w:color w:val="337AB7"/>
        </w:rPr>
        <w:t xml:space="preserve"> </w:t>
      </w:r>
      <w:r w:rsidRPr="00230876">
        <w:rPr>
          <w:noProof/>
        </w:rPr>
        <w:t>).</w:t>
      </w:r>
    </w:p>
    <w:bookmarkEnd w:id="1"/>
    <w:p w14:paraId="182DFD69" w14:textId="77777777" w:rsidR="00991DF8" w:rsidRPr="00230876" w:rsidRDefault="00991DF8" w:rsidP="00907F22">
      <w:pPr>
        <w:pStyle w:val="NumPar1"/>
        <w:rPr>
          <w:b/>
          <w:noProof/>
        </w:rPr>
      </w:pPr>
      <w:r w:rsidRPr="00230876">
        <w:rPr>
          <w:rStyle w:val="oj-bold"/>
          <w:b/>
          <w:noProof/>
          <w:color w:val="333333"/>
        </w:rPr>
        <w:t>Fazilität „Connecting Europe“</w:t>
      </w:r>
    </w:p>
    <w:p w14:paraId="375F57B9" w14:textId="370BFE30" w:rsidR="00991DF8" w:rsidRPr="00230876" w:rsidRDefault="00991DF8" w:rsidP="00B34E95">
      <w:pPr>
        <w:rPr>
          <w:noProof/>
        </w:rPr>
      </w:pPr>
      <w:r w:rsidRPr="00230876">
        <w:rPr>
          <w:noProof/>
        </w:rPr>
        <w:t>Verordnung (EU) 2021/1153 des Europäischen Parlaments und des Rates vom 7. Juli 2021 zur Schaffung der Fazilität „Connecting Europe“ und zur Aufhebung der Verordnungen (EU) Nr. 1316/2013 und (EU) Nr. 283/2014 (</w:t>
      </w:r>
      <w:hyperlink r:id="rId37" w:history="1">
        <w:r w:rsidRPr="00230876">
          <w:rPr>
            <w:rStyle w:val="Hyperlink"/>
            <w:noProof/>
            <w:color w:val="337AB7"/>
          </w:rPr>
          <w:t>ABl. L 249 vom 14.7.2021, S. 38</w:t>
        </w:r>
      </w:hyperlink>
      <w:r w:rsidRPr="00230876">
        <w:rPr>
          <w:rStyle w:val="Hyperlink"/>
          <w:noProof/>
          <w:color w:val="337AB7"/>
        </w:rPr>
        <w:t xml:space="preserve">, ELI: </w:t>
      </w:r>
      <w:hyperlink r:id="rId38" w:history="1">
        <w:r w:rsidRPr="00230876">
          <w:rPr>
            <w:rStyle w:val="Hyperlink"/>
            <w:noProof/>
          </w:rPr>
          <w:t>http://data.europa.eu/eli/reg/2021/1153/oj</w:t>
        </w:r>
      </w:hyperlink>
      <w:r w:rsidRPr="00230876">
        <w:rPr>
          <w:noProof/>
        </w:rPr>
        <w:t>).</w:t>
      </w:r>
    </w:p>
    <w:p w14:paraId="5FB51EFC" w14:textId="77777777" w:rsidR="00991DF8" w:rsidRPr="00230876" w:rsidRDefault="00991DF8" w:rsidP="00907F22">
      <w:pPr>
        <w:pStyle w:val="NumPar1"/>
        <w:rPr>
          <w:b/>
          <w:noProof/>
        </w:rPr>
      </w:pPr>
      <w:r w:rsidRPr="00230876">
        <w:rPr>
          <w:rStyle w:val="oj-bold"/>
          <w:b/>
          <w:noProof/>
          <w:color w:val="333333"/>
        </w:rPr>
        <w:t>Programm „Digitales Europa“</w:t>
      </w:r>
    </w:p>
    <w:p w14:paraId="42728E07" w14:textId="6223364D" w:rsidR="00991DF8" w:rsidRPr="00230876" w:rsidRDefault="00991DF8" w:rsidP="00B34E95">
      <w:pPr>
        <w:rPr>
          <w:noProof/>
        </w:rPr>
      </w:pPr>
      <w:r w:rsidRPr="00230876">
        <w:rPr>
          <w:noProof/>
        </w:rPr>
        <w:t>Verordnung (EU) 2021/694 des Europäischen Parlaments und des Rates vom 29. April 2021 zur Aufstellung des Programms „Digitales Europa“ und zur Aufhebung des Beschlusses (EU) 2015/2240 (</w:t>
      </w:r>
      <w:hyperlink r:id="rId39" w:history="1">
        <w:r w:rsidRPr="00230876">
          <w:rPr>
            <w:rStyle w:val="Hyperlink"/>
            <w:noProof/>
            <w:color w:val="337AB7"/>
          </w:rPr>
          <w:t>ABl. L 166 vom 11.5.2021, S. 1</w:t>
        </w:r>
      </w:hyperlink>
      <w:r w:rsidRPr="00230876">
        <w:rPr>
          <w:rStyle w:val="Hyperlink"/>
          <w:noProof/>
          <w:color w:val="337AB7"/>
        </w:rPr>
        <w:t xml:space="preserve">, ELI: </w:t>
      </w:r>
      <w:hyperlink r:id="rId40" w:history="1">
        <w:r w:rsidRPr="00230876">
          <w:rPr>
            <w:rStyle w:val="Hyperlink"/>
            <w:noProof/>
          </w:rPr>
          <w:t>http://data.europa.eu/eli/reg/2021/694/oj</w:t>
        </w:r>
      </w:hyperlink>
      <w:r w:rsidRPr="00230876">
        <w:rPr>
          <w:noProof/>
        </w:rPr>
        <w:t>).</w:t>
      </w:r>
    </w:p>
    <w:p w14:paraId="3FBF6C46" w14:textId="77777777" w:rsidR="00991DF8" w:rsidRPr="00230876" w:rsidRDefault="00991DF8" w:rsidP="00907F22">
      <w:pPr>
        <w:pStyle w:val="NumPar1"/>
        <w:rPr>
          <w:b/>
          <w:noProof/>
        </w:rPr>
      </w:pPr>
      <w:r w:rsidRPr="00230876">
        <w:rPr>
          <w:rStyle w:val="oj-bold"/>
          <w:b/>
          <w:noProof/>
          <w:color w:val="333333"/>
        </w:rPr>
        <w:t>Europäisches Programm zur industriellen Entwicklung im Verteidigungsbereich</w:t>
      </w:r>
    </w:p>
    <w:p w14:paraId="2DA98914" w14:textId="7BE71105" w:rsidR="00991DF8" w:rsidRPr="00230876" w:rsidRDefault="00991DF8" w:rsidP="00B34E95">
      <w:pPr>
        <w:rPr>
          <w:noProof/>
        </w:rPr>
      </w:pPr>
      <w:bookmarkStart w:id="2" w:name="_Hlk155968117"/>
      <w:r w:rsidRPr="00230876">
        <w:rPr>
          <w:noProof/>
        </w:rPr>
        <w:t>Verordnung (EU) 2018/1092 des Europäischen Parlaments und des Rates vom 18. Juli 2018 zur Einrichtung des Europäischen Programms zur industriellen Entwicklung im Verteidigungsbereich zwecks Förderung der Wettbewerbsfähigkeit und der Innovationsfähigkeit der Verteidigungsindustrie der Union (</w:t>
      </w:r>
      <w:hyperlink r:id="rId41" w:history="1">
        <w:r w:rsidRPr="00230876">
          <w:rPr>
            <w:rStyle w:val="Hyperlink"/>
            <w:noProof/>
            <w:color w:val="337AB7"/>
          </w:rPr>
          <w:t>ABl. L 200 vom 7.8.2018, S. 30</w:t>
        </w:r>
      </w:hyperlink>
      <w:r w:rsidRPr="00230876">
        <w:rPr>
          <w:rStyle w:val="Hyperlink"/>
          <w:noProof/>
          <w:color w:val="337AB7"/>
        </w:rPr>
        <w:t xml:space="preserve">, ELI: </w:t>
      </w:r>
      <w:bookmarkStart w:id="3" w:name="_Hlk155968214"/>
      <w:r w:rsidRPr="00230876">
        <w:rPr>
          <w:rStyle w:val="Hyperlink"/>
          <w:rFonts w:eastAsiaTheme="majorEastAsia"/>
          <w:noProof/>
          <w:color w:val="337AB7"/>
        </w:rPr>
        <w:fldChar w:fldCharType="begin"/>
      </w:r>
      <w:r w:rsidRPr="00230876">
        <w:rPr>
          <w:rStyle w:val="Hyperlink"/>
          <w:rFonts w:eastAsiaTheme="majorEastAsia"/>
          <w:noProof/>
          <w:color w:val="337AB7"/>
        </w:rPr>
        <w:instrText>HYPERLINK "http://data.europa.eu/eli/reg/2018/1092/oj"</w:instrText>
      </w:r>
      <w:r w:rsidRPr="00230876">
        <w:rPr>
          <w:rStyle w:val="Hyperlink"/>
          <w:rFonts w:eastAsiaTheme="majorEastAsia"/>
          <w:noProof/>
          <w:color w:val="337AB7"/>
        </w:rPr>
        <w:fldChar w:fldCharType="separate"/>
      </w:r>
      <w:r w:rsidRPr="00230876">
        <w:rPr>
          <w:rStyle w:val="Hyperlink"/>
          <w:noProof/>
        </w:rPr>
        <w:t>http://data.europa.eu/eli/reg/2018/1092/oj</w:t>
      </w:r>
      <w:bookmarkEnd w:id="3"/>
      <w:r w:rsidRPr="00230876">
        <w:rPr>
          <w:rStyle w:val="Hyperlink"/>
          <w:rFonts w:eastAsiaTheme="majorEastAsia"/>
          <w:noProof/>
          <w:color w:val="337AB7"/>
        </w:rPr>
        <w:fldChar w:fldCharType="end"/>
      </w:r>
      <w:r w:rsidRPr="00230876">
        <w:rPr>
          <w:noProof/>
        </w:rPr>
        <w:t>).</w:t>
      </w:r>
    </w:p>
    <w:bookmarkEnd w:id="2"/>
    <w:p w14:paraId="5BFCA153" w14:textId="77777777" w:rsidR="00991DF8" w:rsidRPr="00230876" w:rsidRDefault="00991DF8" w:rsidP="00907F22">
      <w:pPr>
        <w:pStyle w:val="NumPar1"/>
        <w:rPr>
          <w:b/>
          <w:noProof/>
        </w:rPr>
      </w:pPr>
      <w:r w:rsidRPr="00230876">
        <w:rPr>
          <w:rStyle w:val="oj-bold"/>
          <w:b/>
          <w:noProof/>
          <w:color w:val="333333"/>
        </w:rPr>
        <w:t>Vorbereitende Maßnahme im Bereich Verteidigungsforschung</w:t>
      </w:r>
    </w:p>
    <w:p w14:paraId="05C5DDEC" w14:textId="656B2D7E" w:rsidR="00991DF8" w:rsidRPr="00230876" w:rsidRDefault="00991DF8" w:rsidP="00B34E95">
      <w:pPr>
        <w:rPr>
          <w:noProof/>
        </w:rPr>
      </w:pPr>
      <w:bookmarkStart w:id="4" w:name="_Hlk155968298"/>
      <w:r w:rsidRPr="00230876">
        <w:rPr>
          <w:noProof/>
        </w:rPr>
        <w:t>Verordnung (EU, Euratom) 2018/1046 des Europäischen Parlaments und des Rates vom 18. Juli 2018 über die Haushaltsordnung für den Gesamthaushaltsplan der Union, zur Änderung der Verordnungen (EU) Nr. 1296/2013, (EU) Nr. 1301/2013, (EU) Nr. 1303/2013, (EU) Nr. 1304/2013, (EU) Nr. 1309/2013, (EU) Nr. 1316/2013, (EU) Nr. 223/2014, (EU) Nr. 283/2014 und des Beschlusses Nr. 541/2014/EU sowie zur Aufhebung der Verordnung (EU, Euratom) Nr. 966/2012, insbesondere Artikel 58 Absatz 2 Buchstabe b (</w:t>
      </w:r>
      <w:hyperlink r:id="rId42" w:history="1">
        <w:r w:rsidRPr="00230876">
          <w:rPr>
            <w:rStyle w:val="Hyperlink"/>
            <w:noProof/>
            <w:color w:val="337AB7"/>
          </w:rPr>
          <w:t>ABl. L 193 vom 30.7.2018, S. 1</w:t>
        </w:r>
      </w:hyperlink>
      <w:r w:rsidRPr="00230876">
        <w:rPr>
          <w:rStyle w:val="Hyperlink"/>
          <w:noProof/>
          <w:color w:val="337AB7"/>
        </w:rPr>
        <w:t xml:space="preserve">, ELI: </w:t>
      </w:r>
      <w:hyperlink r:id="rId43" w:history="1">
        <w:r w:rsidRPr="00230876">
          <w:rPr>
            <w:rStyle w:val="Hyperlink"/>
            <w:noProof/>
          </w:rPr>
          <w:t>http://data.europa.eu/eli/reg/2018/1046/oj</w:t>
        </w:r>
      </w:hyperlink>
      <w:r w:rsidRPr="00230876">
        <w:rPr>
          <w:noProof/>
        </w:rPr>
        <w:t>).</w:t>
      </w:r>
    </w:p>
    <w:bookmarkEnd w:id="4"/>
    <w:p w14:paraId="12DF6860" w14:textId="77777777" w:rsidR="00991DF8" w:rsidRPr="00230876" w:rsidRDefault="00991DF8" w:rsidP="001D61DC">
      <w:pPr>
        <w:pStyle w:val="NumPar1"/>
        <w:spacing w:before="360"/>
        <w:ind w:left="851" w:hanging="851"/>
        <w:rPr>
          <w:b/>
          <w:noProof/>
        </w:rPr>
      </w:pPr>
      <w:r w:rsidRPr="00230876">
        <w:rPr>
          <w:rStyle w:val="oj-bold"/>
          <w:b/>
          <w:noProof/>
          <w:color w:val="333333"/>
        </w:rPr>
        <w:t>Europäischer Verteidigungsfonds</w:t>
      </w:r>
    </w:p>
    <w:p w14:paraId="1FB3E2D9" w14:textId="230994BF" w:rsidR="00991DF8" w:rsidRPr="00230876" w:rsidRDefault="00991DF8" w:rsidP="00B34E95">
      <w:pPr>
        <w:rPr>
          <w:noProof/>
        </w:rPr>
      </w:pPr>
      <w:r w:rsidRPr="00230876">
        <w:rPr>
          <w:noProof/>
        </w:rPr>
        <w:t>Verordnung (EU) 2021/697 des Europäischen Parlaments und des Rates vom 29. April 2021 zur Einrichtung des Europäischen Verteidigungsfonds und zur Aufhebung der Verordnung (EU) 2018/1092 (</w:t>
      </w:r>
      <w:hyperlink r:id="rId44" w:history="1">
        <w:r w:rsidRPr="00230876">
          <w:rPr>
            <w:rStyle w:val="Hyperlink"/>
            <w:noProof/>
            <w:color w:val="337AB7"/>
          </w:rPr>
          <w:t>ABl. L 170 vom 12.5.2021, S. 149</w:t>
        </w:r>
      </w:hyperlink>
      <w:r w:rsidRPr="00230876">
        <w:rPr>
          <w:rStyle w:val="Hyperlink"/>
          <w:noProof/>
          <w:color w:val="337AB7"/>
        </w:rPr>
        <w:t xml:space="preserve">, ELI: </w:t>
      </w:r>
      <w:hyperlink r:id="rId45" w:history="1">
        <w:r w:rsidRPr="00230876">
          <w:rPr>
            <w:rStyle w:val="Hyperlink"/>
            <w:noProof/>
          </w:rPr>
          <w:t>http://data.europa.eu/eli/reg/2021/697/oj</w:t>
        </w:r>
      </w:hyperlink>
      <w:r w:rsidRPr="00230876">
        <w:rPr>
          <w:noProof/>
        </w:rPr>
        <w:t xml:space="preserve">). </w:t>
      </w:r>
    </w:p>
    <w:p w14:paraId="53126C9B" w14:textId="77777777" w:rsidR="00D371B7" w:rsidRPr="00230876" w:rsidRDefault="005B19E5" w:rsidP="00D371B7">
      <w:pPr>
        <w:pStyle w:val="NumPar1"/>
        <w:rPr>
          <w:b/>
          <w:noProof/>
        </w:rPr>
      </w:pPr>
      <w:bookmarkStart w:id="5" w:name="_Hlk155889773"/>
      <w:r w:rsidRPr="00230876">
        <w:rPr>
          <w:rStyle w:val="oj-bold"/>
          <w:b/>
          <w:noProof/>
          <w:color w:val="333333"/>
        </w:rPr>
        <w:t xml:space="preserve">Verordnung zur Förderung der Munitionsproduktion (ASAP) </w:t>
      </w:r>
    </w:p>
    <w:p w14:paraId="04DD64FB" w14:textId="77777777" w:rsidR="005B19E5" w:rsidRPr="00230876" w:rsidRDefault="005B19E5" w:rsidP="005B19E5">
      <w:pPr>
        <w:rPr>
          <w:noProof/>
        </w:rPr>
      </w:pPr>
      <w:r w:rsidRPr="00230876">
        <w:rPr>
          <w:noProof/>
        </w:rPr>
        <w:t>Verordnung (EU) 2023/1525 des Europäischen Parlaments und des Rates vom 20. Juli 2023 zur Unterstützung der Munitionsproduktion (ASAP) (</w:t>
      </w:r>
      <w:hyperlink r:id="rId46" w:history="1">
        <w:r w:rsidRPr="00230876">
          <w:rPr>
            <w:rStyle w:val="Hyperlink"/>
            <w:noProof/>
          </w:rPr>
          <w:t>ABl. L 185 vom 24.7.2023, S. 7</w:t>
        </w:r>
      </w:hyperlink>
      <w:r w:rsidRPr="00230876">
        <w:rPr>
          <w:noProof/>
        </w:rPr>
        <w:t xml:space="preserve">, </w:t>
      </w:r>
      <w:r w:rsidRPr="00230876">
        <w:rPr>
          <w:rStyle w:val="Hyperlink"/>
          <w:noProof/>
          <w:color w:val="337AB7"/>
        </w:rPr>
        <w:t>ELI:</w:t>
      </w:r>
      <w:r w:rsidRPr="00230876">
        <w:rPr>
          <w:noProof/>
        </w:rPr>
        <w:t xml:space="preserve"> </w:t>
      </w:r>
      <w:hyperlink r:id="rId47" w:history="1">
        <w:r w:rsidRPr="00230876">
          <w:rPr>
            <w:rStyle w:val="Hyperlink"/>
            <w:noProof/>
          </w:rPr>
          <w:t>http://data.europa.eu/eli/reg/2023/1525/oj</w:t>
        </w:r>
      </w:hyperlink>
      <w:r w:rsidRPr="00230876">
        <w:rPr>
          <w:noProof/>
        </w:rPr>
        <w:t>). </w:t>
      </w:r>
    </w:p>
    <w:bookmarkEnd w:id="5"/>
    <w:p w14:paraId="3C77AF86" w14:textId="77777777" w:rsidR="00D371B7" w:rsidRPr="00230876" w:rsidRDefault="005B19E5" w:rsidP="00D371B7">
      <w:pPr>
        <w:pStyle w:val="NumPar1"/>
        <w:rPr>
          <w:b/>
          <w:noProof/>
        </w:rPr>
      </w:pPr>
      <w:r w:rsidRPr="00230876">
        <w:rPr>
          <w:rStyle w:val="oj-bold"/>
          <w:b/>
          <w:noProof/>
          <w:color w:val="333333"/>
        </w:rPr>
        <w:t xml:space="preserve">Verordnung zur Einrichtung des Instruments zur Stärkung der europäischen Verteidigungsindustrie durch gemeinsame Beschaffung (EDIRPA) </w:t>
      </w:r>
    </w:p>
    <w:p w14:paraId="56958650" w14:textId="77777777" w:rsidR="005B19E5" w:rsidRPr="00230876" w:rsidRDefault="005B19E5" w:rsidP="00A03596">
      <w:pPr>
        <w:rPr>
          <w:noProof/>
        </w:rPr>
      </w:pPr>
      <w:r w:rsidRPr="00230876">
        <w:rPr>
          <w:noProof/>
        </w:rPr>
        <w:t xml:space="preserve">Verordnung (EU) 2023/2418 des Europäischen Parlaments und des Rates vom 18. Oktober 2023 zur Schaffung eines Instruments zur Stärkung der europäischen Verteidigungsindustrie durch gemeinsame Beschaffung (EDIRPA) (ABl. L 2023/2418 vom 26.10.2023, </w:t>
      </w:r>
      <w:r w:rsidRPr="00230876">
        <w:rPr>
          <w:rStyle w:val="Hyperlink"/>
          <w:noProof/>
          <w:color w:val="337AB7"/>
        </w:rPr>
        <w:t>ELI:</w:t>
      </w:r>
      <w:r w:rsidRPr="00230876">
        <w:rPr>
          <w:noProof/>
        </w:rPr>
        <w:t xml:space="preserve"> </w:t>
      </w:r>
      <w:hyperlink r:id="rId48" w:tooltip="Ermöglicht den Zugriff auf dieses Dokument über seinen ELI-URI." w:history="1">
        <w:r w:rsidRPr="00230876">
          <w:rPr>
            <w:rStyle w:val="Hyperlink"/>
            <w:noProof/>
          </w:rPr>
          <w:t>http://data.europa.eu/eli/reg/2023/2418/oj</w:t>
        </w:r>
      </w:hyperlink>
      <w:r w:rsidRPr="00230876">
        <w:rPr>
          <w:noProof/>
        </w:rPr>
        <w:t>).</w:t>
      </w:r>
    </w:p>
    <w:p w14:paraId="414E94B6" w14:textId="77777777" w:rsidR="00991DF8" w:rsidRPr="00230876" w:rsidRDefault="00991DF8" w:rsidP="00907F22">
      <w:pPr>
        <w:pStyle w:val="NumPar1"/>
        <w:rPr>
          <w:b/>
          <w:noProof/>
        </w:rPr>
      </w:pPr>
      <w:r w:rsidRPr="00230876">
        <w:rPr>
          <w:rStyle w:val="oj-bold"/>
          <w:b/>
          <w:noProof/>
          <w:color w:val="333333"/>
        </w:rPr>
        <w:t>Ständige Strukturierte Zusammenarbeit (SSZ)</w:t>
      </w:r>
    </w:p>
    <w:p w14:paraId="7EABE84C" w14:textId="6A84DFFB" w:rsidR="00D23DB5" w:rsidRPr="00230876" w:rsidRDefault="00D23DB5" w:rsidP="00D23DB5">
      <w:pPr>
        <w:rPr>
          <w:noProof/>
        </w:rPr>
      </w:pPr>
      <w:r w:rsidRPr="00230876">
        <w:rPr>
          <w:noProof/>
        </w:rPr>
        <w:t>Beschluss (GASP) 2018/340 des Rates vom 6. März 2018 zur Festlegung der Liste der im Rahmen der SSZ auszuarbeitenden Projekte (</w:t>
      </w:r>
      <w:hyperlink r:id="rId49" w:history="1">
        <w:r w:rsidRPr="00230876">
          <w:rPr>
            <w:rStyle w:val="Hyperlink"/>
            <w:noProof/>
          </w:rPr>
          <w:t>ABl. L 65 vom 8.3.2018, S. 24</w:t>
        </w:r>
      </w:hyperlink>
      <w:r w:rsidRPr="00230876">
        <w:rPr>
          <w:noProof/>
          <w:u w:val="single"/>
        </w:rPr>
        <w:t xml:space="preserve">, </w:t>
      </w:r>
      <w:r w:rsidRPr="00230876">
        <w:rPr>
          <w:rStyle w:val="Hyperlink"/>
          <w:noProof/>
          <w:color w:val="337AB7"/>
        </w:rPr>
        <w:t>ELI:</w:t>
      </w:r>
      <w:r w:rsidRPr="00230876">
        <w:rPr>
          <w:noProof/>
          <w:u w:val="single"/>
        </w:rPr>
        <w:t xml:space="preserve"> </w:t>
      </w:r>
      <w:hyperlink r:id="rId50" w:history="1">
        <w:r w:rsidRPr="00230876">
          <w:rPr>
            <w:rStyle w:val="Hyperlink"/>
            <w:noProof/>
          </w:rPr>
          <w:t>http://data.europa.eu/eli/dec/2018/340/oj</w:t>
        </w:r>
      </w:hyperlink>
      <w:r w:rsidRPr="00230876">
        <w:rPr>
          <w:noProof/>
        </w:rPr>
        <w:t>).</w:t>
      </w:r>
    </w:p>
    <w:p w14:paraId="23FBB82D" w14:textId="77777777" w:rsidR="00991DF8" w:rsidRPr="00230876" w:rsidRDefault="00D23DB5" w:rsidP="00EC4D84">
      <w:pPr>
        <w:rPr>
          <w:noProof/>
        </w:rPr>
      </w:pPr>
      <w:r w:rsidRPr="00230876">
        <w:rPr>
          <w:noProof/>
        </w:rPr>
        <w:t>Beschluss (GASP) 2023/995 des Rates vom 22. Mai 2023 zur Änderung und Aktualisierung des Beschlusses (GASP) 2018/340 zur Festlegung der Liste der im Rahmen der SSZ auszuarbeitenden Projekte (</w:t>
      </w:r>
      <w:hyperlink r:id="rId51" w:history="1">
        <w:r w:rsidRPr="00230876">
          <w:rPr>
            <w:rStyle w:val="Hyperlink"/>
            <w:noProof/>
          </w:rPr>
          <w:t>ABl. L 135 vom 23.5.2023, S. 123</w:t>
        </w:r>
      </w:hyperlink>
      <w:r w:rsidRPr="00230876">
        <w:rPr>
          <w:noProof/>
        </w:rPr>
        <w:t>,</w:t>
      </w:r>
      <w:r w:rsidRPr="00230876">
        <w:rPr>
          <w:noProof/>
          <w:color w:val="333333"/>
          <w:sz w:val="21"/>
          <w:shd w:val="clear" w:color="auto" w:fill="FFFFFF"/>
        </w:rPr>
        <w:t xml:space="preserve"> </w:t>
      </w:r>
      <w:r w:rsidRPr="00230876">
        <w:rPr>
          <w:rStyle w:val="Hyperlink"/>
          <w:noProof/>
          <w:color w:val="337AB7"/>
        </w:rPr>
        <w:t>ELI:</w:t>
      </w:r>
      <w:r w:rsidRPr="00230876">
        <w:rPr>
          <w:noProof/>
        </w:rPr>
        <w:t xml:space="preserve"> </w:t>
      </w:r>
      <w:hyperlink r:id="rId52" w:tooltip="Ermöglicht den Zugriff auf dieses Dokument über seinen ELI-URI." w:history="1">
        <w:r w:rsidRPr="00230876">
          <w:rPr>
            <w:rStyle w:val="Hyperlink"/>
            <w:noProof/>
          </w:rPr>
          <w:t>http://data.europa.eu/eli/dec/2023/995/oj</w:t>
        </w:r>
      </w:hyperlink>
      <w:r w:rsidRPr="00230876">
        <w:rPr>
          <w:noProof/>
        </w:rPr>
        <w:t xml:space="preserve">). </w:t>
      </w:r>
    </w:p>
    <w:p w14:paraId="0AD566E6" w14:textId="77777777" w:rsidR="00991DF8" w:rsidRPr="00230876" w:rsidRDefault="00991DF8" w:rsidP="00907F22">
      <w:pPr>
        <w:pStyle w:val="NumPar1"/>
        <w:rPr>
          <w:b/>
          <w:noProof/>
        </w:rPr>
      </w:pPr>
      <w:r w:rsidRPr="00230876">
        <w:rPr>
          <w:rStyle w:val="oj-bold"/>
          <w:b/>
          <w:noProof/>
          <w:color w:val="333333"/>
        </w:rPr>
        <w:t>Europäisches gemeinsames Unternehmen für den ITER</w:t>
      </w:r>
    </w:p>
    <w:p w14:paraId="37D94326" w14:textId="77777777" w:rsidR="00991DF8" w:rsidRPr="00230876" w:rsidRDefault="00991DF8" w:rsidP="00B34E95">
      <w:pPr>
        <w:rPr>
          <w:noProof/>
        </w:rPr>
      </w:pPr>
      <w:r w:rsidRPr="00230876">
        <w:rPr>
          <w:noProof/>
        </w:rPr>
        <w:t>Entscheidung 2007/198/Euratom des Rates vom 27. März 2007 über die Errichtung des europäischen gemeinsamen Unternehmens für den ITER und die Entwicklung der Fusionsenergie sowie die Gewährung von Vergünstigungen dafür (</w:t>
      </w:r>
      <w:hyperlink r:id="rId53" w:history="1">
        <w:r w:rsidRPr="00230876">
          <w:rPr>
            <w:rStyle w:val="Hyperlink"/>
            <w:noProof/>
            <w:color w:val="337AB7"/>
          </w:rPr>
          <w:t>ABl. L 90 vom 30.3.2007, S. 58</w:t>
        </w:r>
      </w:hyperlink>
      <w:r w:rsidRPr="00230876">
        <w:rPr>
          <w:rStyle w:val="Hyperlink"/>
          <w:noProof/>
          <w:color w:val="337AB7"/>
        </w:rPr>
        <w:t xml:space="preserve">, ELI: </w:t>
      </w:r>
      <w:hyperlink r:id="rId54" w:history="1">
        <w:r w:rsidRPr="00230876">
          <w:rPr>
            <w:rStyle w:val="Hyperlink"/>
            <w:noProof/>
          </w:rPr>
          <w:t>http://data.europa.eu/eli/dec/2007/198/oj</w:t>
        </w:r>
      </w:hyperlink>
      <w:r w:rsidRPr="00230876">
        <w:rPr>
          <w:noProof/>
        </w:rPr>
        <w:t>).</w:t>
      </w:r>
    </w:p>
    <w:p w14:paraId="24F1C81F" w14:textId="77777777" w:rsidR="00991DF8" w:rsidRPr="00230876" w:rsidRDefault="00991DF8" w:rsidP="00907F22">
      <w:pPr>
        <w:pStyle w:val="NumPar1"/>
        <w:rPr>
          <w:b/>
          <w:noProof/>
        </w:rPr>
      </w:pPr>
      <w:bookmarkStart w:id="6" w:name="_Hlk155875913"/>
      <w:r w:rsidRPr="00230876">
        <w:rPr>
          <w:rStyle w:val="oj-bold"/>
          <w:b/>
          <w:noProof/>
          <w:color w:val="333333"/>
        </w:rPr>
        <w:t>EU4Health-Programm</w:t>
      </w:r>
    </w:p>
    <w:p w14:paraId="6A971364" w14:textId="77777777" w:rsidR="00F439C7" w:rsidRPr="00230876" w:rsidRDefault="00991DF8" w:rsidP="00B34E95">
      <w:pPr>
        <w:rPr>
          <w:noProof/>
        </w:rPr>
      </w:pPr>
      <w:r w:rsidRPr="00230876">
        <w:rPr>
          <w:noProof/>
        </w:rPr>
        <w:t>Verordnung (EU) 2021/522 des Europäischen Parlaments und des Rates vom 24. März 2021 zur Einrichtung eines Aktionsprogramms der Union im Bereich der Gesundheit („EU4Health-Programm“) für den Zeitraum 2021–2027 und zur Aufhebung der Verordnung (EU) Nr. 282/2014 (</w:t>
      </w:r>
      <w:hyperlink r:id="rId55" w:history="1">
        <w:r w:rsidRPr="00230876">
          <w:rPr>
            <w:rStyle w:val="Hyperlink"/>
            <w:noProof/>
            <w:color w:val="337AB7"/>
          </w:rPr>
          <w:t>ABl. L 107 vom 26.3.2021, S. 1</w:t>
        </w:r>
      </w:hyperlink>
      <w:r w:rsidRPr="00230876">
        <w:rPr>
          <w:rStyle w:val="Hyperlink"/>
          <w:noProof/>
          <w:color w:val="337AB7"/>
        </w:rPr>
        <w:t xml:space="preserve">, ELI: </w:t>
      </w:r>
      <w:hyperlink r:id="rId56" w:history="1">
        <w:r w:rsidRPr="00230876">
          <w:rPr>
            <w:rStyle w:val="Hyperlink"/>
            <w:noProof/>
          </w:rPr>
          <w:t>http://data.europa.eu/eli/reg/2021/522/oj</w:t>
        </w:r>
      </w:hyperlink>
      <w:r w:rsidRPr="00230876">
        <w:rPr>
          <w:noProof/>
        </w:rPr>
        <w:t>).</w:t>
      </w:r>
    </w:p>
    <w:p w14:paraId="40CFE421" w14:textId="77777777" w:rsidR="00D371B7" w:rsidRPr="00230876" w:rsidRDefault="00F439C7" w:rsidP="00D371B7">
      <w:pPr>
        <w:pStyle w:val="NumPar1"/>
        <w:rPr>
          <w:b/>
          <w:noProof/>
        </w:rPr>
      </w:pPr>
      <w:r w:rsidRPr="00230876">
        <w:rPr>
          <w:rStyle w:val="oj-bold"/>
          <w:b/>
          <w:noProof/>
          <w:color w:val="333333"/>
        </w:rPr>
        <w:t xml:space="preserve">Wichtige Vorhaben von gemeinsamem europäischem Interesse (IPCEI) </w:t>
      </w:r>
    </w:p>
    <w:p w14:paraId="026FA90C" w14:textId="77777777" w:rsidR="00F439C7" w:rsidRPr="00230876" w:rsidRDefault="009F2018" w:rsidP="00A03596">
      <w:pPr>
        <w:rPr>
          <w:noProof/>
        </w:rPr>
      </w:pPr>
      <w:r w:rsidRPr="00230876">
        <w:rPr>
          <w:noProof/>
        </w:rPr>
        <w:t>Beschrieben in der Mitteilung der Kommission – Kriterien für die Würdigung der Vereinbarkeit von staatlichen Beihilfen zur Förderung wichtiger Vorhaben von gemeinsamem europäischem Interesse mit dem Binnenmarkt (2021/C 528/02) (</w:t>
      </w:r>
      <w:hyperlink r:id="rId57" w:history="1">
        <w:r w:rsidRPr="00230876">
          <w:rPr>
            <w:rStyle w:val="Hyperlink"/>
            <w:noProof/>
          </w:rPr>
          <w:t>ABl. C 528 vom 30.12.2021, S. 10</w:t>
        </w:r>
      </w:hyperlink>
      <w:r w:rsidRPr="00230876">
        <w:rPr>
          <w:noProof/>
        </w:rPr>
        <w:t>), auf die auf der Website der Kommissionsdienststellen verwiesen wird</w:t>
      </w:r>
      <w:r w:rsidRPr="00230876">
        <w:rPr>
          <w:rStyle w:val="FootnoteReference"/>
          <w:noProof/>
        </w:rPr>
        <w:footnoteReference w:id="2"/>
      </w:r>
      <w:r w:rsidRPr="00230876">
        <w:rPr>
          <w:noProof/>
        </w:rPr>
        <w:t xml:space="preserve">. </w:t>
      </w:r>
    </w:p>
    <w:bookmarkEnd w:id="6"/>
    <w:p w14:paraId="10B4E9C9" w14:textId="77777777" w:rsidR="00F660C7" w:rsidRPr="00230876" w:rsidRDefault="00F660C7" w:rsidP="00991DF8">
      <w:pPr>
        <w:rPr>
          <w:noProof/>
        </w:rPr>
        <w:sectPr w:rsidR="00F660C7" w:rsidRPr="00230876" w:rsidSect="004F2ADA">
          <w:headerReference w:type="even" r:id="rId58"/>
          <w:footerReference w:type="even" r:id="rId59"/>
          <w:footerReference w:type="default" r:id="rId60"/>
          <w:headerReference w:type="first" r:id="rId61"/>
          <w:footerReference w:type="first" r:id="rId62"/>
          <w:pgSz w:w="11907" w:h="16839"/>
          <w:pgMar w:top="1134" w:right="1417" w:bottom="1134" w:left="1417" w:header="709" w:footer="709" w:gutter="0"/>
          <w:cols w:space="708"/>
          <w:docGrid w:linePitch="360"/>
        </w:sectPr>
      </w:pPr>
    </w:p>
    <w:p w14:paraId="07796EE2" w14:textId="77777777" w:rsidR="00455B3D" w:rsidRPr="00230876" w:rsidRDefault="00455B3D" w:rsidP="00455B3D">
      <w:pPr>
        <w:pStyle w:val="Annexetitre"/>
        <w:rPr>
          <w:noProof/>
        </w:rPr>
      </w:pPr>
      <w:r w:rsidRPr="00230876">
        <w:rPr>
          <w:noProof/>
        </w:rPr>
        <w:t>ANHANG II</w:t>
      </w:r>
    </w:p>
    <w:p w14:paraId="589F9AAF" w14:textId="6892E6A4" w:rsidR="00991DF8" w:rsidRPr="00230876" w:rsidRDefault="00991DF8" w:rsidP="00E8728D">
      <w:pPr>
        <w:shd w:val="clear" w:color="auto" w:fill="FFFFFF" w:themeFill="background1"/>
        <w:tabs>
          <w:tab w:val="left" w:pos="5000"/>
        </w:tabs>
        <w:spacing w:after="0"/>
        <w:jc w:val="center"/>
        <w:rPr>
          <w:b/>
          <w:noProof/>
          <w:color w:val="333333"/>
        </w:rPr>
      </w:pPr>
      <w:bookmarkStart w:id="7" w:name="_TocB7751C055C4744A28A002AAF436526DF"/>
      <w:r w:rsidRPr="00230876">
        <w:rPr>
          <w:b/>
          <w:bCs/>
          <w:noProof/>
        </w:rPr>
        <w:t>Liste der Technologien, Vermögenswerte, Einrichtungen, Ausrüstungen, Netze, Systeme, Dienstleistungen und Wirtschaftstätigkeiten, die für die Sicherheit oder die öffentliche Ordnung der Union von besonderer Bedeutung sind</w:t>
      </w:r>
    </w:p>
    <w:bookmarkEnd w:id="7"/>
    <w:p w14:paraId="7DFE0975" w14:textId="28680BB6" w:rsidR="009E7623" w:rsidRPr="00230876" w:rsidRDefault="00845A15" w:rsidP="002A7CE4">
      <w:pPr>
        <w:pStyle w:val="Point0"/>
        <w:rPr>
          <w:noProof/>
        </w:rPr>
      </w:pPr>
      <w:r w:rsidRPr="00230876">
        <w:rPr>
          <w:noProof/>
        </w:rPr>
        <w:t>1.</w:t>
      </w:r>
      <w:r w:rsidRPr="00230876">
        <w:rPr>
          <w:noProof/>
        </w:rPr>
        <w:tab/>
        <w:t>Güter, die in Anhang I der Verordnung (EU) 2021/821 des Europäischen Parlaments und des Rates aufgeführt sind (gemeinsame Liste der Güter mit doppeltem Verwendungszweck, die Ausfuhrkontrollen unterliegen).</w:t>
      </w:r>
    </w:p>
    <w:p w14:paraId="15BDBE33" w14:textId="29B8EB00" w:rsidR="00870A96" w:rsidRPr="00230876" w:rsidRDefault="00845A15" w:rsidP="002A7CE4">
      <w:pPr>
        <w:pStyle w:val="Point0"/>
        <w:rPr>
          <w:noProof/>
        </w:rPr>
      </w:pPr>
      <w:r w:rsidRPr="00230876">
        <w:rPr>
          <w:noProof/>
        </w:rPr>
        <w:t>2.</w:t>
      </w:r>
      <w:r w:rsidRPr="00230876">
        <w:rPr>
          <w:noProof/>
        </w:rPr>
        <w:tab/>
        <w:t>Ausrüstung im Sinne des Gemeinsamen Standpunkts 2008/944/GASP des Rates betreffend gemeinsame Regeln für die Kontrolle der Ausfuhr von Militärtechnologie und Militärgütern (Gemeinsame Militärgüterliste der Europäischen Union).</w:t>
      </w:r>
    </w:p>
    <w:p w14:paraId="2B366533" w14:textId="70F1A1FA" w:rsidR="00D73266" w:rsidRPr="00230876" w:rsidRDefault="00845A15" w:rsidP="002A7CE4">
      <w:pPr>
        <w:pStyle w:val="Point0"/>
        <w:rPr>
          <w:noProof/>
        </w:rPr>
      </w:pPr>
      <w:r w:rsidRPr="00230876">
        <w:rPr>
          <w:noProof/>
        </w:rPr>
        <w:t>3.</w:t>
      </w:r>
      <w:r w:rsidRPr="00230876">
        <w:rPr>
          <w:noProof/>
        </w:rPr>
        <w:tab/>
        <w:t>Die folgenden Technologiebereiche, die für die wirtschaftliche Sicherheit der EU von entscheidender Bedeutung sind und im Anhang der Empfehlung (EU) 2023/2113 der Kommission vom 3. Oktober 2023 zu Technologiebereichen, die für die wirtschaftliche Sicherheit der EU von entscheidender Bedeutung sind, zwecks weiterer Risikobewertung mit den Mitgliedstaaten, aufgeführt sind:</w:t>
      </w:r>
    </w:p>
    <w:p w14:paraId="60D5119E" w14:textId="6B589EA6" w:rsidR="009C2916" w:rsidRPr="00230876" w:rsidRDefault="008412DB" w:rsidP="008412DB">
      <w:pPr>
        <w:pStyle w:val="Point10"/>
        <w:rPr>
          <w:noProof/>
        </w:rPr>
      </w:pPr>
      <w:r w:rsidRPr="00230876">
        <w:rPr>
          <w:noProof/>
        </w:rPr>
        <w:t>a.</w:t>
      </w:r>
      <w:r w:rsidRPr="00230876">
        <w:rPr>
          <w:noProof/>
        </w:rPr>
        <w:tab/>
        <w:t>Fortschrittliche Halbleitertechnologien:</w:t>
      </w:r>
    </w:p>
    <w:p w14:paraId="6911CE29" w14:textId="77777777" w:rsidR="009C2916" w:rsidRPr="00230876" w:rsidRDefault="009C2916" w:rsidP="00CA1388">
      <w:pPr>
        <w:pStyle w:val="Bullet3"/>
        <w:numPr>
          <w:ilvl w:val="0"/>
          <w:numId w:val="7"/>
        </w:numPr>
        <w:rPr>
          <w:noProof/>
        </w:rPr>
      </w:pPr>
      <w:r w:rsidRPr="00230876">
        <w:rPr>
          <w:noProof/>
        </w:rPr>
        <w:t>Mikroelektronik, einschließlich Prozessoren</w:t>
      </w:r>
    </w:p>
    <w:p w14:paraId="6B1EED15" w14:textId="77777777" w:rsidR="009C2916" w:rsidRPr="00230876" w:rsidRDefault="009C2916" w:rsidP="003423BC">
      <w:pPr>
        <w:pStyle w:val="Bullet3"/>
        <w:rPr>
          <w:noProof/>
        </w:rPr>
      </w:pPr>
      <w:r w:rsidRPr="00230876">
        <w:rPr>
          <w:noProof/>
        </w:rPr>
        <w:t>Photoniktechnologien (einschließlich Hochenergielaser)</w:t>
      </w:r>
    </w:p>
    <w:p w14:paraId="1C7A37F1" w14:textId="77777777" w:rsidR="009C2916" w:rsidRPr="00230876" w:rsidRDefault="009C2916" w:rsidP="003423BC">
      <w:pPr>
        <w:pStyle w:val="Bullet3"/>
        <w:rPr>
          <w:noProof/>
        </w:rPr>
      </w:pPr>
      <w:r w:rsidRPr="00230876">
        <w:rPr>
          <w:noProof/>
        </w:rPr>
        <w:t>Hochfrequenzchips</w:t>
      </w:r>
    </w:p>
    <w:p w14:paraId="17C0CF07" w14:textId="77777777" w:rsidR="009C2916" w:rsidRPr="00230876" w:rsidRDefault="009C2916" w:rsidP="00CA00F7">
      <w:pPr>
        <w:pStyle w:val="Bullet3"/>
        <w:rPr>
          <w:noProof/>
        </w:rPr>
      </w:pPr>
      <w:r w:rsidRPr="00230876">
        <w:rPr>
          <w:noProof/>
        </w:rPr>
        <w:t>Ausrüstung zur Herstellung von Halbleitern in sehr fortschrittlichen Knotengrößen</w:t>
      </w:r>
    </w:p>
    <w:p w14:paraId="5AD2F50A" w14:textId="01EADA00" w:rsidR="009C2916" w:rsidRPr="00230876" w:rsidRDefault="008412DB" w:rsidP="008412DB">
      <w:pPr>
        <w:pStyle w:val="Point10"/>
        <w:rPr>
          <w:noProof/>
        </w:rPr>
      </w:pPr>
      <w:r w:rsidRPr="00230876">
        <w:rPr>
          <w:noProof/>
        </w:rPr>
        <w:t>b.</w:t>
      </w:r>
      <w:r w:rsidRPr="00230876">
        <w:rPr>
          <w:noProof/>
        </w:rPr>
        <w:tab/>
        <w:t>Technologien der künstlichen Intelligenz:</w:t>
      </w:r>
    </w:p>
    <w:p w14:paraId="6A0F74FF" w14:textId="77777777" w:rsidR="009C2916" w:rsidRPr="00230876" w:rsidRDefault="009C2916" w:rsidP="003423BC">
      <w:pPr>
        <w:pStyle w:val="Bullet3"/>
        <w:rPr>
          <w:noProof/>
        </w:rPr>
      </w:pPr>
      <w:r w:rsidRPr="00230876">
        <w:rPr>
          <w:noProof/>
        </w:rPr>
        <w:t>Hochleistungsrechnen</w:t>
      </w:r>
    </w:p>
    <w:p w14:paraId="6E0837D8" w14:textId="77777777" w:rsidR="009C2916" w:rsidRPr="00230876" w:rsidRDefault="009C2916" w:rsidP="003423BC">
      <w:pPr>
        <w:pStyle w:val="Bullet3"/>
        <w:rPr>
          <w:noProof/>
        </w:rPr>
      </w:pPr>
      <w:r w:rsidRPr="00230876">
        <w:rPr>
          <w:noProof/>
        </w:rPr>
        <w:t>Cloud- und Edge-Computing</w:t>
      </w:r>
    </w:p>
    <w:p w14:paraId="4C53582C" w14:textId="77777777" w:rsidR="009C2916" w:rsidRPr="00230876" w:rsidRDefault="009C2916" w:rsidP="003423BC">
      <w:pPr>
        <w:pStyle w:val="Bullet3"/>
        <w:rPr>
          <w:noProof/>
        </w:rPr>
      </w:pPr>
      <w:r w:rsidRPr="00230876">
        <w:rPr>
          <w:noProof/>
        </w:rPr>
        <w:t>Datenanalysetechnologien</w:t>
      </w:r>
    </w:p>
    <w:p w14:paraId="346A6FD2" w14:textId="77777777" w:rsidR="009C2916" w:rsidRPr="00230876" w:rsidRDefault="009C2916" w:rsidP="00E209ED">
      <w:pPr>
        <w:pStyle w:val="Bullet3"/>
        <w:rPr>
          <w:noProof/>
        </w:rPr>
      </w:pPr>
      <w:r w:rsidRPr="00230876">
        <w:rPr>
          <w:noProof/>
        </w:rPr>
        <w:t>Maschinelles Sehen, Sprachverarbeitung, Objekterkennung</w:t>
      </w:r>
    </w:p>
    <w:p w14:paraId="72508AFA" w14:textId="78F85ACE" w:rsidR="009C2916" w:rsidRPr="00230876" w:rsidRDefault="00115BA3" w:rsidP="00115BA3">
      <w:pPr>
        <w:pStyle w:val="Point10"/>
        <w:rPr>
          <w:noProof/>
        </w:rPr>
      </w:pPr>
      <w:r w:rsidRPr="00230876">
        <w:rPr>
          <w:noProof/>
        </w:rPr>
        <w:t>c.</w:t>
      </w:r>
      <w:r w:rsidRPr="00230876">
        <w:rPr>
          <w:noProof/>
        </w:rPr>
        <w:tab/>
        <w:t>Quantentechnologien:</w:t>
      </w:r>
    </w:p>
    <w:p w14:paraId="16F081CC" w14:textId="77777777" w:rsidR="009C2916" w:rsidRPr="00230876" w:rsidRDefault="009C2916" w:rsidP="003423BC">
      <w:pPr>
        <w:pStyle w:val="Bullet3"/>
        <w:rPr>
          <w:noProof/>
        </w:rPr>
      </w:pPr>
      <w:r w:rsidRPr="00230876">
        <w:rPr>
          <w:noProof/>
        </w:rPr>
        <w:t>Quanteninformatik</w:t>
      </w:r>
    </w:p>
    <w:p w14:paraId="23B03505" w14:textId="77777777" w:rsidR="009C2916" w:rsidRPr="00230876" w:rsidRDefault="009C2916" w:rsidP="003423BC">
      <w:pPr>
        <w:pStyle w:val="Bullet3"/>
        <w:rPr>
          <w:noProof/>
        </w:rPr>
      </w:pPr>
      <w:r w:rsidRPr="00230876">
        <w:rPr>
          <w:noProof/>
        </w:rPr>
        <w:t>Quantenkryptografie</w:t>
      </w:r>
    </w:p>
    <w:p w14:paraId="39EEC65A" w14:textId="77777777" w:rsidR="009C2916" w:rsidRPr="00230876" w:rsidRDefault="009C2916" w:rsidP="003423BC">
      <w:pPr>
        <w:pStyle w:val="Bullet3"/>
        <w:rPr>
          <w:noProof/>
        </w:rPr>
      </w:pPr>
      <w:r w:rsidRPr="00230876">
        <w:rPr>
          <w:noProof/>
        </w:rPr>
        <w:t>Quantenkommunikation</w:t>
      </w:r>
    </w:p>
    <w:p w14:paraId="183C33C1" w14:textId="77777777" w:rsidR="009C2916" w:rsidRPr="00230876" w:rsidRDefault="009C2916" w:rsidP="0066433C">
      <w:pPr>
        <w:pStyle w:val="Bullet3"/>
        <w:rPr>
          <w:noProof/>
        </w:rPr>
      </w:pPr>
      <w:r w:rsidRPr="00230876">
        <w:rPr>
          <w:noProof/>
        </w:rPr>
        <w:t xml:space="preserve">Quantenerfassung und </w:t>
      </w:r>
      <w:r w:rsidRPr="00230876">
        <w:rPr>
          <w:noProof/>
        </w:rPr>
        <w:noBreakHyphen/>
        <w:t>radar</w:t>
      </w:r>
    </w:p>
    <w:p w14:paraId="589A2A69" w14:textId="35010062" w:rsidR="009C2916" w:rsidRPr="00230876" w:rsidRDefault="00115BA3" w:rsidP="00115BA3">
      <w:pPr>
        <w:pStyle w:val="Point10"/>
        <w:rPr>
          <w:noProof/>
        </w:rPr>
      </w:pPr>
      <w:r w:rsidRPr="00230876">
        <w:rPr>
          <w:noProof/>
        </w:rPr>
        <w:t>d.</w:t>
      </w:r>
      <w:r w:rsidRPr="00230876">
        <w:rPr>
          <w:noProof/>
        </w:rPr>
        <w:tab/>
        <w:t>Biotechnologien:</w:t>
      </w:r>
    </w:p>
    <w:p w14:paraId="2D59D9EF" w14:textId="77777777" w:rsidR="009C2916" w:rsidRPr="00230876" w:rsidRDefault="009C2916" w:rsidP="003423BC">
      <w:pPr>
        <w:pStyle w:val="Bullet3"/>
        <w:rPr>
          <w:noProof/>
        </w:rPr>
      </w:pPr>
      <w:r w:rsidRPr="00230876">
        <w:rPr>
          <w:noProof/>
        </w:rPr>
        <w:t>Verfahren der genetischen Veränderung</w:t>
      </w:r>
    </w:p>
    <w:p w14:paraId="6B0A6CDB" w14:textId="77777777" w:rsidR="009C2916" w:rsidRPr="00230876" w:rsidRDefault="009C2916" w:rsidP="003423BC">
      <w:pPr>
        <w:pStyle w:val="Bullet3"/>
        <w:rPr>
          <w:noProof/>
        </w:rPr>
      </w:pPr>
      <w:r w:rsidRPr="00230876">
        <w:rPr>
          <w:noProof/>
        </w:rPr>
        <w:t>Neue genomische Verfahren</w:t>
      </w:r>
    </w:p>
    <w:p w14:paraId="09FEEEE5" w14:textId="77777777" w:rsidR="009C2916" w:rsidRPr="00230876" w:rsidRDefault="009C2916" w:rsidP="003423BC">
      <w:pPr>
        <w:pStyle w:val="Bullet3"/>
        <w:rPr>
          <w:noProof/>
        </w:rPr>
      </w:pPr>
      <w:r w:rsidRPr="00230876">
        <w:rPr>
          <w:noProof/>
        </w:rPr>
        <w:t>Gene Drive (Genantrieb)</w:t>
      </w:r>
    </w:p>
    <w:p w14:paraId="141F78DF" w14:textId="77777777" w:rsidR="009C2916" w:rsidRPr="00230876" w:rsidRDefault="009C2916" w:rsidP="0066433C">
      <w:pPr>
        <w:pStyle w:val="Bullet3"/>
        <w:rPr>
          <w:noProof/>
        </w:rPr>
      </w:pPr>
      <w:r w:rsidRPr="00230876">
        <w:rPr>
          <w:noProof/>
        </w:rPr>
        <w:t>Synthetische Biologie</w:t>
      </w:r>
    </w:p>
    <w:p w14:paraId="166CC6E6" w14:textId="37A4DEF8" w:rsidR="009C2916" w:rsidRPr="00230876" w:rsidRDefault="00115BA3" w:rsidP="00115BA3">
      <w:pPr>
        <w:pStyle w:val="Point10"/>
        <w:rPr>
          <w:noProof/>
        </w:rPr>
      </w:pPr>
      <w:r w:rsidRPr="00230876">
        <w:rPr>
          <w:noProof/>
        </w:rPr>
        <w:t>e.</w:t>
      </w:r>
      <w:r w:rsidRPr="00230876">
        <w:rPr>
          <w:noProof/>
        </w:rPr>
        <w:tab/>
        <w:t xml:space="preserve">Fortschrittliche Konnektivitäts-, Navigations und Digitaltechnologien: </w:t>
      </w:r>
    </w:p>
    <w:p w14:paraId="66172EC2" w14:textId="77777777" w:rsidR="00E90883" w:rsidRPr="00230876" w:rsidRDefault="00867CE1" w:rsidP="003423BC">
      <w:pPr>
        <w:pStyle w:val="Bullet3"/>
        <w:rPr>
          <w:noProof/>
        </w:rPr>
      </w:pPr>
      <w:r w:rsidRPr="00230876">
        <w:rPr>
          <w:noProof/>
        </w:rPr>
        <w:t xml:space="preserve">Sichere digitale Kommunikation und Konnektivität, etwa RAN und Open RAN (Radio Access Network, Funkzugangsnetz) und 6G </w:t>
      </w:r>
    </w:p>
    <w:p w14:paraId="2269B413" w14:textId="77777777" w:rsidR="00E90883" w:rsidRPr="00230876" w:rsidRDefault="00867CE1" w:rsidP="003423BC">
      <w:pPr>
        <w:pStyle w:val="Bullet3"/>
        <w:rPr>
          <w:noProof/>
        </w:rPr>
      </w:pPr>
      <w:r w:rsidRPr="00230876">
        <w:rPr>
          <w:noProof/>
        </w:rPr>
        <w:t xml:space="preserve">Technologien der Cybersicherheit einschließlich Cyberüberwachung, Sicherheits- und Angriffssysteme, digitale Forensik </w:t>
      </w:r>
    </w:p>
    <w:p w14:paraId="4C2E1072" w14:textId="77777777" w:rsidR="003402CF" w:rsidRPr="00230876" w:rsidRDefault="00867CE1" w:rsidP="003423BC">
      <w:pPr>
        <w:pStyle w:val="Bullet3"/>
        <w:rPr>
          <w:noProof/>
        </w:rPr>
      </w:pPr>
      <w:r w:rsidRPr="00230876">
        <w:rPr>
          <w:noProof/>
        </w:rPr>
        <w:t xml:space="preserve">Internet der Dinge und virtuelle Realität </w:t>
      </w:r>
    </w:p>
    <w:p w14:paraId="1E39D390" w14:textId="77777777" w:rsidR="00E90883" w:rsidRPr="00230876" w:rsidRDefault="00867CE1" w:rsidP="003423BC">
      <w:pPr>
        <w:pStyle w:val="Bullet3"/>
        <w:rPr>
          <w:noProof/>
        </w:rPr>
      </w:pPr>
      <w:r w:rsidRPr="00230876">
        <w:rPr>
          <w:noProof/>
        </w:rPr>
        <w:t xml:space="preserve">Distributed-Ledger-Technologien und Technologien der digitalen Identität </w:t>
      </w:r>
    </w:p>
    <w:p w14:paraId="2B75EF3D" w14:textId="77777777" w:rsidR="00867CE1" w:rsidRPr="00230876" w:rsidRDefault="00867CE1" w:rsidP="0066433C">
      <w:pPr>
        <w:pStyle w:val="Bullet3"/>
        <w:rPr>
          <w:noProof/>
        </w:rPr>
      </w:pPr>
      <w:r w:rsidRPr="00230876">
        <w:rPr>
          <w:noProof/>
        </w:rPr>
        <w:t>Lenkungs-, Navigations- und Steuerungstechnologien einschließlich Avionik und Positionsbestimmung auf See</w:t>
      </w:r>
    </w:p>
    <w:p w14:paraId="6667CC47" w14:textId="1C95FCC9" w:rsidR="009C2916" w:rsidRPr="00230876" w:rsidRDefault="00115BA3" w:rsidP="00115BA3">
      <w:pPr>
        <w:pStyle w:val="Point10"/>
        <w:rPr>
          <w:noProof/>
        </w:rPr>
      </w:pPr>
      <w:r w:rsidRPr="00230876">
        <w:rPr>
          <w:noProof/>
        </w:rPr>
        <w:t>f.</w:t>
      </w:r>
      <w:r w:rsidRPr="00230876">
        <w:rPr>
          <w:noProof/>
        </w:rPr>
        <w:tab/>
        <w:t xml:space="preserve">Fortschrittliche Sensortechnologien: </w:t>
      </w:r>
    </w:p>
    <w:p w14:paraId="3714A6D2" w14:textId="77777777" w:rsidR="00E90883" w:rsidRPr="00230876" w:rsidRDefault="00867CE1" w:rsidP="003423BC">
      <w:pPr>
        <w:pStyle w:val="Bullet3"/>
        <w:rPr>
          <w:noProof/>
        </w:rPr>
      </w:pPr>
      <w:r w:rsidRPr="00230876">
        <w:rPr>
          <w:noProof/>
        </w:rPr>
        <w:t xml:space="preserve">Elektrooptische, Radar-, chemische, biologische und Strahlungssensorik sowie örtlich verteilte Messsysteme </w:t>
      </w:r>
    </w:p>
    <w:p w14:paraId="2E5096C3" w14:textId="77777777" w:rsidR="00E90883" w:rsidRPr="00230876" w:rsidRDefault="00867CE1" w:rsidP="003423BC">
      <w:pPr>
        <w:pStyle w:val="Bullet3"/>
        <w:rPr>
          <w:noProof/>
        </w:rPr>
      </w:pPr>
      <w:r w:rsidRPr="00230876">
        <w:rPr>
          <w:noProof/>
        </w:rPr>
        <w:t xml:space="preserve">Magnetometer, Magnetfeldgradientenmesser </w:t>
      </w:r>
    </w:p>
    <w:p w14:paraId="64B493D3" w14:textId="77777777" w:rsidR="00E90883" w:rsidRPr="00230876" w:rsidRDefault="00867CE1" w:rsidP="003423BC">
      <w:pPr>
        <w:pStyle w:val="Bullet3"/>
        <w:rPr>
          <w:noProof/>
        </w:rPr>
      </w:pPr>
      <w:r w:rsidRPr="00230876">
        <w:rPr>
          <w:noProof/>
        </w:rPr>
        <w:t xml:space="preserve">Sensoren für elektrische Felder unter Wasser </w:t>
      </w:r>
    </w:p>
    <w:p w14:paraId="7E97EF73" w14:textId="77777777" w:rsidR="00867CE1" w:rsidRPr="00230876" w:rsidRDefault="00867CE1" w:rsidP="0066433C">
      <w:pPr>
        <w:pStyle w:val="Bullet3"/>
        <w:rPr>
          <w:noProof/>
        </w:rPr>
      </w:pPr>
      <w:r w:rsidRPr="00230876">
        <w:rPr>
          <w:noProof/>
        </w:rPr>
        <w:t xml:space="preserve">Schwerkraftmesser und </w:t>
      </w:r>
      <w:r w:rsidRPr="00230876">
        <w:rPr>
          <w:noProof/>
        </w:rPr>
        <w:noBreakHyphen/>
        <w:t>gradientenmesser</w:t>
      </w:r>
    </w:p>
    <w:p w14:paraId="25C9FAE7" w14:textId="0244D7B0" w:rsidR="009C2916" w:rsidRPr="00230876" w:rsidRDefault="00115BA3" w:rsidP="00115BA3">
      <w:pPr>
        <w:pStyle w:val="Point10"/>
        <w:rPr>
          <w:noProof/>
        </w:rPr>
      </w:pPr>
      <w:r w:rsidRPr="00230876">
        <w:rPr>
          <w:noProof/>
        </w:rPr>
        <w:t>g.</w:t>
      </w:r>
      <w:r w:rsidRPr="00230876">
        <w:rPr>
          <w:noProof/>
        </w:rPr>
        <w:tab/>
        <w:t xml:space="preserve">Weltraum- und Antriebstechnologien: </w:t>
      </w:r>
    </w:p>
    <w:p w14:paraId="50AB2797" w14:textId="77777777" w:rsidR="00E36985" w:rsidRPr="00230876" w:rsidRDefault="00867CE1" w:rsidP="003423BC">
      <w:pPr>
        <w:pStyle w:val="Bullet3"/>
        <w:rPr>
          <w:noProof/>
        </w:rPr>
      </w:pPr>
      <w:r w:rsidRPr="00230876">
        <w:rPr>
          <w:noProof/>
        </w:rPr>
        <w:t xml:space="preserve">Spezielle weltraumorientierte Technologien von Bauteilen bis zur Systemebene </w:t>
      </w:r>
    </w:p>
    <w:p w14:paraId="511AA41F" w14:textId="77777777" w:rsidR="00E36985" w:rsidRPr="00230876" w:rsidRDefault="00867CE1" w:rsidP="003423BC">
      <w:pPr>
        <w:pStyle w:val="Bullet3"/>
        <w:rPr>
          <w:noProof/>
        </w:rPr>
      </w:pPr>
      <w:r w:rsidRPr="00230876">
        <w:rPr>
          <w:noProof/>
        </w:rPr>
        <w:t>Raumüberwachungs- und Erdbeobachtungstechnologien</w:t>
      </w:r>
    </w:p>
    <w:p w14:paraId="0617120E" w14:textId="77777777" w:rsidR="00E36985" w:rsidRPr="00230876" w:rsidRDefault="00867CE1" w:rsidP="003423BC">
      <w:pPr>
        <w:pStyle w:val="Bullet3"/>
        <w:rPr>
          <w:noProof/>
        </w:rPr>
      </w:pPr>
      <w:r w:rsidRPr="00230876">
        <w:rPr>
          <w:noProof/>
        </w:rPr>
        <w:t xml:space="preserve">Ortung, Navigation und Zeitgebung (PNT) im Weltraum </w:t>
      </w:r>
    </w:p>
    <w:p w14:paraId="3E1C5FEE" w14:textId="77777777" w:rsidR="00E36985" w:rsidRPr="00230876" w:rsidRDefault="00867CE1" w:rsidP="003423BC">
      <w:pPr>
        <w:pStyle w:val="Bullet3"/>
        <w:rPr>
          <w:noProof/>
        </w:rPr>
      </w:pPr>
      <w:r w:rsidRPr="00230876">
        <w:rPr>
          <w:noProof/>
        </w:rPr>
        <w:t xml:space="preserve">Sichere Kommunikation einschließlich Konnektivität in niedriger Umlaufbahn (LEO) </w:t>
      </w:r>
    </w:p>
    <w:p w14:paraId="6198F3D1" w14:textId="77777777" w:rsidR="00867CE1" w:rsidRPr="00230876" w:rsidRDefault="00867CE1" w:rsidP="0066433C">
      <w:pPr>
        <w:pStyle w:val="Bullet3"/>
        <w:rPr>
          <w:noProof/>
        </w:rPr>
      </w:pPr>
      <w:r w:rsidRPr="00230876">
        <w:rPr>
          <w:noProof/>
        </w:rPr>
        <w:t>Antriebstechnologien, auch Hyperschalltechnologien und Bauteile für die militärische Nutzung</w:t>
      </w:r>
    </w:p>
    <w:p w14:paraId="43CE8845" w14:textId="20DFE888" w:rsidR="006A23D4" w:rsidRPr="00230876" w:rsidRDefault="00115BA3" w:rsidP="00115BA3">
      <w:pPr>
        <w:pStyle w:val="Point10"/>
        <w:rPr>
          <w:noProof/>
        </w:rPr>
      </w:pPr>
      <w:r w:rsidRPr="00230876">
        <w:rPr>
          <w:noProof/>
        </w:rPr>
        <w:t>h.</w:t>
      </w:r>
      <w:r w:rsidRPr="00230876">
        <w:rPr>
          <w:noProof/>
        </w:rPr>
        <w:tab/>
        <w:t xml:space="preserve">Energietechnologien: </w:t>
      </w:r>
    </w:p>
    <w:p w14:paraId="654E95C2" w14:textId="77777777" w:rsidR="00E36985" w:rsidRPr="00230876" w:rsidRDefault="00867CE1" w:rsidP="003423BC">
      <w:pPr>
        <w:pStyle w:val="Bullet3"/>
        <w:rPr>
          <w:noProof/>
        </w:rPr>
      </w:pPr>
      <w:r w:rsidRPr="00230876">
        <w:rPr>
          <w:noProof/>
        </w:rPr>
        <w:t xml:space="preserve">Kernfusionstechnologien, Kernreaktoren und Erzeugung von Kernenergie, Technologien für Konversion, Anreicherung und Recycling von radioaktiven Materialien </w:t>
      </w:r>
    </w:p>
    <w:p w14:paraId="12D41363" w14:textId="77777777" w:rsidR="00E36985" w:rsidRPr="00230876" w:rsidRDefault="00867CE1" w:rsidP="003423BC">
      <w:pPr>
        <w:pStyle w:val="Bullet3"/>
        <w:rPr>
          <w:noProof/>
        </w:rPr>
      </w:pPr>
      <w:r w:rsidRPr="00230876">
        <w:rPr>
          <w:noProof/>
        </w:rPr>
        <w:t xml:space="preserve">Wasserstoff und neue Kraftstoffe </w:t>
      </w:r>
    </w:p>
    <w:p w14:paraId="6CF8839F" w14:textId="77777777" w:rsidR="00E36985" w:rsidRPr="00230876" w:rsidRDefault="00867CE1" w:rsidP="003423BC">
      <w:pPr>
        <w:pStyle w:val="Bullet3"/>
        <w:rPr>
          <w:noProof/>
        </w:rPr>
      </w:pPr>
      <w:r w:rsidRPr="00230876">
        <w:rPr>
          <w:noProof/>
        </w:rPr>
        <w:t xml:space="preserve">Netto-Null-Technologien einschließlich Fotovoltaik </w:t>
      </w:r>
    </w:p>
    <w:p w14:paraId="14DE4F9E" w14:textId="77777777" w:rsidR="00867CE1" w:rsidRPr="00230876" w:rsidRDefault="00867CE1" w:rsidP="0066433C">
      <w:pPr>
        <w:pStyle w:val="Bullet3"/>
        <w:rPr>
          <w:noProof/>
        </w:rPr>
      </w:pPr>
      <w:r w:rsidRPr="00230876">
        <w:rPr>
          <w:noProof/>
        </w:rPr>
        <w:t>Intelligente Stromnetze und Energiespeicherung, Batterien</w:t>
      </w:r>
    </w:p>
    <w:p w14:paraId="2FA126C2" w14:textId="59519DDB" w:rsidR="006A23D4" w:rsidRPr="00230876" w:rsidRDefault="00FE6FB0" w:rsidP="00FE6FB0">
      <w:pPr>
        <w:pStyle w:val="Point10"/>
        <w:rPr>
          <w:noProof/>
        </w:rPr>
      </w:pPr>
      <w:r w:rsidRPr="00230876">
        <w:rPr>
          <w:noProof/>
        </w:rPr>
        <w:t>i.</w:t>
      </w:r>
      <w:r w:rsidRPr="00230876">
        <w:rPr>
          <w:noProof/>
        </w:rPr>
        <w:tab/>
        <w:t>Robotik und autonome Systeme:</w:t>
      </w:r>
    </w:p>
    <w:p w14:paraId="5458A975" w14:textId="77777777" w:rsidR="00E36985" w:rsidRPr="00230876" w:rsidRDefault="002476A7" w:rsidP="003423BC">
      <w:pPr>
        <w:pStyle w:val="Bullet3"/>
        <w:rPr>
          <w:noProof/>
        </w:rPr>
      </w:pPr>
      <w:r w:rsidRPr="00230876">
        <w:rPr>
          <w:noProof/>
        </w:rPr>
        <w:t xml:space="preserve">Drohnen und Fahrzeuge (Luft- und Landfahrzeuge, Oberflächenwasserfahrzeuge und Unterwasserfahrzeuge) </w:t>
      </w:r>
    </w:p>
    <w:p w14:paraId="6869C432" w14:textId="77777777" w:rsidR="00E36985" w:rsidRPr="00230876" w:rsidRDefault="002476A7" w:rsidP="003423BC">
      <w:pPr>
        <w:pStyle w:val="Bullet3"/>
        <w:rPr>
          <w:noProof/>
        </w:rPr>
      </w:pPr>
      <w:r w:rsidRPr="00230876">
        <w:rPr>
          <w:noProof/>
        </w:rPr>
        <w:t xml:space="preserve">Roboter und robotergesteuerte Präzisionssysteme </w:t>
      </w:r>
    </w:p>
    <w:p w14:paraId="3C989213" w14:textId="77777777" w:rsidR="00E36985" w:rsidRPr="00230876" w:rsidRDefault="002476A7" w:rsidP="003423BC">
      <w:pPr>
        <w:pStyle w:val="Bullet3"/>
        <w:rPr>
          <w:noProof/>
        </w:rPr>
      </w:pPr>
      <w:r w:rsidRPr="00230876">
        <w:rPr>
          <w:noProof/>
        </w:rPr>
        <w:t>Exoskelette</w:t>
      </w:r>
    </w:p>
    <w:p w14:paraId="4428A98F" w14:textId="77777777" w:rsidR="002476A7" w:rsidRPr="00230876" w:rsidRDefault="002476A7" w:rsidP="0066433C">
      <w:pPr>
        <w:pStyle w:val="Bullet3"/>
        <w:rPr>
          <w:noProof/>
        </w:rPr>
      </w:pPr>
      <w:r w:rsidRPr="00230876">
        <w:rPr>
          <w:noProof/>
        </w:rPr>
        <w:t>KI-gestützte Systeme</w:t>
      </w:r>
    </w:p>
    <w:p w14:paraId="66FDB7CD" w14:textId="7E68004F" w:rsidR="00260D9F" w:rsidRPr="00230876" w:rsidRDefault="00115BA3" w:rsidP="00115BA3">
      <w:pPr>
        <w:pStyle w:val="Point10"/>
        <w:rPr>
          <w:noProof/>
        </w:rPr>
      </w:pPr>
      <w:r w:rsidRPr="00230876">
        <w:rPr>
          <w:noProof/>
        </w:rPr>
        <w:t>j.</w:t>
      </w:r>
      <w:r w:rsidRPr="00230876">
        <w:rPr>
          <w:noProof/>
        </w:rPr>
        <w:tab/>
        <w:t>Fortschrittliche Materialien sowie Fertigungs- und Recyclingtechnologien:</w:t>
      </w:r>
    </w:p>
    <w:p w14:paraId="2E81200C" w14:textId="77777777" w:rsidR="00E36985" w:rsidRPr="00230876" w:rsidRDefault="00E36985" w:rsidP="003423BC">
      <w:pPr>
        <w:pStyle w:val="Bullet3"/>
        <w:rPr>
          <w:noProof/>
        </w:rPr>
      </w:pPr>
      <w:r w:rsidRPr="00230876">
        <w:rPr>
          <w:noProof/>
        </w:rPr>
        <w:t xml:space="preserve">Technologien für Nanomaterialien, intelligente Werkstoffe, fortschrittliche keramische Werkstoffe, Stealth-Materialien, inhärent sichere und nachhaltige Materialien </w:t>
      </w:r>
    </w:p>
    <w:p w14:paraId="2AB72768" w14:textId="77777777" w:rsidR="00E36985" w:rsidRPr="00230876" w:rsidRDefault="002476A7" w:rsidP="003423BC">
      <w:pPr>
        <w:pStyle w:val="Bullet3"/>
        <w:rPr>
          <w:noProof/>
        </w:rPr>
      </w:pPr>
      <w:r w:rsidRPr="00230876">
        <w:rPr>
          <w:noProof/>
        </w:rPr>
        <w:t xml:space="preserve">Additive Fertigung, auch im Einsatz </w:t>
      </w:r>
    </w:p>
    <w:p w14:paraId="4F6F795A" w14:textId="77777777" w:rsidR="00E36985" w:rsidRPr="00230876" w:rsidRDefault="002476A7" w:rsidP="003423BC">
      <w:pPr>
        <w:pStyle w:val="Bullet3"/>
        <w:rPr>
          <w:noProof/>
        </w:rPr>
      </w:pPr>
      <w:r w:rsidRPr="00230876">
        <w:rPr>
          <w:noProof/>
        </w:rPr>
        <w:t xml:space="preserve">Digital gesteuerte Mikropräzisionsfertigung und Laserbearbeitung und </w:t>
      </w:r>
      <w:r w:rsidRPr="00230876">
        <w:rPr>
          <w:noProof/>
        </w:rPr>
        <w:noBreakHyphen/>
        <w:t xml:space="preserve">schweißen im Kleinmaßstab </w:t>
      </w:r>
    </w:p>
    <w:p w14:paraId="028F50DC" w14:textId="77777777" w:rsidR="002476A7" w:rsidRPr="00230876" w:rsidRDefault="002476A7" w:rsidP="0066433C">
      <w:pPr>
        <w:pStyle w:val="Bullet3"/>
        <w:rPr>
          <w:noProof/>
        </w:rPr>
      </w:pPr>
      <w:r w:rsidRPr="00230876">
        <w:rPr>
          <w:noProof/>
        </w:rPr>
        <w:t>Technologien für Gewinnung, Verarbeitung und Recycling kritischer Rohstoffe (einschließlich hydrometallurgischer Gewinnung, Biolaugung, nanotechnologiegestützter Filterung, elektrochemischer Verarbeitung und schwarzer Masse)</w:t>
      </w:r>
    </w:p>
    <w:p w14:paraId="4F1DAF42" w14:textId="0D91D441" w:rsidR="0012180F" w:rsidRPr="00230876" w:rsidRDefault="009C6A69" w:rsidP="009C6A69">
      <w:pPr>
        <w:pStyle w:val="Point0"/>
        <w:rPr>
          <w:noProof/>
        </w:rPr>
      </w:pPr>
      <w:r w:rsidRPr="00230876">
        <w:rPr>
          <w:noProof/>
        </w:rPr>
        <w:t>4.</w:t>
      </w:r>
      <w:r w:rsidRPr="00230876">
        <w:rPr>
          <w:noProof/>
        </w:rPr>
        <w:tab/>
        <w:t xml:space="preserve">Gelistete kritische Arzneimittel: Humanarzneimittel, die für das ordnungsgemäße Funktionieren des EU-Gesundheitssystems von wesentlicher Bedeutung sind und bei denen Engpässe zu einer Unterbrechung der Behandlung und damit zu einem ernsthaften Schaden für die Patienten führen würden, und die in der </w:t>
      </w:r>
      <w:hyperlink r:id="rId63" w:anchor="ema-inpage-item-64278" w:history="1">
        <w:r w:rsidRPr="00230876">
          <w:rPr>
            <w:rStyle w:val="Hyperlink"/>
            <w:noProof/>
          </w:rPr>
          <w:t>Unionsliste kritischer Arzneimittel</w:t>
        </w:r>
      </w:hyperlink>
      <w:r w:rsidRPr="00230876">
        <w:rPr>
          <w:rStyle w:val="FootnoteReference"/>
          <w:noProof/>
          <w:color w:val="0000FF"/>
          <w:u w:val="single"/>
        </w:rPr>
        <w:footnoteReference w:id="3"/>
      </w:r>
      <w:r w:rsidRPr="00230876">
        <w:rPr>
          <w:noProof/>
        </w:rPr>
        <w:t xml:space="preserve"> aufgeführt sind. </w:t>
      </w:r>
    </w:p>
    <w:p w14:paraId="40D95EAE" w14:textId="19E66ECB" w:rsidR="0033124D" w:rsidRPr="00230876" w:rsidRDefault="009C6A69" w:rsidP="009C6A69">
      <w:pPr>
        <w:pStyle w:val="Point0"/>
        <w:rPr>
          <w:noProof/>
        </w:rPr>
      </w:pPr>
      <w:r w:rsidRPr="00230876">
        <w:rPr>
          <w:noProof/>
        </w:rPr>
        <w:t>5.</w:t>
      </w:r>
      <w:r w:rsidRPr="00230876">
        <w:rPr>
          <w:noProof/>
        </w:rPr>
        <w:tab/>
        <w:t>Die folgenden kritischen Einrichtungen und Tätigkeiten im Finanzsystem der Union: zentrale Gegenparteien</w:t>
      </w:r>
      <w:r w:rsidRPr="00230876">
        <w:rPr>
          <w:rStyle w:val="FootnoteReference"/>
          <w:noProof/>
        </w:rPr>
        <w:footnoteReference w:id="4"/>
      </w:r>
      <w:r w:rsidRPr="00230876">
        <w:rPr>
          <w:noProof/>
        </w:rPr>
        <w:t>, Zahlungssysteme und Zahlungsinstitute</w:t>
      </w:r>
      <w:r w:rsidRPr="00230876">
        <w:rPr>
          <w:rStyle w:val="FootnoteReference"/>
          <w:noProof/>
        </w:rPr>
        <w:footnoteReference w:id="5"/>
      </w:r>
      <w:r w:rsidRPr="00230876">
        <w:rPr>
          <w:noProof/>
        </w:rPr>
        <w:t>, E-Geld-Institute</w:t>
      </w:r>
      <w:r w:rsidRPr="00230876">
        <w:rPr>
          <w:rStyle w:val="FootnoteReference"/>
          <w:noProof/>
        </w:rPr>
        <w:footnoteReference w:id="6"/>
      </w:r>
      <w:r w:rsidRPr="00230876">
        <w:rPr>
          <w:noProof/>
        </w:rPr>
        <w:t>, Marktbetreiber und Wertpapierfirmen,</w:t>
      </w:r>
      <w:r w:rsidRPr="00230876">
        <w:rPr>
          <w:b/>
          <w:bCs/>
          <w:noProof/>
        </w:rPr>
        <w:t xml:space="preserve"> </w:t>
      </w:r>
      <w:r w:rsidRPr="00230876">
        <w:rPr>
          <w:noProof/>
        </w:rPr>
        <w:t>die ein multilaterales Handelssystem oder ein organisiertes Handelssystem betreiben</w:t>
      </w:r>
      <w:r w:rsidRPr="00230876">
        <w:rPr>
          <w:rStyle w:val="FootnoteReference"/>
          <w:noProof/>
        </w:rPr>
        <w:footnoteReference w:id="7"/>
      </w:r>
      <w:r w:rsidRPr="00230876">
        <w:rPr>
          <w:noProof/>
        </w:rPr>
        <w:t>, Zentralverwahrer</w:t>
      </w:r>
      <w:r w:rsidRPr="00230876">
        <w:rPr>
          <w:rStyle w:val="FootnoteReference"/>
          <w:noProof/>
        </w:rPr>
        <w:footnoteReference w:id="8"/>
      </w:r>
      <w:r w:rsidRPr="00230876">
        <w:rPr>
          <w:noProof/>
        </w:rPr>
        <w:t>, signifikante Emittenten wertreferenzierter Token oder E-Geld-Token und Anbieter von Krypto-Dienstleistungen, die Handelsplattformen für Kryptowerte betreiben</w:t>
      </w:r>
      <w:r w:rsidRPr="00230876">
        <w:rPr>
          <w:rStyle w:val="FootnoteReference"/>
          <w:noProof/>
        </w:rPr>
        <w:footnoteReference w:id="9"/>
      </w:r>
      <w:r w:rsidRPr="00230876">
        <w:rPr>
          <w:noProof/>
        </w:rPr>
        <w:t>, große Institute</w:t>
      </w:r>
      <w:r w:rsidRPr="00230876">
        <w:rPr>
          <w:rStyle w:val="FootnoteReference"/>
          <w:noProof/>
        </w:rPr>
        <w:footnoteReference w:id="10"/>
      </w:r>
      <w:r w:rsidRPr="00230876">
        <w:rPr>
          <w:noProof/>
        </w:rPr>
        <w:t>, globale Anbieter spezialisierter Nachrichtenübermittlungsdienste und benannte kritische IKT-Drittdienstleister</w:t>
      </w:r>
      <w:r w:rsidRPr="00230876">
        <w:rPr>
          <w:rStyle w:val="FootnoteReference"/>
          <w:noProof/>
        </w:rPr>
        <w:footnoteReference w:id="11"/>
      </w:r>
      <w:r w:rsidRPr="00230876">
        <w:rPr>
          <w:noProof/>
        </w:rPr>
        <w:t>.</w:t>
      </w:r>
    </w:p>
    <w:sectPr w:rsidR="0033124D" w:rsidRPr="00230876" w:rsidSect="004F2ADA">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FE3F1" w14:textId="77777777" w:rsidR="0086583F" w:rsidRDefault="0086583F" w:rsidP="00455B3D">
      <w:pPr>
        <w:spacing w:before="0" w:after="0"/>
      </w:pPr>
      <w:r>
        <w:separator/>
      </w:r>
    </w:p>
  </w:endnote>
  <w:endnote w:type="continuationSeparator" w:id="0">
    <w:p w14:paraId="23B1AB1D" w14:textId="77777777" w:rsidR="0086583F" w:rsidRDefault="0086583F" w:rsidP="00455B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D9C8" w14:textId="6D13D48F" w:rsidR="004F2ADA" w:rsidRPr="004F2ADA" w:rsidRDefault="004F2ADA" w:rsidP="004F2ADA">
    <w:pPr>
      <w:pStyle w:val="Footer"/>
      <w:rPr>
        <w:rFonts w:ascii="Arial" w:hAnsi="Arial" w:cs="Arial"/>
        <w:b/>
        <w:sz w:val="48"/>
      </w:rPr>
    </w:pPr>
    <w:r w:rsidRPr="004F2ADA">
      <w:rPr>
        <w:rFonts w:ascii="Arial" w:hAnsi="Arial" w:cs="Arial"/>
        <w:b/>
        <w:sz w:val="48"/>
      </w:rPr>
      <w:t>DE</w:t>
    </w:r>
    <w:r w:rsidRPr="004F2ADA">
      <w:rPr>
        <w:rFonts w:ascii="Arial" w:hAnsi="Arial" w:cs="Arial"/>
        <w:b/>
        <w:sz w:val="48"/>
      </w:rPr>
      <w:tab/>
    </w:r>
    <w:r w:rsidRPr="004F2ADA">
      <w:rPr>
        <w:rFonts w:ascii="Arial" w:hAnsi="Arial" w:cs="Arial"/>
        <w:b/>
        <w:sz w:val="48"/>
      </w:rPr>
      <w:tab/>
    </w:r>
    <w:r w:rsidRPr="004F2ADA">
      <w:tab/>
    </w:r>
    <w:r w:rsidRPr="004F2ADA">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D395C" w14:textId="37D17F77" w:rsidR="004F2ADA" w:rsidRPr="004F2ADA" w:rsidRDefault="004F2ADA" w:rsidP="004F2ADA">
    <w:pPr>
      <w:pStyle w:val="Footer"/>
      <w:rPr>
        <w:rFonts w:ascii="Arial" w:hAnsi="Arial" w:cs="Arial"/>
        <w:b/>
        <w:sz w:val="48"/>
      </w:rPr>
    </w:pPr>
    <w:r w:rsidRPr="004F2ADA">
      <w:rPr>
        <w:rFonts w:ascii="Arial" w:hAnsi="Arial" w:cs="Arial"/>
        <w:b/>
        <w:sz w:val="48"/>
      </w:rPr>
      <w:t>DE</w:t>
    </w:r>
    <w:r w:rsidRPr="004F2ADA">
      <w:rPr>
        <w:rFonts w:ascii="Arial" w:hAnsi="Arial" w:cs="Arial"/>
        <w:b/>
        <w:sz w:val="48"/>
      </w:rPr>
      <w:tab/>
    </w:r>
    <w:r w:rsidRPr="004F2ADA">
      <w:rPr>
        <w:rFonts w:ascii="Arial" w:hAnsi="Arial" w:cs="Arial"/>
        <w:b/>
        <w:sz w:val="48"/>
      </w:rPr>
      <w:tab/>
    </w:r>
    <w:r w:rsidRPr="004F2ADA">
      <w:tab/>
    </w:r>
    <w:r w:rsidRPr="004F2ADA">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BD950" w14:textId="77777777" w:rsidR="004F2ADA" w:rsidRPr="004F2ADA" w:rsidRDefault="004F2ADA" w:rsidP="004F2A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25A5F" w14:textId="77777777" w:rsidR="004F2ADA" w:rsidRDefault="004F2A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F6BCF" w14:textId="4A0C73C0" w:rsidR="004F2ADA" w:rsidRPr="004F2ADA" w:rsidRDefault="004F2ADA" w:rsidP="004F2ADA">
    <w:pPr>
      <w:pStyle w:val="Footer"/>
      <w:rPr>
        <w:rFonts w:ascii="Arial" w:hAnsi="Arial" w:cs="Arial"/>
        <w:b/>
        <w:sz w:val="48"/>
      </w:rPr>
    </w:pPr>
    <w:r w:rsidRPr="004F2ADA">
      <w:rPr>
        <w:rFonts w:ascii="Arial" w:hAnsi="Arial" w:cs="Arial"/>
        <w:b/>
        <w:sz w:val="48"/>
      </w:rPr>
      <w:t>DE</w:t>
    </w:r>
    <w:r w:rsidRPr="004F2AD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F2ADA">
      <w:tab/>
    </w:r>
    <w:r w:rsidRPr="004F2ADA">
      <w:rPr>
        <w:rFonts w:ascii="Arial" w:hAnsi="Arial" w:cs="Arial"/>
        <w:b/>
        <w:sz w:val="48"/>
      </w:rPr>
      <w:t>DE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EF3F" w14:textId="77777777" w:rsidR="004F2ADA" w:rsidRDefault="004F2ADA" w:rsidP="004F2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DE599" w14:textId="77777777" w:rsidR="0086583F" w:rsidRDefault="0086583F" w:rsidP="00455B3D">
      <w:pPr>
        <w:spacing w:before="0" w:after="0"/>
      </w:pPr>
      <w:r>
        <w:separator/>
      </w:r>
    </w:p>
  </w:footnote>
  <w:footnote w:type="continuationSeparator" w:id="0">
    <w:p w14:paraId="7D732449" w14:textId="77777777" w:rsidR="0086583F" w:rsidRDefault="0086583F" w:rsidP="00455B3D">
      <w:pPr>
        <w:spacing w:before="0" w:after="0"/>
      </w:pPr>
      <w:r>
        <w:continuationSeparator/>
      </w:r>
    </w:p>
  </w:footnote>
  <w:footnote w:id="1">
    <w:p w14:paraId="7E30D24A" w14:textId="77777777" w:rsidR="00FE50F6" w:rsidRPr="00230876" w:rsidRDefault="00FE50F6">
      <w:pPr>
        <w:pStyle w:val="FootnoteText"/>
      </w:pPr>
      <w:r>
        <w:rPr>
          <w:rStyle w:val="FootnoteReference"/>
        </w:rPr>
        <w:footnoteRef/>
      </w:r>
      <w:r w:rsidRPr="00230876">
        <w:tab/>
        <w:t>Die Verordnung (EU) Nr. 283/2014 wird in Anbetracht des Artikels 27 Absatz 2 der Verordnung (EU) 2021/1153 zur Schaffung der Fazilität „Connecting Europe“ und zur Aufhebung der Verordnungen (EU) Nr. 1316/2013 und (EU) Nr. 283/2014 in diesem Anhang beibehalten.</w:t>
      </w:r>
    </w:p>
  </w:footnote>
  <w:footnote w:id="2">
    <w:p w14:paraId="32005C97" w14:textId="77777777" w:rsidR="00084711" w:rsidRPr="00230876" w:rsidRDefault="00084711">
      <w:pPr>
        <w:pStyle w:val="FootnoteText"/>
      </w:pPr>
      <w:r>
        <w:rPr>
          <w:rStyle w:val="FootnoteReference"/>
        </w:rPr>
        <w:footnoteRef/>
      </w:r>
      <w:r w:rsidRPr="00230876">
        <w:tab/>
      </w:r>
      <w:hyperlink r:id="rId1" w:history="1">
        <w:r w:rsidRPr="00230876">
          <w:rPr>
            <w:rStyle w:val="Hyperlink"/>
          </w:rPr>
          <w:t>https://competition-policy.ec.europa.eu/state-aid/ipcei/approved-ipceis_en</w:t>
        </w:r>
      </w:hyperlink>
      <w:r w:rsidRPr="00230876">
        <w:t xml:space="preserve"> </w:t>
      </w:r>
    </w:p>
  </w:footnote>
  <w:footnote w:id="3">
    <w:p w14:paraId="52ECE27F" w14:textId="77777777" w:rsidR="00866524" w:rsidRPr="00230876" w:rsidRDefault="00866524">
      <w:pPr>
        <w:pStyle w:val="FootnoteText"/>
      </w:pPr>
      <w:r>
        <w:rPr>
          <w:rStyle w:val="FootnoteReference"/>
        </w:rPr>
        <w:footnoteRef/>
      </w:r>
      <w:r w:rsidRPr="00230876">
        <w:tab/>
        <w:t xml:space="preserve">Unionsliste kritischer Arzneimittel </w:t>
      </w:r>
      <w:hyperlink r:id="rId2" w:anchor="ema-inpage-item-64278" w:history="1">
        <w:r w:rsidRPr="00230876">
          <w:rPr>
            <w:rStyle w:val="Hyperlink"/>
          </w:rPr>
          <w:t>https://www.ema.europa.eu/en/human-regulatory-overview/post-authorisation/medicine-shortages-and-availability-issues/availability-critical-medicines#ema-inpage-item-64278</w:t>
        </w:r>
      </w:hyperlink>
      <w:r w:rsidRPr="00230876">
        <w:t xml:space="preserve">. </w:t>
      </w:r>
    </w:p>
  </w:footnote>
  <w:footnote w:id="4">
    <w:p w14:paraId="64BA1394" w14:textId="77777777" w:rsidR="006E7705" w:rsidRPr="00230876" w:rsidRDefault="006E7705">
      <w:pPr>
        <w:pStyle w:val="FootnoteText"/>
      </w:pPr>
      <w:r>
        <w:rPr>
          <w:rStyle w:val="FootnoteReference"/>
        </w:rPr>
        <w:footnoteRef/>
      </w:r>
      <w:r w:rsidRPr="00230876">
        <w:tab/>
        <w:t>Artikel 2 Absatz 1 der Verordnung (EU) Nr. 648/2012 des Europäischen Parlaments und des Rates vom 4. Juli 2012 über OTC-Derivate, zentrale Gegenparteien und Transaktionsregister (</w:t>
      </w:r>
      <w:hyperlink r:id="rId3" w:history="1">
        <w:r w:rsidRPr="00230876">
          <w:rPr>
            <w:rStyle w:val="Hyperlink"/>
          </w:rPr>
          <w:t>ABl. L 201 vom 27.7.2012, S. 1,</w:t>
        </w:r>
      </w:hyperlink>
      <w:r w:rsidRPr="00230876">
        <w:t xml:space="preserve"> ELI: </w:t>
      </w:r>
      <w:hyperlink r:id="rId4" w:tooltip="Ermöglicht den Zugriff auf dieses Dokument über seinen ELI-URI." w:history="1">
        <w:r w:rsidRPr="00230876">
          <w:rPr>
            <w:rStyle w:val="Hyperlink"/>
          </w:rPr>
          <w:t>http://data.europa.eu/eli/reg/2012/648/oj</w:t>
        </w:r>
      </w:hyperlink>
      <w:r w:rsidRPr="00230876">
        <w:t xml:space="preserve">. </w:t>
      </w:r>
    </w:p>
  </w:footnote>
  <w:footnote w:id="5">
    <w:p w14:paraId="518DEEC1" w14:textId="77777777" w:rsidR="0071147F" w:rsidRPr="00230876" w:rsidRDefault="0071147F" w:rsidP="0071147F">
      <w:pPr>
        <w:pStyle w:val="FootnoteText"/>
      </w:pPr>
      <w:r>
        <w:rPr>
          <w:rStyle w:val="FootnoteReference"/>
        </w:rPr>
        <w:footnoteRef/>
      </w:r>
      <w:r w:rsidRPr="00230876">
        <w:tab/>
        <w:t>Artikel 4 Absatz 7 und Artikel 4 Absatz 4 der Richtlinie (EU) 2015/2366 des Europäischen Parlaments und des Rates vom 25. November 2015 über Zahlungsdienste im Binnenmarkt, zur Änderung der Richtlinien 2002/65/EG, 2009/110/EG und 2013/36/EU und der Verordnung (EU) Nr. 1093/2010 sowie zur Aufhebung der Richtlinie 2007/64/EG (</w:t>
      </w:r>
      <w:hyperlink r:id="rId5" w:history="1">
        <w:r w:rsidRPr="00230876">
          <w:rPr>
            <w:rStyle w:val="Hyperlink"/>
          </w:rPr>
          <w:t xml:space="preserve">ABl. L 337 vom 23.12.2015, S. 35, </w:t>
        </w:r>
      </w:hyperlink>
      <w:r w:rsidRPr="00230876">
        <w:t xml:space="preserve">ELI: </w:t>
      </w:r>
      <w:hyperlink r:id="rId6" w:tooltip="Ermöglicht den Zugriff auf dieses Dokument über seinen ELI-URI." w:history="1">
        <w:r w:rsidRPr="00230876">
          <w:rPr>
            <w:rStyle w:val="Hyperlink"/>
          </w:rPr>
          <w:t>http://data.europa.eu/eli/dir/2015/2366/oj</w:t>
        </w:r>
      </w:hyperlink>
      <w:r w:rsidRPr="00230876">
        <w:t>.</w:t>
      </w:r>
    </w:p>
  </w:footnote>
  <w:footnote w:id="6">
    <w:p w14:paraId="4D0D41B9" w14:textId="77777777" w:rsidR="0071147F" w:rsidRPr="00230876" w:rsidRDefault="0071147F">
      <w:pPr>
        <w:pStyle w:val="FootnoteText"/>
      </w:pPr>
      <w:r>
        <w:rPr>
          <w:rStyle w:val="FootnoteReference"/>
        </w:rPr>
        <w:footnoteRef/>
      </w:r>
      <w:r w:rsidRPr="00230876">
        <w:tab/>
        <w:t>Artikel 2 Absatz 1 der Richtlinie 2009/110/EG des Europäischen Parlaments und des Rates vom 16. September 2009 über die Aufnahme, Ausübung und Beaufsichtigung der Tätigkeit von E-Geld-Instituten, zur Änderung der Richtlinien 2005/60/EG und 2006/48/EG sowie zur Aufhebung der Richtlinie 2000/46/EG (</w:t>
      </w:r>
      <w:hyperlink r:id="rId7" w:history="1">
        <w:r w:rsidRPr="00230876">
          <w:rPr>
            <w:rStyle w:val="Hyperlink"/>
          </w:rPr>
          <w:t>ABl. L 267 vom 10.10.2009, S. 7</w:t>
        </w:r>
      </w:hyperlink>
      <w:r w:rsidRPr="00230876">
        <w:t xml:space="preserve">, ELI: </w:t>
      </w:r>
      <w:hyperlink r:id="rId8" w:tooltip="Ermöglicht den Zugriff auf dieses Dokument über seinen ELI-URI." w:history="1">
        <w:r w:rsidRPr="00230876">
          <w:rPr>
            <w:rStyle w:val="Hyperlink"/>
          </w:rPr>
          <w:t>http://data.europa.eu/eli/dir/2009/110/oj</w:t>
        </w:r>
      </w:hyperlink>
      <w:r w:rsidRPr="00230876">
        <w:t>.</w:t>
      </w:r>
    </w:p>
  </w:footnote>
  <w:footnote w:id="7">
    <w:p w14:paraId="109F275C" w14:textId="77777777" w:rsidR="0071147F" w:rsidRPr="00230876" w:rsidRDefault="0071147F">
      <w:pPr>
        <w:pStyle w:val="FootnoteText"/>
      </w:pPr>
      <w:r>
        <w:rPr>
          <w:rStyle w:val="FootnoteReference"/>
        </w:rPr>
        <w:footnoteRef/>
      </w:r>
      <w:r w:rsidRPr="00230876">
        <w:tab/>
        <w:t>Artikel 4 Absatz 1 Nummer 18 der Richtlinie 2014/65/EU des Europäischen Parlaments und des Rates vom 15. Mai 2014 über Märkte für Finanzinstrumente sowie zur Änderung der Richtlinien 2002/92/EG und 2011/61/EU (</w:t>
      </w:r>
      <w:hyperlink r:id="rId9" w:history="1">
        <w:r w:rsidRPr="00230876">
          <w:rPr>
            <w:rStyle w:val="Hyperlink"/>
          </w:rPr>
          <w:t>ABl. L 173 vom 12.6.2014, S. 349,</w:t>
        </w:r>
      </w:hyperlink>
      <w:r w:rsidRPr="00230876">
        <w:t xml:space="preserve"> ELI: </w:t>
      </w:r>
      <w:hyperlink r:id="rId10" w:tooltip="Ermöglicht den Zugriff auf dieses Dokument über seinen ELI-URI." w:history="1">
        <w:r w:rsidRPr="00230876">
          <w:rPr>
            <w:rStyle w:val="Hyperlink"/>
          </w:rPr>
          <w:t>http://data.europa.eu/eli/dir/2014/65/oj</w:t>
        </w:r>
      </w:hyperlink>
      <w:r w:rsidRPr="00230876">
        <w:t>).</w:t>
      </w:r>
    </w:p>
  </w:footnote>
  <w:footnote w:id="8">
    <w:p w14:paraId="44B59D08" w14:textId="77777777" w:rsidR="00692DAC" w:rsidRPr="00230876" w:rsidRDefault="00692DAC">
      <w:pPr>
        <w:pStyle w:val="FootnoteText"/>
      </w:pPr>
      <w:r>
        <w:rPr>
          <w:rStyle w:val="FootnoteReference"/>
        </w:rPr>
        <w:footnoteRef/>
      </w:r>
      <w:r w:rsidRPr="00230876">
        <w:tab/>
        <w:t xml:space="preserve">Artikel 2 Absatz 1 Nummer 1 der Verordnung (EU) Nr. 909/2014 des Europäischen Parlaments und des Rates vom 23. Juli 2014 zur Verbesserung der Wertpapierlieferungen und </w:t>
      </w:r>
      <w:r w:rsidRPr="00230876">
        <w:noBreakHyphen/>
        <w:t>abrechnungen in der Europäischen Union und über Zentralverwahrer sowie zur Änderung der Richtlinien 98/26/EG und 2014/65/EU und der Verordnung (EU) Nr. 236/2012 (</w:t>
      </w:r>
      <w:hyperlink r:id="rId11" w:history="1">
        <w:r w:rsidRPr="00230876">
          <w:rPr>
            <w:rStyle w:val="Hyperlink"/>
          </w:rPr>
          <w:t>ABl. L 257 vom 28.8.2014, S. 1</w:t>
        </w:r>
      </w:hyperlink>
      <w:r w:rsidRPr="00230876">
        <w:t xml:space="preserve">, ELI: </w:t>
      </w:r>
      <w:hyperlink r:id="rId12" w:tooltip="Ermöglicht den Zugriff auf dieses Dokument über seinen ELI-URI." w:history="1">
        <w:r w:rsidRPr="00230876">
          <w:rPr>
            <w:rStyle w:val="Hyperlink"/>
          </w:rPr>
          <w:t>http://data.europa.eu/eli/reg/2014/909/oj</w:t>
        </w:r>
      </w:hyperlink>
      <w:r w:rsidRPr="00230876">
        <w:t>).</w:t>
      </w:r>
    </w:p>
  </w:footnote>
  <w:footnote w:id="9">
    <w:p w14:paraId="065626FC" w14:textId="77777777" w:rsidR="00C37034" w:rsidRPr="00230876" w:rsidRDefault="00C37034">
      <w:pPr>
        <w:pStyle w:val="FootnoteText"/>
      </w:pPr>
      <w:r>
        <w:rPr>
          <w:rStyle w:val="FootnoteReference"/>
        </w:rPr>
        <w:footnoteRef/>
      </w:r>
      <w:r w:rsidRPr="00230876">
        <w:tab/>
        <w:t>Artikel 3 Absatz 1 Nummern 6, 7, 10, 15 und 18 der Verordnung (EU) 2023/1114 des Europäischen Parlaments und des Rates vom 31. Mai 2023 über Märkte für Kryptowerte und zur Änderung der Verordnungen (EU) Nr. 1093/2010 und (EU) Nr. 1095/2010 sowie der Richtlinien 2013/36/EU und (EU) 2019/1937 (</w:t>
      </w:r>
      <w:hyperlink r:id="rId13" w:history="1">
        <w:r w:rsidRPr="00230876">
          <w:rPr>
            <w:rStyle w:val="Hyperlink"/>
          </w:rPr>
          <w:t>ABl. L 150 vom 9.6.2023, S. 40</w:t>
        </w:r>
      </w:hyperlink>
      <w:r w:rsidRPr="00230876">
        <w:t>, ELI:</w:t>
      </w:r>
      <w:r w:rsidRPr="00230876">
        <w:rPr>
          <w:sz w:val="24"/>
        </w:rPr>
        <w:t xml:space="preserve"> </w:t>
      </w:r>
      <w:hyperlink r:id="rId14" w:tooltip="Ermöglicht den Zugriff auf dieses Dokument über seinen ELI-URI." w:history="1">
        <w:r w:rsidRPr="00230876">
          <w:rPr>
            <w:rStyle w:val="Hyperlink"/>
          </w:rPr>
          <w:t>http://data.europa.eu/eli/reg/2023/1114/oj</w:t>
        </w:r>
      </w:hyperlink>
      <w:r w:rsidRPr="00230876">
        <w:t xml:space="preserve">). </w:t>
      </w:r>
    </w:p>
  </w:footnote>
  <w:footnote w:id="10">
    <w:p w14:paraId="32223451" w14:textId="77777777" w:rsidR="00970E5B" w:rsidRPr="00230876" w:rsidRDefault="00970E5B">
      <w:pPr>
        <w:pStyle w:val="FootnoteText"/>
      </w:pPr>
      <w:r>
        <w:rPr>
          <w:rStyle w:val="FootnoteReference"/>
        </w:rPr>
        <w:footnoteRef/>
      </w:r>
      <w:r w:rsidRPr="00230876">
        <w:tab/>
        <w:t>Artikel 4 Absatz 1 Nummer 146 der Verordnung (EU) Nr. 575/2013 des Europäischen Parlaments und des Rates vom 26. Juni 2013 über Aufsichtsanforderungen an Kreditinstitute und zur Änderung der Verordnung (EU) Nr. 648/2012 (</w:t>
      </w:r>
      <w:hyperlink r:id="rId15" w:history="1">
        <w:r w:rsidRPr="00230876">
          <w:rPr>
            <w:rStyle w:val="Hyperlink"/>
          </w:rPr>
          <w:t>ABl. L 176 vom 27.6.2013, S. 1</w:t>
        </w:r>
      </w:hyperlink>
      <w:r w:rsidRPr="00230876">
        <w:t xml:space="preserve">, ELI: </w:t>
      </w:r>
      <w:hyperlink r:id="rId16" w:tooltip="Ermöglicht den Zugriff auf dieses Dokument über seinen ELI-URI." w:history="1">
        <w:r w:rsidRPr="00230876">
          <w:rPr>
            <w:rStyle w:val="Hyperlink"/>
          </w:rPr>
          <w:t>http://data.europa.eu/eli/reg/2013/575/oj</w:t>
        </w:r>
      </w:hyperlink>
      <w:r w:rsidRPr="00230876">
        <w:t>).</w:t>
      </w:r>
    </w:p>
  </w:footnote>
  <w:footnote w:id="11">
    <w:p w14:paraId="653DC5B0" w14:textId="77777777" w:rsidR="00A01FFD" w:rsidRPr="00230876" w:rsidRDefault="00970E5B" w:rsidP="00293738">
      <w:pPr>
        <w:pStyle w:val="FootnoteText"/>
      </w:pPr>
      <w:r>
        <w:rPr>
          <w:rStyle w:val="FootnoteReference"/>
        </w:rPr>
        <w:footnoteRef/>
      </w:r>
      <w:r w:rsidRPr="00230876">
        <w:tab/>
        <w:t>Artikel 3 Absatz 23 der Verordnung (EU) 2022/2554 des Europäischen Parlaments und des Rates vom 14. Dezember 2022 über die Betriebsstabilität digitaler Systeme im Finanzsektor und zur Änderung der Verordnungen (EG) Nr. 1060/2009, (EU) Nr. 648/2012, (EU) Nr. 600/2014, (EU) Nr. 909/2014 und (EU) 2016/1011 (</w:t>
      </w:r>
      <w:hyperlink r:id="rId17" w:history="1">
        <w:r w:rsidRPr="00230876">
          <w:rPr>
            <w:rStyle w:val="Hyperlink"/>
          </w:rPr>
          <w:t>ABl. L 333 vom 27.12.2022, S. 1</w:t>
        </w:r>
      </w:hyperlink>
      <w:r w:rsidRPr="00230876">
        <w:t xml:space="preserve">, ELI: </w:t>
      </w:r>
      <w:hyperlink r:id="rId18" w:tooltip="Ermöglicht den Zugriff auf dieses Dokument über seinen ELI-URI." w:history="1">
        <w:r w:rsidRPr="00230876">
          <w:rPr>
            <w:rStyle w:val="Hyperlink"/>
          </w:rPr>
          <w:t>http://data.europa.eu/eli/reg/2022/2554/oj</w:t>
        </w:r>
      </w:hyperlink>
      <w:r w:rsidRPr="0023087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9BF77" w14:textId="77777777" w:rsidR="004F2ADA" w:rsidRPr="004F2ADA" w:rsidRDefault="004F2ADA" w:rsidP="004F2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95F8" w14:textId="77777777" w:rsidR="004F2ADA" w:rsidRPr="004F2ADA" w:rsidRDefault="004F2ADA" w:rsidP="004F2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E1963" w14:textId="77777777" w:rsidR="004F2ADA" w:rsidRPr="004F2ADA" w:rsidRDefault="004F2ADA" w:rsidP="004F2A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2E548" w14:textId="77777777" w:rsidR="004F2ADA" w:rsidRDefault="004F2A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DB59" w14:textId="77777777" w:rsidR="004F2ADA" w:rsidRDefault="004F2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35CF68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2E6259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4B4821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84A2BE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16"/>
  </w:num>
  <w:num w:numId="9">
    <w:abstractNumId w:val="8"/>
  </w:num>
  <w:num w:numId="10">
    <w:abstractNumId w:val="18"/>
  </w:num>
  <w:num w:numId="11">
    <w:abstractNumId w:val="7"/>
  </w:num>
  <w:num w:numId="12">
    <w:abstractNumId w:val="9"/>
  </w:num>
  <w:num w:numId="13">
    <w:abstractNumId w:val="10"/>
  </w:num>
  <w:num w:numId="14">
    <w:abstractNumId w:val="5"/>
  </w:num>
  <w:num w:numId="15">
    <w:abstractNumId w:val="17"/>
  </w:num>
  <w:num w:numId="16">
    <w:abstractNumId w:val="4"/>
  </w:num>
  <w:num w:numId="17">
    <w:abstractNumId w:val="11"/>
  </w:num>
  <w:num w:numId="18">
    <w:abstractNumId w:val="14"/>
  </w:num>
  <w:num w:numId="19">
    <w:abstractNumId w:val="15"/>
  </w:num>
  <w:num w:numId="20">
    <w:abstractNumId w:val="6"/>
  </w:num>
  <w:num w:numId="21">
    <w:abstractNumId w:val="13"/>
  </w:num>
  <w:num w:numId="22">
    <w:abstractNumId w:val="19"/>
  </w:num>
  <w:num w:numId="23">
    <w:abstractNumId w:val="16"/>
  </w:num>
  <w:num w:numId="24">
    <w:abstractNumId w:val="8"/>
  </w:num>
  <w:num w:numId="25">
    <w:abstractNumId w:val="18"/>
  </w:num>
  <w:num w:numId="26">
    <w:abstractNumId w:val="7"/>
  </w:num>
  <w:num w:numId="27">
    <w:abstractNumId w:val="9"/>
  </w:num>
  <w:num w:numId="28">
    <w:abstractNumId w:val="10"/>
  </w:num>
  <w:num w:numId="29">
    <w:abstractNumId w:val="5"/>
  </w:num>
  <w:num w:numId="30">
    <w:abstractNumId w:val="17"/>
  </w:num>
  <w:num w:numId="31">
    <w:abstractNumId w:val="4"/>
  </w:num>
  <w:num w:numId="32">
    <w:abstractNumId w:val="11"/>
  </w:num>
  <w:num w:numId="33">
    <w:abstractNumId w:val="14"/>
  </w:num>
  <w:num w:numId="34">
    <w:abstractNumId w:val="15"/>
  </w:num>
  <w:num w:numId="35">
    <w:abstractNumId w:val="6"/>
  </w:num>
  <w:num w:numId="36">
    <w:abstractNumId w:val="13"/>
  </w:num>
  <w:num w:numId="3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3-04 15:42:1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s"/>
    <w:docVar w:name="LW_ACCOMPAGNANT.CP" w:val="des"/>
    <w:docVar w:name="LW_ANNEX_NBR_FIRST" w:val="1"/>
    <w:docVar w:name="LW_ANNEX_NBR_LAST" w:val="2"/>
    <w:docVar w:name="LW_ANNEX_UNIQUE" w:val="0"/>
    <w:docVar w:name="LW_CORRIGENDUM" w:val="&lt;UNUSED&gt;"/>
    <w:docVar w:name="LW_COVERPAGE_EXISTS" w:val="True"/>
    <w:docVar w:name="LW_COVERPAGE_GUID" w:val="1B1AF621-69E1-4812-824A-3F8C9A86844E"/>
    <w:docVar w:name="LW_COVERPAGE_TYPE" w:val="1"/>
    <w:docVar w:name="LW_CROSSREFERENCE" w:val="{SWD(2024) 23 final} - {SWD(2024) 24 final}"/>
    <w:docVar w:name="LW_DocType" w:val="ANNEX"/>
    <w:docVar w:name="LW_EMISSION" w:val="24.1.2024"/>
    <w:docVar w:name="LW_EMISSION_ISODATE" w:val="2024-01-24"/>
    <w:docVar w:name="LW_EMISSION_LOCATION" w:val="BRX"/>
    <w:docVar w:name="LW_EMISSION_PREFIX" w:val="Brüssel,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über die Überprüfung ausländischer Investitionen in der Union und zur Aufhebung der Verordnung (EU) 2019/452 des Europäischen Parlaments und des Rates"/>
    <w:docVar w:name="LW_OBJETACTEPRINCIPAL.CP" w:val="über die Überprüfung ausländischer Investitionen in der Union und zur Aufhebung der Verordnung (EU) 2019/452 des Europäischen Parlaments und des Rates"/>
    <w:docVar w:name="LW_PART_NBR" w:val="&lt;UNUSED&gt;"/>
    <w:docVar w:name="LW_PART_NBR_TOTAL" w:val="&lt;UNUSED&gt;"/>
    <w:docVar w:name="LW_REF.INST.NEW" w:val="COM"/>
    <w:docVar w:name="LW_REF.INST.NEW_ADOPTED" w:val="final"/>
    <w:docVar w:name="LW_REF.INST.NEW_TEXT" w:val="(2024) 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ÄNGE"/>
    <w:docVar w:name="LW_TYPE.DOC.CP" w:val="ANHÄNGE"/>
    <w:docVar w:name="LW_TYPEACTEPRINCIPAL" w:val="Vorschlags für eine Verordnung des Europäischen Parlaments und des Rates"/>
    <w:docVar w:name="LW_TYPEACTEPRINCIPAL.CP" w:val="Vorschlags für eine Verordnung des Europäischen Parlaments und des Rates"/>
    <w:docVar w:name="LwApiVersions" w:val="LW4CoDe 1.24.5.0; LW 9.0, Build 20240221"/>
  </w:docVars>
  <w:rsids>
    <w:rsidRoot w:val="00455B3D"/>
    <w:rsid w:val="0001013B"/>
    <w:rsid w:val="00016544"/>
    <w:rsid w:val="000224AE"/>
    <w:rsid w:val="0004535A"/>
    <w:rsid w:val="0004777D"/>
    <w:rsid w:val="00061791"/>
    <w:rsid w:val="00064236"/>
    <w:rsid w:val="00067596"/>
    <w:rsid w:val="00072CD2"/>
    <w:rsid w:val="00084248"/>
    <w:rsid w:val="00084711"/>
    <w:rsid w:val="00087377"/>
    <w:rsid w:val="000D13E7"/>
    <w:rsid w:val="00115A7C"/>
    <w:rsid w:val="00115BA3"/>
    <w:rsid w:val="0012180F"/>
    <w:rsid w:val="00144C86"/>
    <w:rsid w:val="00161A4E"/>
    <w:rsid w:val="00165C4F"/>
    <w:rsid w:val="00171581"/>
    <w:rsid w:val="0019366C"/>
    <w:rsid w:val="001A1E4B"/>
    <w:rsid w:val="001A2C88"/>
    <w:rsid w:val="001A5EC1"/>
    <w:rsid w:val="001B0211"/>
    <w:rsid w:val="001D4428"/>
    <w:rsid w:val="001D61DC"/>
    <w:rsid w:val="001F343E"/>
    <w:rsid w:val="00215295"/>
    <w:rsid w:val="00227599"/>
    <w:rsid w:val="0023033B"/>
    <w:rsid w:val="00230876"/>
    <w:rsid w:val="0023283B"/>
    <w:rsid w:val="00236492"/>
    <w:rsid w:val="0024053E"/>
    <w:rsid w:val="00244D6E"/>
    <w:rsid w:val="002476A7"/>
    <w:rsid w:val="002519D8"/>
    <w:rsid w:val="00260D9F"/>
    <w:rsid w:val="00277BB2"/>
    <w:rsid w:val="00280547"/>
    <w:rsid w:val="00293738"/>
    <w:rsid w:val="002943EE"/>
    <w:rsid w:val="002A7CE4"/>
    <w:rsid w:val="002B4EAD"/>
    <w:rsid w:val="002B6651"/>
    <w:rsid w:val="002C40B3"/>
    <w:rsid w:val="002C71A1"/>
    <w:rsid w:val="002E6A7F"/>
    <w:rsid w:val="002F1E28"/>
    <w:rsid w:val="00300227"/>
    <w:rsid w:val="00303D14"/>
    <w:rsid w:val="00311975"/>
    <w:rsid w:val="0033124D"/>
    <w:rsid w:val="00331FA9"/>
    <w:rsid w:val="00336D4D"/>
    <w:rsid w:val="003402CF"/>
    <w:rsid w:val="00341364"/>
    <w:rsid w:val="00341AB3"/>
    <w:rsid w:val="003423BC"/>
    <w:rsid w:val="00342BD4"/>
    <w:rsid w:val="00353B9B"/>
    <w:rsid w:val="00354A2D"/>
    <w:rsid w:val="00367DF7"/>
    <w:rsid w:val="003766B3"/>
    <w:rsid w:val="00385235"/>
    <w:rsid w:val="0039157F"/>
    <w:rsid w:val="003A1473"/>
    <w:rsid w:val="003A2655"/>
    <w:rsid w:val="003A3AB5"/>
    <w:rsid w:val="003A4F2D"/>
    <w:rsid w:val="003A6BAC"/>
    <w:rsid w:val="003B520E"/>
    <w:rsid w:val="003E4DBA"/>
    <w:rsid w:val="004461AA"/>
    <w:rsid w:val="00455B3D"/>
    <w:rsid w:val="00460084"/>
    <w:rsid w:val="00482747"/>
    <w:rsid w:val="00492EB7"/>
    <w:rsid w:val="004A51A6"/>
    <w:rsid w:val="004B6E57"/>
    <w:rsid w:val="004C1D3C"/>
    <w:rsid w:val="004E496D"/>
    <w:rsid w:val="004F2ADA"/>
    <w:rsid w:val="004F4A03"/>
    <w:rsid w:val="004F5875"/>
    <w:rsid w:val="00500308"/>
    <w:rsid w:val="00502CE8"/>
    <w:rsid w:val="00533259"/>
    <w:rsid w:val="0057540E"/>
    <w:rsid w:val="00593E82"/>
    <w:rsid w:val="005A14E1"/>
    <w:rsid w:val="005A39C7"/>
    <w:rsid w:val="005B068B"/>
    <w:rsid w:val="005B19E5"/>
    <w:rsid w:val="005C4F3A"/>
    <w:rsid w:val="005D1963"/>
    <w:rsid w:val="005D230A"/>
    <w:rsid w:val="005D4DB0"/>
    <w:rsid w:val="005D69D2"/>
    <w:rsid w:val="005F22B9"/>
    <w:rsid w:val="005F52D7"/>
    <w:rsid w:val="00600C4E"/>
    <w:rsid w:val="00626E37"/>
    <w:rsid w:val="00630F18"/>
    <w:rsid w:val="00640900"/>
    <w:rsid w:val="0066433C"/>
    <w:rsid w:val="00666385"/>
    <w:rsid w:val="00692DAC"/>
    <w:rsid w:val="0069630F"/>
    <w:rsid w:val="006A23D4"/>
    <w:rsid w:val="006A6BCB"/>
    <w:rsid w:val="006B52AE"/>
    <w:rsid w:val="006B7E40"/>
    <w:rsid w:val="006E04F9"/>
    <w:rsid w:val="006E3202"/>
    <w:rsid w:val="006E7705"/>
    <w:rsid w:val="006F3EA8"/>
    <w:rsid w:val="007103AE"/>
    <w:rsid w:val="0071147F"/>
    <w:rsid w:val="00713189"/>
    <w:rsid w:val="00715E1E"/>
    <w:rsid w:val="00724839"/>
    <w:rsid w:val="007435FA"/>
    <w:rsid w:val="007673C8"/>
    <w:rsid w:val="00767617"/>
    <w:rsid w:val="007804D5"/>
    <w:rsid w:val="00782F50"/>
    <w:rsid w:val="007B5A64"/>
    <w:rsid w:val="007C44FF"/>
    <w:rsid w:val="007D24C0"/>
    <w:rsid w:val="007D62AA"/>
    <w:rsid w:val="007D69E5"/>
    <w:rsid w:val="007E0B17"/>
    <w:rsid w:val="007E16C9"/>
    <w:rsid w:val="007E1826"/>
    <w:rsid w:val="007F5662"/>
    <w:rsid w:val="0081471F"/>
    <w:rsid w:val="00820D44"/>
    <w:rsid w:val="008412DB"/>
    <w:rsid w:val="00844FC9"/>
    <w:rsid w:val="00845A15"/>
    <w:rsid w:val="0086583F"/>
    <w:rsid w:val="00866524"/>
    <w:rsid w:val="00867760"/>
    <w:rsid w:val="00867CE1"/>
    <w:rsid w:val="00870A96"/>
    <w:rsid w:val="00873A11"/>
    <w:rsid w:val="00873B81"/>
    <w:rsid w:val="00875E16"/>
    <w:rsid w:val="008846F9"/>
    <w:rsid w:val="008C2ED0"/>
    <w:rsid w:val="008D6398"/>
    <w:rsid w:val="008E3400"/>
    <w:rsid w:val="00905D22"/>
    <w:rsid w:val="00907F22"/>
    <w:rsid w:val="009543CF"/>
    <w:rsid w:val="0095642D"/>
    <w:rsid w:val="009625AB"/>
    <w:rsid w:val="009639C7"/>
    <w:rsid w:val="00970E5B"/>
    <w:rsid w:val="00991DF8"/>
    <w:rsid w:val="00994BAB"/>
    <w:rsid w:val="009A3D67"/>
    <w:rsid w:val="009B19C3"/>
    <w:rsid w:val="009C1A89"/>
    <w:rsid w:val="009C2916"/>
    <w:rsid w:val="009C383F"/>
    <w:rsid w:val="009C6A69"/>
    <w:rsid w:val="009E7623"/>
    <w:rsid w:val="009F080E"/>
    <w:rsid w:val="009F2018"/>
    <w:rsid w:val="00A00C97"/>
    <w:rsid w:val="00A01FFD"/>
    <w:rsid w:val="00A03596"/>
    <w:rsid w:val="00A23985"/>
    <w:rsid w:val="00A27E20"/>
    <w:rsid w:val="00A3199E"/>
    <w:rsid w:val="00A51C8B"/>
    <w:rsid w:val="00A6243B"/>
    <w:rsid w:val="00A71F6D"/>
    <w:rsid w:val="00A86E0A"/>
    <w:rsid w:val="00A87ADA"/>
    <w:rsid w:val="00AA074C"/>
    <w:rsid w:val="00AA4ADB"/>
    <w:rsid w:val="00AB2923"/>
    <w:rsid w:val="00AD5E3D"/>
    <w:rsid w:val="00B03B09"/>
    <w:rsid w:val="00B07289"/>
    <w:rsid w:val="00B11E4B"/>
    <w:rsid w:val="00B22390"/>
    <w:rsid w:val="00B34E95"/>
    <w:rsid w:val="00B40DFC"/>
    <w:rsid w:val="00B6793E"/>
    <w:rsid w:val="00BA4F3C"/>
    <w:rsid w:val="00BA79F9"/>
    <w:rsid w:val="00BB30BC"/>
    <w:rsid w:val="00BC352B"/>
    <w:rsid w:val="00BF0CED"/>
    <w:rsid w:val="00BF4449"/>
    <w:rsid w:val="00C04E94"/>
    <w:rsid w:val="00C058AD"/>
    <w:rsid w:val="00C14EB2"/>
    <w:rsid w:val="00C173B2"/>
    <w:rsid w:val="00C22B0B"/>
    <w:rsid w:val="00C25B26"/>
    <w:rsid w:val="00C27DC3"/>
    <w:rsid w:val="00C3452F"/>
    <w:rsid w:val="00C37034"/>
    <w:rsid w:val="00C533C9"/>
    <w:rsid w:val="00C654D5"/>
    <w:rsid w:val="00C7128D"/>
    <w:rsid w:val="00C73BEE"/>
    <w:rsid w:val="00C953CA"/>
    <w:rsid w:val="00CA00F7"/>
    <w:rsid w:val="00CA1388"/>
    <w:rsid w:val="00CA4D8A"/>
    <w:rsid w:val="00CC1BFE"/>
    <w:rsid w:val="00CE6552"/>
    <w:rsid w:val="00CF2C7B"/>
    <w:rsid w:val="00D01387"/>
    <w:rsid w:val="00D17E93"/>
    <w:rsid w:val="00D23DB5"/>
    <w:rsid w:val="00D328C4"/>
    <w:rsid w:val="00D33986"/>
    <w:rsid w:val="00D34AC4"/>
    <w:rsid w:val="00D371B7"/>
    <w:rsid w:val="00D62584"/>
    <w:rsid w:val="00D73266"/>
    <w:rsid w:val="00D94B7E"/>
    <w:rsid w:val="00DA07A4"/>
    <w:rsid w:val="00DA32BC"/>
    <w:rsid w:val="00DB2B6E"/>
    <w:rsid w:val="00DB5BC2"/>
    <w:rsid w:val="00DC2EA0"/>
    <w:rsid w:val="00E128B5"/>
    <w:rsid w:val="00E14A08"/>
    <w:rsid w:val="00E209ED"/>
    <w:rsid w:val="00E27AA6"/>
    <w:rsid w:val="00E3057E"/>
    <w:rsid w:val="00E307C8"/>
    <w:rsid w:val="00E36985"/>
    <w:rsid w:val="00E52FDD"/>
    <w:rsid w:val="00E62AFA"/>
    <w:rsid w:val="00E70C38"/>
    <w:rsid w:val="00E8728D"/>
    <w:rsid w:val="00E90883"/>
    <w:rsid w:val="00EA4E87"/>
    <w:rsid w:val="00EB3E49"/>
    <w:rsid w:val="00EC25C5"/>
    <w:rsid w:val="00EC4D84"/>
    <w:rsid w:val="00EC7323"/>
    <w:rsid w:val="00ED03F6"/>
    <w:rsid w:val="00ED702B"/>
    <w:rsid w:val="00EE7A21"/>
    <w:rsid w:val="00F142C5"/>
    <w:rsid w:val="00F32AA1"/>
    <w:rsid w:val="00F4174B"/>
    <w:rsid w:val="00F439C7"/>
    <w:rsid w:val="00F51773"/>
    <w:rsid w:val="00F60295"/>
    <w:rsid w:val="00F660C7"/>
    <w:rsid w:val="00F7024E"/>
    <w:rsid w:val="00F82260"/>
    <w:rsid w:val="00FA2B99"/>
    <w:rsid w:val="00FA3ABC"/>
    <w:rsid w:val="00FC0F12"/>
    <w:rsid w:val="00FC2F86"/>
    <w:rsid w:val="00FE50F6"/>
    <w:rsid w:val="00FE6FB0"/>
    <w:rsid w:val="00FF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4B4363"/>
  <w15:docId w15:val="{89E267E1-DF5C-46D1-845F-198C7C1E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91DF8"/>
    <w:pPr>
      <w:numPr>
        <w:numId w:val="1"/>
      </w:numPr>
      <w:contextualSpacing/>
    </w:pPr>
  </w:style>
  <w:style w:type="paragraph" w:styleId="ListBullet2">
    <w:name w:val="List Bullet 2"/>
    <w:basedOn w:val="Normal"/>
    <w:uiPriority w:val="99"/>
    <w:semiHidden/>
    <w:unhideWhenUsed/>
    <w:rsid w:val="00991DF8"/>
    <w:pPr>
      <w:numPr>
        <w:numId w:val="2"/>
      </w:numPr>
      <w:contextualSpacing/>
    </w:pPr>
  </w:style>
  <w:style w:type="paragraph" w:styleId="ListBullet3">
    <w:name w:val="List Bullet 3"/>
    <w:basedOn w:val="Normal"/>
    <w:uiPriority w:val="99"/>
    <w:semiHidden/>
    <w:unhideWhenUsed/>
    <w:rsid w:val="00991DF8"/>
    <w:pPr>
      <w:numPr>
        <w:numId w:val="3"/>
      </w:numPr>
      <w:contextualSpacing/>
    </w:pPr>
  </w:style>
  <w:style w:type="paragraph" w:styleId="ListBullet4">
    <w:name w:val="List Bullet 4"/>
    <w:basedOn w:val="Normal"/>
    <w:uiPriority w:val="99"/>
    <w:semiHidden/>
    <w:unhideWhenUsed/>
    <w:rsid w:val="00991DF8"/>
    <w:pPr>
      <w:numPr>
        <w:numId w:val="4"/>
      </w:numPr>
      <w:contextualSpacing/>
    </w:pPr>
  </w:style>
  <w:style w:type="character" w:styleId="Hyperlink">
    <w:name w:val="Hyperlink"/>
    <w:uiPriority w:val="99"/>
    <w:rsid w:val="00991DF8"/>
    <w:rPr>
      <w:color w:val="0000FF"/>
      <w:u w:val="single"/>
    </w:rPr>
  </w:style>
  <w:style w:type="paragraph" w:styleId="ListNumber4">
    <w:name w:val="List Number 4"/>
    <w:basedOn w:val="Normal"/>
    <w:rsid w:val="00991DF8"/>
    <w:pPr>
      <w:numPr>
        <w:numId w:val="5"/>
      </w:numPr>
    </w:pPr>
  </w:style>
  <w:style w:type="paragraph" w:customStyle="1" w:styleId="ListNumber4Level2">
    <w:name w:val="List Number 4 (Level 2)"/>
    <w:basedOn w:val="Text4"/>
    <w:rsid w:val="00991DF8"/>
    <w:pPr>
      <w:numPr>
        <w:ilvl w:val="1"/>
        <w:numId w:val="5"/>
      </w:numPr>
    </w:pPr>
  </w:style>
  <w:style w:type="paragraph" w:customStyle="1" w:styleId="ListNumber4Level3">
    <w:name w:val="List Number 4 (Level 3)"/>
    <w:basedOn w:val="Text4"/>
    <w:rsid w:val="00991DF8"/>
    <w:pPr>
      <w:numPr>
        <w:ilvl w:val="2"/>
        <w:numId w:val="5"/>
      </w:numPr>
    </w:pPr>
  </w:style>
  <w:style w:type="paragraph" w:customStyle="1" w:styleId="ListNumber4Level4">
    <w:name w:val="List Number 4 (Level 4)"/>
    <w:basedOn w:val="Text4"/>
    <w:rsid w:val="00991DF8"/>
    <w:pPr>
      <w:numPr>
        <w:ilvl w:val="3"/>
        <w:numId w:val="5"/>
      </w:numPr>
    </w:pPr>
  </w:style>
  <w:style w:type="character" w:styleId="CommentReference">
    <w:name w:val="annotation reference"/>
    <w:rsid w:val="00991DF8"/>
    <w:rPr>
      <w:rFonts w:cs="Times New Roman"/>
      <w:sz w:val="16"/>
    </w:rPr>
  </w:style>
  <w:style w:type="paragraph" w:styleId="CommentText">
    <w:name w:val="annotation text"/>
    <w:basedOn w:val="Normal"/>
    <w:link w:val="CommentTextChar"/>
    <w:rsid w:val="00991DF8"/>
    <w:rPr>
      <w:sz w:val="20"/>
    </w:rPr>
  </w:style>
  <w:style w:type="character" w:customStyle="1" w:styleId="CommentTextChar">
    <w:name w:val="Comment Text Char"/>
    <w:basedOn w:val="DefaultParagraphFont"/>
    <w:link w:val="CommentText"/>
    <w:rsid w:val="00991DF8"/>
    <w:rPr>
      <w:rFonts w:ascii="Times New Roman" w:eastAsia="Times New Roman" w:hAnsi="Times New Roman" w:cs="Times New Roman"/>
      <w:sz w:val="20"/>
    </w:rPr>
  </w:style>
  <w:style w:type="paragraph" w:customStyle="1" w:styleId="oj-ti-grseq-1">
    <w:name w:val="oj-ti-grseq-1"/>
    <w:basedOn w:val="Normal"/>
    <w:rsid w:val="00991DF8"/>
    <w:pPr>
      <w:spacing w:before="100" w:beforeAutospacing="1" w:after="100" w:afterAutospacing="1"/>
      <w:jc w:val="left"/>
    </w:pPr>
  </w:style>
  <w:style w:type="character" w:customStyle="1" w:styleId="oj-bold">
    <w:name w:val="oj-bold"/>
    <w:basedOn w:val="DefaultParagraphFont"/>
    <w:rsid w:val="00991DF8"/>
  </w:style>
  <w:style w:type="character" w:customStyle="1" w:styleId="oj-super">
    <w:name w:val="oj-super"/>
    <w:basedOn w:val="DefaultParagraphFont"/>
    <w:rsid w:val="00991DF8"/>
  </w:style>
  <w:style w:type="paragraph" w:customStyle="1" w:styleId="oj-normal">
    <w:name w:val="oj-normal"/>
    <w:basedOn w:val="Normal"/>
    <w:rsid w:val="00991DF8"/>
    <w:pPr>
      <w:spacing w:before="100" w:beforeAutospacing="1" w:after="100" w:afterAutospacing="1"/>
      <w:jc w:val="left"/>
    </w:pPr>
  </w:style>
  <w:style w:type="paragraph" w:styleId="CommentSubject">
    <w:name w:val="annotation subject"/>
    <w:basedOn w:val="CommentText"/>
    <w:next w:val="CommentText"/>
    <w:link w:val="CommentSubjectChar"/>
    <w:uiPriority w:val="99"/>
    <w:semiHidden/>
    <w:unhideWhenUsed/>
    <w:rsid w:val="00B6793E"/>
    <w:rPr>
      <w:b/>
    </w:rPr>
  </w:style>
  <w:style w:type="character" w:customStyle="1" w:styleId="CommentSubjectChar">
    <w:name w:val="Comment Subject Char"/>
    <w:basedOn w:val="CommentTextChar"/>
    <w:link w:val="CommentSubject"/>
    <w:uiPriority w:val="99"/>
    <w:semiHidden/>
    <w:rsid w:val="00B6793E"/>
    <w:rPr>
      <w:rFonts w:ascii="Times New Roman" w:eastAsia="Times New Roman" w:hAnsi="Times New Roman" w:cs="Times New Roman"/>
      <w:b/>
      <w:sz w:val="20"/>
    </w:rPr>
  </w:style>
  <w:style w:type="character" w:customStyle="1" w:styleId="UnresolvedMention">
    <w:name w:val="Unresolved Mention"/>
    <w:basedOn w:val="DefaultParagraphFont"/>
    <w:uiPriority w:val="99"/>
    <w:semiHidden/>
    <w:unhideWhenUsed/>
    <w:rsid w:val="00B6793E"/>
    <w:rPr>
      <w:color w:val="605E5C"/>
      <w:shd w:val="clear" w:color="auto" w:fill="E1DFDD"/>
    </w:rPr>
  </w:style>
  <w:style w:type="character" w:styleId="FollowedHyperlink">
    <w:name w:val="FollowedHyperlink"/>
    <w:basedOn w:val="DefaultParagraphFont"/>
    <w:uiPriority w:val="99"/>
    <w:semiHidden/>
    <w:unhideWhenUsed/>
    <w:rsid w:val="007103AE"/>
    <w:rPr>
      <w:color w:val="800080" w:themeColor="followedHyperlink"/>
      <w:u w:val="single"/>
    </w:rPr>
  </w:style>
  <w:style w:type="paragraph" w:styleId="ListParagraph">
    <w:name w:val="List Paragraph"/>
    <w:basedOn w:val="Normal"/>
    <w:uiPriority w:val="34"/>
    <w:qFormat/>
    <w:rsid w:val="00CF2C7B"/>
    <w:pPr>
      <w:ind w:left="720"/>
      <w:contextualSpacing/>
    </w:pPr>
  </w:style>
  <w:style w:type="paragraph" w:styleId="Revision">
    <w:name w:val="Revision"/>
    <w:hidden/>
    <w:uiPriority w:val="99"/>
    <w:semiHidden/>
    <w:rsid w:val="00B03B09"/>
    <w:pPr>
      <w:spacing w:after="0" w:line="240" w:lineRule="auto"/>
    </w:pPr>
    <w:rPr>
      <w:rFonts w:ascii="Times New Roman" w:hAnsi="Times New Roman" w:cs="Times New Roman"/>
      <w:sz w:val="24"/>
    </w:rPr>
  </w:style>
  <w:style w:type="character" w:styleId="Emphasis">
    <w:name w:val="Emphasis"/>
    <w:basedOn w:val="DefaultParagraphFont"/>
    <w:uiPriority w:val="20"/>
    <w:qFormat/>
    <w:rsid w:val="00E8728D"/>
    <w:rPr>
      <w:i/>
    </w:rPr>
  </w:style>
  <w:style w:type="paragraph" w:customStyle="1" w:styleId="Point1">
    <w:name w:val="Point 1"/>
    <w:basedOn w:val="Normal"/>
    <w:pPr>
      <w:ind w:left="1417" w:hanging="567"/>
    </w:pPr>
  </w:style>
  <w:style w:type="paragraph" w:customStyle="1" w:styleId="ManualNumPar1">
    <w:name w:val="Manual NumPar 1"/>
    <w:basedOn w:val="Normal"/>
    <w:next w:val="Text1"/>
    <w:pPr>
      <w:ind w:left="850" w:hanging="850"/>
    </w:pPr>
  </w:style>
  <w:style w:type="character" w:customStyle="1" w:styleId="HeaderChar">
    <w:name w:val="Header Char"/>
    <w:basedOn w:val="DefaultParagraphFont"/>
    <w:link w:val="Header"/>
    <w:uiPriority w:val="99"/>
    <w:rsid w:val="004F2ADA"/>
    <w:rPr>
      <w:rFonts w:ascii="Times New Roman" w:hAnsi="Times New Roman" w:cs="Times New Roman"/>
      <w:sz w:val="24"/>
      <w:lang w:val="de-DE"/>
    </w:rPr>
  </w:style>
  <w:style w:type="character" w:customStyle="1" w:styleId="FooterChar">
    <w:name w:val="Footer Char"/>
    <w:basedOn w:val="DefaultParagraphFont"/>
    <w:link w:val="Footer"/>
    <w:uiPriority w:val="99"/>
    <w:rsid w:val="004F2ADA"/>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F2AD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F2ADA"/>
    <w:pPr>
      <w:spacing w:before="0"/>
      <w:jc w:val="right"/>
    </w:pPr>
    <w:rPr>
      <w:sz w:val="28"/>
    </w:rPr>
  </w:style>
  <w:style w:type="paragraph" w:customStyle="1" w:styleId="FooterSensitivity">
    <w:name w:val="Footer Sensitivity"/>
    <w:basedOn w:val="Normal"/>
    <w:rsid w:val="004F2AD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3"/>
      </w:numPr>
    </w:pPr>
  </w:style>
  <w:style w:type="paragraph" w:customStyle="1" w:styleId="Tiret1">
    <w:name w:val="Tiret 1"/>
    <w:basedOn w:val="Point10"/>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Tiret5">
    <w:name w:val="Tiret 5"/>
    <w:basedOn w:val="Point5"/>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NumPar5">
    <w:name w:val="NumPar 5"/>
    <w:basedOn w:val="Normal"/>
    <w:next w:val="Text2"/>
    <w:pPr>
      <w:numPr>
        <w:ilvl w:val="4"/>
        <w:numId w:val="29"/>
      </w:numPr>
    </w:pPr>
  </w:style>
  <w:style w:type="paragraph" w:customStyle="1" w:styleId="NumPar6">
    <w:name w:val="NumPar 6"/>
    <w:basedOn w:val="Normal"/>
    <w:next w:val="Text2"/>
    <w:pPr>
      <w:numPr>
        <w:ilvl w:val="5"/>
        <w:numId w:val="29"/>
      </w:numPr>
    </w:pPr>
  </w:style>
  <w:style w:type="paragraph" w:customStyle="1" w:styleId="NumPar7">
    <w:name w:val="NumPar 7"/>
    <w:basedOn w:val="Normal"/>
    <w:next w:val="Text2"/>
    <w:pPr>
      <w:numPr>
        <w:ilvl w:val="6"/>
        <w:numId w:val="29"/>
      </w:numPr>
    </w:pPr>
  </w:style>
  <w:style w:type="paragraph" w:customStyle="1" w:styleId="ManualNumPar10">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4F2ADA"/>
    <w:pPr>
      <w:tabs>
        <w:tab w:val="center" w:pos="4535"/>
        <w:tab w:val="right" w:pos="9071"/>
      </w:tabs>
      <w:spacing w:before="0"/>
    </w:pPr>
  </w:style>
  <w:style w:type="paragraph" w:customStyle="1" w:styleId="HeaderLandscape">
    <w:name w:val="HeaderLandscape"/>
    <w:basedOn w:val="Normal"/>
    <w:rsid w:val="004F2ADA"/>
    <w:pPr>
      <w:tabs>
        <w:tab w:val="center" w:pos="7285"/>
        <w:tab w:val="right" w:pos="14003"/>
      </w:tabs>
      <w:spacing w:before="0"/>
    </w:pPr>
  </w:style>
  <w:style w:type="paragraph" w:styleId="Footer">
    <w:name w:val="footer"/>
    <w:basedOn w:val="Normal"/>
    <w:link w:val="FooterChar"/>
    <w:uiPriority w:val="99"/>
    <w:unhideWhenUsed/>
    <w:rsid w:val="004F2ADA"/>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4F2ADA"/>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2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ur-lex.europa.eu/legal-content/DE/AUTO/?uri=OJ:L:2018:193:TOC" TargetMode="External"/><Relationship Id="rId26" Type="http://schemas.openxmlformats.org/officeDocument/2006/relationships/hyperlink" Target="http://data.europa.eu/eli/reg/2013/1291/oj" TargetMode="External"/><Relationship Id="rId39" Type="http://schemas.openxmlformats.org/officeDocument/2006/relationships/hyperlink" Target="https://eur-lex.europa.eu/legal-content/DE/AUTO/?uri=OJ:L:2021:166:TOC" TargetMode="External"/><Relationship Id="rId21" Type="http://schemas.openxmlformats.org/officeDocument/2006/relationships/hyperlink" Target="http://data.europa.eu/eli/reg/2021/696/oj" TargetMode="External"/><Relationship Id="rId34" Type="http://schemas.openxmlformats.org/officeDocument/2006/relationships/hyperlink" Target="http://data.europa.eu/eli/reg/2013/347/oj" TargetMode="External"/><Relationship Id="rId42" Type="http://schemas.openxmlformats.org/officeDocument/2006/relationships/hyperlink" Target="https://eur-lex.europa.eu/legal-content/DE/AUTO/?uri=OJ:L:2018:193:TOC" TargetMode="External"/><Relationship Id="rId47" Type="http://schemas.openxmlformats.org/officeDocument/2006/relationships/hyperlink" Target="http://data.europa.eu/eli/reg/2023/1525/oj" TargetMode="External"/><Relationship Id="rId50" Type="http://schemas.openxmlformats.org/officeDocument/2006/relationships/hyperlink" Target="http://data.europa.eu/eli/dec/2018/340/oj" TargetMode="External"/><Relationship Id="rId55" Type="http://schemas.openxmlformats.org/officeDocument/2006/relationships/hyperlink" Target="https://eur-lex.europa.eu/legal-content/DE/AUTO/?uri=OJ:L:2021:107:TOC" TargetMode="External"/><Relationship Id="rId63" Type="http://schemas.openxmlformats.org/officeDocument/2006/relationships/hyperlink" Target="https://www.ema.europa.eu/en/human-regulatory-overview/post-authorisation/medicine-shortages-and-availability-issues/availability-critical-medicin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lex.europa.eu/legal-content/DE/AUTO/?uri=OJ:L:2021:170:TOC" TargetMode="External"/><Relationship Id="rId29" Type="http://schemas.openxmlformats.org/officeDocument/2006/relationships/hyperlink" Target="https://eur-lex.europa.eu/legal-content/DE/AUTO/?uri=OJ:L:2021:167I:TOC" TargetMode="External"/><Relationship Id="rId41" Type="http://schemas.openxmlformats.org/officeDocument/2006/relationships/hyperlink" Target="https://eur-lex.europa.eu/legal-content/DE/AUTO/?uri=OJ:L:2018:200:TOC" TargetMode="External"/><Relationship Id="rId54" Type="http://schemas.openxmlformats.org/officeDocument/2006/relationships/hyperlink" Target="http://data.europa.eu/eli/dec/2007/198/oj"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data.europa.eu/eli/reg/2023/588/oj" TargetMode="External"/><Relationship Id="rId32" Type="http://schemas.openxmlformats.org/officeDocument/2006/relationships/hyperlink" Target="http://data.europa.eu/eli/reg/2013/1315/oj" TargetMode="External"/><Relationship Id="rId37" Type="http://schemas.openxmlformats.org/officeDocument/2006/relationships/hyperlink" Target="https://eur-lex.europa.eu/legal-content/DE/AUTO/?uri=OJ:L:2021:249:TOC" TargetMode="External"/><Relationship Id="rId40" Type="http://schemas.openxmlformats.org/officeDocument/2006/relationships/hyperlink" Target="http://data.europa.eu/eli/reg/2021/694/oj" TargetMode="External"/><Relationship Id="rId45" Type="http://schemas.openxmlformats.org/officeDocument/2006/relationships/hyperlink" Target="http://data.europa.eu/eli/reg/2021/697/oj" TargetMode="External"/><Relationship Id="rId53" Type="http://schemas.openxmlformats.org/officeDocument/2006/relationships/hyperlink" Target="https://eur-lex.europa.eu/legal-content/DE/AUTO/?uri=OJ:L:2007:090:TOC" TargetMode="External"/><Relationship Id="rId58"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ur-lex.europa.eu/legal-content/DE/TXT/?uri=OJ:L:2023:079:TOC" TargetMode="External"/><Relationship Id="rId28" Type="http://schemas.openxmlformats.org/officeDocument/2006/relationships/hyperlink" Target="http://data.europa.eu/eli/reg/2021/695/oj" TargetMode="External"/><Relationship Id="rId36" Type="http://schemas.openxmlformats.org/officeDocument/2006/relationships/hyperlink" Target="http://data.europa.eu/eli/reg/2014/283/oj" TargetMode="External"/><Relationship Id="rId49" Type="http://schemas.openxmlformats.org/officeDocument/2006/relationships/hyperlink" Target="https://eur-lex.europa.eu/legal-content/DE/AUTO/?uri=OJ:L:2018:065:TOC" TargetMode="External"/><Relationship Id="rId57" Type="http://schemas.openxmlformats.org/officeDocument/2006/relationships/hyperlink" Target="https://eur-lex.europa.eu/legal-content/DE/TXT/?uri=OJ:C:2021:528:TOC" TargetMode="External"/><Relationship Id="rId61"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data.europa.eu/eli/reg/2018/1046/oj" TargetMode="External"/><Relationship Id="rId31" Type="http://schemas.openxmlformats.org/officeDocument/2006/relationships/hyperlink" Target="https://eur-lex.europa.eu/legal-content/DE/AUTO/?uri=OJ:L:2013:348:TOC" TargetMode="External"/><Relationship Id="rId44" Type="http://schemas.openxmlformats.org/officeDocument/2006/relationships/hyperlink" Target="https://eur-lex.europa.eu/legal-content/DE/AUTO/?uri=OJ:L:2021:170:TOC" TargetMode="External"/><Relationship Id="rId52" Type="http://schemas.openxmlformats.org/officeDocument/2006/relationships/hyperlink" Target="http://data.europa.eu/eli/dec/2023/995/oj" TargetMode="External"/><Relationship Id="rId60" Type="http://schemas.openxmlformats.org/officeDocument/2006/relationships/footer" Target="footer5.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ur-lex.europa.eu/legal-content/DE/TXT/?uri=uriserv%3AOJ.L_.2023.079.01.0001.01.ENG&amp;toc=OJ%3AL%3A2023%3A079%3ATOC" TargetMode="External"/><Relationship Id="rId27" Type="http://schemas.openxmlformats.org/officeDocument/2006/relationships/hyperlink" Target="https://eur-lex.europa.eu/legal-content/DE/AUTO/?uri=OJ:L:2021:170:TOC" TargetMode="External"/><Relationship Id="rId30" Type="http://schemas.openxmlformats.org/officeDocument/2006/relationships/hyperlink" Target="http://data.europa.eu/eli/reg/2021/765/oj" TargetMode="External"/><Relationship Id="rId35" Type="http://schemas.openxmlformats.org/officeDocument/2006/relationships/hyperlink" Target="https://eur-lex.europa.eu/legal-content/DE/AUTO/?uri=OJ:L:2014:086:TOC" TargetMode="External"/><Relationship Id="rId43" Type="http://schemas.openxmlformats.org/officeDocument/2006/relationships/hyperlink" Target="http://data.europa.eu/eli/reg/2018/1046/oj" TargetMode="External"/><Relationship Id="rId48" Type="http://schemas.openxmlformats.org/officeDocument/2006/relationships/hyperlink" Target="http://data.europa.eu/eli/reg/2023/2418/oj" TargetMode="External"/><Relationship Id="rId56" Type="http://schemas.openxmlformats.org/officeDocument/2006/relationships/hyperlink" Target="http://data.europa.eu/eli/reg/2021/522/oj"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ur-lex.europa.eu/legal-content/DEN/TXT/?uri=OJ:L:2023:135:TOC"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ur-lex.europa.eu/legal-content/DE/AUTO/?uri=OJ:L:2013:347:TOC" TargetMode="External"/><Relationship Id="rId33" Type="http://schemas.openxmlformats.org/officeDocument/2006/relationships/hyperlink" Target="https://eur-lex.europa.eu/legal-content/DE/AUTO/?uri=OJ:L:2013:115:TOC" TargetMode="External"/><Relationship Id="rId38" Type="http://schemas.openxmlformats.org/officeDocument/2006/relationships/hyperlink" Target="http://data.europa.eu/eli/reg/2021/1153/oj" TargetMode="External"/><Relationship Id="rId46" Type="http://schemas.openxmlformats.org/officeDocument/2006/relationships/hyperlink" Target="https://eur-lex.europa.eu/legal-content/DE/TXT/?uri=OJ:L:2023:185:TOC" TargetMode="External"/><Relationship Id="rId59"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dir/2009/110/oj" TargetMode="External"/><Relationship Id="rId13" Type="http://schemas.openxmlformats.org/officeDocument/2006/relationships/hyperlink" Target="https://eur-lex.europa.eu/legal-content/DE/TXT/?uri=OJ:L:2023:150:TOC" TargetMode="External"/><Relationship Id="rId18" Type="http://schemas.openxmlformats.org/officeDocument/2006/relationships/hyperlink" Target="http://data.europa.eu/eli/reg/2022/2554/oj" TargetMode="External"/><Relationship Id="rId3" Type="http://schemas.openxmlformats.org/officeDocument/2006/relationships/hyperlink" Target="https://eur-lex.europa.eu/legal-content/DE/TXT/?uri=OJ:L:2012:201:TOC" TargetMode="External"/><Relationship Id="rId7" Type="http://schemas.openxmlformats.org/officeDocument/2006/relationships/hyperlink" Target="https://eur-lex.europa.eu/legal-content/DE/TXT/?uri=OJ:L:2009:267:TOC" TargetMode="External"/><Relationship Id="rId12" Type="http://schemas.openxmlformats.org/officeDocument/2006/relationships/hyperlink" Target="http://data.europa.eu/eli/reg/2014/909/oj" TargetMode="External"/><Relationship Id="rId17" Type="http://schemas.openxmlformats.org/officeDocument/2006/relationships/hyperlink" Target="https://eur-lex.europa.eu/legal-content/DE/TXT/?uri=OJ:L:2022:333:TOC" TargetMode="External"/><Relationship Id="rId2" Type="http://schemas.openxmlformats.org/officeDocument/2006/relationships/hyperlink" Target="https://www.ema.europa.eu/en/human-regulatory-overview/post-authorisation/medicine-shortages-and-availability-issues/availability-critical-medicines" TargetMode="External"/><Relationship Id="rId16" Type="http://schemas.openxmlformats.org/officeDocument/2006/relationships/hyperlink" Target="http://data.europa.eu/eli/reg/2013/575/oj" TargetMode="External"/><Relationship Id="rId1" Type="http://schemas.openxmlformats.org/officeDocument/2006/relationships/hyperlink" Target="https://competition-policy.ec.europa.eu/state-aid/ipcei/approved-ipceis_en" TargetMode="External"/><Relationship Id="rId6" Type="http://schemas.openxmlformats.org/officeDocument/2006/relationships/hyperlink" Target="http://data.europa.eu/eli/dir/2015/2366/oj" TargetMode="External"/><Relationship Id="rId11" Type="http://schemas.openxmlformats.org/officeDocument/2006/relationships/hyperlink" Target="https://eur-lex.europa.eu/legal-content/DE/TXT/?uri=OJ:L:2014:257:TOC" TargetMode="External"/><Relationship Id="rId5" Type="http://schemas.openxmlformats.org/officeDocument/2006/relationships/hyperlink" Target="https://eur-lex.europa.eu/legal-content/DE/TXT/?uri=OJ:L:2015:337:TOC" TargetMode="External"/><Relationship Id="rId15" Type="http://schemas.openxmlformats.org/officeDocument/2006/relationships/hyperlink" Target="https://eur-lex.europa.eu/legal-content/DE/TXT/?uri=OJ:L:2013:176:TOC" TargetMode="External"/><Relationship Id="rId10" Type="http://schemas.openxmlformats.org/officeDocument/2006/relationships/hyperlink" Target="http://data.europa.eu/eli/dir/2014/65/oj" TargetMode="External"/><Relationship Id="rId4" Type="http://schemas.openxmlformats.org/officeDocument/2006/relationships/hyperlink" Target="http://data.europa.eu/eli/reg/2012/648/oj" TargetMode="External"/><Relationship Id="rId9" Type="http://schemas.openxmlformats.org/officeDocument/2006/relationships/hyperlink" Target="https://eur-lex.europa.eu/legal-content/DE/TXT/?uri=OJ:L:2014:173:TOC" TargetMode="External"/><Relationship Id="rId14" Type="http://schemas.openxmlformats.org/officeDocument/2006/relationships/hyperlink" Target="http://data.europa.eu/eli/reg/2023/1114/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91101ED19659B489105E64B8BBAA979" ma:contentTypeVersion="1" ma:contentTypeDescription="Create a new document in this library." ma:contentTypeScope="" ma:versionID="6348812c78e7b4996127e4dc2b522d86">
  <xsd:schema xmlns:xsd="http://www.w3.org/2001/XMLSchema" xmlns:xs="http://www.w3.org/2001/XMLSchema" xmlns:p="http://schemas.microsoft.com/office/2006/metadata/properties" xmlns:ns3="94cd775c-4b45-4aff-9377-5f863f412b2c" targetNamespace="http://schemas.microsoft.com/office/2006/metadata/properties" ma:root="true" ma:fieldsID="fc57b65f4d981a58bb4e57930e77b5fc" ns3:_="">
    <xsd:import namespace="94cd775c-4b45-4aff-9377-5f863f412b2c"/>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d775c-4b45-4aff-9377-5f863f412b2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94cd775c-4b45-4aff-9377-5f863f412b2c">EN</EC_Collab_DocumentLanguage>
    <EC_Collab_Status xmlns="94cd775c-4b45-4aff-9377-5f863f412b2c">Not Started</EC_Collab_Status>
    <EC_Collab_Reference xmlns="94cd775c-4b45-4aff-9377-5f863f412b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3387E-DB45-4534-884F-482AB4E12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d775c-4b45-4aff-9377-5f863f412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023F3-C209-4440-BDD9-B2AAC80B5C5F}">
  <ds:schemaRefs>
    <ds:schemaRef ds:uri="http://schemas.microsoft.com/sharepoint/v3/contenttype/forms"/>
  </ds:schemaRefs>
</ds:datastoreItem>
</file>

<file path=customXml/itemProps3.xml><?xml version="1.0" encoding="utf-8"?>
<ds:datastoreItem xmlns:ds="http://schemas.openxmlformats.org/officeDocument/2006/customXml" ds:itemID="{501D9513-575F-4819-B0FC-CBDE2A81E5B9}">
  <ds:schemaRefs>
    <ds:schemaRef ds:uri="http://schemas.openxmlformats.org/package/2006/metadata/core-properties"/>
    <ds:schemaRef ds:uri="http://purl.org/dc/elements/1.1/"/>
    <ds:schemaRef ds:uri="http://schemas.microsoft.com/office/2006/metadata/properties"/>
    <ds:schemaRef ds:uri="94cd775c-4b45-4aff-9377-5f863f412b2c"/>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F8F5958C-B836-4467-9F1C-3861C2DD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29</TotalTime>
  <Pages>8</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38</cp:revision>
  <dcterms:created xsi:type="dcterms:W3CDTF">2024-01-18T08:48:00Z</dcterms:created>
  <dcterms:modified xsi:type="dcterms:W3CDTF">2024-03-04T14:42:00Z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2023-11-21T07:46:44Z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04225129-073c-492a-af93-434cc7231d13</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2</vt:lpwstr>
  </property>
  <property fmtid="{D5CDD505-2E9C-101B-9397-08002B2CF9AE}" pid="15" name="Unique annex">
    <vt:lpwstr>0</vt:lpwstr>
  </property>
  <property fmtid="{D5CDD505-2E9C-101B-9397-08002B2CF9AE}" pid="16" name="Part">
    <vt:lpwstr>&lt;UNUSED&gt;</vt:lpwstr>
  </property>
  <property fmtid="{D5CDD505-2E9C-101B-9397-08002B2CF9AE}" pid="17" name="Total parts">
    <vt:lpwstr>&lt;UNUSED&gt;</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ContentTypeId">
    <vt:lpwstr>0x010100258AA79CEB83498886A3A0868112325000C91101ED19659B489105E64B8BBAA979</vt:lpwstr>
  </property>
  <property fmtid="{D5CDD505-2E9C-101B-9397-08002B2CF9AE}" pid="21" name="DQCStatus">
    <vt:lpwstr>Green (DQC version 03)</vt:lpwstr>
  </property>
</Properties>
</file>