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5CE5" w14:textId="6C56AAC1" w:rsidR="001A0B9E" w:rsidRPr="005B01FE" w:rsidRDefault="00046FD5" w:rsidP="006A76D4">
      <w:pPr>
        <w:pStyle w:val="Pagedecouverture"/>
        <w:rPr>
          <w:noProof/>
        </w:rPr>
      </w:pPr>
      <w:bookmarkStart w:id="0" w:name="LW_BM_COVERPAGE"/>
      <w:bookmarkStart w:id="1" w:name="_Hlk163055417"/>
      <w:r>
        <w:rPr>
          <w:noProof/>
        </w:rPr>
        <w:pict w14:anchorId="6B73E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CED2475-D963-4277-8D3B-3C0D864186BC" style="width:455.25pt;height:434.3pt">
            <v:imagedata r:id="rId11" o:title=""/>
          </v:shape>
        </w:pict>
      </w:r>
    </w:p>
    <w:bookmarkEnd w:id="0"/>
    <w:p w14:paraId="0C09C2CB" w14:textId="77777777" w:rsidR="001A0B9E" w:rsidRPr="005B01FE" w:rsidRDefault="001A0B9E" w:rsidP="00C41B02">
      <w:pPr>
        <w:spacing w:after="0"/>
        <w:contextualSpacing/>
        <w:rPr>
          <w:noProof/>
        </w:rPr>
        <w:sectPr w:rsidR="001A0B9E" w:rsidRPr="005B01FE" w:rsidSect="006A76D4">
          <w:headerReference w:type="even" r:id="rId12"/>
          <w:headerReference w:type="default" r:id="rId13"/>
          <w:footerReference w:type="even" r:id="rId14"/>
          <w:footerReference w:type="default" r:id="rId15"/>
          <w:headerReference w:type="first" r:id="rId16"/>
          <w:footerReference w:type="first" r:id="rId17"/>
          <w:pgSz w:w="11907" w:h="16839" w:code="9"/>
          <w:pgMar w:top="1134" w:right="1417" w:bottom="1134" w:left="1417" w:header="709" w:footer="709" w:gutter="0"/>
          <w:pgNumType w:start="0"/>
          <w:cols w:space="720"/>
          <w:docGrid w:linePitch="326"/>
        </w:sectPr>
      </w:pPr>
    </w:p>
    <w:p w14:paraId="5C6DF30C" w14:textId="1C7D1D49" w:rsidR="00812B41" w:rsidRPr="005B01FE" w:rsidRDefault="009656A3" w:rsidP="00EB5DE6">
      <w:pPr>
        <w:spacing w:before="240" w:after="0"/>
        <w:contextualSpacing/>
        <w:rPr>
          <w:noProof/>
        </w:rPr>
      </w:pPr>
      <w:r w:rsidRPr="005B01FE">
        <w:rPr>
          <w:b/>
          <w:noProof/>
          <w:highlight w:val="yellow"/>
        </w:rPr>
        <w:br w:type="page"/>
      </w:r>
    </w:p>
    <w:sdt>
      <w:sdtPr>
        <w:rPr>
          <w:b w:val="0"/>
          <w:noProof/>
          <w:sz w:val="24"/>
        </w:rPr>
        <w:id w:val="307913206"/>
        <w:docPartObj>
          <w:docPartGallery w:val="Table of Contents"/>
          <w:docPartUnique/>
        </w:docPartObj>
      </w:sdtPr>
      <w:sdtEndPr>
        <w:rPr>
          <w:bCs/>
        </w:rPr>
      </w:sdtEndPr>
      <w:sdtContent>
        <w:p w14:paraId="4A8CB7BA" w14:textId="3C183EC9" w:rsidR="001D60F5" w:rsidRDefault="001D60F5">
          <w:pPr>
            <w:pStyle w:val="TOCHeading"/>
            <w:rPr>
              <w:noProof/>
            </w:rPr>
          </w:pPr>
          <w:r>
            <w:rPr>
              <w:noProof/>
            </w:rPr>
            <w:t>Table of Contents</w:t>
          </w:r>
        </w:p>
        <w:p w14:paraId="3E490FE3" w14:textId="59C9BEB7" w:rsidR="00EB4EBB" w:rsidRDefault="001D60F5">
          <w:pPr>
            <w:pStyle w:val="TOC1"/>
            <w:rPr>
              <w:rFonts w:asciiTheme="minorHAnsi" w:eastAsiaTheme="minorEastAsia" w:hAnsiTheme="minorHAnsi" w:cstheme="minorBidi"/>
              <w:noProof/>
              <w:kern w:val="2"/>
              <w:sz w:val="22"/>
              <w:szCs w:val="22"/>
              <w:lang w:val="en-IE" w:eastAsia="en-IE"/>
              <w14:ligatures w14:val="standardContextual"/>
            </w:rPr>
          </w:pPr>
          <w:r w:rsidRPr="001D60F5">
            <w:rPr>
              <w:noProof/>
            </w:rPr>
            <w:fldChar w:fldCharType="begin"/>
          </w:r>
          <w:r w:rsidRPr="001D60F5">
            <w:rPr>
              <w:noProof/>
            </w:rPr>
            <w:instrText xml:space="preserve"> TOC \o "1-3" \h \z \u </w:instrText>
          </w:r>
          <w:r w:rsidRPr="001D60F5">
            <w:rPr>
              <w:noProof/>
            </w:rPr>
            <w:fldChar w:fldCharType="separate"/>
          </w:r>
          <w:hyperlink w:anchor="_Toc167898083" w:history="1">
            <w:r w:rsidR="00EB4EBB" w:rsidRPr="00B92A5A">
              <w:rPr>
                <w:rStyle w:val="Hyperlink"/>
                <w:noProof/>
              </w:rPr>
              <w:t>1.</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APPLICATION OF ARTICLE 13</w:t>
            </w:r>
            <w:r w:rsidR="00814A6E">
              <w:rPr>
                <w:rStyle w:val="Hyperlink"/>
                <w:noProof/>
              </w:rPr>
              <w:t xml:space="preserve"> OF THE AVMSD</w:t>
            </w:r>
            <w:r w:rsidR="00EB4EBB">
              <w:rPr>
                <w:noProof/>
                <w:webHidden/>
              </w:rPr>
              <w:tab/>
            </w:r>
            <w:r w:rsidR="00EB4EBB">
              <w:rPr>
                <w:noProof/>
                <w:webHidden/>
              </w:rPr>
              <w:fldChar w:fldCharType="begin"/>
            </w:r>
            <w:r w:rsidR="00EB4EBB">
              <w:rPr>
                <w:noProof/>
                <w:webHidden/>
              </w:rPr>
              <w:instrText xml:space="preserve"> PAGEREF _Toc167898083 \h </w:instrText>
            </w:r>
            <w:r w:rsidR="00EB4EBB">
              <w:rPr>
                <w:noProof/>
                <w:webHidden/>
              </w:rPr>
            </w:r>
            <w:r w:rsidR="00EB4EBB">
              <w:rPr>
                <w:noProof/>
                <w:webHidden/>
              </w:rPr>
              <w:fldChar w:fldCharType="separate"/>
            </w:r>
            <w:r w:rsidR="00046FD5">
              <w:rPr>
                <w:noProof/>
                <w:webHidden/>
              </w:rPr>
              <w:t>2</w:t>
            </w:r>
            <w:r w:rsidR="00EB4EBB">
              <w:rPr>
                <w:noProof/>
                <w:webHidden/>
              </w:rPr>
              <w:fldChar w:fldCharType="end"/>
            </w:r>
          </w:hyperlink>
        </w:p>
        <w:p w14:paraId="13F34D1C" w14:textId="4A2E8EF4"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4" w:history="1">
            <w:r w:rsidR="00EB4EBB" w:rsidRPr="00B92A5A">
              <w:rPr>
                <w:rStyle w:val="Hyperlink"/>
                <w:noProof/>
              </w:rPr>
              <w:t>1.1.</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Overview of the European on-demand services market</w:t>
            </w:r>
            <w:r w:rsidR="00EB4EBB">
              <w:rPr>
                <w:noProof/>
                <w:webHidden/>
              </w:rPr>
              <w:tab/>
            </w:r>
            <w:r w:rsidR="00EB4EBB">
              <w:rPr>
                <w:noProof/>
                <w:webHidden/>
              </w:rPr>
              <w:fldChar w:fldCharType="begin"/>
            </w:r>
            <w:r w:rsidR="00EB4EBB">
              <w:rPr>
                <w:noProof/>
                <w:webHidden/>
              </w:rPr>
              <w:instrText xml:space="preserve"> PAGEREF _Toc167898084 \h </w:instrText>
            </w:r>
            <w:r w:rsidR="00EB4EBB">
              <w:rPr>
                <w:noProof/>
                <w:webHidden/>
              </w:rPr>
            </w:r>
            <w:r w:rsidR="00EB4EBB">
              <w:rPr>
                <w:noProof/>
                <w:webHidden/>
              </w:rPr>
              <w:fldChar w:fldCharType="separate"/>
            </w:r>
            <w:r>
              <w:rPr>
                <w:noProof/>
                <w:webHidden/>
              </w:rPr>
              <w:t>2</w:t>
            </w:r>
            <w:r w:rsidR="00EB4EBB">
              <w:rPr>
                <w:noProof/>
                <w:webHidden/>
              </w:rPr>
              <w:fldChar w:fldCharType="end"/>
            </w:r>
          </w:hyperlink>
        </w:p>
        <w:p w14:paraId="77E1F63F" w14:textId="6837DB6B"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5" w:history="1">
            <w:r w:rsidR="00EB4EBB" w:rsidRPr="00B92A5A">
              <w:rPr>
                <w:rStyle w:val="Hyperlink"/>
                <w:noProof/>
              </w:rPr>
              <w:t>1.2.</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Quota for European works on VOD services (Article 13(1) of the AVMSD)</w:t>
            </w:r>
            <w:r w:rsidR="00EB4EBB">
              <w:rPr>
                <w:noProof/>
                <w:webHidden/>
              </w:rPr>
              <w:tab/>
            </w:r>
            <w:r w:rsidR="00EB4EBB">
              <w:rPr>
                <w:noProof/>
                <w:webHidden/>
              </w:rPr>
              <w:fldChar w:fldCharType="begin"/>
            </w:r>
            <w:r w:rsidR="00EB4EBB">
              <w:rPr>
                <w:noProof/>
                <w:webHidden/>
              </w:rPr>
              <w:instrText xml:space="preserve"> PAGEREF _Toc167898085 \h </w:instrText>
            </w:r>
            <w:r w:rsidR="00EB4EBB">
              <w:rPr>
                <w:noProof/>
                <w:webHidden/>
              </w:rPr>
            </w:r>
            <w:r w:rsidR="00EB4EBB">
              <w:rPr>
                <w:noProof/>
                <w:webHidden/>
              </w:rPr>
              <w:fldChar w:fldCharType="separate"/>
            </w:r>
            <w:r>
              <w:rPr>
                <w:noProof/>
                <w:webHidden/>
              </w:rPr>
              <w:t>3</w:t>
            </w:r>
            <w:r w:rsidR="00EB4EBB">
              <w:rPr>
                <w:noProof/>
                <w:webHidden/>
              </w:rPr>
              <w:fldChar w:fldCharType="end"/>
            </w:r>
          </w:hyperlink>
        </w:p>
        <w:p w14:paraId="32B0CF3D" w14:textId="5F8D3C8F"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6" w:history="1">
            <w:r w:rsidR="00EB4EBB" w:rsidRPr="00B92A5A">
              <w:rPr>
                <w:rStyle w:val="Hyperlink"/>
                <w:noProof/>
              </w:rPr>
              <w:t>1.3.</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Prominence of European works on VOD services (Article 13(1) of the AVMSD)</w:t>
            </w:r>
            <w:r w:rsidR="00EB4EBB">
              <w:rPr>
                <w:noProof/>
                <w:webHidden/>
              </w:rPr>
              <w:tab/>
            </w:r>
            <w:r w:rsidR="00EB4EBB">
              <w:rPr>
                <w:noProof/>
                <w:webHidden/>
              </w:rPr>
              <w:fldChar w:fldCharType="begin"/>
            </w:r>
            <w:r w:rsidR="00EB4EBB">
              <w:rPr>
                <w:noProof/>
                <w:webHidden/>
              </w:rPr>
              <w:instrText xml:space="preserve"> PAGEREF _Toc167898086 \h </w:instrText>
            </w:r>
            <w:r w:rsidR="00EB4EBB">
              <w:rPr>
                <w:noProof/>
                <w:webHidden/>
              </w:rPr>
            </w:r>
            <w:r w:rsidR="00EB4EBB">
              <w:rPr>
                <w:noProof/>
                <w:webHidden/>
              </w:rPr>
              <w:fldChar w:fldCharType="separate"/>
            </w:r>
            <w:r>
              <w:rPr>
                <w:noProof/>
                <w:webHidden/>
              </w:rPr>
              <w:t>7</w:t>
            </w:r>
            <w:r w:rsidR="00EB4EBB">
              <w:rPr>
                <w:noProof/>
                <w:webHidden/>
              </w:rPr>
              <w:fldChar w:fldCharType="end"/>
            </w:r>
          </w:hyperlink>
        </w:p>
        <w:p w14:paraId="440B36D8" w14:textId="23E02DD0"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7" w:history="1">
            <w:r w:rsidR="00EB4EBB" w:rsidRPr="00B92A5A">
              <w:rPr>
                <w:rStyle w:val="Hyperlink"/>
                <w:noProof/>
              </w:rPr>
              <w:t>1.4.</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Financial contributions to the production of European works (Article 13(2) of the AVMSD)</w:t>
            </w:r>
            <w:r w:rsidR="00EB4EBB">
              <w:rPr>
                <w:noProof/>
                <w:webHidden/>
              </w:rPr>
              <w:tab/>
            </w:r>
            <w:r w:rsidR="00EB4EBB">
              <w:rPr>
                <w:noProof/>
                <w:webHidden/>
              </w:rPr>
              <w:fldChar w:fldCharType="begin"/>
            </w:r>
            <w:r w:rsidR="00EB4EBB">
              <w:rPr>
                <w:noProof/>
                <w:webHidden/>
              </w:rPr>
              <w:instrText xml:space="preserve"> PAGEREF _Toc167898087 \h </w:instrText>
            </w:r>
            <w:r w:rsidR="00EB4EBB">
              <w:rPr>
                <w:noProof/>
                <w:webHidden/>
              </w:rPr>
            </w:r>
            <w:r w:rsidR="00EB4EBB">
              <w:rPr>
                <w:noProof/>
                <w:webHidden/>
              </w:rPr>
              <w:fldChar w:fldCharType="separate"/>
            </w:r>
            <w:r>
              <w:rPr>
                <w:noProof/>
                <w:webHidden/>
              </w:rPr>
              <w:t>8</w:t>
            </w:r>
            <w:r w:rsidR="00EB4EBB">
              <w:rPr>
                <w:noProof/>
                <w:webHidden/>
              </w:rPr>
              <w:fldChar w:fldCharType="end"/>
            </w:r>
          </w:hyperlink>
        </w:p>
        <w:p w14:paraId="7D43D495" w14:textId="3EE5DF6B"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8" w:history="1">
            <w:r w:rsidR="00EB4EBB" w:rsidRPr="00B92A5A">
              <w:rPr>
                <w:rStyle w:val="Hyperlink"/>
                <w:noProof/>
              </w:rPr>
              <w:t>1.5.</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Exempted VOD services</w:t>
            </w:r>
            <w:r w:rsidR="00EB4EBB">
              <w:rPr>
                <w:noProof/>
                <w:webHidden/>
              </w:rPr>
              <w:tab/>
            </w:r>
            <w:r w:rsidR="00EB4EBB">
              <w:rPr>
                <w:noProof/>
                <w:webHidden/>
              </w:rPr>
              <w:fldChar w:fldCharType="begin"/>
            </w:r>
            <w:r w:rsidR="00EB4EBB">
              <w:rPr>
                <w:noProof/>
                <w:webHidden/>
              </w:rPr>
              <w:instrText xml:space="preserve"> PAGEREF _Toc167898088 \h </w:instrText>
            </w:r>
            <w:r w:rsidR="00EB4EBB">
              <w:rPr>
                <w:noProof/>
                <w:webHidden/>
              </w:rPr>
            </w:r>
            <w:r w:rsidR="00EB4EBB">
              <w:rPr>
                <w:noProof/>
                <w:webHidden/>
              </w:rPr>
              <w:fldChar w:fldCharType="separate"/>
            </w:r>
            <w:r>
              <w:rPr>
                <w:noProof/>
                <w:webHidden/>
              </w:rPr>
              <w:t>10</w:t>
            </w:r>
            <w:r w:rsidR="00EB4EBB">
              <w:rPr>
                <w:noProof/>
                <w:webHidden/>
              </w:rPr>
              <w:fldChar w:fldCharType="end"/>
            </w:r>
          </w:hyperlink>
        </w:p>
        <w:p w14:paraId="2E3F4959" w14:textId="05F597F5"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89" w:history="1">
            <w:r w:rsidR="00EB4EBB" w:rsidRPr="00B92A5A">
              <w:rPr>
                <w:rStyle w:val="Hyperlink"/>
                <w:noProof/>
              </w:rPr>
              <w:t>1.6.</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Methods of implementation and monitoring by the Member States</w:t>
            </w:r>
            <w:r w:rsidR="00EB4EBB">
              <w:rPr>
                <w:noProof/>
                <w:webHidden/>
              </w:rPr>
              <w:tab/>
            </w:r>
            <w:r w:rsidR="00EB4EBB">
              <w:rPr>
                <w:noProof/>
                <w:webHidden/>
              </w:rPr>
              <w:fldChar w:fldCharType="begin"/>
            </w:r>
            <w:r w:rsidR="00EB4EBB">
              <w:rPr>
                <w:noProof/>
                <w:webHidden/>
              </w:rPr>
              <w:instrText xml:space="preserve"> PAGEREF _Toc167898089 \h </w:instrText>
            </w:r>
            <w:r w:rsidR="00EB4EBB">
              <w:rPr>
                <w:noProof/>
                <w:webHidden/>
              </w:rPr>
            </w:r>
            <w:r w:rsidR="00EB4EBB">
              <w:rPr>
                <w:noProof/>
                <w:webHidden/>
              </w:rPr>
              <w:fldChar w:fldCharType="separate"/>
            </w:r>
            <w:r>
              <w:rPr>
                <w:noProof/>
                <w:webHidden/>
              </w:rPr>
              <w:t>10</w:t>
            </w:r>
            <w:r w:rsidR="00EB4EBB">
              <w:rPr>
                <w:noProof/>
                <w:webHidden/>
              </w:rPr>
              <w:fldChar w:fldCharType="end"/>
            </w:r>
          </w:hyperlink>
        </w:p>
        <w:p w14:paraId="4CEDA07E" w14:textId="3CEE826A" w:rsidR="00EB4EBB" w:rsidRDefault="00046FD5">
          <w:pPr>
            <w:pStyle w:val="TOC1"/>
            <w:rPr>
              <w:rFonts w:asciiTheme="minorHAnsi" w:eastAsiaTheme="minorEastAsia" w:hAnsiTheme="minorHAnsi" w:cstheme="minorBidi"/>
              <w:noProof/>
              <w:kern w:val="2"/>
              <w:sz w:val="22"/>
              <w:szCs w:val="22"/>
              <w:lang w:val="en-IE" w:eastAsia="en-IE"/>
              <w14:ligatures w14:val="standardContextual"/>
            </w:rPr>
          </w:pPr>
          <w:hyperlink w:anchor="_Toc167898090" w:history="1">
            <w:r w:rsidR="00EB4EBB" w:rsidRPr="00B92A5A">
              <w:rPr>
                <w:rStyle w:val="Hyperlink"/>
                <w:noProof/>
              </w:rPr>
              <w:t>2.</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 xml:space="preserve">APPLICATION OF ARTICLES 16 AND 17 OF THE AVMSD </w:t>
            </w:r>
            <w:r w:rsidR="00EB4EBB">
              <w:rPr>
                <w:noProof/>
                <w:webHidden/>
              </w:rPr>
              <w:tab/>
            </w:r>
            <w:r w:rsidR="00EB4EBB">
              <w:rPr>
                <w:noProof/>
                <w:webHidden/>
              </w:rPr>
              <w:fldChar w:fldCharType="begin"/>
            </w:r>
            <w:r w:rsidR="00EB4EBB">
              <w:rPr>
                <w:noProof/>
                <w:webHidden/>
              </w:rPr>
              <w:instrText xml:space="preserve"> PAGEREF _Toc167898090 \h </w:instrText>
            </w:r>
            <w:r w:rsidR="00EB4EBB">
              <w:rPr>
                <w:noProof/>
                <w:webHidden/>
              </w:rPr>
            </w:r>
            <w:r w:rsidR="00EB4EBB">
              <w:rPr>
                <w:noProof/>
                <w:webHidden/>
              </w:rPr>
              <w:fldChar w:fldCharType="separate"/>
            </w:r>
            <w:r>
              <w:rPr>
                <w:noProof/>
                <w:webHidden/>
              </w:rPr>
              <w:t>1</w:t>
            </w:r>
            <w:r>
              <w:rPr>
                <w:noProof/>
                <w:webHidden/>
              </w:rPr>
              <w:t>2</w:t>
            </w:r>
            <w:r w:rsidR="00EB4EBB">
              <w:rPr>
                <w:noProof/>
                <w:webHidden/>
              </w:rPr>
              <w:fldChar w:fldCharType="end"/>
            </w:r>
          </w:hyperlink>
        </w:p>
        <w:p w14:paraId="5332CE59" w14:textId="63939756"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91" w:history="1">
            <w:r w:rsidR="00EB4EBB" w:rsidRPr="00B92A5A">
              <w:rPr>
                <w:rStyle w:val="Hyperlink"/>
                <w:noProof/>
              </w:rPr>
              <w:t>2.1.</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Overview of the European linear audiovisual services market</w:t>
            </w:r>
            <w:r w:rsidR="00EB4EBB">
              <w:rPr>
                <w:noProof/>
                <w:webHidden/>
              </w:rPr>
              <w:tab/>
            </w:r>
            <w:r w:rsidR="00EB4EBB">
              <w:rPr>
                <w:noProof/>
                <w:webHidden/>
              </w:rPr>
              <w:fldChar w:fldCharType="begin"/>
            </w:r>
            <w:r w:rsidR="00EB4EBB">
              <w:rPr>
                <w:noProof/>
                <w:webHidden/>
              </w:rPr>
              <w:instrText xml:space="preserve"> PAGEREF _Toc167898091 \h </w:instrText>
            </w:r>
            <w:r w:rsidR="00EB4EBB">
              <w:rPr>
                <w:noProof/>
                <w:webHidden/>
              </w:rPr>
            </w:r>
            <w:r w:rsidR="00EB4EBB">
              <w:rPr>
                <w:noProof/>
                <w:webHidden/>
              </w:rPr>
              <w:fldChar w:fldCharType="separate"/>
            </w:r>
            <w:r>
              <w:rPr>
                <w:noProof/>
                <w:webHidden/>
              </w:rPr>
              <w:t>12</w:t>
            </w:r>
            <w:r w:rsidR="00EB4EBB">
              <w:rPr>
                <w:noProof/>
                <w:webHidden/>
              </w:rPr>
              <w:fldChar w:fldCharType="end"/>
            </w:r>
          </w:hyperlink>
        </w:p>
        <w:p w14:paraId="5F231E99" w14:textId="00514566"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92" w:history="1">
            <w:r w:rsidR="00EB4EBB" w:rsidRPr="00B92A5A">
              <w:rPr>
                <w:rStyle w:val="Hyperlink"/>
                <w:noProof/>
              </w:rPr>
              <w:t>2.2.</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Possible exemption of channels with a very low audience share and number of channels covered</w:t>
            </w:r>
            <w:r w:rsidR="00EB4EBB">
              <w:rPr>
                <w:noProof/>
                <w:webHidden/>
              </w:rPr>
              <w:tab/>
            </w:r>
            <w:r w:rsidR="00EB4EBB">
              <w:rPr>
                <w:noProof/>
                <w:webHidden/>
              </w:rPr>
              <w:fldChar w:fldCharType="begin"/>
            </w:r>
            <w:r w:rsidR="00EB4EBB">
              <w:rPr>
                <w:noProof/>
                <w:webHidden/>
              </w:rPr>
              <w:instrText xml:space="preserve"> PAGEREF _Toc167898092 \h </w:instrText>
            </w:r>
            <w:r w:rsidR="00EB4EBB">
              <w:rPr>
                <w:noProof/>
                <w:webHidden/>
              </w:rPr>
            </w:r>
            <w:r w:rsidR="00EB4EBB">
              <w:rPr>
                <w:noProof/>
                <w:webHidden/>
              </w:rPr>
              <w:fldChar w:fldCharType="separate"/>
            </w:r>
            <w:r>
              <w:rPr>
                <w:noProof/>
                <w:webHidden/>
              </w:rPr>
              <w:t>13</w:t>
            </w:r>
            <w:r w:rsidR="00EB4EBB">
              <w:rPr>
                <w:noProof/>
                <w:webHidden/>
              </w:rPr>
              <w:fldChar w:fldCharType="end"/>
            </w:r>
          </w:hyperlink>
        </w:p>
        <w:p w14:paraId="6159AD7F" w14:textId="0E9C328A"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93" w:history="1">
            <w:r w:rsidR="00EB4EBB" w:rsidRPr="00B92A5A">
              <w:rPr>
                <w:rStyle w:val="Hyperlink"/>
                <w:noProof/>
              </w:rPr>
              <w:t>2.3.</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Monitoring</w:t>
            </w:r>
            <w:r w:rsidR="00EB4EBB">
              <w:rPr>
                <w:noProof/>
                <w:webHidden/>
              </w:rPr>
              <w:tab/>
            </w:r>
            <w:r w:rsidR="00EB4EBB">
              <w:rPr>
                <w:noProof/>
                <w:webHidden/>
              </w:rPr>
              <w:fldChar w:fldCharType="begin"/>
            </w:r>
            <w:r w:rsidR="00EB4EBB">
              <w:rPr>
                <w:noProof/>
                <w:webHidden/>
              </w:rPr>
              <w:instrText xml:space="preserve"> PAGEREF _Toc167898093 \h </w:instrText>
            </w:r>
            <w:r w:rsidR="00EB4EBB">
              <w:rPr>
                <w:noProof/>
                <w:webHidden/>
              </w:rPr>
            </w:r>
            <w:r w:rsidR="00EB4EBB">
              <w:rPr>
                <w:noProof/>
                <w:webHidden/>
              </w:rPr>
              <w:fldChar w:fldCharType="separate"/>
            </w:r>
            <w:r>
              <w:rPr>
                <w:noProof/>
                <w:webHidden/>
              </w:rPr>
              <w:t>14</w:t>
            </w:r>
            <w:r w:rsidR="00EB4EBB">
              <w:rPr>
                <w:noProof/>
                <w:webHidden/>
              </w:rPr>
              <w:fldChar w:fldCharType="end"/>
            </w:r>
          </w:hyperlink>
        </w:p>
        <w:p w14:paraId="4861B9C7" w14:textId="6EA63069"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94" w:history="1">
            <w:r w:rsidR="00EB4EBB" w:rsidRPr="00B92A5A">
              <w:rPr>
                <w:rStyle w:val="Hyperlink"/>
                <w:noProof/>
              </w:rPr>
              <w:t>2.4.</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Application of Article 16 of the AVMSD – Majority proportion of European works</w:t>
            </w:r>
            <w:r w:rsidR="00EB4EBB">
              <w:rPr>
                <w:noProof/>
                <w:webHidden/>
              </w:rPr>
              <w:tab/>
            </w:r>
            <w:r w:rsidR="00EB4EBB">
              <w:rPr>
                <w:noProof/>
                <w:webHidden/>
              </w:rPr>
              <w:fldChar w:fldCharType="begin"/>
            </w:r>
            <w:r w:rsidR="00EB4EBB">
              <w:rPr>
                <w:noProof/>
                <w:webHidden/>
              </w:rPr>
              <w:instrText xml:space="preserve"> PAGEREF _Toc167898094 \h </w:instrText>
            </w:r>
            <w:r w:rsidR="00EB4EBB">
              <w:rPr>
                <w:noProof/>
                <w:webHidden/>
              </w:rPr>
            </w:r>
            <w:r w:rsidR="00EB4EBB">
              <w:rPr>
                <w:noProof/>
                <w:webHidden/>
              </w:rPr>
              <w:fldChar w:fldCharType="separate"/>
            </w:r>
            <w:r>
              <w:rPr>
                <w:noProof/>
                <w:webHidden/>
              </w:rPr>
              <w:t>16</w:t>
            </w:r>
            <w:r w:rsidR="00EB4EBB">
              <w:rPr>
                <w:noProof/>
                <w:webHidden/>
              </w:rPr>
              <w:fldChar w:fldCharType="end"/>
            </w:r>
          </w:hyperlink>
        </w:p>
        <w:p w14:paraId="6820DC8F" w14:textId="299638D1" w:rsidR="00EB4EBB" w:rsidRDefault="00046FD5">
          <w:pPr>
            <w:pStyle w:val="TOC2"/>
            <w:rPr>
              <w:rFonts w:asciiTheme="minorHAnsi" w:eastAsiaTheme="minorEastAsia" w:hAnsiTheme="minorHAnsi" w:cstheme="minorBidi"/>
              <w:noProof/>
              <w:kern w:val="2"/>
              <w:sz w:val="22"/>
              <w:szCs w:val="22"/>
              <w:lang w:val="en-IE" w:eastAsia="en-IE"/>
              <w14:ligatures w14:val="standardContextual"/>
            </w:rPr>
          </w:pPr>
          <w:hyperlink w:anchor="_Toc167898095" w:history="1">
            <w:r w:rsidR="00EB4EBB" w:rsidRPr="00B92A5A">
              <w:rPr>
                <w:rStyle w:val="Hyperlink"/>
                <w:noProof/>
              </w:rPr>
              <w:t>2.5.</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noProof/>
              </w:rPr>
              <w:t>Application of Article 17 of the AVMSD – European works created by independent producers (independent productions) and recent works</w:t>
            </w:r>
            <w:r w:rsidR="00EB4EBB">
              <w:rPr>
                <w:noProof/>
                <w:webHidden/>
              </w:rPr>
              <w:tab/>
            </w:r>
            <w:r w:rsidR="00EB4EBB">
              <w:rPr>
                <w:noProof/>
                <w:webHidden/>
              </w:rPr>
              <w:fldChar w:fldCharType="begin"/>
            </w:r>
            <w:r w:rsidR="00EB4EBB">
              <w:rPr>
                <w:noProof/>
                <w:webHidden/>
              </w:rPr>
              <w:instrText xml:space="preserve"> PAGEREF _Toc167898095 \h </w:instrText>
            </w:r>
            <w:r w:rsidR="00EB4EBB">
              <w:rPr>
                <w:noProof/>
                <w:webHidden/>
              </w:rPr>
            </w:r>
            <w:r w:rsidR="00EB4EBB">
              <w:rPr>
                <w:noProof/>
                <w:webHidden/>
              </w:rPr>
              <w:fldChar w:fldCharType="separate"/>
            </w:r>
            <w:r>
              <w:rPr>
                <w:noProof/>
                <w:webHidden/>
              </w:rPr>
              <w:t>1</w:t>
            </w:r>
            <w:r>
              <w:rPr>
                <w:noProof/>
                <w:webHidden/>
              </w:rPr>
              <w:t>9</w:t>
            </w:r>
            <w:r w:rsidR="00EB4EBB">
              <w:rPr>
                <w:noProof/>
                <w:webHidden/>
              </w:rPr>
              <w:fldChar w:fldCharType="end"/>
            </w:r>
          </w:hyperlink>
        </w:p>
        <w:p w14:paraId="4FBA4EE9" w14:textId="6A3ADCD7" w:rsidR="00EB4EBB" w:rsidRDefault="00046FD5">
          <w:pPr>
            <w:pStyle w:val="TOC1"/>
            <w:rPr>
              <w:rFonts w:asciiTheme="minorHAnsi" w:eastAsiaTheme="minorEastAsia" w:hAnsiTheme="minorHAnsi" w:cstheme="minorBidi"/>
              <w:noProof/>
              <w:kern w:val="2"/>
              <w:sz w:val="22"/>
              <w:szCs w:val="22"/>
              <w:lang w:val="en-IE" w:eastAsia="en-IE"/>
              <w14:ligatures w14:val="standardContextual"/>
            </w:rPr>
          </w:pPr>
          <w:hyperlink w:anchor="_Toc167898096" w:history="1">
            <w:r w:rsidR="00EB4EBB" w:rsidRPr="00B92A5A">
              <w:rPr>
                <w:rStyle w:val="Hyperlink"/>
                <w:rFonts w:eastAsia="SimSun"/>
                <w:noProof/>
                <w:lang w:eastAsia="zh-CN"/>
              </w:rPr>
              <w:t>3.</w:t>
            </w:r>
            <w:r w:rsidR="00EB4EBB">
              <w:rPr>
                <w:rFonts w:asciiTheme="minorHAnsi" w:eastAsiaTheme="minorEastAsia" w:hAnsiTheme="minorHAnsi" w:cstheme="minorBidi"/>
                <w:noProof/>
                <w:kern w:val="2"/>
                <w:sz w:val="22"/>
                <w:szCs w:val="22"/>
                <w:lang w:val="en-IE" w:eastAsia="en-IE"/>
                <w14:ligatures w14:val="standardContextual"/>
              </w:rPr>
              <w:tab/>
            </w:r>
            <w:r w:rsidR="00EB4EBB" w:rsidRPr="00B92A5A">
              <w:rPr>
                <w:rStyle w:val="Hyperlink"/>
                <w:rFonts w:eastAsia="SimSun"/>
                <w:noProof/>
                <w:lang w:eastAsia="zh-CN"/>
              </w:rPr>
              <w:t>GLOSSARY</w:t>
            </w:r>
            <w:r w:rsidR="00EB4EBB">
              <w:rPr>
                <w:noProof/>
                <w:webHidden/>
              </w:rPr>
              <w:tab/>
            </w:r>
            <w:r w:rsidR="00EB4EBB">
              <w:rPr>
                <w:noProof/>
                <w:webHidden/>
              </w:rPr>
              <w:fldChar w:fldCharType="begin"/>
            </w:r>
            <w:r w:rsidR="00EB4EBB">
              <w:rPr>
                <w:noProof/>
                <w:webHidden/>
              </w:rPr>
              <w:instrText xml:space="preserve"> PAGEREF _Toc167898096 \h </w:instrText>
            </w:r>
            <w:r w:rsidR="00EB4EBB">
              <w:rPr>
                <w:noProof/>
                <w:webHidden/>
              </w:rPr>
            </w:r>
            <w:r w:rsidR="00EB4EBB">
              <w:rPr>
                <w:noProof/>
                <w:webHidden/>
              </w:rPr>
              <w:fldChar w:fldCharType="separate"/>
            </w:r>
            <w:r>
              <w:rPr>
                <w:noProof/>
                <w:webHidden/>
              </w:rPr>
              <w:t>22</w:t>
            </w:r>
            <w:r w:rsidR="00EB4EBB">
              <w:rPr>
                <w:noProof/>
                <w:webHidden/>
              </w:rPr>
              <w:fldChar w:fldCharType="end"/>
            </w:r>
          </w:hyperlink>
        </w:p>
        <w:p w14:paraId="13713CF4" w14:textId="5ED723A5" w:rsidR="001D60F5" w:rsidRDefault="001D60F5">
          <w:pPr>
            <w:rPr>
              <w:noProof/>
            </w:rPr>
          </w:pPr>
          <w:r w:rsidRPr="001D60F5">
            <w:rPr>
              <w:b/>
              <w:bCs/>
              <w:noProof/>
            </w:rPr>
            <w:fldChar w:fldCharType="end"/>
          </w:r>
        </w:p>
      </w:sdtContent>
    </w:sdt>
    <w:p w14:paraId="0111ED21" w14:textId="77777777" w:rsidR="00791F62" w:rsidRPr="005B01FE" w:rsidRDefault="00791F62" w:rsidP="00C41B02">
      <w:pPr>
        <w:spacing w:before="240" w:after="0"/>
        <w:contextualSpacing/>
        <w:rPr>
          <w:noProof/>
          <w:highlight w:val="yellow"/>
        </w:rPr>
      </w:pPr>
    </w:p>
    <w:p w14:paraId="18E06A93" w14:textId="6127BD69" w:rsidR="00A87FB0" w:rsidRDefault="00A87FB0">
      <w:pPr>
        <w:spacing w:before="0" w:after="0"/>
        <w:jc w:val="left"/>
        <w:rPr>
          <w:b/>
          <w:noProof/>
          <w:highlight w:val="yellow"/>
        </w:rPr>
      </w:pPr>
      <w:r>
        <w:rPr>
          <w:b/>
          <w:noProof/>
          <w:highlight w:val="yellow"/>
        </w:rPr>
        <w:br w:type="page"/>
      </w:r>
    </w:p>
    <w:p w14:paraId="395EDF3A" w14:textId="34EBEC43" w:rsidR="00812B41" w:rsidRPr="005B01FE" w:rsidRDefault="00812B41" w:rsidP="009F2C6C">
      <w:pPr>
        <w:pStyle w:val="Heading1"/>
        <w:rPr>
          <w:noProof/>
        </w:rPr>
      </w:pPr>
      <w:bookmarkStart w:id="2" w:name="_Toc164780011"/>
      <w:bookmarkStart w:id="3" w:name="_Toc164780046"/>
      <w:bookmarkStart w:id="4" w:name="_Toc167898080"/>
      <w:bookmarkStart w:id="5" w:name="_Toc164780012"/>
      <w:bookmarkStart w:id="6" w:name="_Toc164780047"/>
      <w:bookmarkStart w:id="7" w:name="_Toc164780013"/>
      <w:bookmarkStart w:id="8" w:name="_Toc164780048"/>
      <w:bookmarkStart w:id="9" w:name="_Toc167898082"/>
      <w:bookmarkStart w:id="10" w:name="_Toc167898083"/>
      <w:bookmarkEnd w:id="2"/>
      <w:bookmarkEnd w:id="3"/>
      <w:bookmarkEnd w:id="4"/>
      <w:bookmarkEnd w:id="5"/>
      <w:bookmarkEnd w:id="6"/>
      <w:bookmarkEnd w:id="7"/>
      <w:bookmarkEnd w:id="8"/>
      <w:bookmarkEnd w:id="9"/>
      <w:r w:rsidRPr="005B01FE">
        <w:rPr>
          <w:noProof/>
        </w:rPr>
        <w:lastRenderedPageBreak/>
        <w:t>APPLICATION OF ARTICLE 13</w:t>
      </w:r>
      <w:r w:rsidR="00814A6E">
        <w:rPr>
          <w:noProof/>
        </w:rPr>
        <w:t xml:space="preserve"> OF THE AVMSD</w:t>
      </w:r>
      <w:bookmarkEnd w:id="10"/>
    </w:p>
    <w:p w14:paraId="1C203140" w14:textId="77777777" w:rsidR="00487827" w:rsidRPr="005B01FE" w:rsidRDefault="00487827" w:rsidP="009F2C6C">
      <w:pPr>
        <w:keepNext/>
        <w:spacing w:before="240" w:after="0"/>
        <w:rPr>
          <w:b/>
          <w:noProof/>
        </w:rPr>
      </w:pPr>
    </w:p>
    <w:p w14:paraId="60D53E2B" w14:textId="4DCE3CE7" w:rsidR="00E66C70" w:rsidRPr="00A87FB0" w:rsidRDefault="00812B41" w:rsidP="009F2C6C">
      <w:pPr>
        <w:pStyle w:val="Heading2"/>
        <w:rPr>
          <w:noProof/>
        </w:rPr>
      </w:pPr>
      <w:bookmarkStart w:id="11" w:name="_Toc167898084"/>
      <w:r w:rsidRPr="005B01FE">
        <w:rPr>
          <w:noProof/>
        </w:rPr>
        <w:t>Overview of the European on-demand services market</w:t>
      </w:r>
      <w:bookmarkEnd w:id="11"/>
    </w:p>
    <w:p w14:paraId="0722ECF9" w14:textId="076D8DB6" w:rsidR="006C58F7" w:rsidRPr="005B01FE" w:rsidRDefault="00CE323E" w:rsidP="00C41B02">
      <w:pPr>
        <w:spacing w:before="240" w:after="0"/>
        <w:contextualSpacing/>
        <w:rPr>
          <w:noProof/>
        </w:rPr>
      </w:pPr>
      <w:r>
        <w:rPr>
          <w:noProof/>
        </w:rPr>
        <w:t>T</w:t>
      </w:r>
      <w:r w:rsidR="00A77029" w:rsidRPr="005B01FE">
        <w:rPr>
          <w:noProof/>
        </w:rPr>
        <w:t xml:space="preserve">he reference period </w:t>
      </w:r>
      <w:r>
        <w:rPr>
          <w:noProof/>
        </w:rPr>
        <w:t>(</w:t>
      </w:r>
      <w:r w:rsidR="00A77029" w:rsidRPr="005B01FE">
        <w:rPr>
          <w:noProof/>
        </w:rPr>
        <w:t>2020-2021</w:t>
      </w:r>
      <w:r>
        <w:rPr>
          <w:noProof/>
        </w:rPr>
        <w:t>)</w:t>
      </w:r>
      <w:r w:rsidR="00A77029" w:rsidRPr="005B01FE">
        <w:rPr>
          <w:noProof/>
        </w:rPr>
        <w:t xml:space="preserve"> coincided with the COVID-19 pandemic</w:t>
      </w:r>
      <w:r w:rsidR="006C58F7" w:rsidRPr="005B01FE">
        <w:rPr>
          <w:noProof/>
        </w:rPr>
        <w:t xml:space="preserve">, which </w:t>
      </w:r>
      <w:r w:rsidR="009B7E75" w:rsidRPr="005B01FE">
        <w:rPr>
          <w:noProof/>
        </w:rPr>
        <w:t xml:space="preserve">had </w:t>
      </w:r>
      <w:r w:rsidR="006B1B2C" w:rsidRPr="005B01FE">
        <w:rPr>
          <w:noProof/>
        </w:rPr>
        <w:t xml:space="preserve">a notable impact on </w:t>
      </w:r>
      <w:r w:rsidR="006C58F7" w:rsidRPr="005B01FE">
        <w:rPr>
          <w:noProof/>
        </w:rPr>
        <w:t>the EU audiovisual industry</w:t>
      </w:r>
      <w:r w:rsidR="00A77029" w:rsidRPr="005B01FE">
        <w:rPr>
          <w:noProof/>
        </w:rPr>
        <w:t>.</w:t>
      </w:r>
      <w:r w:rsidR="006C58F7" w:rsidRPr="005B01FE">
        <w:rPr>
          <w:noProof/>
        </w:rPr>
        <w:t xml:space="preserve"> </w:t>
      </w:r>
      <w:r w:rsidR="009D2BBE" w:rsidRPr="005B01FE">
        <w:rPr>
          <w:noProof/>
        </w:rPr>
        <w:t xml:space="preserve">While the production of content and cinemas were hit hard, </w:t>
      </w:r>
      <w:r w:rsidR="00853D37">
        <w:rPr>
          <w:noProof/>
        </w:rPr>
        <w:t>video-on-demand (</w:t>
      </w:r>
      <w:r w:rsidR="006C58F7" w:rsidRPr="005B01FE">
        <w:rPr>
          <w:noProof/>
        </w:rPr>
        <w:t>VOD</w:t>
      </w:r>
      <w:r w:rsidR="00853D37">
        <w:rPr>
          <w:noProof/>
        </w:rPr>
        <w:t>)</w:t>
      </w:r>
      <w:r w:rsidR="006C58F7" w:rsidRPr="005B01FE">
        <w:rPr>
          <w:noProof/>
        </w:rPr>
        <w:t xml:space="preserve"> players </w:t>
      </w:r>
      <w:r w:rsidR="009D2BBE" w:rsidRPr="005B01FE">
        <w:rPr>
          <w:noProof/>
        </w:rPr>
        <w:t xml:space="preserve">managed to expand their </w:t>
      </w:r>
      <w:r w:rsidR="006C58F7" w:rsidRPr="005B01FE">
        <w:rPr>
          <w:noProof/>
        </w:rPr>
        <w:t>audiences during this period, potentially accelerating the shift away from traditional broadcasting</w:t>
      </w:r>
      <w:r w:rsidR="0031458D" w:rsidRPr="005B01FE">
        <w:rPr>
          <w:rStyle w:val="FootnoteReference"/>
          <w:noProof/>
        </w:rPr>
        <w:footnoteReference w:id="2"/>
      </w:r>
      <w:r w:rsidR="0031458D" w:rsidRPr="005B01FE">
        <w:rPr>
          <w:noProof/>
        </w:rPr>
        <w:t>.</w:t>
      </w:r>
      <w:bookmarkStart w:id="12" w:name="_Hlk141707044"/>
      <w:r w:rsidR="000656AF" w:rsidRPr="005B01FE">
        <w:rPr>
          <w:noProof/>
        </w:rPr>
        <w:t xml:space="preserve"> </w:t>
      </w:r>
      <w:r>
        <w:rPr>
          <w:noProof/>
        </w:rPr>
        <w:t>R</w:t>
      </w:r>
      <w:r w:rsidR="000656AF" w:rsidRPr="005B01FE">
        <w:rPr>
          <w:noProof/>
        </w:rPr>
        <w:t xml:space="preserve">evenues of VOD services in the EU were </w:t>
      </w:r>
      <w:r w:rsidR="001D6B51" w:rsidRPr="005B01FE">
        <w:rPr>
          <w:noProof/>
        </w:rPr>
        <w:t xml:space="preserve">around </w:t>
      </w:r>
      <w:r w:rsidR="000656AF" w:rsidRPr="005B01FE">
        <w:rPr>
          <w:noProof/>
        </w:rPr>
        <w:t>EUR</w:t>
      </w:r>
      <w:r>
        <w:rPr>
          <w:noProof/>
        </w:rPr>
        <w:t> </w:t>
      </w:r>
      <w:r w:rsidR="000656AF" w:rsidRPr="005B01FE">
        <w:rPr>
          <w:noProof/>
        </w:rPr>
        <w:t>9.</w:t>
      </w:r>
      <w:r w:rsidR="0033445E" w:rsidRPr="005B01FE">
        <w:rPr>
          <w:noProof/>
        </w:rPr>
        <w:t>2</w:t>
      </w:r>
      <w:r>
        <w:rPr>
          <w:noProof/>
        </w:rPr>
        <w:t> </w:t>
      </w:r>
      <w:r w:rsidR="0033445E" w:rsidRPr="005B01FE">
        <w:rPr>
          <w:noProof/>
        </w:rPr>
        <w:t xml:space="preserve">billion </w:t>
      </w:r>
      <w:r>
        <w:rPr>
          <w:noProof/>
        </w:rPr>
        <w:t xml:space="preserve">in 2020 </w:t>
      </w:r>
      <w:r w:rsidR="000656AF" w:rsidRPr="005B01FE">
        <w:rPr>
          <w:noProof/>
        </w:rPr>
        <w:t>and EUR</w:t>
      </w:r>
      <w:r>
        <w:rPr>
          <w:noProof/>
        </w:rPr>
        <w:t> </w:t>
      </w:r>
      <w:r w:rsidR="000656AF" w:rsidRPr="005B01FE">
        <w:rPr>
          <w:noProof/>
        </w:rPr>
        <w:t>11.7</w:t>
      </w:r>
      <w:r>
        <w:rPr>
          <w:noProof/>
        </w:rPr>
        <w:t> </w:t>
      </w:r>
      <w:r w:rsidR="0033445E" w:rsidRPr="005B01FE">
        <w:rPr>
          <w:noProof/>
        </w:rPr>
        <w:t>billion</w:t>
      </w:r>
      <w:r>
        <w:rPr>
          <w:noProof/>
        </w:rPr>
        <w:t xml:space="preserve"> </w:t>
      </w:r>
      <w:r w:rsidRPr="005B01FE">
        <w:rPr>
          <w:noProof/>
        </w:rPr>
        <w:t>in 2021</w:t>
      </w:r>
      <w:r w:rsidR="000656AF" w:rsidRPr="005B01FE">
        <w:rPr>
          <w:noProof/>
        </w:rPr>
        <w:t xml:space="preserve">, representing about </w:t>
      </w:r>
      <w:r w:rsidR="001D6B51" w:rsidRPr="005B01FE">
        <w:rPr>
          <w:noProof/>
        </w:rPr>
        <w:t>13</w:t>
      </w:r>
      <w:r w:rsidR="000656AF" w:rsidRPr="005B01FE">
        <w:rPr>
          <w:noProof/>
        </w:rPr>
        <w:t>% of the overall EU audiovisual market</w:t>
      </w:r>
      <w:bookmarkEnd w:id="12"/>
      <w:r w:rsidR="000656AF" w:rsidRPr="005B01FE">
        <w:rPr>
          <w:rStyle w:val="FootnoteReference"/>
          <w:noProof/>
        </w:rPr>
        <w:footnoteReference w:id="3"/>
      </w:r>
      <w:r w:rsidR="000656AF" w:rsidRPr="005B01FE">
        <w:rPr>
          <w:noProof/>
        </w:rPr>
        <w:t>.</w:t>
      </w:r>
      <w:r w:rsidR="00866CC3" w:rsidRPr="005B01FE">
        <w:rPr>
          <w:noProof/>
        </w:rPr>
        <w:t xml:space="preserve"> </w:t>
      </w:r>
      <w:r>
        <w:rPr>
          <w:noProof/>
        </w:rPr>
        <w:t>A</w:t>
      </w:r>
      <w:r w:rsidRPr="005B01FE">
        <w:rPr>
          <w:noProof/>
        </w:rPr>
        <w:t xml:space="preserve">lso in </w:t>
      </w:r>
      <w:r>
        <w:rPr>
          <w:noProof/>
        </w:rPr>
        <w:t>the</w:t>
      </w:r>
      <w:r w:rsidRPr="005B01FE">
        <w:rPr>
          <w:noProof/>
        </w:rPr>
        <w:t xml:space="preserve"> years </w:t>
      </w:r>
      <w:r>
        <w:rPr>
          <w:noProof/>
        </w:rPr>
        <w:t xml:space="preserve">before the pandemic, </w:t>
      </w:r>
      <w:r w:rsidR="00866CC3" w:rsidRPr="005B01FE">
        <w:rPr>
          <w:noProof/>
        </w:rPr>
        <w:t xml:space="preserve">revenues of VOD services </w:t>
      </w:r>
      <w:r w:rsidR="00F15136" w:rsidRPr="005B01FE">
        <w:rPr>
          <w:noProof/>
        </w:rPr>
        <w:t>were</w:t>
      </w:r>
      <w:r w:rsidR="00866CC3" w:rsidRPr="005B01FE">
        <w:rPr>
          <w:noProof/>
        </w:rPr>
        <w:t xml:space="preserve"> </w:t>
      </w:r>
      <w:r w:rsidRPr="005B01FE">
        <w:rPr>
          <w:noProof/>
        </w:rPr>
        <w:t xml:space="preserve">steadily </w:t>
      </w:r>
      <w:r w:rsidR="00866CC3" w:rsidRPr="005B01FE">
        <w:rPr>
          <w:noProof/>
        </w:rPr>
        <w:t>increas</w:t>
      </w:r>
      <w:r w:rsidR="00F15136" w:rsidRPr="005B01FE">
        <w:rPr>
          <w:noProof/>
        </w:rPr>
        <w:t>ing</w:t>
      </w:r>
      <w:r>
        <w:rPr>
          <w:noProof/>
        </w:rPr>
        <w:t>: they amounted to</w:t>
      </w:r>
      <w:r w:rsidR="00866CC3" w:rsidRPr="005B01FE">
        <w:rPr>
          <w:noProof/>
        </w:rPr>
        <w:t xml:space="preserve"> EUR</w:t>
      </w:r>
      <w:r>
        <w:rPr>
          <w:noProof/>
        </w:rPr>
        <w:t> </w:t>
      </w:r>
      <w:r w:rsidR="00866CC3" w:rsidRPr="005B01FE">
        <w:rPr>
          <w:noProof/>
        </w:rPr>
        <w:t>3.5</w:t>
      </w:r>
      <w:r>
        <w:rPr>
          <w:noProof/>
        </w:rPr>
        <w:t> </w:t>
      </w:r>
      <w:r w:rsidR="00866CC3" w:rsidRPr="005B01FE">
        <w:rPr>
          <w:noProof/>
        </w:rPr>
        <w:t>billion in 2017, EUR</w:t>
      </w:r>
      <w:r>
        <w:rPr>
          <w:noProof/>
        </w:rPr>
        <w:t> </w:t>
      </w:r>
      <w:r w:rsidR="00866CC3" w:rsidRPr="005B01FE">
        <w:rPr>
          <w:noProof/>
        </w:rPr>
        <w:t>4.8</w:t>
      </w:r>
      <w:r>
        <w:rPr>
          <w:noProof/>
        </w:rPr>
        <w:t> </w:t>
      </w:r>
      <w:r w:rsidR="00866CC3" w:rsidRPr="005B01FE">
        <w:rPr>
          <w:noProof/>
        </w:rPr>
        <w:t>billion in 2018 and EUR</w:t>
      </w:r>
      <w:r>
        <w:rPr>
          <w:noProof/>
        </w:rPr>
        <w:t> </w:t>
      </w:r>
      <w:r w:rsidR="00866CC3" w:rsidRPr="005B01FE">
        <w:rPr>
          <w:noProof/>
        </w:rPr>
        <w:t>6.7</w:t>
      </w:r>
      <w:r>
        <w:rPr>
          <w:noProof/>
        </w:rPr>
        <w:t> </w:t>
      </w:r>
      <w:r w:rsidR="00866CC3" w:rsidRPr="005B01FE">
        <w:rPr>
          <w:noProof/>
        </w:rPr>
        <w:t>billion in 2019.</w:t>
      </w:r>
    </w:p>
    <w:p w14:paraId="210F8A18" w14:textId="77777777" w:rsidR="006C58F7" w:rsidRPr="005B01FE" w:rsidRDefault="006C58F7" w:rsidP="00C41B02">
      <w:pPr>
        <w:spacing w:before="240" w:after="0"/>
        <w:contextualSpacing/>
        <w:rPr>
          <w:noProof/>
        </w:rPr>
      </w:pPr>
    </w:p>
    <w:p w14:paraId="6BB615E7" w14:textId="0935F1BA" w:rsidR="00CD7A2B" w:rsidRPr="005B01FE" w:rsidRDefault="00A77029" w:rsidP="00C41B02">
      <w:pPr>
        <w:spacing w:before="240" w:after="0"/>
        <w:contextualSpacing/>
        <w:rPr>
          <w:noProof/>
        </w:rPr>
      </w:pPr>
      <w:r w:rsidRPr="005B01FE">
        <w:rPr>
          <w:noProof/>
        </w:rPr>
        <w:t xml:space="preserve">Growth </w:t>
      </w:r>
      <w:r w:rsidR="006B1B2C" w:rsidRPr="005B01FE">
        <w:rPr>
          <w:noProof/>
        </w:rPr>
        <w:t>wa</w:t>
      </w:r>
      <w:r w:rsidRPr="005B01FE">
        <w:rPr>
          <w:noProof/>
        </w:rPr>
        <w:t xml:space="preserve">s primarily driven by </w:t>
      </w:r>
      <w:bookmarkStart w:id="13" w:name="_Hlk163479069"/>
      <w:r w:rsidR="0031458D" w:rsidRPr="005B01FE">
        <w:rPr>
          <w:noProof/>
        </w:rPr>
        <w:t>subscription-based</w:t>
      </w:r>
      <w:bookmarkEnd w:id="13"/>
      <w:r w:rsidR="0031458D" w:rsidRPr="005B01FE">
        <w:rPr>
          <w:noProof/>
        </w:rPr>
        <w:t xml:space="preserve"> </w:t>
      </w:r>
      <w:r w:rsidR="00DF36B2">
        <w:rPr>
          <w:noProof/>
        </w:rPr>
        <w:t>VOD</w:t>
      </w:r>
      <w:r w:rsidR="0031458D" w:rsidRPr="005B01FE">
        <w:rPr>
          <w:noProof/>
        </w:rPr>
        <w:t xml:space="preserve"> </w:t>
      </w:r>
      <w:r w:rsidR="00CE323E" w:rsidRPr="005B01FE">
        <w:rPr>
          <w:noProof/>
        </w:rPr>
        <w:t>(SVOD)</w:t>
      </w:r>
      <w:r w:rsidR="00CE323E">
        <w:rPr>
          <w:noProof/>
        </w:rPr>
        <w:t xml:space="preserve"> </w:t>
      </w:r>
      <w:r w:rsidR="0031458D" w:rsidRPr="005B01FE">
        <w:rPr>
          <w:noProof/>
        </w:rPr>
        <w:t>services</w:t>
      </w:r>
      <w:r w:rsidR="006B1B2C" w:rsidRPr="005B01FE">
        <w:rPr>
          <w:noProof/>
        </w:rPr>
        <w:t>, which represented the main VOD business model</w:t>
      </w:r>
      <w:r w:rsidRPr="005B01FE">
        <w:rPr>
          <w:noProof/>
        </w:rPr>
        <w:t xml:space="preserve">. </w:t>
      </w:r>
      <w:r w:rsidR="00B12808" w:rsidRPr="005B01FE">
        <w:rPr>
          <w:noProof/>
        </w:rPr>
        <w:t xml:space="preserve">This subsector </w:t>
      </w:r>
      <w:r w:rsidR="006B1B2C" w:rsidRPr="005B01FE">
        <w:rPr>
          <w:noProof/>
        </w:rPr>
        <w:t>was</w:t>
      </w:r>
      <w:r w:rsidR="00B12808" w:rsidRPr="005B01FE">
        <w:rPr>
          <w:noProof/>
        </w:rPr>
        <w:t xml:space="preserve"> concentrated</w:t>
      </w:r>
      <w:r w:rsidR="00DF36B2">
        <w:rPr>
          <w:noProof/>
        </w:rPr>
        <w:t xml:space="preserve"> in the hands of a few, mainly US-based, </w:t>
      </w:r>
      <w:r w:rsidR="00B12808" w:rsidRPr="005B01FE">
        <w:rPr>
          <w:noProof/>
        </w:rPr>
        <w:t>global players</w:t>
      </w:r>
      <w:r w:rsidR="000F2E0C" w:rsidRPr="005B01FE">
        <w:rPr>
          <w:noProof/>
        </w:rPr>
        <w:t xml:space="preserve">, the </w:t>
      </w:r>
      <w:r w:rsidR="009109A4" w:rsidRPr="00663A49">
        <w:rPr>
          <w:noProof/>
        </w:rPr>
        <w:t>three</w:t>
      </w:r>
      <w:r w:rsidR="009109A4" w:rsidRPr="005B01FE">
        <w:rPr>
          <w:noProof/>
        </w:rPr>
        <w:t xml:space="preserve"> </w:t>
      </w:r>
      <w:r w:rsidR="000F2E0C" w:rsidRPr="005B01FE">
        <w:rPr>
          <w:noProof/>
        </w:rPr>
        <w:t>being Netflix, Amazon Prime and Disney+</w:t>
      </w:r>
      <w:r w:rsidR="00B12808" w:rsidRPr="005B01FE">
        <w:rPr>
          <w:noProof/>
        </w:rPr>
        <w:t xml:space="preserve">. </w:t>
      </w:r>
      <w:r w:rsidR="00CD7A2B" w:rsidRPr="005B01FE">
        <w:rPr>
          <w:noProof/>
        </w:rPr>
        <w:t xml:space="preserve">The value of the SVOD model in the EU </w:t>
      </w:r>
      <w:r w:rsidR="006B1B2C" w:rsidRPr="005B01FE">
        <w:rPr>
          <w:noProof/>
        </w:rPr>
        <w:t>wa</w:t>
      </w:r>
      <w:r w:rsidR="00CD7A2B" w:rsidRPr="005B01FE">
        <w:rPr>
          <w:noProof/>
        </w:rPr>
        <w:t>s five times higher than</w:t>
      </w:r>
      <w:r w:rsidR="003C61F6" w:rsidRPr="005B01FE">
        <w:rPr>
          <w:noProof/>
        </w:rPr>
        <w:t xml:space="preserve"> the value of</w:t>
      </w:r>
      <w:r w:rsidR="00CD7A2B" w:rsidRPr="005B01FE">
        <w:rPr>
          <w:noProof/>
        </w:rPr>
        <w:t xml:space="preserve"> </w:t>
      </w:r>
      <w:bookmarkStart w:id="14" w:name="_Hlk163479033"/>
      <w:r w:rsidR="006B1B2C" w:rsidRPr="005B01FE">
        <w:rPr>
          <w:noProof/>
        </w:rPr>
        <w:t xml:space="preserve">transaction-based </w:t>
      </w:r>
      <w:bookmarkEnd w:id="14"/>
      <w:r w:rsidR="006B1B2C" w:rsidRPr="005B01FE">
        <w:rPr>
          <w:noProof/>
        </w:rPr>
        <w:t>VOD (</w:t>
      </w:r>
      <w:r w:rsidR="00CD7A2B" w:rsidRPr="005B01FE">
        <w:rPr>
          <w:noProof/>
        </w:rPr>
        <w:t>TVOD</w:t>
      </w:r>
      <w:r w:rsidR="00C0147C">
        <w:rPr>
          <w:noProof/>
        </w:rPr>
        <w:t xml:space="preserve">) </w:t>
      </w:r>
      <w:r w:rsidR="00C0147C" w:rsidRPr="005B01FE">
        <w:rPr>
          <w:noProof/>
        </w:rPr>
        <w:t>services</w:t>
      </w:r>
      <w:r w:rsidR="006B1B2C" w:rsidRPr="005B01FE">
        <w:rPr>
          <w:noProof/>
        </w:rPr>
        <w:t xml:space="preserve"> </w:t>
      </w:r>
      <w:r w:rsidR="00C0147C">
        <w:rPr>
          <w:noProof/>
        </w:rPr>
        <w:t>(</w:t>
      </w:r>
      <w:r w:rsidR="006B1B2C" w:rsidRPr="005B01FE">
        <w:rPr>
          <w:noProof/>
        </w:rPr>
        <w:t>also called pay-per-view</w:t>
      </w:r>
      <w:r w:rsidR="00C0147C">
        <w:rPr>
          <w:noProof/>
        </w:rPr>
        <w:t xml:space="preserve"> services)</w:t>
      </w:r>
      <w:r w:rsidR="00CD7A2B" w:rsidRPr="005B01FE">
        <w:rPr>
          <w:noProof/>
        </w:rPr>
        <w:t xml:space="preserve">. </w:t>
      </w:r>
      <w:bookmarkStart w:id="15" w:name="_Hlk163479046"/>
      <w:r w:rsidR="006B1B2C" w:rsidRPr="005B01FE">
        <w:rPr>
          <w:noProof/>
        </w:rPr>
        <w:t xml:space="preserve">Advertising-based </w:t>
      </w:r>
      <w:bookmarkEnd w:id="15"/>
      <w:r w:rsidR="006B1B2C" w:rsidRPr="005B01FE">
        <w:rPr>
          <w:noProof/>
        </w:rPr>
        <w:t>VOD (AVOD)</w:t>
      </w:r>
      <w:r w:rsidR="00C0147C">
        <w:rPr>
          <w:noProof/>
        </w:rPr>
        <w:t xml:space="preserve"> services</w:t>
      </w:r>
      <w:r w:rsidR="00A2168D" w:rsidRPr="005B01FE">
        <w:rPr>
          <w:rStyle w:val="FootnoteReference"/>
          <w:noProof/>
        </w:rPr>
        <w:footnoteReference w:id="4"/>
      </w:r>
      <w:r w:rsidR="003C61F6" w:rsidRPr="005B01FE">
        <w:rPr>
          <w:noProof/>
        </w:rPr>
        <w:t>, including</w:t>
      </w:r>
      <w:r w:rsidR="006B1B2C" w:rsidRPr="005B01FE">
        <w:rPr>
          <w:noProof/>
        </w:rPr>
        <w:t xml:space="preserve"> ad-supported </w:t>
      </w:r>
      <w:r w:rsidR="001F15CD" w:rsidRPr="005B01FE">
        <w:rPr>
          <w:noProof/>
        </w:rPr>
        <w:t xml:space="preserve">free </w:t>
      </w:r>
      <w:r w:rsidR="006B1B2C" w:rsidRPr="005B01FE">
        <w:rPr>
          <w:noProof/>
        </w:rPr>
        <w:t>streaming television services</w:t>
      </w:r>
      <w:r w:rsidR="003C61F6" w:rsidRPr="005B01FE">
        <w:rPr>
          <w:noProof/>
        </w:rPr>
        <w:t>,</w:t>
      </w:r>
      <w:r w:rsidR="006B1B2C" w:rsidRPr="005B01FE">
        <w:rPr>
          <w:noProof/>
        </w:rPr>
        <w:t xml:space="preserve"> represented a</w:t>
      </w:r>
      <w:r w:rsidR="00CD7A2B" w:rsidRPr="005B01FE">
        <w:rPr>
          <w:noProof/>
        </w:rPr>
        <w:t>n emerging third business model</w:t>
      </w:r>
      <w:r w:rsidR="006B1B2C" w:rsidRPr="005B01FE">
        <w:rPr>
          <w:noProof/>
        </w:rPr>
        <w:t xml:space="preserve">, being </w:t>
      </w:r>
      <w:r w:rsidR="00CD7A2B" w:rsidRPr="005B01FE">
        <w:rPr>
          <w:noProof/>
        </w:rPr>
        <w:t xml:space="preserve">usually offered as an alternative to users of </w:t>
      </w:r>
      <w:r w:rsidR="00C0147C">
        <w:rPr>
          <w:noProof/>
        </w:rPr>
        <w:t>SVOD</w:t>
      </w:r>
      <w:r w:rsidR="003C61F6" w:rsidRPr="005B01FE">
        <w:rPr>
          <w:noProof/>
        </w:rPr>
        <w:t xml:space="preserve"> services</w:t>
      </w:r>
      <w:r w:rsidR="001E0556" w:rsidRPr="005B01FE">
        <w:rPr>
          <w:rStyle w:val="FootnoteReference"/>
          <w:noProof/>
        </w:rPr>
        <w:footnoteReference w:id="5"/>
      </w:r>
      <w:r w:rsidR="00CD7A2B" w:rsidRPr="005B01FE">
        <w:rPr>
          <w:noProof/>
        </w:rPr>
        <w:t>.</w:t>
      </w:r>
    </w:p>
    <w:p w14:paraId="2F51D321" w14:textId="77777777" w:rsidR="00B12808" w:rsidRPr="005B01FE" w:rsidRDefault="00B12808" w:rsidP="00C41B02">
      <w:pPr>
        <w:spacing w:before="240" w:after="0"/>
        <w:contextualSpacing/>
        <w:rPr>
          <w:noProof/>
          <w:highlight w:val="yellow"/>
        </w:rPr>
      </w:pPr>
    </w:p>
    <w:p w14:paraId="5860E9CB" w14:textId="24C3EA80" w:rsidR="001F4DD5" w:rsidRPr="005B01FE" w:rsidRDefault="001F4DD5" w:rsidP="00C41B02">
      <w:pPr>
        <w:spacing w:before="240" w:after="0"/>
        <w:contextualSpacing/>
        <w:rPr>
          <w:noProof/>
        </w:rPr>
      </w:pPr>
      <w:r w:rsidRPr="005B01FE">
        <w:rPr>
          <w:noProof/>
        </w:rPr>
        <w:t xml:space="preserve">According to the information </w:t>
      </w:r>
      <w:r w:rsidR="000D0CC2">
        <w:rPr>
          <w:noProof/>
        </w:rPr>
        <w:t>provided</w:t>
      </w:r>
      <w:r w:rsidR="000D0CC2" w:rsidRPr="005B01FE">
        <w:rPr>
          <w:noProof/>
        </w:rPr>
        <w:t xml:space="preserve"> </w:t>
      </w:r>
      <w:r w:rsidR="000D0CC2">
        <w:rPr>
          <w:noProof/>
        </w:rPr>
        <w:t xml:space="preserve">by </w:t>
      </w:r>
      <w:r w:rsidR="00144C67" w:rsidRPr="005B01FE">
        <w:rPr>
          <w:noProof/>
        </w:rPr>
        <w:t xml:space="preserve">the </w:t>
      </w:r>
      <w:r w:rsidRPr="005B01FE">
        <w:rPr>
          <w:noProof/>
        </w:rPr>
        <w:t>Member States</w:t>
      </w:r>
      <w:r w:rsidR="00144C67" w:rsidRPr="005B01FE">
        <w:rPr>
          <w:noProof/>
        </w:rPr>
        <w:t xml:space="preserve"> and the </w:t>
      </w:r>
      <w:r w:rsidR="00853D37">
        <w:rPr>
          <w:noProof/>
        </w:rPr>
        <w:t>European Free Trade Association (EFTA) countries that are members of the European Economic Area (EEA) (‘</w:t>
      </w:r>
      <w:r w:rsidR="00144C67" w:rsidRPr="005B01FE">
        <w:rPr>
          <w:noProof/>
        </w:rPr>
        <w:t>EEA EFTA countries</w:t>
      </w:r>
      <w:r w:rsidR="00853D37">
        <w:rPr>
          <w:noProof/>
        </w:rPr>
        <w:t>’)</w:t>
      </w:r>
      <w:r w:rsidR="003C47B7">
        <w:rPr>
          <w:rStyle w:val="FootnoteReference"/>
          <w:noProof/>
        </w:rPr>
        <w:footnoteReference w:id="6"/>
      </w:r>
      <w:r w:rsidRPr="005B01FE">
        <w:rPr>
          <w:noProof/>
        </w:rPr>
        <w:t xml:space="preserve">, </w:t>
      </w:r>
      <w:r w:rsidR="000D0CC2">
        <w:rPr>
          <w:noProof/>
        </w:rPr>
        <w:t xml:space="preserve">a </w:t>
      </w:r>
      <w:r w:rsidR="00144C67" w:rsidRPr="005B01FE">
        <w:rPr>
          <w:noProof/>
        </w:rPr>
        <w:t xml:space="preserve">total </w:t>
      </w:r>
      <w:r w:rsidR="000D0CC2">
        <w:rPr>
          <w:noProof/>
        </w:rPr>
        <w:t xml:space="preserve">of </w:t>
      </w:r>
      <w:r w:rsidR="0003718B" w:rsidRPr="005B01FE">
        <w:rPr>
          <w:noProof/>
        </w:rPr>
        <w:t>1</w:t>
      </w:r>
      <w:r w:rsidR="000D0CC2">
        <w:rPr>
          <w:noProof/>
        </w:rPr>
        <w:t> </w:t>
      </w:r>
      <w:r w:rsidR="003E2B85" w:rsidRPr="005B01FE">
        <w:rPr>
          <w:noProof/>
        </w:rPr>
        <w:t>950</w:t>
      </w:r>
      <w:r w:rsidR="0003718B" w:rsidRPr="005B01FE">
        <w:rPr>
          <w:noProof/>
        </w:rPr>
        <w:t xml:space="preserve"> VOD services </w:t>
      </w:r>
      <w:r w:rsidR="000D0CC2">
        <w:rPr>
          <w:noProof/>
        </w:rPr>
        <w:t xml:space="preserve">were </w:t>
      </w:r>
      <w:r w:rsidR="0003718B" w:rsidRPr="005B01FE">
        <w:rPr>
          <w:noProof/>
        </w:rPr>
        <w:t>operational in the</w:t>
      </w:r>
      <w:r w:rsidR="00144C67" w:rsidRPr="005B01FE">
        <w:rPr>
          <w:noProof/>
        </w:rPr>
        <w:t>ir</w:t>
      </w:r>
      <w:r w:rsidR="0003718B" w:rsidRPr="005B01FE">
        <w:rPr>
          <w:noProof/>
        </w:rPr>
        <w:t xml:space="preserve"> jurisdiction</w:t>
      </w:r>
      <w:r w:rsidR="001F15CD" w:rsidRPr="005B01FE">
        <w:rPr>
          <w:noProof/>
        </w:rPr>
        <w:t>s</w:t>
      </w:r>
      <w:r w:rsidR="0003718B" w:rsidRPr="005B01FE">
        <w:rPr>
          <w:noProof/>
        </w:rPr>
        <w:t xml:space="preserve"> in 2020 and 1</w:t>
      </w:r>
      <w:r w:rsidR="000D0CC2">
        <w:rPr>
          <w:noProof/>
        </w:rPr>
        <w:t> </w:t>
      </w:r>
      <w:r w:rsidR="003E2B85" w:rsidRPr="005B01FE">
        <w:rPr>
          <w:noProof/>
        </w:rPr>
        <w:t>984</w:t>
      </w:r>
      <w:r w:rsidR="0003718B" w:rsidRPr="005B01FE">
        <w:rPr>
          <w:noProof/>
        </w:rPr>
        <w:t xml:space="preserve"> in 2021</w:t>
      </w:r>
      <w:r w:rsidR="007D57B8" w:rsidRPr="005B01FE">
        <w:rPr>
          <w:rStyle w:val="FootnoteReference"/>
          <w:noProof/>
        </w:rPr>
        <w:footnoteReference w:id="7"/>
      </w:r>
      <w:r w:rsidR="0003718B" w:rsidRPr="005B01FE">
        <w:rPr>
          <w:noProof/>
        </w:rPr>
        <w:t>.</w:t>
      </w:r>
      <w:r w:rsidRPr="005B01FE">
        <w:rPr>
          <w:noProof/>
        </w:rPr>
        <w:t xml:space="preserve"> </w:t>
      </w:r>
      <w:r w:rsidR="007B118E">
        <w:rPr>
          <w:noProof/>
        </w:rPr>
        <w:t xml:space="preserve">The figure below illustrates the overall situation in 2020 and 2021, including also </w:t>
      </w:r>
      <w:r w:rsidR="000249E3">
        <w:rPr>
          <w:noProof/>
        </w:rPr>
        <w:t>the</w:t>
      </w:r>
      <w:r w:rsidR="007B118E">
        <w:rPr>
          <w:noProof/>
        </w:rPr>
        <w:t xml:space="preserve"> VOD services that are exempted from the obligations under the Article 13(1) and (2) of the </w:t>
      </w:r>
      <w:r w:rsidR="00853D37">
        <w:rPr>
          <w:noProof/>
        </w:rPr>
        <w:t>Audiovisual Media Services Directive (</w:t>
      </w:r>
      <w:r w:rsidR="007B118E">
        <w:rPr>
          <w:noProof/>
        </w:rPr>
        <w:t>AVMSD</w:t>
      </w:r>
      <w:r w:rsidR="00853D37">
        <w:rPr>
          <w:noProof/>
        </w:rPr>
        <w:t>)</w:t>
      </w:r>
      <w:r w:rsidR="007B118E">
        <w:rPr>
          <w:noProof/>
        </w:rPr>
        <w:t xml:space="preserve"> (for further information</w:t>
      </w:r>
      <w:r w:rsidR="00F50487">
        <w:rPr>
          <w:noProof/>
        </w:rPr>
        <w:t xml:space="preserve"> about exemptions</w:t>
      </w:r>
      <w:r w:rsidR="007B118E">
        <w:rPr>
          <w:noProof/>
        </w:rPr>
        <w:t xml:space="preserve">, please see section 1.5). </w:t>
      </w:r>
      <w:r w:rsidR="003E2B85" w:rsidRPr="005B01FE">
        <w:rPr>
          <w:noProof/>
        </w:rPr>
        <w:t>For comparison, the previous study estimated that the number of VOD services stood at 1</w:t>
      </w:r>
      <w:r w:rsidR="000D0CC2">
        <w:rPr>
          <w:noProof/>
        </w:rPr>
        <w:t> </w:t>
      </w:r>
      <w:r w:rsidR="003E2B85" w:rsidRPr="005B01FE">
        <w:rPr>
          <w:noProof/>
        </w:rPr>
        <w:t xml:space="preserve">030 in 2019 in </w:t>
      </w:r>
      <w:r w:rsidR="00216696" w:rsidRPr="006C1FE8">
        <w:rPr>
          <w:noProof/>
        </w:rPr>
        <w:t>2</w:t>
      </w:r>
      <w:r w:rsidR="00B47573">
        <w:rPr>
          <w:noProof/>
        </w:rPr>
        <w:t>5</w:t>
      </w:r>
      <w:r w:rsidR="00216696" w:rsidRPr="006C1FE8">
        <w:rPr>
          <w:noProof/>
        </w:rPr>
        <w:t xml:space="preserve"> </w:t>
      </w:r>
      <w:r w:rsidR="003E2B85" w:rsidRPr="005B01FE">
        <w:rPr>
          <w:noProof/>
        </w:rPr>
        <w:t>Member States</w:t>
      </w:r>
      <w:r w:rsidR="00B47573">
        <w:rPr>
          <w:noProof/>
        </w:rPr>
        <w:t xml:space="preserve"> </w:t>
      </w:r>
      <w:r w:rsidR="003C47B7">
        <w:rPr>
          <w:noProof/>
        </w:rPr>
        <w:t>for which</w:t>
      </w:r>
      <w:r w:rsidR="00B47573">
        <w:rPr>
          <w:noProof/>
        </w:rPr>
        <w:t xml:space="preserve"> data was available</w:t>
      </w:r>
      <w:r w:rsidR="003E2B85" w:rsidRPr="005B01FE">
        <w:rPr>
          <w:rStyle w:val="FootnoteReference"/>
          <w:noProof/>
        </w:rPr>
        <w:footnoteReference w:id="8"/>
      </w:r>
      <w:r w:rsidR="0003718B" w:rsidRPr="005B01FE">
        <w:rPr>
          <w:noProof/>
        </w:rPr>
        <w:t xml:space="preserve">. The highest number of VOD services was reported </w:t>
      </w:r>
      <w:r w:rsidR="001002D6">
        <w:rPr>
          <w:noProof/>
        </w:rPr>
        <w:t>for</w:t>
      </w:r>
      <w:r w:rsidR="001002D6" w:rsidRPr="005B01FE">
        <w:rPr>
          <w:noProof/>
        </w:rPr>
        <w:t xml:space="preserve"> </w:t>
      </w:r>
      <w:r w:rsidR="0003718B" w:rsidRPr="005B01FE">
        <w:rPr>
          <w:noProof/>
        </w:rPr>
        <w:t xml:space="preserve">France, </w:t>
      </w:r>
      <w:r w:rsidR="001F15CD" w:rsidRPr="005B01FE">
        <w:rPr>
          <w:noProof/>
        </w:rPr>
        <w:t xml:space="preserve">with </w:t>
      </w:r>
      <w:r w:rsidR="0003718B" w:rsidRPr="005B01FE">
        <w:rPr>
          <w:noProof/>
        </w:rPr>
        <w:t>409 and 410 services in 2020 and 2021,</w:t>
      </w:r>
      <w:r w:rsidR="003E2B85" w:rsidRPr="005B01FE">
        <w:rPr>
          <w:noProof/>
        </w:rPr>
        <w:t xml:space="preserve"> </w:t>
      </w:r>
      <w:r w:rsidR="006914D9" w:rsidRPr="005B01FE">
        <w:rPr>
          <w:noProof/>
        </w:rPr>
        <w:t xml:space="preserve">respectively, </w:t>
      </w:r>
      <w:r w:rsidR="003E2B85" w:rsidRPr="005B01FE">
        <w:rPr>
          <w:noProof/>
        </w:rPr>
        <w:t>followed by Hungary (306 services in both years)</w:t>
      </w:r>
      <w:r w:rsidR="000379EA" w:rsidRPr="005B01FE">
        <w:rPr>
          <w:noProof/>
        </w:rPr>
        <w:t xml:space="preserve">. No VOD services were reported </w:t>
      </w:r>
      <w:r w:rsidR="000D4AED">
        <w:rPr>
          <w:noProof/>
        </w:rPr>
        <w:t>for</w:t>
      </w:r>
      <w:r w:rsidR="000D4AED" w:rsidRPr="005B01FE">
        <w:rPr>
          <w:noProof/>
        </w:rPr>
        <w:t xml:space="preserve"> </w:t>
      </w:r>
      <w:r w:rsidR="000379EA" w:rsidRPr="005B01FE">
        <w:rPr>
          <w:noProof/>
        </w:rPr>
        <w:t xml:space="preserve">Liechtenstein </w:t>
      </w:r>
      <w:r w:rsidR="00981245" w:rsidRPr="005B01FE">
        <w:rPr>
          <w:noProof/>
        </w:rPr>
        <w:t>or</w:t>
      </w:r>
      <w:r w:rsidR="000379EA" w:rsidRPr="005B01FE">
        <w:rPr>
          <w:noProof/>
        </w:rPr>
        <w:t xml:space="preserve"> Norway</w:t>
      </w:r>
      <w:r w:rsidR="00981245" w:rsidRPr="005B01FE">
        <w:rPr>
          <w:noProof/>
        </w:rPr>
        <w:t xml:space="preserve"> during the reference period</w:t>
      </w:r>
      <w:r w:rsidR="000379EA" w:rsidRPr="005B01FE">
        <w:rPr>
          <w:noProof/>
        </w:rPr>
        <w:t>.</w:t>
      </w:r>
      <w:r w:rsidR="009E2B64" w:rsidRPr="005B01FE">
        <w:rPr>
          <w:noProof/>
        </w:rPr>
        <w:t xml:space="preserve"> </w:t>
      </w:r>
    </w:p>
    <w:p w14:paraId="3EDCA530" w14:textId="31BA020C" w:rsidR="00E45D94" w:rsidRPr="005B01FE" w:rsidRDefault="00E45D94" w:rsidP="00C41B02">
      <w:pPr>
        <w:spacing w:before="240" w:after="0"/>
        <w:contextualSpacing/>
        <w:rPr>
          <w:noProof/>
        </w:rPr>
      </w:pPr>
    </w:p>
    <w:p w14:paraId="6B7485FE" w14:textId="4BB2DD9C" w:rsidR="00E45D94" w:rsidRPr="005B01FE" w:rsidRDefault="00E45D94" w:rsidP="00E45D94">
      <w:pPr>
        <w:pStyle w:val="Caption"/>
        <w:keepNext/>
        <w:spacing w:after="0"/>
        <w:rPr>
          <w:noProof/>
        </w:rPr>
      </w:pPr>
      <w:r w:rsidRPr="005B01FE">
        <w:rPr>
          <w:noProof/>
        </w:rPr>
        <w:t xml:space="preserve">Figure </w:t>
      </w:r>
      <w:r w:rsidR="00FE7170" w:rsidRPr="005B01FE">
        <w:rPr>
          <w:noProof/>
        </w:rPr>
        <w:fldChar w:fldCharType="begin"/>
      </w:r>
      <w:r w:rsidR="00FE7170" w:rsidRPr="005B01FE">
        <w:rPr>
          <w:noProof/>
        </w:rPr>
        <w:instrText xml:space="preserve"> SEQ Figure \* ARABIC </w:instrText>
      </w:r>
      <w:r w:rsidR="00FE7170" w:rsidRPr="005B01FE">
        <w:rPr>
          <w:noProof/>
        </w:rPr>
        <w:fldChar w:fldCharType="separate"/>
      </w:r>
      <w:r w:rsidR="00923757" w:rsidRPr="005B01FE">
        <w:rPr>
          <w:noProof/>
        </w:rPr>
        <w:t>1</w:t>
      </w:r>
      <w:r w:rsidR="00FE7170" w:rsidRPr="005B01FE">
        <w:rPr>
          <w:noProof/>
        </w:rPr>
        <w:fldChar w:fldCharType="end"/>
      </w:r>
      <w:r w:rsidR="00C821E9">
        <w:rPr>
          <w:noProof/>
        </w:rPr>
        <w:t>:</w:t>
      </w:r>
      <w:r w:rsidRPr="005B01FE">
        <w:rPr>
          <w:noProof/>
        </w:rPr>
        <w:t xml:space="preserve"> Number of VOD services in the EU</w:t>
      </w:r>
      <w:r w:rsidR="00C0206F" w:rsidRPr="005B01FE">
        <w:rPr>
          <w:noProof/>
        </w:rPr>
        <w:t xml:space="preserve"> and EEA EFTA countries</w:t>
      </w:r>
      <w:r w:rsidRPr="005B01FE">
        <w:rPr>
          <w:noProof/>
        </w:rPr>
        <w:t>, 2020-2021</w:t>
      </w:r>
    </w:p>
    <w:p w14:paraId="47ED5782" w14:textId="5D13A2E2" w:rsidR="00E45D94" w:rsidRPr="005B01FE" w:rsidRDefault="00AD31AD" w:rsidP="004205B0">
      <w:pPr>
        <w:rPr>
          <w:noProof/>
        </w:rPr>
      </w:pPr>
      <w:r w:rsidRPr="005B01FE">
        <w:rPr>
          <w:noProof/>
          <w:lang w:eastAsia="en-GB"/>
        </w:rPr>
        <w:drawing>
          <wp:inline distT="0" distB="0" distL="0" distR="0" wp14:anchorId="0A228909" wp14:editId="71AF0610">
            <wp:extent cx="5571490" cy="33242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83E89C" w14:textId="27EC7D85" w:rsidR="00E45D94" w:rsidRPr="005B01FE" w:rsidRDefault="00E45D94" w:rsidP="00E45D94">
      <w:pPr>
        <w:spacing w:after="0"/>
        <w:contextualSpacing/>
        <w:rPr>
          <w:i/>
          <w:iCs/>
          <w:noProof/>
          <w:sz w:val="20"/>
          <w:szCs w:val="20"/>
        </w:rPr>
      </w:pPr>
      <w:r w:rsidRPr="005B01FE">
        <w:rPr>
          <w:i/>
          <w:iCs/>
          <w:noProof/>
          <w:sz w:val="20"/>
          <w:szCs w:val="20"/>
        </w:rPr>
        <w:t xml:space="preserve">Source: the </w:t>
      </w:r>
      <w:r w:rsidR="00576015">
        <w:rPr>
          <w:i/>
          <w:iCs/>
          <w:noProof/>
          <w:sz w:val="20"/>
          <w:szCs w:val="20"/>
        </w:rPr>
        <w:t>s</w:t>
      </w:r>
      <w:r w:rsidRPr="005B01FE">
        <w:rPr>
          <w:i/>
          <w:iCs/>
          <w:noProof/>
          <w:sz w:val="20"/>
          <w:szCs w:val="20"/>
        </w:rPr>
        <w:t>tudy, based on Member States’ reporting</w:t>
      </w:r>
    </w:p>
    <w:p w14:paraId="10DC2E8D" w14:textId="77777777" w:rsidR="001F4DD5" w:rsidRPr="005B01FE" w:rsidRDefault="001F4DD5" w:rsidP="00C41B02">
      <w:pPr>
        <w:spacing w:before="240" w:after="0"/>
        <w:contextualSpacing/>
        <w:rPr>
          <w:noProof/>
        </w:rPr>
      </w:pPr>
    </w:p>
    <w:p w14:paraId="0FCF222C" w14:textId="035B6E7B" w:rsidR="00A77029" w:rsidRPr="005B01FE" w:rsidRDefault="00A77029" w:rsidP="00C41B02">
      <w:pPr>
        <w:spacing w:before="240" w:after="0"/>
        <w:contextualSpacing/>
        <w:rPr>
          <w:noProof/>
        </w:rPr>
      </w:pPr>
      <w:r w:rsidRPr="005B01FE">
        <w:rPr>
          <w:noProof/>
        </w:rPr>
        <w:t xml:space="preserve">Driven by the success of US-based SVOD platforms and encouraged by </w:t>
      </w:r>
      <w:r w:rsidR="006B1B2C" w:rsidRPr="005B01FE">
        <w:rPr>
          <w:noProof/>
        </w:rPr>
        <w:t xml:space="preserve">the generally </w:t>
      </w:r>
      <w:r w:rsidRPr="005B01FE">
        <w:rPr>
          <w:noProof/>
        </w:rPr>
        <w:t>increased use of VOD</w:t>
      </w:r>
      <w:r w:rsidR="006B1B2C" w:rsidRPr="005B01FE">
        <w:rPr>
          <w:noProof/>
        </w:rPr>
        <w:t xml:space="preserve"> services</w:t>
      </w:r>
      <w:r w:rsidRPr="005B01FE">
        <w:rPr>
          <w:noProof/>
        </w:rPr>
        <w:t xml:space="preserve">, </w:t>
      </w:r>
      <w:r w:rsidR="00216696" w:rsidRPr="006C1FE8">
        <w:rPr>
          <w:noProof/>
        </w:rPr>
        <w:t>many European broadcasters and independent players have launched their own on-demand services.</w:t>
      </w:r>
      <w:r w:rsidRPr="005B01FE">
        <w:rPr>
          <w:noProof/>
        </w:rPr>
        <w:t xml:space="preserve"> Over time</w:t>
      </w:r>
      <w:r w:rsidR="008B262B" w:rsidRPr="005B01FE">
        <w:rPr>
          <w:noProof/>
        </w:rPr>
        <w:t>,</w:t>
      </w:r>
      <w:r w:rsidRPr="005B01FE">
        <w:rPr>
          <w:noProof/>
        </w:rPr>
        <w:t xml:space="preserve"> the distinction between traditional linear and non-linear services has become </w:t>
      </w:r>
      <w:r w:rsidR="008B262B" w:rsidRPr="005B01FE">
        <w:rPr>
          <w:noProof/>
        </w:rPr>
        <w:t xml:space="preserve">more </w:t>
      </w:r>
      <w:r w:rsidRPr="005B01FE">
        <w:rPr>
          <w:noProof/>
        </w:rPr>
        <w:t>blurred</w:t>
      </w:r>
      <w:r w:rsidR="001F15CD" w:rsidRPr="005B01FE">
        <w:rPr>
          <w:noProof/>
        </w:rPr>
        <w:t>,</w:t>
      </w:r>
      <w:r w:rsidRPr="005B01FE">
        <w:rPr>
          <w:noProof/>
        </w:rPr>
        <w:t xml:space="preserve"> as broadcasters make their content available on</w:t>
      </w:r>
      <w:r w:rsidR="002200B8">
        <w:rPr>
          <w:noProof/>
        </w:rPr>
        <w:t xml:space="preserve"> </w:t>
      </w:r>
      <w:r w:rsidRPr="005B01FE">
        <w:rPr>
          <w:noProof/>
        </w:rPr>
        <w:t>demand online and create content tailor-made for their streaming services, including some premium content</w:t>
      </w:r>
      <w:r w:rsidR="008B262B" w:rsidRPr="005B01FE">
        <w:rPr>
          <w:rStyle w:val="FootnoteReference"/>
          <w:noProof/>
        </w:rPr>
        <w:footnoteReference w:id="9"/>
      </w:r>
      <w:r w:rsidR="00B12808" w:rsidRPr="005B01FE">
        <w:rPr>
          <w:noProof/>
        </w:rPr>
        <w:t>.</w:t>
      </w:r>
    </w:p>
    <w:p w14:paraId="3CF60415" w14:textId="3B331E5A" w:rsidR="00C877DE" w:rsidRPr="005B01FE" w:rsidRDefault="00C877DE" w:rsidP="00C41B02">
      <w:pPr>
        <w:spacing w:before="240" w:after="0"/>
        <w:contextualSpacing/>
        <w:rPr>
          <w:noProof/>
          <w:highlight w:val="yellow"/>
        </w:rPr>
      </w:pPr>
    </w:p>
    <w:p w14:paraId="4BF95C57" w14:textId="59E16D9B" w:rsidR="00E44C95" w:rsidRPr="003E04DB" w:rsidRDefault="00B14FE1" w:rsidP="003E04DB">
      <w:pPr>
        <w:pStyle w:val="Heading2"/>
        <w:ind w:left="851" w:hanging="851"/>
        <w:rPr>
          <w:i/>
          <w:noProof/>
        </w:rPr>
      </w:pPr>
      <w:bookmarkStart w:id="16" w:name="_Toc167898085"/>
      <w:r w:rsidRPr="005B01FE">
        <w:rPr>
          <w:noProof/>
        </w:rPr>
        <w:t xml:space="preserve">Quota </w:t>
      </w:r>
      <w:r w:rsidR="008B260A">
        <w:rPr>
          <w:noProof/>
        </w:rPr>
        <w:t>for</w:t>
      </w:r>
      <w:r w:rsidR="008B260A" w:rsidRPr="005B01FE">
        <w:rPr>
          <w:noProof/>
        </w:rPr>
        <w:t xml:space="preserve"> </w:t>
      </w:r>
      <w:r w:rsidR="00E44C95" w:rsidRPr="005B01FE">
        <w:rPr>
          <w:noProof/>
        </w:rPr>
        <w:t>European works</w:t>
      </w:r>
      <w:r w:rsidR="00B91F4E" w:rsidRPr="005B01FE">
        <w:rPr>
          <w:noProof/>
        </w:rPr>
        <w:t xml:space="preserve"> </w:t>
      </w:r>
      <w:r w:rsidR="0031049A">
        <w:rPr>
          <w:noProof/>
        </w:rPr>
        <w:t>o</w:t>
      </w:r>
      <w:r w:rsidR="00B91F4E" w:rsidRPr="005B01FE">
        <w:rPr>
          <w:noProof/>
        </w:rPr>
        <w:t xml:space="preserve">n </w:t>
      </w:r>
      <w:r w:rsidR="002200B8">
        <w:rPr>
          <w:noProof/>
        </w:rPr>
        <w:t>VOD</w:t>
      </w:r>
      <w:r w:rsidR="00B91F4E" w:rsidRPr="005B01FE">
        <w:rPr>
          <w:noProof/>
        </w:rPr>
        <w:t xml:space="preserve"> services</w:t>
      </w:r>
      <w:r w:rsidR="00420B62" w:rsidRPr="005B01FE">
        <w:rPr>
          <w:noProof/>
        </w:rPr>
        <w:t xml:space="preserve"> </w:t>
      </w:r>
      <w:r w:rsidRPr="005B01FE">
        <w:rPr>
          <w:noProof/>
        </w:rPr>
        <w:t>(Article 13(1)</w:t>
      </w:r>
      <w:r w:rsidR="00D16E7F" w:rsidRPr="005B01FE">
        <w:rPr>
          <w:noProof/>
        </w:rPr>
        <w:t xml:space="preserve"> of the</w:t>
      </w:r>
      <w:r w:rsidR="00C1508D">
        <w:rPr>
          <w:noProof/>
        </w:rPr>
        <w:t xml:space="preserve"> </w:t>
      </w:r>
      <w:r w:rsidR="00E57F0E" w:rsidRPr="005B01FE">
        <w:rPr>
          <w:noProof/>
        </w:rPr>
        <w:t>AVMSD</w:t>
      </w:r>
      <w:r w:rsidRPr="005B01FE">
        <w:rPr>
          <w:noProof/>
        </w:rPr>
        <w:t>)</w:t>
      </w:r>
      <w:bookmarkEnd w:id="16"/>
    </w:p>
    <w:p w14:paraId="6282D4EF" w14:textId="316F8FEE" w:rsidR="00762673" w:rsidRPr="005B01FE" w:rsidRDefault="00350A5E" w:rsidP="003E04DB">
      <w:pPr>
        <w:spacing w:before="240" w:after="0"/>
        <w:rPr>
          <w:noProof/>
          <w:highlight w:val="yellow"/>
          <w:lang w:eastAsia="nl-BE"/>
        </w:rPr>
      </w:pPr>
      <w:r>
        <w:rPr>
          <w:noProof/>
          <w:lang w:eastAsia="nl-BE"/>
        </w:rPr>
        <w:t xml:space="preserve">The new rules in </w:t>
      </w:r>
      <w:r w:rsidR="00762673" w:rsidRPr="005B01FE">
        <w:rPr>
          <w:noProof/>
          <w:lang w:eastAsia="nl-BE"/>
        </w:rPr>
        <w:t xml:space="preserve">Article 13(1) of the </w:t>
      </w:r>
      <w:r w:rsidR="00216696" w:rsidRPr="009B7E75">
        <w:rPr>
          <w:noProof/>
          <w:lang w:eastAsia="nl-BE"/>
        </w:rPr>
        <w:t xml:space="preserve">AVMSD </w:t>
      </w:r>
      <w:r w:rsidR="00762673" w:rsidRPr="005B01FE">
        <w:rPr>
          <w:noProof/>
          <w:lang w:eastAsia="nl-BE"/>
        </w:rPr>
        <w:t>oblige Member States to ensure that media service providers of on-demand audiovisual media services under their jurisdiction secure at least a 30% share of European works in their catalogues. The Commission guidelines</w:t>
      </w:r>
      <w:r w:rsidR="00762673" w:rsidRPr="005B01FE">
        <w:rPr>
          <w:rStyle w:val="FootnoteReference"/>
          <w:noProof/>
        </w:rPr>
        <w:footnoteReference w:id="10"/>
      </w:r>
      <w:r w:rsidR="00762673" w:rsidRPr="005B01FE">
        <w:rPr>
          <w:noProof/>
        </w:rPr>
        <w:t xml:space="preserve"> clarified that the calculation should be done based on the number of titles</w:t>
      </w:r>
      <w:r w:rsidR="00E57F0E" w:rsidRPr="005B01FE">
        <w:rPr>
          <w:noProof/>
        </w:rPr>
        <w:t>. I</w:t>
      </w:r>
      <w:r w:rsidR="00762673" w:rsidRPr="005B01FE">
        <w:rPr>
          <w:noProof/>
        </w:rPr>
        <w:t xml:space="preserve">n the case of feature and TV films, </w:t>
      </w:r>
      <w:r w:rsidR="00E57F0E" w:rsidRPr="005B01FE">
        <w:rPr>
          <w:noProof/>
        </w:rPr>
        <w:t xml:space="preserve">this means that </w:t>
      </w:r>
      <w:r w:rsidR="00762673" w:rsidRPr="005B01FE">
        <w:rPr>
          <w:noProof/>
        </w:rPr>
        <w:t xml:space="preserve">every film should be understood as constituting a title in a catalogue. </w:t>
      </w:r>
      <w:r w:rsidR="002200B8">
        <w:rPr>
          <w:noProof/>
        </w:rPr>
        <w:t>On</w:t>
      </w:r>
      <w:r w:rsidR="00762673" w:rsidRPr="005B01FE">
        <w:rPr>
          <w:noProof/>
        </w:rPr>
        <w:t xml:space="preserve"> television series, the Commission </w:t>
      </w:r>
      <w:r w:rsidR="00207FCE" w:rsidRPr="005B01FE">
        <w:rPr>
          <w:noProof/>
        </w:rPr>
        <w:t xml:space="preserve">has </w:t>
      </w:r>
      <w:r w:rsidR="00762673" w:rsidRPr="005B01FE">
        <w:rPr>
          <w:noProof/>
        </w:rPr>
        <w:t>t</w:t>
      </w:r>
      <w:r w:rsidR="00207FCE" w:rsidRPr="005B01FE">
        <w:rPr>
          <w:noProof/>
        </w:rPr>
        <w:t>aken</w:t>
      </w:r>
      <w:r w:rsidR="00762673" w:rsidRPr="005B01FE">
        <w:rPr>
          <w:noProof/>
        </w:rPr>
        <w:t xml:space="preserve"> the view that one </w:t>
      </w:r>
      <w:r w:rsidR="00663860" w:rsidRPr="005B01FE">
        <w:rPr>
          <w:noProof/>
        </w:rPr>
        <w:t>s</w:t>
      </w:r>
      <w:r w:rsidR="00762673" w:rsidRPr="005B01FE">
        <w:rPr>
          <w:noProof/>
        </w:rPr>
        <w:t>eason of a series should correspond to one title. However, national authorities could take into account higher production costs in weighting works where relevant</w:t>
      </w:r>
      <w:r w:rsidR="00E57F0E" w:rsidRPr="005B01FE">
        <w:rPr>
          <w:noProof/>
        </w:rPr>
        <w:t xml:space="preserve">, in particular in relation to high-end </w:t>
      </w:r>
      <w:r w:rsidR="00F218CE" w:rsidRPr="005B01FE">
        <w:rPr>
          <w:noProof/>
        </w:rPr>
        <w:t>fiction</w:t>
      </w:r>
      <w:r w:rsidR="00762673" w:rsidRPr="005B01FE">
        <w:rPr>
          <w:noProof/>
        </w:rPr>
        <w:t xml:space="preserve">. The guidelines also </w:t>
      </w:r>
      <w:r w:rsidR="00821127">
        <w:rPr>
          <w:noProof/>
        </w:rPr>
        <w:t>explain</w:t>
      </w:r>
      <w:r w:rsidR="00821127" w:rsidRPr="009B7E75">
        <w:rPr>
          <w:noProof/>
        </w:rPr>
        <w:t xml:space="preserve"> </w:t>
      </w:r>
      <w:r w:rsidR="00762673" w:rsidRPr="005B01FE">
        <w:rPr>
          <w:noProof/>
        </w:rPr>
        <w:t xml:space="preserve">that </w:t>
      </w:r>
      <w:r w:rsidR="00C50865">
        <w:rPr>
          <w:noProof/>
        </w:rPr>
        <w:t>if</w:t>
      </w:r>
      <w:r w:rsidR="002200B8">
        <w:rPr>
          <w:noProof/>
        </w:rPr>
        <w:t xml:space="preserve"> VOD provider</w:t>
      </w:r>
      <w:r w:rsidR="00C50865">
        <w:rPr>
          <w:noProof/>
        </w:rPr>
        <w:t>s</w:t>
      </w:r>
      <w:r w:rsidR="002200B8">
        <w:rPr>
          <w:noProof/>
        </w:rPr>
        <w:t xml:space="preserve"> operate in the EU with </w:t>
      </w:r>
      <w:r w:rsidR="002200B8" w:rsidRPr="005B01FE">
        <w:rPr>
          <w:noProof/>
        </w:rPr>
        <w:t>multiple national catalogues</w:t>
      </w:r>
      <w:r w:rsidR="002200B8">
        <w:rPr>
          <w:noProof/>
        </w:rPr>
        <w:t>,</w:t>
      </w:r>
      <w:r w:rsidR="002200B8" w:rsidRPr="005B01FE">
        <w:rPr>
          <w:noProof/>
        </w:rPr>
        <w:t xml:space="preserve"> </w:t>
      </w:r>
      <w:r w:rsidR="00762673" w:rsidRPr="005B01FE">
        <w:rPr>
          <w:noProof/>
        </w:rPr>
        <w:t xml:space="preserve">calculation should be done </w:t>
      </w:r>
      <w:r w:rsidR="002200B8">
        <w:rPr>
          <w:noProof/>
        </w:rPr>
        <w:t>for</w:t>
      </w:r>
      <w:r w:rsidR="002200B8" w:rsidRPr="005B01FE">
        <w:rPr>
          <w:noProof/>
        </w:rPr>
        <w:t xml:space="preserve"> </w:t>
      </w:r>
      <w:r w:rsidR="00762673" w:rsidRPr="005B01FE">
        <w:rPr>
          <w:noProof/>
        </w:rPr>
        <w:t xml:space="preserve">each </w:t>
      </w:r>
      <w:r w:rsidR="00C50865">
        <w:rPr>
          <w:noProof/>
        </w:rPr>
        <w:t xml:space="preserve">of their </w:t>
      </w:r>
      <w:r w:rsidR="00762673" w:rsidRPr="005B01FE">
        <w:rPr>
          <w:noProof/>
        </w:rPr>
        <w:t>national catalogue</w:t>
      </w:r>
      <w:r w:rsidR="00C50865">
        <w:rPr>
          <w:noProof/>
        </w:rPr>
        <w:t>s</w:t>
      </w:r>
      <w:r w:rsidR="00762673" w:rsidRPr="005B01FE">
        <w:rPr>
          <w:noProof/>
        </w:rPr>
        <w:t>.</w:t>
      </w:r>
    </w:p>
    <w:p w14:paraId="3D4B7C6A" w14:textId="77777777" w:rsidR="00762673" w:rsidRPr="005B01FE" w:rsidRDefault="00762673" w:rsidP="00420B62">
      <w:pPr>
        <w:spacing w:after="0"/>
        <w:contextualSpacing/>
        <w:rPr>
          <w:noProof/>
          <w:highlight w:val="yellow"/>
          <w:lang w:eastAsia="nl-BE"/>
        </w:rPr>
      </w:pPr>
    </w:p>
    <w:p w14:paraId="64A31C03" w14:textId="79D1B745" w:rsidR="00762673" w:rsidRPr="005B01FE" w:rsidRDefault="006C5F72" w:rsidP="00420B62">
      <w:pPr>
        <w:spacing w:after="0"/>
        <w:contextualSpacing/>
        <w:rPr>
          <w:noProof/>
          <w:highlight w:val="yellow"/>
          <w:lang w:eastAsia="nl-BE"/>
        </w:rPr>
      </w:pPr>
      <w:r w:rsidRPr="005B01FE">
        <w:rPr>
          <w:noProof/>
          <w:lang w:eastAsia="nl-BE"/>
        </w:rPr>
        <w:t xml:space="preserve">Overall, </w:t>
      </w:r>
      <w:r w:rsidR="00D749E5" w:rsidRPr="005B01FE">
        <w:rPr>
          <w:noProof/>
          <w:lang w:eastAsia="nl-BE"/>
        </w:rPr>
        <w:t>the legal mapping sheets</w:t>
      </w:r>
      <w:r w:rsidR="006914D9" w:rsidRPr="005B01FE">
        <w:rPr>
          <w:noProof/>
          <w:lang w:eastAsia="nl-BE"/>
        </w:rPr>
        <w:t xml:space="preserve"> </w:t>
      </w:r>
      <w:r w:rsidR="007F4771" w:rsidRPr="005B01FE">
        <w:rPr>
          <w:noProof/>
          <w:lang w:eastAsia="nl-BE"/>
        </w:rPr>
        <w:t xml:space="preserve">provided by </w:t>
      </w:r>
      <w:r w:rsidR="006914D9" w:rsidRPr="005B01FE">
        <w:rPr>
          <w:noProof/>
          <w:lang w:eastAsia="nl-BE"/>
        </w:rPr>
        <w:t xml:space="preserve">the </w:t>
      </w:r>
      <w:r w:rsidR="00216696" w:rsidRPr="009B7E75">
        <w:rPr>
          <w:noProof/>
          <w:lang w:eastAsia="nl-BE"/>
        </w:rPr>
        <w:t>Member States</w:t>
      </w:r>
      <w:r w:rsidR="00D749E5" w:rsidRPr="005B01FE">
        <w:rPr>
          <w:rStyle w:val="FootnoteReference"/>
          <w:noProof/>
        </w:rPr>
        <w:footnoteReference w:id="11"/>
      </w:r>
      <w:r w:rsidR="00D749E5" w:rsidRPr="005B01FE">
        <w:rPr>
          <w:noProof/>
          <w:lang w:eastAsia="nl-BE"/>
        </w:rPr>
        <w:t xml:space="preserve"> show that </w:t>
      </w:r>
      <w:r w:rsidR="00FE0B22" w:rsidRPr="005B01FE">
        <w:rPr>
          <w:noProof/>
          <w:lang w:eastAsia="nl-BE"/>
        </w:rPr>
        <w:t>during the reference period</w:t>
      </w:r>
      <w:r w:rsidR="00FE0B22">
        <w:rPr>
          <w:noProof/>
          <w:lang w:eastAsia="nl-BE"/>
        </w:rPr>
        <w:t>,</w:t>
      </w:r>
      <w:r w:rsidR="00FE0B22" w:rsidRPr="005B01FE">
        <w:rPr>
          <w:noProof/>
          <w:lang w:eastAsia="nl-BE"/>
        </w:rPr>
        <w:t xml:space="preserve"> </w:t>
      </w:r>
      <w:r w:rsidRPr="005B01FE">
        <w:rPr>
          <w:noProof/>
          <w:lang w:eastAsia="nl-BE"/>
        </w:rPr>
        <w:t xml:space="preserve">national implementation measures to </w:t>
      </w:r>
      <w:r w:rsidR="003C11B6" w:rsidRPr="005B01FE">
        <w:rPr>
          <w:noProof/>
          <w:lang w:eastAsia="nl-BE"/>
        </w:rPr>
        <w:t xml:space="preserve">secure a 30% share of European works in catalogues of </w:t>
      </w:r>
      <w:r w:rsidR="002200B8">
        <w:rPr>
          <w:noProof/>
          <w:lang w:eastAsia="nl-BE"/>
        </w:rPr>
        <w:t>VOD</w:t>
      </w:r>
      <w:r w:rsidR="003C11B6" w:rsidRPr="005B01FE">
        <w:rPr>
          <w:noProof/>
          <w:lang w:eastAsia="nl-BE"/>
        </w:rPr>
        <w:t xml:space="preserve"> services were in </w:t>
      </w:r>
      <w:r w:rsidR="00207FCE" w:rsidRPr="005B01FE">
        <w:rPr>
          <w:noProof/>
          <w:lang w:eastAsia="nl-BE"/>
        </w:rPr>
        <w:t xml:space="preserve">force in </w:t>
      </w:r>
      <w:r w:rsidR="003C11B6" w:rsidRPr="005B01FE">
        <w:rPr>
          <w:noProof/>
          <w:lang w:eastAsia="nl-BE"/>
        </w:rPr>
        <w:t>17 Member States</w:t>
      </w:r>
      <w:r w:rsidR="003C11B6" w:rsidRPr="005B01FE">
        <w:rPr>
          <w:rStyle w:val="FootnoteReference"/>
          <w:noProof/>
          <w:lang w:eastAsia="nl-BE"/>
        </w:rPr>
        <w:footnoteReference w:id="12"/>
      </w:r>
      <w:r w:rsidR="003C11B6" w:rsidRPr="005B01FE">
        <w:rPr>
          <w:noProof/>
          <w:lang w:eastAsia="nl-BE"/>
        </w:rPr>
        <w:t>.</w:t>
      </w:r>
    </w:p>
    <w:p w14:paraId="717E6CEE" w14:textId="14152505" w:rsidR="003445F5" w:rsidRPr="005B01FE" w:rsidRDefault="003445F5" w:rsidP="00420B62">
      <w:pPr>
        <w:spacing w:after="0"/>
        <w:contextualSpacing/>
        <w:rPr>
          <w:noProof/>
          <w:highlight w:val="yellow"/>
          <w:lang w:eastAsia="nl-BE"/>
        </w:rPr>
      </w:pPr>
    </w:p>
    <w:p w14:paraId="1C4DFA0C" w14:textId="57ED0E63" w:rsidR="0014365E" w:rsidRPr="005B01FE" w:rsidRDefault="00657DEA" w:rsidP="00420B62">
      <w:pPr>
        <w:spacing w:after="0"/>
        <w:contextualSpacing/>
        <w:rPr>
          <w:noProof/>
          <w:lang w:eastAsia="nl-BE"/>
        </w:rPr>
      </w:pPr>
      <w:r w:rsidRPr="005B01FE">
        <w:rPr>
          <w:noProof/>
          <w:lang w:eastAsia="nl-BE"/>
        </w:rPr>
        <w:t xml:space="preserve">Several Member States </w:t>
      </w:r>
      <w:r w:rsidR="00FE0B22" w:rsidRPr="005B01FE">
        <w:rPr>
          <w:noProof/>
          <w:lang w:eastAsia="nl-BE"/>
        </w:rPr>
        <w:t xml:space="preserve">explicitly </w:t>
      </w:r>
      <w:r w:rsidRPr="005B01FE">
        <w:rPr>
          <w:noProof/>
          <w:lang w:eastAsia="nl-BE"/>
        </w:rPr>
        <w:t>mention</w:t>
      </w:r>
      <w:r w:rsidR="005D0528" w:rsidRPr="005B01FE">
        <w:rPr>
          <w:noProof/>
          <w:lang w:eastAsia="nl-BE"/>
        </w:rPr>
        <w:t>ed</w:t>
      </w:r>
      <w:r w:rsidRPr="005B01FE">
        <w:rPr>
          <w:noProof/>
          <w:lang w:eastAsia="nl-BE"/>
        </w:rPr>
        <w:t xml:space="preserve"> the Commission guidelines in their legislation transposing </w:t>
      </w:r>
      <w:r w:rsidR="00350A5E">
        <w:rPr>
          <w:noProof/>
          <w:lang w:eastAsia="nl-BE"/>
        </w:rPr>
        <w:t xml:space="preserve">Directive (EU) 2018/1808 </w:t>
      </w:r>
      <w:r w:rsidRPr="005B01FE">
        <w:rPr>
          <w:noProof/>
          <w:lang w:eastAsia="nl-BE"/>
        </w:rPr>
        <w:t xml:space="preserve">or in other secondary law. </w:t>
      </w:r>
      <w:r w:rsidR="00AC6FE1" w:rsidRPr="005B01FE">
        <w:rPr>
          <w:noProof/>
          <w:lang w:eastAsia="nl-BE"/>
        </w:rPr>
        <w:t>Most</w:t>
      </w:r>
      <w:r w:rsidR="00FD4DC7" w:rsidRPr="005B01FE">
        <w:rPr>
          <w:noProof/>
          <w:lang w:eastAsia="nl-BE"/>
        </w:rPr>
        <w:t xml:space="preserve"> Member States</w:t>
      </w:r>
      <w:r w:rsidR="00680130" w:rsidRPr="005B01FE">
        <w:rPr>
          <w:noProof/>
          <w:lang w:eastAsia="nl-BE"/>
        </w:rPr>
        <w:t>,</w:t>
      </w:r>
      <w:r w:rsidR="00FD4DC7" w:rsidRPr="005B01FE">
        <w:rPr>
          <w:noProof/>
          <w:lang w:eastAsia="nl-BE"/>
        </w:rPr>
        <w:t xml:space="preserve"> in addition to Iceland and Norway</w:t>
      </w:r>
      <w:r w:rsidR="00680130" w:rsidRPr="005B01FE">
        <w:rPr>
          <w:noProof/>
          <w:lang w:eastAsia="nl-BE"/>
        </w:rPr>
        <w:t>,</w:t>
      </w:r>
      <w:r w:rsidR="00FD4DC7" w:rsidRPr="005B01FE">
        <w:rPr>
          <w:noProof/>
          <w:lang w:eastAsia="nl-BE"/>
        </w:rPr>
        <w:t xml:space="preserve"> reported having a title-based calculation method</w:t>
      </w:r>
      <w:r w:rsidR="00BA4D7D">
        <w:rPr>
          <w:noProof/>
          <w:lang w:eastAsia="nl-BE"/>
        </w:rPr>
        <w:t>,</w:t>
      </w:r>
      <w:r w:rsidR="00FD4DC7" w:rsidRPr="005B01FE">
        <w:rPr>
          <w:noProof/>
          <w:lang w:eastAsia="nl-BE"/>
        </w:rPr>
        <w:t xml:space="preserve"> or that they were likely to follow this approach</w:t>
      </w:r>
      <w:r w:rsidR="00FD4DC7" w:rsidRPr="005B01FE">
        <w:rPr>
          <w:rStyle w:val="FootnoteReference"/>
          <w:noProof/>
          <w:lang w:eastAsia="nl-BE"/>
        </w:rPr>
        <w:footnoteReference w:id="13"/>
      </w:r>
      <w:r w:rsidR="00FD4DC7" w:rsidRPr="005B01FE">
        <w:rPr>
          <w:noProof/>
          <w:lang w:eastAsia="nl-BE"/>
        </w:rPr>
        <w:t xml:space="preserve">. </w:t>
      </w:r>
      <w:r w:rsidRPr="005B01FE">
        <w:rPr>
          <w:noProof/>
          <w:lang w:eastAsia="nl-BE"/>
        </w:rPr>
        <w:t>However, during the reference period, adherence to the guidelines was not entirely clear in some cases</w:t>
      </w:r>
      <w:r w:rsidR="00BA4D7D">
        <w:rPr>
          <w:noProof/>
          <w:lang w:eastAsia="nl-BE"/>
        </w:rPr>
        <w:t>,</w:t>
      </w:r>
      <w:r w:rsidRPr="005B01FE">
        <w:rPr>
          <w:noProof/>
          <w:lang w:eastAsia="nl-BE"/>
        </w:rPr>
        <w:t xml:space="preserve"> either because the </w:t>
      </w:r>
      <w:r w:rsidR="00350A5E">
        <w:rPr>
          <w:noProof/>
          <w:lang w:eastAsia="nl-BE"/>
        </w:rPr>
        <w:t xml:space="preserve">new rules </w:t>
      </w:r>
      <w:r w:rsidRPr="005B01FE">
        <w:rPr>
          <w:noProof/>
          <w:lang w:eastAsia="nl-BE"/>
        </w:rPr>
        <w:t xml:space="preserve">had not </w:t>
      </w:r>
      <w:r w:rsidR="00D65124">
        <w:rPr>
          <w:noProof/>
          <w:lang w:eastAsia="nl-BE"/>
        </w:rPr>
        <w:t>been transposed</w:t>
      </w:r>
      <w:r w:rsidR="003A2211" w:rsidRPr="005B01FE">
        <w:rPr>
          <w:noProof/>
          <w:lang w:eastAsia="nl-BE"/>
        </w:rPr>
        <w:t>,</w:t>
      </w:r>
      <w:r w:rsidRPr="005B01FE">
        <w:rPr>
          <w:noProof/>
          <w:lang w:eastAsia="nl-BE"/>
        </w:rPr>
        <w:t xml:space="preserve"> or </w:t>
      </w:r>
      <w:r w:rsidR="00BA4D7D">
        <w:rPr>
          <w:noProof/>
          <w:lang w:eastAsia="nl-BE"/>
        </w:rPr>
        <w:t xml:space="preserve">because </w:t>
      </w:r>
      <w:r w:rsidRPr="005B01FE">
        <w:rPr>
          <w:noProof/>
          <w:lang w:eastAsia="nl-BE"/>
        </w:rPr>
        <w:t xml:space="preserve">the calculation method </w:t>
      </w:r>
      <w:r w:rsidR="00465D38">
        <w:rPr>
          <w:noProof/>
          <w:lang w:eastAsia="nl-BE"/>
        </w:rPr>
        <w:t>had</w:t>
      </w:r>
      <w:r w:rsidR="00465D38" w:rsidRPr="005B01FE">
        <w:rPr>
          <w:noProof/>
          <w:lang w:eastAsia="nl-BE"/>
        </w:rPr>
        <w:t xml:space="preserve"> </w:t>
      </w:r>
      <w:r w:rsidRPr="005B01FE">
        <w:rPr>
          <w:noProof/>
          <w:lang w:eastAsia="nl-BE"/>
        </w:rPr>
        <w:t xml:space="preserve">not </w:t>
      </w:r>
      <w:r w:rsidR="00465D38">
        <w:rPr>
          <w:noProof/>
          <w:lang w:eastAsia="nl-BE"/>
        </w:rPr>
        <w:t xml:space="preserve">been </w:t>
      </w:r>
      <w:r w:rsidRPr="005B01FE">
        <w:rPr>
          <w:noProof/>
          <w:lang w:eastAsia="nl-BE"/>
        </w:rPr>
        <w:t xml:space="preserve">specified </w:t>
      </w:r>
      <w:r w:rsidR="00BA4D7D">
        <w:rPr>
          <w:noProof/>
          <w:lang w:eastAsia="nl-BE"/>
        </w:rPr>
        <w:t>at</w:t>
      </w:r>
      <w:r w:rsidR="00BA4D7D" w:rsidRPr="005B01FE">
        <w:rPr>
          <w:noProof/>
          <w:lang w:eastAsia="nl-BE"/>
        </w:rPr>
        <w:t xml:space="preserve"> </w:t>
      </w:r>
      <w:r w:rsidRPr="005B01FE">
        <w:rPr>
          <w:noProof/>
          <w:lang w:eastAsia="nl-BE"/>
        </w:rPr>
        <w:t xml:space="preserve">national </w:t>
      </w:r>
      <w:r w:rsidR="00BA4D7D">
        <w:rPr>
          <w:noProof/>
          <w:lang w:eastAsia="nl-BE"/>
        </w:rPr>
        <w:t>level</w:t>
      </w:r>
      <w:r w:rsidRPr="005B01FE">
        <w:rPr>
          <w:noProof/>
          <w:lang w:eastAsia="nl-BE"/>
        </w:rPr>
        <w:t xml:space="preserve">. </w:t>
      </w:r>
      <w:r w:rsidR="0096335E" w:rsidRPr="005B01FE">
        <w:rPr>
          <w:noProof/>
          <w:lang w:eastAsia="nl-BE"/>
        </w:rPr>
        <w:t xml:space="preserve">These guidelines aim to foster a </w:t>
      </w:r>
      <w:r w:rsidR="00465D38">
        <w:rPr>
          <w:noProof/>
          <w:lang w:eastAsia="nl-BE"/>
        </w:rPr>
        <w:t>consistent</w:t>
      </w:r>
      <w:r w:rsidR="00465D38" w:rsidRPr="005B01FE">
        <w:rPr>
          <w:noProof/>
          <w:lang w:eastAsia="nl-BE"/>
        </w:rPr>
        <w:t xml:space="preserve"> </w:t>
      </w:r>
      <w:r w:rsidR="0096335E" w:rsidRPr="005B01FE">
        <w:rPr>
          <w:noProof/>
          <w:lang w:eastAsia="nl-BE"/>
        </w:rPr>
        <w:t>implementation of the new rules across the EU.</w:t>
      </w:r>
    </w:p>
    <w:p w14:paraId="6641B196" w14:textId="7B8DEC6E" w:rsidR="0043775F" w:rsidRPr="005B01FE" w:rsidRDefault="0043775F" w:rsidP="00420B62">
      <w:pPr>
        <w:spacing w:after="0"/>
        <w:contextualSpacing/>
        <w:rPr>
          <w:noProof/>
          <w:highlight w:val="yellow"/>
          <w:lang w:eastAsia="nl-BE"/>
        </w:rPr>
      </w:pPr>
    </w:p>
    <w:p w14:paraId="3C945B6D" w14:textId="0BAEB5ED" w:rsidR="009109A4" w:rsidRDefault="00663413" w:rsidP="00420B62">
      <w:pPr>
        <w:spacing w:after="0"/>
        <w:contextualSpacing/>
        <w:rPr>
          <w:noProof/>
          <w:lang w:eastAsia="nl-BE"/>
        </w:rPr>
      </w:pPr>
      <w:r w:rsidRPr="005B01FE">
        <w:rPr>
          <w:noProof/>
          <w:lang w:eastAsia="nl-BE"/>
        </w:rPr>
        <w:t>During the reference period, t</w:t>
      </w:r>
      <w:r w:rsidR="000B586E" w:rsidRPr="005B01FE">
        <w:rPr>
          <w:noProof/>
          <w:lang w:eastAsia="nl-BE"/>
        </w:rPr>
        <w:t>wo</w:t>
      </w:r>
      <w:r w:rsidR="00511E87" w:rsidRPr="005B01FE">
        <w:rPr>
          <w:noProof/>
          <w:lang w:eastAsia="nl-BE"/>
        </w:rPr>
        <w:t xml:space="preserve"> Member States</w:t>
      </w:r>
      <w:r w:rsidR="003F5C0B" w:rsidRPr="005B01FE">
        <w:rPr>
          <w:rStyle w:val="FootnoteReference"/>
          <w:noProof/>
          <w:lang w:eastAsia="nl-BE"/>
        </w:rPr>
        <w:footnoteReference w:id="14"/>
      </w:r>
      <w:r w:rsidR="00511E87" w:rsidRPr="005B01FE">
        <w:rPr>
          <w:noProof/>
          <w:lang w:eastAsia="nl-BE"/>
        </w:rPr>
        <w:t xml:space="preserve"> </w:t>
      </w:r>
      <w:r w:rsidRPr="005B01FE">
        <w:rPr>
          <w:noProof/>
          <w:lang w:eastAsia="nl-BE"/>
        </w:rPr>
        <w:t>reported having in place</w:t>
      </w:r>
      <w:r w:rsidR="000B586E" w:rsidRPr="005B01FE">
        <w:rPr>
          <w:noProof/>
          <w:lang w:eastAsia="nl-BE"/>
        </w:rPr>
        <w:t xml:space="preserve"> quotas higher than </w:t>
      </w:r>
      <w:r w:rsidR="003F5C0B" w:rsidRPr="005B01FE">
        <w:rPr>
          <w:noProof/>
          <w:lang w:eastAsia="nl-BE"/>
        </w:rPr>
        <w:t xml:space="preserve">the </w:t>
      </w:r>
      <w:r w:rsidR="00511E87" w:rsidRPr="005B01FE">
        <w:rPr>
          <w:noProof/>
          <w:lang w:eastAsia="nl-BE"/>
        </w:rPr>
        <w:t xml:space="preserve">30% </w:t>
      </w:r>
      <w:r w:rsidR="00246392" w:rsidRPr="005B01FE">
        <w:rPr>
          <w:noProof/>
          <w:lang w:eastAsia="nl-BE"/>
        </w:rPr>
        <w:t>stated in Article 13(1) of the AVMSD</w:t>
      </w:r>
      <w:r w:rsidR="000B586E" w:rsidRPr="005B01FE">
        <w:rPr>
          <w:noProof/>
          <w:lang w:eastAsia="nl-BE"/>
        </w:rPr>
        <w:t xml:space="preserve">. </w:t>
      </w:r>
      <w:r w:rsidR="00246392" w:rsidRPr="005B01FE">
        <w:rPr>
          <w:noProof/>
          <w:lang w:eastAsia="nl-BE"/>
        </w:rPr>
        <w:t>Furthermore, s</w:t>
      </w:r>
      <w:r w:rsidR="000B586E" w:rsidRPr="005B01FE">
        <w:rPr>
          <w:noProof/>
          <w:lang w:eastAsia="nl-BE"/>
        </w:rPr>
        <w:t>even Member States ha</w:t>
      </w:r>
      <w:r w:rsidR="003F5C0B" w:rsidRPr="005B01FE">
        <w:rPr>
          <w:noProof/>
          <w:lang w:eastAsia="nl-BE"/>
        </w:rPr>
        <w:t>d</w:t>
      </w:r>
      <w:r w:rsidR="000B586E" w:rsidRPr="005B01FE">
        <w:rPr>
          <w:noProof/>
          <w:lang w:eastAsia="nl-BE"/>
        </w:rPr>
        <w:t xml:space="preserve"> adopted</w:t>
      </w:r>
      <w:r w:rsidR="00511E87" w:rsidRPr="005B01FE">
        <w:rPr>
          <w:noProof/>
          <w:lang w:eastAsia="nl-BE"/>
        </w:rPr>
        <w:t xml:space="preserve"> specific sub-quotas</w:t>
      </w:r>
      <w:r w:rsidR="000B586E" w:rsidRPr="005B01FE">
        <w:rPr>
          <w:noProof/>
          <w:lang w:eastAsia="nl-BE"/>
        </w:rPr>
        <w:t xml:space="preserve"> for </w:t>
      </w:r>
      <w:r w:rsidR="0032740B" w:rsidRPr="005B01FE">
        <w:rPr>
          <w:noProof/>
          <w:lang w:eastAsia="nl-BE"/>
        </w:rPr>
        <w:t xml:space="preserve">works of </w:t>
      </w:r>
      <w:r w:rsidR="000B586E" w:rsidRPr="005B01FE">
        <w:rPr>
          <w:noProof/>
          <w:lang w:eastAsia="nl-BE"/>
        </w:rPr>
        <w:t>original expression</w:t>
      </w:r>
      <w:r w:rsidR="000B586E" w:rsidRPr="005B01FE">
        <w:rPr>
          <w:rStyle w:val="FootnoteReference"/>
          <w:noProof/>
          <w:lang w:eastAsia="nl-BE"/>
        </w:rPr>
        <w:footnoteReference w:id="15"/>
      </w:r>
      <w:r w:rsidR="00511E87" w:rsidRPr="005B01FE">
        <w:rPr>
          <w:noProof/>
          <w:lang w:eastAsia="nl-BE"/>
        </w:rPr>
        <w:t>. For example</w:t>
      </w:r>
      <w:r w:rsidR="009109A4" w:rsidRPr="00071227">
        <w:rPr>
          <w:noProof/>
          <w:lang w:eastAsia="nl-BE"/>
        </w:rPr>
        <w:t>:</w:t>
      </w:r>
      <w:r w:rsidR="00334159" w:rsidRPr="005B01FE">
        <w:rPr>
          <w:noProof/>
          <w:lang w:eastAsia="nl-BE"/>
        </w:rPr>
        <w:t xml:space="preserve"> </w:t>
      </w:r>
    </w:p>
    <w:p w14:paraId="463696D9" w14:textId="02EF2C53" w:rsidR="009109A4" w:rsidRPr="00A87FB0" w:rsidRDefault="009109A4" w:rsidP="009F2C6C">
      <w:pPr>
        <w:pStyle w:val="ListParagraph"/>
        <w:numPr>
          <w:ilvl w:val="0"/>
          <w:numId w:val="50"/>
        </w:numPr>
        <w:spacing w:after="0"/>
        <w:rPr>
          <w:noProof/>
          <w:lang w:val="en-IE" w:eastAsia="nl-BE"/>
        </w:rPr>
      </w:pPr>
      <w:r w:rsidRPr="00A87FB0">
        <w:rPr>
          <w:noProof/>
          <w:lang w:val="en-IE" w:eastAsia="nl-BE"/>
        </w:rPr>
        <w:t>I</w:t>
      </w:r>
      <w:r w:rsidR="00334159" w:rsidRPr="00A87FB0">
        <w:rPr>
          <w:noProof/>
          <w:lang w:val="en-IE" w:eastAsia="nl-BE"/>
        </w:rPr>
        <w:t>n the French Community of Belgium, there was an obligation of 30% of European works, of which one</w:t>
      </w:r>
      <w:r w:rsidR="00465D38" w:rsidRPr="00A87FB0">
        <w:rPr>
          <w:noProof/>
          <w:lang w:val="en-IE" w:eastAsia="nl-BE"/>
        </w:rPr>
        <w:t xml:space="preserve"> </w:t>
      </w:r>
      <w:r w:rsidR="00334159" w:rsidRPr="00A87FB0">
        <w:rPr>
          <w:noProof/>
          <w:lang w:val="en-IE" w:eastAsia="nl-BE"/>
        </w:rPr>
        <w:t xml:space="preserve">third must be French-speaking Belgian </w:t>
      </w:r>
      <w:r w:rsidR="000F41A2">
        <w:rPr>
          <w:noProof/>
          <w:lang w:val="en-IE" w:eastAsia="nl-BE"/>
        </w:rPr>
        <w:t>audiovisual works</w:t>
      </w:r>
      <w:r w:rsidR="00465081">
        <w:rPr>
          <w:noProof/>
          <w:lang w:val="en-IE" w:eastAsia="nl-BE"/>
        </w:rPr>
        <w:t>.</w:t>
      </w:r>
      <w:r w:rsidR="00334159" w:rsidRPr="00A87FB0">
        <w:rPr>
          <w:noProof/>
          <w:lang w:val="en-IE" w:eastAsia="nl-BE"/>
        </w:rPr>
        <w:t xml:space="preserve"> </w:t>
      </w:r>
      <w:r w:rsidRPr="00A87FB0">
        <w:rPr>
          <w:noProof/>
          <w:lang w:val="en-IE" w:eastAsia="nl-BE"/>
        </w:rPr>
        <w:t xml:space="preserve"> </w:t>
      </w:r>
      <w:bookmarkStart w:id="17" w:name="_Hlk163554122"/>
      <w:r w:rsidRPr="00A87FB0">
        <w:rPr>
          <w:noProof/>
          <w:lang w:val="en-IE" w:eastAsia="nl-BE"/>
        </w:rPr>
        <w:t xml:space="preserve">In the first </w:t>
      </w:r>
      <w:bookmarkEnd w:id="17"/>
      <w:r w:rsidR="00465D38" w:rsidRPr="00A87FB0">
        <w:rPr>
          <w:noProof/>
          <w:lang w:val="en-IE" w:eastAsia="nl-BE"/>
        </w:rPr>
        <w:t>5 </w:t>
      </w:r>
      <w:r w:rsidR="00334159" w:rsidRPr="00A87FB0">
        <w:rPr>
          <w:noProof/>
          <w:lang w:val="en-IE" w:eastAsia="nl-BE"/>
        </w:rPr>
        <w:t xml:space="preserve">years after entry into force, </w:t>
      </w:r>
      <w:r w:rsidR="00920F78" w:rsidRPr="00A87FB0">
        <w:rPr>
          <w:noProof/>
          <w:lang w:val="en-IE" w:eastAsia="nl-BE"/>
        </w:rPr>
        <w:t xml:space="preserve">the quota </w:t>
      </w:r>
      <w:r w:rsidR="00465D38" w:rsidRPr="00A87FB0">
        <w:rPr>
          <w:noProof/>
          <w:lang w:val="en-IE" w:eastAsia="nl-BE"/>
        </w:rPr>
        <w:t xml:space="preserve">for </w:t>
      </w:r>
      <w:r w:rsidR="00920F78" w:rsidRPr="00A87FB0">
        <w:rPr>
          <w:noProof/>
          <w:lang w:val="en-IE" w:eastAsia="nl-BE"/>
        </w:rPr>
        <w:t xml:space="preserve">European works </w:t>
      </w:r>
      <w:r w:rsidR="00C0193D" w:rsidRPr="00A87FB0">
        <w:rPr>
          <w:noProof/>
          <w:lang w:val="en-IE" w:eastAsia="nl-BE"/>
        </w:rPr>
        <w:t>sh</w:t>
      </w:r>
      <w:r w:rsidR="002C5EA1" w:rsidRPr="00A87FB0">
        <w:rPr>
          <w:noProof/>
          <w:lang w:val="en-IE" w:eastAsia="nl-BE"/>
        </w:rPr>
        <w:t xml:space="preserve">ould </w:t>
      </w:r>
      <w:r w:rsidR="00920F78" w:rsidRPr="00A87FB0">
        <w:rPr>
          <w:noProof/>
          <w:lang w:val="en-IE" w:eastAsia="nl-BE"/>
        </w:rPr>
        <w:t>gradually increase from 30% to 40%</w:t>
      </w:r>
      <w:r w:rsidR="00334159" w:rsidRPr="00A87FB0">
        <w:rPr>
          <w:noProof/>
          <w:lang w:val="en-IE" w:eastAsia="nl-BE"/>
        </w:rPr>
        <w:t>.</w:t>
      </w:r>
      <w:r w:rsidR="00D5110F" w:rsidRPr="00A87FB0">
        <w:rPr>
          <w:noProof/>
          <w:lang w:val="en-IE" w:eastAsia="nl-BE"/>
        </w:rPr>
        <w:t xml:space="preserve"> </w:t>
      </w:r>
    </w:p>
    <w:p w14:paraId="356D2BFF" w14:textId="77777777" w:rsidR="009109A4" w:rsidRPr="00A87FB0" w:rsidRDefault="00920F78" w:rsidP="009F2C6C">
      <w:pPr>
        <w:pStyle w:val="ListParagraph"/>
        <w:numPr>
          <w:ilvl w:val="0"/>
          <w:numId w:val="50"/>
        </w:numPr>
        <w:spacing w:after="0"/>
        <w:rPr>
          <w:noProof/>
          <w:lang w:val="en-IE" w:eastAsia="nl-BE"/>
        </w:rPr>
      </w:pPr>
      <w:r w:rsidRPr="00A87FB0">
        <w:rPr>
          <w:noProof/>
          <w:lang w:val="en-IE" w:eastAsia="nl-BE"/>
        </w:rPr>
        <w:t>I</w:t>
      </w:r>
      <w:r w:rsidR="00511E87" w:rsidRPr="00A87FB0">
        <w:rPr>
          <w:noProof/>
          <w:lang w:val="en-IE" w:eastAsia="nl-BE"/>
        </w:rPr>
        <w:t xml:space="preserve">n France, there </w:t>
      </w:r>
      <w:r w:rsidR="003F5C0B" w:rsidRPr="00A87FB0">
        <w:rPr>
          <w:noProof/>
          <w:lang w:val="en-IE" w:eastAsia="nl-BE"/>
        </w:rPr>
        <w:t>was</w:t>
      </w:r>
      <w:r w:rsidR="00511E87" w:rsidRPr="00A87FB0">
        <w:rPr>
          <w:noProof/>
          <w:lang w:val="en-IE" w:eastAsia="nl-BE"/>
        </w:rPr>
        <w:t xml:space="preserve"> an obligation </w:t>
      </w:r>
      <w:r w:rsidR="00EF2EC4" w:rsidRPr="00A87FB0">
        <w:rPr>
          <w:noProof/>
          <w:lang w:val="en-IE" w:eastAsia="nl-BE"/>
        </w:rPr>
        <w:t>of</w:t>
      </w:r>
      <w:r w:rsidR="00511E87" w:rsidRPr="00A87FB0">
        <w:rPr>
          <w:noProof/>
          <w:lang w:val="en-IE" w:eastAsia="nl-BE"/>
        </w:rPr>
        <w:t xml:space="preserve"> a 60% share of European works and 40% for works of original French expression. Agreements with the national media regulatory authority c</w:t>
      </w:r>
      <w:r w:rsidR="003F5C0B" w:rsidRPr="00A87FB0">
        <w:rPr>
          <w:noProof/>
          <w:lang w:val="en-IE" w:eastAsia="nl-BE"/>
        </w:rPr>
        <w:t>ould</w:t>
      </w:r>
      <w:r w:rsidR="00511E87" w:rsidRPr="00A87FB0">
        <w:rPr>
          <w:noProof/>
          <w:lang w:val="en-IE" w:eastAsia="nl-BE"/>
        </w:rPr>
        <w:t xml:space="preserve"> be made to lower the</w:t>
      </w:r>
      <w:r w:rsidR="0032740B" w:rsidRPr="00A87FB0">
        <w:rPr>
          <w:noProof/>
          <w:lang w:val="en-IE" w:eastAsia="nl-BE"/>
        </w:rPr>
        <w:t>se</w:t>
      </w:r>
      <w:r w:rsidR="00511E87" w:rsidRPr="00A87FB0">
        <w:rPr>
          <w:noProof/>
          <w:lang w:val="en-IE" w:eastAsia="nl-BE"/>
        </w:rPr>
        <w:t xml:space="preserve"> proportion</w:t>
      </w:r>
      <w:r w:rsidR="0032740B" w:rsidRPr="00A87FB0">
        <w:rPr>
          <w:noProof/>
          <w:lang w:val="en-IE" w:eastAsia="nl-BE"/>
        </w:rPr>
        <w:t>s</w:t>
      </w:r>
      <w:r w:rsidR="00511E87" w:rsidRPr="00A87FB0">
        <w:rPr>
          <w:noProof/>
          <w:lang w:val="en-IE" w:eastAsia="nl-BE"/>
        </w:rPr>
        <w:t xml:space="preserve"> if the audiovisual media service provider </w:t>
      </w:r>
      <w:r w:rsidR="003F5C0B" w:rsidRPr="00A87FB0">
        <w:rPr>
          <w:noProof/>
          <w:lang w:val="en-IE" w:eastAsia="nl-BE"/>
        </w:rPr>
        <w:t>would make</w:t>
      </w:r>
      <w:r w:rsidR="00511E87" w:rsidRPr="00A87FB0">
        <w:rPr>
          <w:noProof/>
          <w:lang w:val="en-IE" w:eastAsia="nl-BE"/>
        </w:rPr>
        <w:t xml:space="preserve"> a commitment to invest in the production of unpublished audiovisual works of original French expression by independent production companies. </w:t>
      </w:r>
    </w:p>
    <w:p w14:paraId="0EB423DC" w14:textId="125E697E" w:rsidR="0043775F" w:rsidRPr="00A87FB0" w:rsidRDefault="00511E87" w:rsidP="009F2C6C">
      <w:pPr>
        <w:pStyle w:val="ListParagraph"/>
        <w:numPr>
          <w:ilvl w:val="0"/>
          <w:numId w:val="50"/>
        </w:numPr>
        <w:spacing w:after="0"/>
        <w:rPr>
          <w:noProof/>
          <w:lang w:val="en-IE" w:eastAsia="nl-BE"/>
        </w:rPr>
      </w:pPr>
      <w:r w:rsidRPr="00A87FB0">
        <w:rPr>
          <w:noProof/>
          <w:lang w:val="en-IE" w:eastAsia="nl-BE"/>
        </w:rPr>
        <w:t>In Portugal, a quota of 30% applie</w:t>
      </w:r>
      <w:r w:rsidR="003F5C0B" w:rsidRPr="00A87FB0">
        <w:rPr>
          <w:noProof/>
          <w:lang w:val="en-IE" w:eastAsia="nl-BE"/>
        </w:rPr>
        <w:t>d</w:t>
      </w:r>
      <w:r w:rsidR="004F54D9">
        <w:rPr>
          <w:noProof/>
          <w:lang w:val="en-IE" w:eastAsia="nl-BE"/>
        </w:rPr>
        <w:t>,</w:t>
      </w:r>
      <w:r w:rsidRPr="00A87FB0">
        <w:rPr>
          <w:noProof/>
          <w:lang w:val="en-IE" w:eastAsia="nl-BE"/>
        </w:rPr>
        <w:t xml:space="preserve"> but 50% of this proportion must be dedicated to creative works </w:t>
      </w:r>
      <w:r w:rsidR="00B74AA5" w:rsidRPr="00A87FB0">
        <w:rPr>
          <w:noProof/>
          <w:lang w:val="en-IE" w:eastAsia="nl-BE"/>
        </w:rPr>
        <w:t xml:space="preserve">by </w:t>
      </w:r>
      <w:r w:rsidRPr="00A87FB0">
        <w:rPr>
          <w:noProof/>
          <w:lang w:val="en-IE" w:eastAsia="nl-BE"/>
        </w:rPr>
        <w:t>independent European</w:t>
      </w:r>
      <w:r w:rsidR="008D3747" w:rsidRPr="00A87FB0">
        <w:rPr>
          <w:noProof/>
          <w:lang w:val="en-IE" w:eastAsia="nl-BE"/>
        </w:rPr>
        <w:t xml:space="preserve"> </w:t>
      </w:r>
      <w:r w:rsidR="00417635" w:rsidRPr="00A87FB0">
        <w:rPr>
          <w:noProof/>
          <w:lang w:val="en-IE" w:eastAsia="nl-BE"/>
        </w:rPr>
        <w:t xml:space="preserve">producers </w:t>
      </w:r>
      <w:r w:rsidRPr="00A87FB0">
        <w:rPr>
          <w:noProof/>
          <w:lang w:val="en-IE" w:eastAsia="nl-BE"/>
        </w:rPr>
        <w:t>produc</w:t>
      </w:r>
      <w:r w:rsidR="003F5C0B" w:rsidRPr="00A87FB0">
        <w:rPr>
          <w:noProof/>
          <w:lang w:val="en-IE" w:eastAsia="nl-BE"/>
        </w:rPr>
        <w:t>ed</w:t>
      </w:r>
      <w:r w:rsidRPr="00A87FB0">
        <w:rPr>
          <w:noProof/>
          <w:lang w:val="en-IE" w:eastAsia="nl-BE"/>
        </w:rPr>
        <w:t xml:space="preserve"> in Portuguese </w:t>
      </w:r>
      <w:r w:rsidR="003F5C0B" w:rsidRPr="00A87FB0">
        <w:rPr>
          <w:noProof/>
          <w:lang w:val="en-IE" w:eastAsia="nl-BE"/>
        </w:rPr>
        <w:t xml:space="preserve">language </w:t>
      </w:r>
      <w:r w:rsidRPr="00A87FB0">
        <w:rPr>
          <w:noProof/>
          <w:lang w:val="en-IE" w:eastAsia="nl-BE"/>
        </w:rPr>
        <w:t xml:space="preserve">and </w:t>
      </w:r>
      <w:r w:rsidR="00A557F0" w:rsidRPr="00A87FB0">
        <w:rPr>
          <w:noProof/>
          <w:lang w:val="en-IE" w:eastAsia="nl-BE"/>
        </w:rPr>
        <w:t xml:space="preserve">in the </w:t>
      </w:r>
      <w:r w:rsidR="0031049A" w:rsidRPr="00A87FB0">
        <w:rPr>
          <w:noProof/>
          <w:lang w:val="en-IE" w:eastAsia="nl-BE"/>
        </w:rPr>
        <w:t>5 </w:t>
      </w:r>
      <w:r w:rsidR="00A557F0" w:rsidRPr="00A87FB0">
        <w:rPr>
          <w:noProof/>
          <w:lang w:val="en-IE" w:eastAsia="nl-BE"/>
        </w:rPr>
        <w:t>preceding years.</w:t>
      </w:r>
    </w:p>
    <w:p w14:paraId="038454CB" w14:textId="77777777" w:rsidR="00420B62" w:rsidRPr="005B01FE" w:rsidRDefault="00420B62" w:rsidP="00D45ED6">
      <w:pPr>
        <w:spacing w:before="240" w:after="0"/>
        <w:contextualSpacing/>
        <w:rPr>
          <w:noProof/>
          <w:highlight w:val="yellow"/>
        </w:rPr>
      </w:pPr>
    </w:p>
    <w:p w14:paraId="15BA5D93" w14:textId="32F50528" w:rsidR="00246392" w:rsidRPr="005B01FE" w:rsidRDefault="00F7188A" w:rsidP="00246392">
      <w:pPr>
        <w:spacing w:before="240" w:after="0"/>
        <w:contextualSpacing/>
        <w:rPr>
          <w:noProof/>
          <w:highlight w:val="yellow"/>
        </w:rPr>
      </w:pPr>
      <w:r w:rsidRPr="005B01FE">
        <w:rPr>
          <w:noProof/>
        </w:rPr>
        <w:t>B</w:t>
      </w:r>
      <w:r w:rsidR="00216696" w:rsidRPr="006C1FE8">
        <w:rPr>
          <w:noProof/>
        </w:rPr>
        <w:t xml:space="preserve">ased on the national reports, the average proportion of European works on VOD services was </w:t>
      </w:r>
      <w:r w:rsidR="00216696">
        <w:rPr>
          <w:noProof/>
        </w:rPr>
        <w:t>63</w:t>
      </w:r>
      <w:r w:rsidR="00216696" w:rsidRPr="006C1FE8">
        <w:rPr>
          <w:noProof/>
        </w:rPr>
        <w:t xml:space="preserve">% in 2020 and </w:t>
      </w:r>
      <w:r w:rsidR="00216696">
        <w:rPr>
          <w:noProof/>
        </w:rPr>
        <w:t>64</w:t>
      </w:r>
      <w:r w:rsidR="00216696" w:rsidRPr="006C1FE8">
        <w:rPr>
          <w:noProof/>
        </w:rPr>
        <w:t>% in 2021</w:t>
      </w:r>
      <w:r w:rsidR="006660F2" w:rsidRPr="005B01FE">
        <w:rPr>
          <w:rStyle w:val="FootnoteReference"/>
          <w:noProof/>
        </w:rPr>
        <w:footnoteReference w:id="16"/>
      </w:r>
      <w:r w:rsidR="00E44C95" w:rsidRPr="005B01FE">
        <w:rPr>
          <w:noProof/>
        </w:rPr>
        <w:t>.</w:t>
      </w:r>
      <w:r w:rsidR="00246392" w:rsidRPr="005B01FE">
        <w:rPr>
          <w:noProof/>
        </w:rPr>
        <w:t xml:space="preserve"> </w:t>
      </w:r>
      <w:r w:rsidR="008B1ABD">
        <w:rPr>
          <w:noProof/>
        </w:rPr>
        <w:t>In comparison, t</w:t>
      </w:r>
      <w:r w:rsidR="005A4A25">
        <w:rPr>
          <w:noProof/>
        </w:rPr>
        <w:t>he figures were fluctuating between 4</w:t>
      </w:r>
      <w:r w:rsidR="0077683E">
        <w:rPr>
          <w:noProof/>
        </w:rPr>
        <w:t>2</w:t>
      </w:r>
      <w:r w:rsidR="005A4A25">
        <w:rPr>
          <w:noProof/>
        </w:rPr>
        <w:t>% and 63% in 2015-2019, according to the national report</w:t>
      </w:r>
      <w:r w:rsidR="00F21B38">
        <w:rPr>
          <w:noProof/>
        </w:rPr>
        <w:t>s</w:t>
      </w:r>
      <w:r w:rsidR="005A4A25">
        <w:rPr>
          <w:noProof/>
        </w:rPr>
        <w:t xml:space="preserve"> and </w:t>
      </w:r>
      <w:r w:rsidR="00F21B38">
        <w:rPr>
          <w:noProof/>
        </w:rPr>
        <w:t xml:space="preserve">the </w:t>
      </w:r>
      <w:r w:rsidR="005A4A25">
        <w:rPr>
          <w:noProof/>
        </w:rPr>
        <w:t>previous study</w:t>
      </w:r>
      <w:r w:rsidR="005A4A25">
        <w:rPr>
          <w:rStyle w:val="FootnoteReference"/>
          <w:noProof/>
        </w:rPr>
        <w:footnoteReference w:id="17"/>
      </w:r>
      <w:r w:rsidR="005A4A25">
        <w:rPr>
          <w:noProof/>
        </w:rPr>
        <w:t xml:space="preserve">. </w:t>
      </w:r>
      <w:r w:rsidR="0031049A">
        <w:rPr>
          <w:noProof/>
        </w:rPr>
        <w:t>H</w:t>
      </w:r>
      <w:r w:rsidR="0031049A" w:rsidRPr="005B01FE">
        <w:rPr>
          <w:noProof/>
        </w:rPr>
        <w:t>owever</w:t>
      </w:r>
      <w:r w:rsidR="0031049A">
        <w:rPr>
          <w:noProof/>
        </w:rPr>
        <w:t>,</w:t>
      </w:r>
      <w:r w:rsidR="0031049A" w:rsidRPr="005B01FE">
        <w:rPr>
          <w:noProof/>
        </w:rPr>
        <w:t xml:space="preserve"> </w:t>
      </w:r>
      <w:r w:rsidR="0031049A">
        <w:rPr>
          <w:noProof/>
        </w:rPr>
        <w:t>t</w:t>
      </w:r>
      <w:r w:rsidR="00246392" w:rsidRPr="005B01FE">
        <w:rPr>
          <w:noProof/>
        </w:rPr>
        <w:t>he Commission notes that the</w:t>
      </w:r>
      <w:r w:rsidR="0031049A">
        <w:rPr>
          <w:noProof/>
        </w:rPr>
        <w:t>se</w:t>
      </w:r>
      <w:r w:rsidR="00246392" w:rsidRPr="005B01FE">
        <w:rPr>
          <w:noProof/>
        </w:rPr>
        <w:t xml:space="preserve"> average shares are based on the VOD services</w:t>
      </w:r>
      <w:r w:rsidR="003F5C0B" w:rsidRPr="005B01FE">
        <w:rPr>
          <w:noProof/>
        </w:rPr>
        <w:t xml:space="preserve"> for which data was</w:t>
      </w:r>
      <w:r w:rsidR="00246392" w:rsidRPr="005B01FE">
        <w:rPr>
          <w:noProof/>
        </w:rPr>
        <w:t xml:space="preserve"> included in the national reports. </w:t>
      </w:r>
      <w:r w:rsidR="0031049A">
        <w:rPr>
          <w:noProof/>
        </w:rPr>
        <w:t>I</w:t>
      </w:r>
      <w:r w:rsidR="0031049A" w:rsidRPr="005B01FE">
        <w:rPr>
          <w:noProof/>
        </w:rPr>
        <w:t>n 2020</w:t>
      </w:r>
      <w:r w:rsidR="0031049A">
        <w:rPr>
          <w:noProof/>
        </w:rPr>
        <w:t>, s</w:t>
      </w:r>
      <w:r w:rsidR="007532CB" w:rsidRPr="005B01FE">
        <w:rPr>
          <w:noProof/>
        </w:rPr>
        <w:t>even Member States</w:t>
      </w:r>
      <w:r w:rsidR="00246392" w:rsidRPr="005B01FE">
        <w:rPr>
          <w:noProof/>
        </w:rPr>
        <w:t xml:space="preserve"> did not report on the shares of European works on VOD services</w:t>
      </w:r>
      <w:r w:rsidR="007532CB" w:rsidRPr="005B01FE">
        <w:rPr>
          <w:noProof/>
        </w:rPr>
        <w:t xml:space="preserve"> at all</w:t>
      </w:r>
      <w:r w:rsidR="0031049A">
        <w:rPr>
          <w:noProof/>
        </w:rPr>
        <w:t>,</w:t>
      </w:r>
      <w:r w:rsidR="007532CB" w:rsidRPr="005B01FE">
        <w:rPr>
          <w:noProof/>
        </w:rPr>
        <w:t xml:space="preserve"> and six did not report in 2021</w:t>
      </w:r>
      <w:r w:rsidR="00246392" w:rsidRPr="005B01FE">
        <w:rPr>
          <w:noProof/>
        </w:rPr>
        <w:t>.</w:t>
      </w:r>
      <w:r w:rsidR="007532CB" w:rsidRPr="005B01FE">
        <w:rPr>
          <w:noProof/>
        </w:rPr>
        <w:t xml:space="preserve"> Furthermore, </w:t>
      </w:r>
      <w:r w:rsidR="00D63315">
        <w:rPr>
          <w:noProof/>
        </w:rPr>
        <w:t xml:space="preserve">similarly to the previous report, </w:t>
      </w:r>
      <w:r w:rsidR="003F5C0B" w:rsidRPr="005B01FE">
        <w:rPr>
          <w:noProof/>
        </w:rPr>
        <w:t>most Member States</w:t>
      </w:r>
      <w:r w:rsidR="007532CB" w:rsidRPr="005B01FE">
        <w:rPr>
          <w:noProof/>
        </w:rPr>
        <w:t xml:space="preserve"> that did report on the shares of European works on VOD services did not do so for </w:t>
      </w:r>
      <w:r w:rsidR="00E66FF8" w:rsidRPr="005B01FE">
        <w:rPr>
          <w:noProof/>
        </w:rPr>
        <w:t>all</w:t>
      </w:r>
      <w:r w:rsidR="007532CB" w:rsidRPr="005B01FE">
        <w:rPr>
          <w:noProof/>
        </w:rPr>
        <w:t xml:space="preserve"> services listed. </w:t>
      </w:r>
      <w:r w:rsidR="00246392" w:rsidRPr="005B01FE">
        <w:rPr>
          <w:noProof/>
        </w:rPr>
        <w:t>For 20</w:t>
      </w:r>
      <w:r w:rsidR="007532CB" w:rsidRPr="005B01FE">
        <w:rPr>
          <w:noProof/>
        </w:rPr>
        <w:t>20</w:t>
      </w:r>
      <w:r w:rsidR="00246392" w:rsidRPr="005B01FE">
        <w:rPr>
          <w:noProof/>
        </w:rPr>
        <w:t xml:space="preserve">, data on the proportion of European works </w:t>
      </w:r>
      <w:r w:rsidR="005A54D6" w:rsidRPr="005B01FE">
        <w:rPr>
          <w:noProof/>
        </w:rPr>
        <w:t>was</w:t>
      </w:r>
      <w:r w:rsidR="00246392" w:rsidRPr="005B01FE">
        <w:rPr>
          <w:noProof/>
        </w:rPr>
        <w:t xml:space="preserve"> only provided for 5</w:t>
      </w:r>
      <w:r w:rsidR="00B614D0" w:rsidRPr="005B01FE">
        <w:rPr>
          <w:noProof/>
        </w:rPr>
        <w:t>81</w:t>
      </w:r>
      <w:r w:rsidR="00246392" w:rsidRPr="005B01FE">
        <w:rPr>
          <w:noProof/>
        </w:rPr>
        <w:t xml:space="preserve"> VOD services (</w:t>
      </w:r>
      <w:r w:rsidR="00B614D0" w:rsidRPr="005B01FE">
        <w:rPr>
          <w:noProof/>
        </w:rPr>
        <w:t>41</w:t>
      </w:r>
      <w:r w:rsidR="00246392" w:rsidRPr="005B01FE">
        <w:rPr>
          <w:noProof/>
        </w:rPr>
        <w:t>%) out of a total of 1 </w:t>
      </w:r>
      <w:r w:rsidR="00B614D0" w:rsidRPr="005B01FE">
        <w:rPr>
          <w:noProof/>
        </w:rPr>
        <w:t>410</w:t>
      </w:r>
      <w:r w:rsidR="00246392" w:rsidRPr="005B01FE">
        <w:rPr>
          <w:noProof/>
        </w:rPr>
        <w:t xml:space="preserve"> services that </w:t>
      </w:r>
      <w:r w:rsidR="007532CB" w:rsidRPr="005B01FE">
        <w:rPr>
          <w:noProof/>
        </w:rPr>
        <w:t>Member States</w:t>
      </w:r>
      <w:r w:rsidR="00246392" w:rsidRPr="005B01FE">
        <w:rPr>
          <w:noProof/>
        </w:rPr>
        <w:t xml:space="preserve"> reported as operating in their territory</w:t>
      </w:r>
      <w:r w:rsidR="007532CB" w:rsidRPr="005B01FE">
        <w:rPr>
          <w:noProof/>
        </w:rPr>
        <w:t xml:space="preserve"> in 2020 </w:t>
      </w:r>
      <w:r w:rsidR="003E2B85" w:rsidRPr="005B01FE">
        <w:rPr>
          <w:noProof/>
        </w:rPr>
        <w:t xml:space="preserve">and not </w:t>
      </w:r>
      <w:r w:rsidR="005D0528" w:rsidRPr="005B01FE">
        <w:rPr>
          <w:noProof/>
        </w:rPr>
        <w:t xml:space="preserve">being </w:t>
      </w:r>
      <w:r w:rsidR="003E2B85" w:rsidRPr="005B01FE">
        <w:rPr>
          <w:noProof/>
        </w:rPr>
        <w:t xml:space="preserve">subject to an exemption </w:t>
      </w:r>
      <w:r w:rsidR="005D0528" w:rsidRPr="005B01FE">
        <w:rPr>
          <w:noProof/>
        </w:rPr>
        <w:t xml:space="preserve">from the AVMSD obligations </w:t>
      </w:r>
      <w:r w:rsidR="003E2B85" w:rsidRPr="005B01FE">
        <w:rPr>
          <w:noProof/>
        </w:rPr>
        <w:t>during the whole reference period</w:t>
      </w:r>
      <w:r w:rsidR="005D0528" w:rsidRPr="005B01FE">
        <w:rPr>
          <w:noProof/>
        </w:rPr>
        <w:t>.</w:t>
      </w:r>
      <w:r w:rsidR="0031049A">
        <w:rPr>
          <w:noProof/>
        </w:rPr>
        <w:t xml:space="preserve"> In 2021, t</w:t>
      </w:r>
      <w:r w:rsidR="005D0528" w:rsidRPr="005B01FE">
        <w:rPr>
          <w:noProof/>
        </w:rPr>
        <w:t>he figure was</w:t>
      </w:r>
      <w:r w:rsidR="007532CB" w:rsidRPr="005B01FE">
        <w:rPr>
          <w:noProof/>
        </w:rPr>
        <w:t xml:space="preserve"> 5</w:t>
      </w:r>
      <w:r w:rsidR="00B614D0" w:rsidRPr="005B01FE">
        <w:rPr>
          <w:noProof/>
        </w:rPr>
        <w:t>3</w:t>
      </w:r>
      <w:r w:rsidR="007532CB" w:rsidRPr="005B01FE">
        <w:rPr>
          <w:noProof/>
        </w:rPr>
        <w:t>3 VOD services (</w:t>
      </w:r>
      <w:r w:rsidR="00DD2EB0" w:rsidRPr="005B01FE">
        <w:rPr>
          <w:noProof/>
        </w:rPr>
        <w:t>3</w:t>
      </w:r>
      <w:r w:rsidR="00B614D0" w:rsidRPr="005B01FE">
        <w:rPr>
          <w:noProof/>
        </w:rPr>
        <w:t>7</w:t>
      </w:r>
      <w:r w:rsidR="007532CB" w:rsidRPr="005B01FE">
        <w:rPr>
          <w:noProof/>
        </w:rPr>
        <w:t xml:space="preserve">%) out of a total of </w:t>
      </w:r>
      <w:r w:rsidR="00DD2EB0" w:rsidRPr="005B01FE">
        <w:rPr>
          <w:noProof/>
        </w:rPr>
        <w:t>1</w:t>
      </w:r>
      <w:r w:rsidR="0031049A">
        <w:rPr>
          <w:noProof/>
        </w:rPr>
        <w:t> </w:t>
      </w:r>
      <w:r w:rsidR="00B614D0" w:rsidRPr="005B01FE">
        <w:rPr>
          <w:noProof/>
        </w:rPr>
        <w:t>444</w:t>
      </w:r>
      <w:r w:rsidR="007532CB" w:rsidRPr="005B01FE">
        <w:rPr>
          <w:noProof/>
        </w:rPr>
        <w:t xml:space="preserve"> services</w:t>
      </w:r>
      <w:r w:rsidR="00246392" w:rsidRPr="005B01FE">
        <w:rPr>
          <w:noProof/>
        </w:rPr>
        <w:t xml:space="preserve">. </w:t>
      </w:r>
      <w:r w:rsidR="00727D99" w:rsidRPr="005B01FE">
        <w:rPr>
          <w:noProof/>
        </w:rPr>
        <w:t>Finally, it is worth pointing out that t</w:t>
      </w:r>
      <w:r w:rsidR="00054EBC" w:rsidRPr="005B01FE">
        <w:rPr>
          <w:noProof/>
        </w:rPr>
        <w:t>he data reported by Member States tend</w:t>
      </w:r>
      <w:r w:rsidR="005D0528" w:rsidRPr="005B01FE">
        <w:rPr>
          <w:noProof/>
        </w:rPr>
        <w:t>ed</w:t>
      </w:r>
      <w:r w:rsidR="00054EBC" w:rsidRPr="005B01FE">
        <w:rPr>
          <w:noProof/>
        </w:rPr>
        <w:t xml:space="preserve"> to include only smaller local VOD services</w:t>
      </w:r>
      <w:r w:rsidR="002C5EA1" w:rsidRPr="005B01FE">
        <w:rPr>
          <w:noProof/>
        </w:rPr>
        <w:t>, which could have implications on the results</w:t>
      </w:r>
      <w:r w:rsidR="00054EBC" w:rsidRPr="005B01FE">
        <w:rPr>
          <w:noProof/>
        </w:rPr>
        <w:t xml:space="preserve">. The shares of European works in </w:t>
      </w:r>
      <w:r w:rsidR="00BF23F9">
        <w:rPr>
          <w:noProof/>
        </w:rPr>
        <w:t xml:space="preserve">the catalogues of </w:t>
      </w:r>
      <w:r w:rsidR="00054EBC" w:rsidRPr="005B01FE">
        <w:rPr>
          <w:noProof/>
        </w:rPr>
        <w:t xml:space="preserve">larger international services like Netflix and Amazon Prime </w:t>
      </w:r>
      <w:r w:rsidR="005D0528" w:rsidRPr="005B01FE">
        <w:rPr>
          <w:noProof/>
        </w:rPr>
        <w:t>were</w:t>
      </w:r>
      <w:r w:rsidR="00054EBC" w:rsidRPr="005B01FE">
        <w:rPr>
          <w:noProof/>
        </w:rPr>
        <w:t xml:space="preserve"> reported</w:t>
      </w:r>
      <w:r w:rsidR="00D5110F" w:rsidRPr="005B01FE">
        <w:rPr>
          <w:noProof/>
        </w:rPr>
        <w:t xml:space="preserve"> </w:t>
      </w:r>
      <w:r w:rsidR="00054EBC" w:rsidRPr="005B01FE">
        <w:rPr>
          <w:noProof/>
        </w:rPr>
        <w:t xml:space="preserve">by </w:t>
      </w:r>
      <w:r w:rsidR="00E905E4" w:rsidRPr="005B01FE">
        <w:rPr>
          <w:noProof/>
        </w:rPr>
        <w:t xml:space="preserve">the </w:t>
      </w:r>
      <w:r w:rsidR="00054EBC" w:rsidRPr="005B01FE">
        <w:rPr>
          <w:noProof/>
        </w:rPr>
        <w:t>Member State</w:t>
      </w:r>
      <w:r w:rsidR="00E905E4" w:rsidRPr="005B01FE">
        <w:rPr>
          <w:noProof/>
        </w:rPr>
        <w:t xml:space="preserve"> </w:t>
      </w:r>
      <w:r w:rsidR="00BF23F9">
        <w:rPr>
          <w:noProof/>
        </w:rPr>
        <w:t>that</w:t>
      </w:r>
      <w:r w:rsidR="00BF23F9" w:rsidRPr="005B01FE">
        <w:rPr>
          <w:noProof/>
        </w:rPr>
        <w:t xml:space="preserve"> </w:t>
      </w:r>
      <w:r w:rsidR="00E905E4" w:rsidRPr="005B01FE">
        <w:rPr>
          <w:noProof/>
        </w:rPr>
        <w:t>had jurisdiction over</w:t>
      </w:r>
      <w:r w:rsidR="00D21625" w:rsidRPr="00D21625" w:rsidDel="00C220E6">
        <w:rPr>
          <w:noProof/>
        </w:rPr>
        <w:t xml:space="preserve"> </w:t>
      </w:r>
      <w:r w:rsidR="00D21625">
        <w:rPr>
          <w:noProof/>
        </w:rPr>
        <w:t>them regarding all the different national catalogues</w:t>
      </w:r>
      <w:r w:rsidR="00D21625">
        <w:rPr>
          <w:rStyle w:val="FootnoteReference"/>
          <w:noProof/>
        </w:rPr>
        <w:footnoteReference w:id="18"/>
      </w:r>
      <w:r w:rsidR="00D21625" w:rsidRPr="005C4F77">
        <w:rPr>
          <w:noProof/>
        </w:rPr>
        <w:t>.</w:t>
      </w:r>
    </w:p>
    <w:p w14:paraId="15C15D00" w14:textId="7B643379" w:rsidR="008A3914" w:rsidRPr="005B01FE" w:rsidRDefault="008A3914" w:rsidP="00246392">
      <w:pPr>
        <w:spacing w:before="240" w:after="0"/>
        <w:contextualSpacing/>
        <w:rPr>
          <w:noProof/>
          <w:highlight w:val="yellow"/>
        </w:rPr>
      </w:pPr>
    </w:p>
    <w:p w14:paraId="6E6580C9" w14:textId="5E3AFD03" w:rsidR="00ED1F14" w:rsidRPr="005B01FE" w:rsidRDefault="00314A8C" w:rsidP="00ED1F14">
      <w:pPr>
        <w:pStyle w:val="Caption"/>
        <w:keepNext/>
        <w:spacing w:after="0"/>
        <w:rPr>
          <w:noProof/>
        </w:rPr>
      </w:pPr>
      <w:r w:rsidRPr="005B01FE">
        <w:rPr>
          <w:noProof/>
        </w:rPr>
        <w:t xml:space="preserve">Figure </w:t>
      </w:r>
      <w:r w:rsidR="00FE7170" w:rsidRPr="005B01FE">
        <w:rPr>
          <w:noProof/>
        </w:rPr>
        <w:fldChar w:fldCharType="begin"/>
      </w:r>
      <w:r w:rsidR="00FE7170" w:rsidRPr="005B01FE">
        <w:rPr>
          <w:noProof/>
        </w:rPr>
        <w:instrText xml:space="preserve"> SEQ Figure \* ARABIC </w:instrText>
      </w:r>
      <w:r w:rsidR="00FE7170" w:rsidRPr="005B01FE">
        <w:rPr>
          <w:noProof/>
        </w:rPr>
        <w:fldChar w:fldCharType="separate"/>
      </w:r>
      <w:r w:rsidR="00923757" w:rsidRPr="005B01FE">
        <w:rPr>
          <w:noProof/>
        </w:rPr>
        <w:t>2</w:t>
      </w:r>
      <w:r w:rsidR="00FE7170" w:rsidRPr="005B01FE">
        <w:rPr>
          <w:noProof/>
        </w:rPr>
        <w:fldChar w:fldCharType="end"/>
      </w:r>
      <w:r w:rsidR="00C821E9">
        <w:rPr>
          <w:noProof/>
        </w:rPr>
        <w:t>:</w:t>
      </w:r>
      <w:r w:rsidRPr="005B01FE">
        <w:rPr>
          <w:noProof/>
        </w:rPr>
        <w:t xml:space="preserve"> Share of European </w:t>
      </w:r>
      <w:r w:rsidR="00A2386A">
        <w:rPr>
          <w:noProof/>
        </w:rPr>
        <w:t>w</w:t>
      </w:r>
      <w:r w:rsidRPr="005B01FE">
        <w:rPr>
          <w:noProof/>
        </w:rPr>
        <w:t>orks on VOD services, 2020-2021</w:t>
      </w:r>
    </w:p>
    <w:p w14:paraId="4E17AF87" w14:textId="325306D6" w:rsidR="008A3914" w:rsidRPr="005B01FE" w:rsidRDefault="00AD31AD" w:rsidP="00B670B2">
      <w:pPr>
        <w:rPr>
          <w:noProof/>
        </w:rPr>
      </w:pPr>
      <w:r w:rsidRPr="005B01FE">
        <w:rPr>
          <w:noProof/>
          <w:lang w:eastAsia="en-GB"/>
        </w:rPr>
        <w:drawing>
          <wp:inline distT="0" distB="0" distL="0" distR="0" wp14:anchorId="6D505B3D" wp14:editId="2CF2398E">
            <wp:extent cx="5917565" cy="354647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7565" cy="3546475"/>
                    </a:xfrm>
                    <a:prstGeom prst="rect">
                      <a:avLst/>
                    </a:prstGeom>
                    <a:noFill/>
                    <a:ln>
                      <a:noFill/>
                    </a:ln>
                  </pic:spPr>
                </pic:pic>
              </a:graphicData>
            </a:graphic>
          </wp:inline>
        </w:drawing>
      </w:r>
    </w:p>
    <w:p w14:paraId="5659DE20" w14:textId="354CB2CA" w:rsidR="008A3914" w:rsidRPr="005B01FE" w:rsidRDefault="00314A8C" w:rsidP="00246392">
      <w:pPr>
        <w:spacing w:before="240" w:after="0"/>
        <w:contextualSpacing/>
        <w:rPr>
          <w:i/>
          <w:iCs/>
          <w:noProof/>
          <w:sz w:val="20"/>
          <w:szCs w:val="20"/>
        </w:rPr>
      </w:pPr>
      <w:r w:rsidRPr="005B01FE">
        <w:rPr>
          <w:i/>
          <w:iCs/>
          <w:noProof/>
          <w:sz w:val="20"/>
          <w:szCs w:val="20"/>
        </w:rPr>
        <w:t xml:space="preserve">Source: </w:t>
      </w:r>
      <w:r w:rsidR="00576015">
        <w:rPr>
          <w:i/>
          <w:iCs/>
          <w:noProof/>
          <w:sz w:val="20"/>
          <w:szCs w:val="20"/>
        </w:rPr>
        <w:t>t</w:t>
      </w:r>
      <w:r w:rsidR="003A2211" w:rsidRPr="005B01FE">
        <w:rPr>
          <w:i/>
          <w:iCs/>
          <w:noProof/>
          <w:sz w:val="20"/>
          <w:szCs w:val="20"/>
        </w:rPr>
        <w:t>he</w:t>
      </w:r>
      <w:r w:rsidRPr="005B01FE">
        <w:rPr>
          <w:i/>
          <w:iCs/>
          <w:noProof/>
          <w:sz w:val="20"/>
          <w:szCs w:val="20"/>
        </w:rPr>
        <w:t xml:space="preserve"> Study, based on Member States’ reporting</w:t>
      </w:r>
    </w:p>
    <w:p w14:paraId="06B5AB8B" w14:textId="29A497A9" w:rsidR="00E44C95" w:rsidRPr="005B01FE" w:rsidRDefault="00E44C95" w:rsidP="00D45ED6">
      <w:pPr>
        <w:spacing w:before="240" w:after="0"/>
        <w:contextualSpacing/>
        <w:rPr>
          <w:noProof/>
          <w:highlight w:val="yellow"/>
        </w:rPr>
      </w:pPr>
    </w:p>
    <w:p w14:paraId="3E353810" w14:textId="0B702617" w:rsidR="009D4028" w:rsidRPr="005B01FE" w:rsidRDefault="00AE1853" w:rsidP="009D4028">
      <w:pPr>
        <w:spacing w:after="0"/>
        <w:contextualSpacing/>
        <w:rPr>
          <w:noProof/>
          <w:highlight w:val="yellow"/>
        </w:rPr>
      </w:pPr>
      <w:r w:rsidRPr="005B01FE">
        <w:rPr>
          <w:noProof/>
        </w:rPr>
        <w:t xml:space="preserve">According to an analysis conducted </w:t>
      </w:r>
      <w:r w:rsidR="00FD7EF8">
        <w:rPr>
          <w:noProof/>
        </w:rPr>
        <w:t xml:space="preserve">as part </w:t>
      </w:r>
      <w:r w:rsidRPr="005B01FE">
        <w:rPr>
          <w:noProof/>
        </w:rPr>
        <w:t xml:space="preserve">of the </w:t>
      </w:r>
      <w:r w:rsidR="00FD7EF8">
        <w:rPr>
          <w:noProof/>
        </w:rPr>
        <w:t>s</w:t>
      </w:r>
      <w:r w:rsidRPr="005B01FE">
        <w:rPr>
          <w:noProof/>
        </w:rPr>
        <w:t>tudy, European works</w:t>
      </w:r>
      <w:r w:rsidR="00BD68E8" w:rsidRPr="005B01FE">
        <w:rPr>
          <w:rStyle w:val="FootnoteReference"/>
          <w:noProof/>
        </w:rPr>
        <w:footnoteReference w:id="19"/>
      </w:r>
      <w:r w:rsidRPr="005B01FE">
        <w:rPr>
          <w:noProof/>
        </w:rPr>
        <w:t xml:space="preserve"> represent</w:t>
      </w:r>
      <w:r w:rsidR="003F5C0B" w:rsidRPr="005B01FE">
        <w:rPr>
          <w:noProof/>
        </w:rPr>
        <w:t>ed</w:t>
      </w:r>
      <w:r w:rsidR="008D1A50" w:rsidRPr="005B01FE">
        <w:rPr>
          <w:noProof/>
        </w:rPr>
        <w:t xml:space="preserve"> on average</w:t>
      </w:r>
      <w:r w:rsidRPr="005B01FE">
        <w:rPr>
          <w:noProof/>
        </w:rPr>
        <w:t xml:space="preserve"> 3</w:t>
      </w:r>
      <w:r w:rsidR="0068155F" w:rsidRPr="005B01FE">
        <w:rPr>
          <w:noProof/>
        </w:rPr>
        <w:t>5</w:t>
      </w:r>
      <w:r w:rsidRPr="005B01FE">
        <w:rPr>
          <w:noProof/>
        </w:rPr>
        <w:t xml:space="preserve">% </w:t>
      </w:r>
      <w:r w:rsidR="008D1A50" w:rsidRPr="005B01FE">
        <w:rPr>
          <w:noProof/>
        </w:rPr>
        <w:t xml:space="preserve">of </w:t>
      </w:r>
      <w:r w:rsidR="00210CB1" w:rsidRPr="005B01FE">
        <w:rPr>
          <w:noProof/>
        </w:rPr>
        <w:t>catalogues in</w:t>
      </w:r>
      <w:r w:rsidR="00A64063" w:rsidRPr="005B01FE">
        <w:rPr>
          <w:noProof/>
        </w:rPr>
        <w:t xml:space="preserve"> a selection of</w:t>
      </w:r>
      <w:r w:rsidR="00210CB1" w:rsidRPr="005B01FE">
        <w:rPr>
          <w:noProof/>
        </w:rPr>
        <w:t xml:space="preserve"> </w:t>
      </w:r>
      <w:r w:rsidR="009623BC" w:rsidRPr="005B01FE">
        <w:rPr>
          <w:noProof/>
        </w:rPr>
        <w:t>2</w:t>
      </w:r>
      <w:r w:rsidR="00F9255D" w:rsidRPr="005B01FE">
        <w:rPr>
          <w:noProof/>
        </w:rPr>
        <w:t>1</w:t>
      </w:r>
      <w:r w:rsidR="009623BC" w:rsidRPr="005B01FE">
        <w:rPr>
          <w:noProof/>
        </w:rPr>
        <w:t xml:space="preserve"> Member States</w:t>
      </w:r>
      <w:r w:rsidR="00160EE8" w:rsidRPr="005B01FE">
        <w:rPr>
          <w:rStyle w:val="FootnoteReference"/>
          <w:noProof/>
        </w:rPr>
        <w:footnoteReference w:id="20"/>
      </w:r>
      <w:r w:rsidR="00F9255D" w:rsidRPr="005B01FE">
        <w:rPr>
          <w:noProof/>
        </w:rPr>
        <w:t xml:space="preserve"> </w:t>
      </w:r>
      <w:r w:rsidR="00D21625" w:rsidRPr="00BD6AD8">
        <w:rPr>
          <w:noProof/>
        </w:rPr>
        <w:t>and Norway</w:t>
      </w:r>
      <w:r w:rsidR="00D21625">
        <w:rPr>
          <w:noProof/>
        </w:rPr>
        <w:t>.</w:t>
      </w:r>
      <w:r w:rsidR="00DE711E">
        <w:rPr>
          <w:noProof/>
        </w:rPr>
        <w:t xml:space="preserve"> </w:t>
      </w:r>
      <w:r w:rsidR="009D4028" w:rsidRPr="005B01FE">
        <w:rPr>
          <w:noProof/>
        </w:rPr>
        <w:t xml:space="preserve">The calculation included data based on the catalogues of a sample of </w:t>
      </w:r>
      <w:r w:rsidR="00F9255D" w:rsidRPr="005B01FE">
        <w:rPr>
          <w:noProof/>
        </w:rPr>
        <w:t>1</w:t>
      </w:r>
      <w:r w:rsidR="00296D3E">
        <w:rPr>
          <w:noProof/>
        </w:rPr>
        <w:t> </w:t>
      </w:r>
      <w:r w:rsidR="00F9255D" w:rsidRPr="005B01FE">
        <w:rPr>
          <w:noProof/>
        </w:rPr>
        <w:t>062</w:t>
      </w:r>
      <w:r w:rsidR="009D4028" w:rsidRPr="005B01FE">
        <w:rPr>
          <w:noProof/>
        </w:rPr>
        <w:t xml:space="preserve"> VOD services (including over 1.</w:t>
      </w:r>
      <w:r w:rsidR="00BF398A" w:rsidRPr="005B01FE">
        <w:rPr>
          <w:noProof/>
        </w:rPr>
        <w:t>9</w:t>
      </w:r>
      <w:r w:rsidR="00296D3E">
        <w:rPr>
          <w:noProof/>
        </w:rPr>
        <w:t> </w:t>
      </w:r>
      <w:r w:rsidR="009D4028" w:rsidRPr="005B01FE">
        <w:rPr>
          <w:noProof/>
        </w:rPr>
        <w:t>million productions)</w:t>
      </w:r>
      <w:r w:rsidR="009D4028" w:rsidRPr="005B01FE">
        <w:rPr>
          <w:rStyle w:val="FootnoteReference"/>
          <w:noProof/>
        </w:rPr>
        <w:footnoteReference w:id="21"/>
      </w:r>
      <w:r w:rsidR="009D4028" w:rsidRPr="005B01FE">
        <w:rPr>
          <w:noProof/>
        </w:rPr>
        <w:t xml:space="preserve">. The data presented in the </w:t>
      </w:r>
      <w:r w:rsidR="00296D3E">
        <w:rPr>
          <w:noProof/>
        </w:rPr>
        <w:t>s</w:t>
      </w:r>
      <w:r w:rsidR="009D4028" w:rsidRPr="005B01FE">
        <w:rPr>
          <w:noProof/>
        </w:rPr>
        <w:t>tudy capture</w:t>
      </w:r>
      <w:r w:rsidR="006E608E" w:rsidRPr="005B01FE">
        <w:rPr>
          <w:noProof/>
        </w:rPr>
        <w:t>d</w:t>
      </w:r>
      <w:r w:rsidR="009D4028" w:rsidRPr="005B01FE">
        <w:rPr>
          <w:noProof/>
        </w:rPr>
        <w:t xml:space="preserve"> the situation of VOD catalogues in February 2023, as it was not possible to collect catalogue data retrospectively for 2020-2021. </w:t>
      </w:r>
      <w:r w:rsidR="00F9255D" w:rsidRPr="005B01FE">
        <w:rPr>
          <w:noProof/>
        </w:rPr>
        <w:t xml:space="preserve">The data </w:t>
      </w:r>
      <w:r w:rsidR="002616EE" w:rsidRPr="00BD6AD8">
        <w:rPr>
          <w:noProof/>
        </w:rPr>
        <w:t>w</w:t>
      </w:r>
      <w:r w:rsidR="002616EE">
        <w:rPr>
          <w:noProof/>
        </w:rPr>
        <w:t>ere</w:t>
      </w:r>
      <w:r w:rsidR="002616EE" w:rsidRPr="005B01FE">
        <w:rPr>
          <w:noProof/>
        </w:rPr>
        <w:t xml:space="preserve"> </w:t>
      </w:r>
      <w:r w:rsidR="00F9255D" w:rsidRPr="005B01FE">
        <w:rPr>
          <w:noProof/>
        </w:rPr>
        <w:t xml:space="preserve">analysed by target country </w:t>
      </w:r>
      <w:r w:rsidR="00D21625">
        <w:rPr>
          <w:noProof/>
        </w:rPr>
        <w:t xml:space="preserve">(i.e. the country where the different national catalogues were aimed to be visible) </w:t>
      </w:r>
      <w:r w:rsidR="00D21625" w:rsidRPr="00BD6AD8">
        <w:rPr>
          <w:noProof/>
        </w:rPr>
        <w:t>and not by country of jurisdiction</w:t>
      </w:r>
      <w:r w:rsidR="00D21625">
        <w:rPr>
          <w:noProof/>
        </w:rPr>
        <w:t xml:space="preserve"> (i.e. the country where the VOD service provider in question was established)</w:t>
      </w:r>
      <w:r w:rsidR="00F9255D" w:rsidRPr="005B01FE">
        <w:rPr>
          <w:noProof/>
        </w:rPr>
        <w:t xml:space="preserve">. </w:t>
      </w:r>
      <w:r w:rsidR="009D4028" w:rsidRPr="005B01FE">
        <w:rPr>
          <w:noProof/>
        </w:rPr>
        <w:t xml:space="preserve">While technically outside the </w:t>
      </w:r>
      <w:r w:rsidR="00296D3E">
        <w:rPr>
          <w:noProof/>
        </w:rPr>
        <w:t xml:space="preserve">reference </w:t>
      </w:r>
      <w:r w:rsidR="009D4028" w:rsidRPr="005B01FE">
        <w:rPr>
          <w:noProof/>
        </w:rPr>
        <w:t xml:space="preserve">period, the data </w:t>
      </w:r>
      <w:r w:rsidR="002616EE" w:rsidRPr="00BD6AD8">
        <w:rPr>
          <w:noProof/>
        </w:rPr>
        <w:t>provide</w:t>
      </w:r>
      <w:r w:rsidR="009D4028" w:rsidRPr="005B01FE">
        <w:rPr>
          <w:noProof/>
        </w:rPr>
        <w:t xml:space="preserve"> an important snapshot of VOD catalogues relevant to the application of Article 13(1) of the AVMSD</w:t>
      </w:r>
      <w:r w:rsidR="00296D3E">
        <w:rPr>
          <w:noProof/>
        </w:rPr>
        <w:t>,</w:t>
      </w:r>
      <w:r w:rsidR="009D4028" w:rsidRPr="005B01FE">
        <w:rPr>
          <w:noProof/>
        </w:rPr>
        <w:t xml:space="preserve"> and </w:t>
      </w:r>
      <w:r w:rsidR="00296D3E">
        <w:rPr>
          <w:noProof/>
        </w:rPr>
        <w:t>sup</w:t>
      </w:r>
      <w:r w:rsidR="009D4028" w:rsidRPr="005B01FE">
        <w:rPr>
          <w:noProof/>
        </w:rPr>
        <w:t>plement the data transmitted by Member States</w:t>
      </w:r>
      <w:r w:rsidR="00F30726" w:rsidRPr="005B01FE">
        <w:rPr>
          <w:rStyle w:val="FootnoteReference"/>
          <w:noProof/>
        </w:rPr>
        <w:footnoteReference w:id="22"/>
      </w:r>
      <w:r w:rsidR="009D4028" w:rsidRPr="005B01FE">
        <w:rPr>
          <w:noProof/>
        </w:rPr>
        <w:t>.</w:t>
      </w:r>
      <w:r w:rsidR="00A64063" w:rsidRPr="005B01FE">
        <w:rPr>
          <w:noProof/>
        </w:rPr>
        <w:t xml:space="preserve"> </w:t>
      </w:r>
      <w:r w:rsidR="00465C6F" w:rsidRPr="005B01FE" w:rsidDel="00465C6F">
        <w:rPr>
          <w:noProof/>
        </w:rPr>
        <w:t xml:space="preserve"> </w:t>
      </w:r>
      <w:r w:rsidR="009C6EFE">
        <w:rPr>
          <w:noProof/>
        </w:rPr>
        <w:t xml:space="preserve">According to the 2021 analysis conducted as part of </w:t>
      </w:r>
      <w:r w:rsidR="00D134BC">
        <w:rPr>
          <w:noProof/>
        </w:rPr>
        <w:t xml:space="preserve">the previous study, the average </w:t>
      </w:r>
      <w:r w:rsidR="005D510D">
        <w:rPr>
          <w:noProof/>
        </w:rPr>
        <w:t xml:space="preserve">share of European works </w:t>
      </w:r>
      <w:r w:rsidR="008E10A9">
        <w:rPr>
          <w:noProof/>
        </w:rPr>
        <w:t xml:space="preserve">was 36% </w:t>
      </w:r>
      <w:r w:rsidR="00D134BC">
        <w:rPr>
          <w:noProof/>
        </w:rPr>
        <w:t>based on the catalogues of a smaller sample of 751 VOD services</w:t>
      </w:r>
      <w:r w:rsidR="00D134BC">
        <w:rPr>
          <w:rStyle w:val="FootnoteReference"/>
          <w:noProof/>
        </w:rPr>
        <w:footnoteReference w:id="23"/>
      </w:r>
      <w:r w:rsidR="00D134BC">
        <w:rPr>
          <w:noProof/>
        </w:rPr>
        <w:t>.</w:t>
      </w:r>
    </w:p>
    <w:p w14:paraId="4027B949" w14:textId="1AB4A597" w:rsidR="009D4028" w:rsidRPr="005B01FE" w:rsidRDefault="009D4028" w:rsidP="00D45ED6">
      <w:pPr>
        <w:spacing w:before="240" w:after="0"/>
        <w:contextualSpacing/>
        <w:rPr>
          <w:noProof/>
          <w:highlight w:val="yellow"/>
        </w:rPr>
      </w:pPr>
    </w:p>
    <w:p w14:paraId="799968F8" w14:textId="6147A237" w:rsidR="002F3DB0" w:rsidRPr="005B01FE" w:rsidRDefault="00BD68E8" w:rsidP="00D45ED6">
      <w:pPr>
        <w:spacing w:before="240" w:after="0"/>
        <w:contextualSpacing/>
        <w:rPr>
          <w:noProof/>
          <w:highlight w:val="yellow"/>
        </w:rPr>
      </w:pPr>
      <w:r w:rsidRPr="005B01FE">
        <w:rPr>
          <w:noProof/>
        </w:rPr>
        <w:t xml:space="preserve">The </w:t>
      </w:r>
      <w:r w:rsidR="006D5E2E">
        <w:rPr>
          <w:noProof/>
        </w:rPr>
        <w:t>s</w:t>
      </w:r>
      <w:r w:rsidRPr="005B01FE">
        <w:rPr>
          <w:noProof/>
        </w:rPr>
        <w:t>tudy show</w:t>
      </w:r>
      <w:r w:rsidR="005D0528" w:rsidRPr="005B01FE">
        <w:rPr>
          <w:noProof/>
        </w:rPr>
        <w:t>ed</w:t>
      </w:r>
      <w:r w:rsidR="00AD2B89" w:rsidRPr="005B01FE">
        <w:rPr>
          <w:noProof/>
        </w:rPr>
        <w:t xml:space="preserve"> that the share of European works </w:t>
      </w:r>
      <w:r w:rsidR="00A33AA2" w:rsidRPr="005B01FE">
        <w:rPr>
          <w:noProof/>
        </w:rPr>
        <w:t xml:space="preserve">varied </w:t>
      </w:r>
      <w:r w:rsidR="00AD2B89" w:rsidRPr="005B01FE">
        <w:rPr>
          <w:noProof/>
        </w:rPr>
        <w:t>between 27% in Hungary (the lowest figure in the sample) and 48% in France (the highest figure in the sample)</w:t>
      </w:r>
      <w:r w:rsidR="00990393" w:rsidRPr="00990393">
        <w:rPr>
          <w:rStyle w:val="FootnoteReference"/>
          <w:noProof/>
        </w:rPr>
        <w:t xml:space="preserve"> </w:t>
      </w:r>
      <w:r w:rsidR="00990393">
        <w:rPr>
          <w:rStyle w:val="FootnoteReference"/>
          <w:noProof/>
        </w:rPr>
        <w:footnoteReference w:id="24"/>
      </w:r>
      <w:r w:rsidR="00AD2B89" w:rsidRPr="005B01FE">
        <w:rPr>
          <w:noProof/>
        </w:rPr>
        <w:t xml:space="preserve">. </w:t>
      </w:r>
      <w:r w:rsidR="00C55D56" w:rsidRPr="00C55D56">
        <w:rPr>
          <w:noProof/>
        </w:rPr>
        <w:t xml:space="preserve">Hence, the </w:t>
      </w:r>
      <w:r w:rsidR="003E47F6">
        <w:rPr>
          <w:noProof/>
        </w:rPr>
        <w:t>lowest share of European works seems to have slightly increased</w:t>
      </w:r>
      <w:r w:rsidR="00C55D56" w:rsidRPr="00C55D56">
        <w:rPr>
          <w:noProof/>
        </w:rPr>
        <w:t xml:space="preserve"> from </w:t>
      </w:r>
      <w:r w:rsidR="003E47F6">
        <w:rPr>
          <w:noProof/>
        </w:rPr>
        <w:t xml:space="preserve">the </w:t>
      </w:r>
      <w:r w:rsidR="00C55D56" w:rsidRPr="00C55D56">
        <w:rPr>
          <w:noProof/>
        </w:rPr>
        <w:t>last report, where the proportion of European works ranged from 25% (Greece) to 48% (France)</w:t>
      </w:r>
      <w:r w:rsidR="00D70CB3" w:rsidRPr="00D70CB3">
        <w:rPr>
          <w:rStyle w:val="FootnoteReference"/>
          <w:noProof/>
        </w:rPr>
        <w:t xml:space="preserve"> </w:t>
      </w:r>
      <w:r w:rsidR="00D70CB3">
        <w:rPr>
          <w:rStyle w:val="FootnoteReference"/>
          <w:noProof/>
        </w:rPr>
        <w:footnoteReference w:id="25"/>
      </w:r>
      <w:r w:rsidR="00C55D56" w:rsidRPr="00C55D56">
        <w:rPr>
          <w:noProof/>
        </w:rPr>
        <w:t xml:space="preserve">. </w:t>
      </w:r>
      <w:r w:rsidR="00D90E4F" w:rsidRPr="005B01FE">
        <w:rPr>
          <w:noProof/>
        </w:rPr>
        <w:t>According to the data available, a</w:t>
      </w:r>
      <w:r w:rsidR="00AD2B89" w:rsidRPr="005B01FE">
        <w:rPr>
          <w:noProof/>
        </w:rPr>
        <w:t xml:space="preserve">ll countries apart from Romania (-1%) </w:t>
      </w:r>
      <w:r w:rsidR="006E608E" w:rsidRPr="005B01FE">
        <w:rPr>
          <w:noProof/>
        </w:rPr>
        <w:t xml:space="preserve">had </w:t>
      </w:r>
      <w:r w:rsidR="00AD2B89" w:rsidRPr="005B01FE">
        <w:rPr>
          <w:noProof/>
        </w:rPr>
        <w:t>increased their share of European works</w:t>
      </w:r>
      <w:r w:rsidR="00F27B7D">
        <w:rPr>
          <w:noProof/>
        </w:rPr>
        <w:t>,</w:t>
      </w:r>
      <w:r w:rsidR="00AD2B89" w:rsidRPr="005B01FE">
        <w:rPr>
          <w:noProof/>
        </w:rPr>
        <w:t xml:space="preserve"> or </w:t>
      </w:r>
      <w:r w:rsidR="00A33AA2" w:rsidRPr="005B01FE">
        <w:rPr>
          <w:noProof/>
        </w:rPr>
        <w:t>the share</w:t>
      </w:r>
      <w:r w:rsidR="00AD2B89" w:rsidRPr="005B01FE">
        <w:rPr>
          <w:noProof/>
        </w:rPr>
        <w:t xml:space="preserve"> </w:t>
      </w:r>
      <w:r w:rsidR="00F27B7D">
        <w:rPr>
          <w:noProof/>
        </w:rPr>
        <w:t xml:space="preserve">had </w:t>
      </w:r>
      <w:r w:rsidR="00AD2B89" w:rsidRPr="005B01FE">
        <w:rPr>
          <w:noProof/>
        </w:rPr>
        <w:t>remained the same compared to the previous study</w:t>
      </w:r>
      <w:r w:rsidR="00AD2B89" w:rsidRPr="005B01FE">
        <w:rPr>
          <w:rStyle w:val="FootnoteReference"/>
          <w:noProof/>
        </w:rPr>
        <w:footnoteReference w:id="26"/>
      </w:r>
      <w:r w:rsidR="00AD2B89" w:rsidRPr="005B01FE">
        <w:rPr>
          <w:noProof/>
        </w:rPr>
        <w:t>.</w:t>
      </w:r>
    </w:p>
    <w:p w14:paraId="2721F871" w14:textId="77777777" w:rsidR="002F3DB0" w:rsidRPr="005B01FE" w:rsidRDefault="002F3DB0" w:rsidP="00D45ED6">
      <w:pPr>
        <w:spacing w:before="240" w:after="0"/>
        <w:contextualSpacing/>
        <w:rPr>
          <w:noProof/>
          <w:highlight w:val="yellow"/>
        </w:rPr>
      </w:pPr>
    </w:p>
    <w:p w14:paraId="190595B9" w14:textId="33A47873" w:rsidR="009D4028" w:rsidRPr="005B01FE" w:rsidRDefault="002F3DB0" w:rsidP="00D45ED6">
      <w:pPr>
        <w:spacing w:before="240" w:after="0"/>
        <w:contextualSpacing/>
        <w:rPr>
          <w:noProof/>
        </w:rPr>
      </w:pPr>
      <w:r w:rsidRPr="005B01FE">
        <w:rPr>
          <w:noProof/>
        </w:rPr>
        <w:t xml:space="preserve">According to the </w:t>
      </w:r>
      <w:r w:rsidR="00D54067" w:rsidRPr="005A24EA">
        <w:rPr>
          <w:noProof/>
        </w:rPr>
        <w:t>study</w:t>
      </w:r>
      <w:r w:rsidRPr="005B01FE">
        <w:rPr>
          <w:noProof/>
        </w:rPr>
        <w:t xml:space="preserve">, </w:t>
      </w:r>
      <w:bookmarkStart w:id="18" w:name="_Hlk163485570"/>
      <w:bookmarkStart w:id="19" w:name="_Hlk163485594"/>
      <w:r w:rsidR="000F7EA1" w:rsidRPr="00916976">
        <w:rPr>
          <w:noProof/>
        </w:rPr>
        <w:t>Mubi was the VOD service provider with the greatest share of European works present in multiple countries</w:t>
      </w:r>
      <w:r w:rsidR="000F7EA1">
        <w:rPr>
          <w:noProof/>
        </w:rPr>
        <w:t xml:space="preserve"> (for example, 64% in Italy and 63% in Ireland)</w:t>
      </w:r>
      <w:r w:rsidR="000F7EA1" w:rsidRPr="00916976">
        <w:rPr>
          <w:noProof/>
        </w:rPr>
        <w:t>.</w:t>
      </w:r>
      <w:bookmarkEnd w:id="18"/>
      <w:bookmarkEnd w:id="19"/>
      <w:r w:rsidR="00EB4B25">
        <w:rPr>
          <w:noProof/>
        </w:rPr>
        <w:t xml:space="preserve"> </w:t>
      </w:r>
      <w:r w:rsidRPr="005B01FE">
        <w:rPr>
          <w:noProof/>
        </w:rPr>
        <w:t>Disney</w:t>
      </w:r>
      <w:r w:rsidR="00A33AA2" w:rsidRPr="005B01FE">
        <w:rPr>
          <w:noProof/>
        </w:rPr>
        <w:t>+</w:t>
      </w:r>
      <w:r w:rsidRPr="005B01FE">
        <w:rPr>
          <w:noProof/>
        </w:rPr>
        <w:t xml:space="preserve"> and </w:t>
      </w:r>
      <w:r w:rsidR="00D54067">
        <w:rPr>
          <w:noProof/>
        </w:rPr>
        <w:t xml:space="preserve">Apple TV+, on the contrary, had the lowest average share of European works in the dataset examined (12% in Italy and Ireland and 14% in Italy and Ireland, respectively). </w:t>
      </w:r>
      <w:r w:rsidR="007F1662">
        <w:rPr>
          <w:noProof/>
        </w:rPr>
        <w:t>However, t</w:t>
      </w:r>
      <w:r w:rsidRPr="005B01FE">
        <w:rPr>
          <w:noProof/>
        </w:rPr>
        <w:t xml:space="preserve">he </w:t>
      </w:r>
      <w:r w:rsidR="007F1662">
        <w:rPr>
          <w:noProof/>
        </w:rPr>
        <w:t xml:space="preserve">share of </w:t>
      </w:r>
      <w:r w:rsidR="007F1662" w:rsidRPr="005B01FE">
        <w:rPr>
          <w:noProof/>
        </w:rPr>
        <w:t xml:space="preserve">European works </w:t>
      </w:r>
      <w:r w:rsidR="007F1662">
        <w:rPr>
          <w:noProof/>
        </w:rPr>
        <w:t xml:space="preserve">in the catalogue of a single </w:t>
      </w:r>
      <w:r w:rsidRPr="005B01FE">
        <w:rPr>
          <w:noProof/>
        </w:rPr>
        <w:t xml:space="preserve">VOD service provider </w:t>
      </w:r>
      <w:r w:rsidR="007F1662">
        <w:rPr>
          <w:noProof/>
        </w:rPr>
        <w:t xml:space="preserve">can vary </w:t>
      </w:r>
      <w:r w:rsidRPr="005B01FE">
        <w:rPr>
          <w:noProof/>
        </w:rPr>
        <w:t xml:space="preserve">depending on the targeted markets. For example, Amazon Prime Video had over 53% of European works present in </w:t>
      </w:r>
      <w:r w:rsidR="007F1662">
        <w:rPr>
          <w:noProof/>
        </w:rPr>
        <w:t>its</w:t>
      </w:r>
      <w:r w:rsidR="007F1662" w:rsidRPr="005B01FE">
        <w:rPr>
          <w:noProof/>
        </w:rPr>
        <w:t xml:space="preserve"> </w:t>
      </w:r>
      <w:r w:rsidRPr="005B01FE">
        <w:rPr>
          <w:noProof/>
        </w:rPr>
        <w:t>Italian catalogue but only 28% in the Irish one.</w:t>
      </w:r>
    </w:p>
    <w:p w14:paraId="3DBE25A0" w14:textId="271BB28A" w:rsidR="00AD2B89" w:rsidRPr="005B01FE" w:rsidRDefault="00AD2B89" w:rsidP="00D45ED6">
      <w:pPr>
        <w:spacing w:before="240" w:after="0"/>
        <w:contextualSpacing/>
        <w:rPr>
          <w:noProof/>
          <w:highlight w:val="yellow"/>
        </w:rPr>
      </w:pPr>
    </w:p>
    <w:p w14:paraId="646AF99E" w14:textId="47AD9364" w:rsidR="00B12808" w:rsidRPr="005B01FE" w:rsidRDefault="009D4028" w:rsidP="00D45ED6">
      <w:pPr>
        <w:spacing w:before="240" w:after="0"/>
        <w:contextualSpacing/>
        <w:rPr>
          <w:noProof/>
          <w:highlight w:val="yellow"/>
        </w:rPr>
      </w:pPr>
      <w:r w:rsidRPr="005B01FE">
        <w:rPr>
          <w:noProof/>
        </w:rPr>
        <w:t xml:space="preserve">The </w:t>
      </w:r>
      <w:r w:rsidR="007F1662">
        <w:rPr>
          <w:noProof/>
        </w:rPr>
        <w:t>s</w:t>
      </w:r>
      <w:r w:rsidRPr="005B01FE">
        <w:rPr>
          <w:noProof/>
        </w:rPr>
        <w:t xml:space="preserve">tudy additionally showed that there were no major differences between the share of European works in </w:t>
      </w:r>
      <w:r w:rsidR="00A33AA2" w:rsidRPr="005B01FE">
        <w:rPr>
          <w:noProof/>
        </w:rPr>
        <w:t>T</w:t>
      </w:r>
      <w:r w:rsidRPr="005B01FE">
        <w:rPr>
          <w:noProof/>
        </w:rPr>
        <w:t>V</w:t>
      </w:r>
      <w:r w:rsidR="00A33AA2" w:rsidRPr="005B01FE">
        <w:rPr>
          <w:noProof/>
        </w:rPr>
        <w:t>O</w:t>
      </w:r>
      <w:r w:rsidRPr="005B01FE">
        <w:rPr>
          <w:noProof/>
        </w:rPr>
        <w:t xml:space="preserve">D </w:t>
      </w:r>
      <w:r w:rsidR="00A33AA2" w:rsidRPr="005B01FE">
        <w:rPr>
          <w:noProof/>
        </w:rPr>
        <w:t xml:space="preserve">and SVOD </w:t>
      </w:r>
      <w:r w:rsidRPr="005B01FE">
        <w:rPr>
          <w:noProof/>
        </w:rPr>
        <w:t xml:space="preserve">catalogues </w:t>
      </w:r>
      <w:r w:rsidR="002364B3" w:rsidRPr="005B01FE">
        <w:rPr>
          <w:noProof/>
        </w:rPr>
        <w:t xml:space="preserve">across Member States and that </w:t>
      </w:r>
      <w:r w:rsidR="009C1148" w:rsidRPr="005B01FE">
        <w:rPr>
          <w:noProof/>
        </w:rPr>
        <w:t>11.6</w:t>
      </w:r>
      <w:r w:rsidR="00717AD6" w:rsidRPr="005B01FE">
        <w:rPr>
          <w:noProof/>
        </w:rPr>
        <w:t>% of works in the sample of productions were</w:t>
      </w:r>
      <w:r w:rsidR="002364B3" w:rsidRPr="005B01FE">
        <w:rPr>
          <w:noProof/>
        </w:rPr>
        <w:t xml:space="preserve"> recent European </w:t>
      </w:r>
      <w:r w:rsidR="00D90E4F" w:rsidRPr="005B01FE">
        <w:rPr>
          <w:noProof/>
        </w:rPr>
        <w:t xml:space="preserve">films </w:t>
      </w:r>
      <w:r w:rsidR="006E608E" w:rsidRPr="005B01FE">
        <w:rPr>
          <w:noProof/>
        </w:rPr>
        <w:t>or series</w:t>
      </w:r>
      <w:r w:rsidR="00EB4B25">
        <w:rPr>
          <w:noProof/>
        </w:rPr>
        <w:t xml:space="preserve"> at the time of measuring</w:t>
      </w:r>
      <w:r w:rsidR="002364B3" w:rsidRPr="005B01FE">
        <w:rPr>
          <w:noProof/>
        </w:rPr>
        <w:t xml:space="preserve"> (released in 2017 or later).</w:t>
      </w:r>
    </w:p>
    <w:p w14:paraId="1279582F" w14:textId="472E09FA" w:rsidR="00B12808" w:rsidRPr="005B01FE" w:rsidRDefault="00B12808" w:rsidP="00D45ED6">
      <w:pPr>
        <w:spacing w:before="240" w:after="0"/>
        <w:contextualSpacing/>
        <w:rPr>
          <w:noProof/>
          <w:highlight w:val="yellow"/>
        </w:rPr>
      </w:pPr>
    </w:p>
    <w:p w14:paraId="25C1999B" w14:textId="3F9B2C2C" w:rsidR="00F83696" w:rsidRPr="005B01FE" w:rsidRDefault="00B12808" w:rsidP="00D45ED6">
      <w:pPr>
        <w:spacing w:before="240" w:after="0"/>
        <w:contextualSpacing/>
        <w:rPr>
          <w:noProof/>
        </w:rPr>
      </w:pPr>
      <w:r w:rsidRPr="005B01FE">
        <w:rPr>
          <w:noProof/>
        </w:rPr>
        <w:t xml:space="preserve">The </w:t>
      </w:r>
      <w:r w:rsidR="007F1662">
        <w:rPr>
          <w:noProof/>
        </w:rPr>
        <w:t>s</w:t>
      </w:r>
      <w:r w:rsidRPr="005B01FE">
        <w:rPr>
          <w:noProof/>
        </w:rPr>
        <w:t xml:space="preserve">tudy found that productions with </w:t>
      </w:r>
      <w:r w:rsidR="007F1662">
        <w:rPr>
          <w:noProof/>
        </w:rPr>
        <w:t xml:space="preserve">US </w:t>
      </w:r>
      <w:r w:rsidRPr="005B01FE">
        <w:rPr>
          <w:noProof/>
        </w:rPr>
        <w:t xml:space="preserve">involvement were the most frequent co-productions in all VOD catalogues in </w:t>
      </w:r>
      <w:r w:rsidR="00717AD6" w:rsidRPr="005B01FE">
        <w:rPr>
          <w:noProof/>
        </w:rPr>
        <w:t>the</w:t>
      </w:r>
      <w:r w:rsidRPr="005B01FE">
        <w:rPr>
          <w:noProof/>
        </w:rPr>
        <w:t xml:space="preserve"> sample</w:t>
      </w:r>
      <w:r w:rsidR="002D0949" w:rsidRPr="005B01FE">
        <w:rPr>
          <w:rStyle w:val="FootnoteReference"/>
          <w:noProof/>
        </w:rPr>
        <w:footnoteReference w:id="27"/>
      </w:r>
      <w:r w:rsidRPr="005B01FE">
        <w:rPr>
          <w:noProof/>
        </w:rPr>
        <w:t>, in line with the findings of the previous study and report</w:t>
      </w:r>
      <w:r w:rsidRPr="005B01FE">
        <w:rPr>
          <w:rStyle w:val="FootnoteReference"/>
          <w:noProof/>
        </w:rPr>
        <w:footnoteReference w:id="28"/>
      </w:r>
      <w:r w:rsidRPr="005B01FE">
        <w:rPr>
          <w:noProof/>
        </w:rPr>
        <w:t xml:space="preserve">. Between 35% and 53% of productions in all catalogues had a US </w:t>
      </w:r>
      <w:r w:rsidR="00377D7A" w:rsidRPr="005B01FE">
        <w:rPr>
          <w:noProof/>
        </w:rPr>
        <w:t xml:space="preserve">company </w:t>
      </w:r>
      <w:r w:rsidRPr="005B01FE">
        <w:rPr>
          <w:noProof/>
        </w:rPr>
        <w:t>participating in the production in 202</w:t>
      </w:r>
      <w:r w:rsidR="00AD2B9A" w:rsidRPr="005B01FE">
        <w:rPr>
          <w:noProof/>
        </w:rPr>
        <w:t>3</w:t>
      </w:r>
      <w:r w:rsidRPr="005B01FE">
        <w:rPr>
          <w:noProof/>
        </w:rPr>
        <w:t>, depending on the target market country. US companies also account</w:t>
      </w:r>
      <w:r w:rsidR="002D0949" w:rsidRPr="005B01FE">
        <w:rPr>
          <w:noProof/>
        </w:rPr>
        <w:t>ed</w:t>
      </w:r>
      <w:r w:rsidRPr="005B01FE">
        <w:rPr>
          <w:noProof/>
        </w:rPr>
        <w:t xml:space="preserve"> for a substantial share of EU market revenues and their share ha</w:t>
      </w:r>
      <w:r w:rsidR="002D0949" w:rsidRPr="005B01FE">
        <w:rPr>
          <w:noProof/>
        </w:rPr>
        <w:t>s</w:t>
      </w:r>
      <w:r w:rsidRPr="005B01FE">
        <w:rPr>
          <w:noProof/>
        </w:rPr>
        <w:t xml:space="preserve"> been rising </w:t>
      </w:r>
      <w:r w:rsidR="00717AD6" w:rsidRPr="005B01FE">
        <w:rPr>
          <w:noProof/>
        </w:rPr>
        <w:t xml:space="preserve">particularly in the </w:t>
      </w:r>
      <w:r w:rsidRPr="005B01FE">
        <w:rPr>
          <w:noProof/>
        </w:rPr>
        <w:t>SV</w:t>
      </w:r>
      <w:r w:rsidR="00717AD6" w:rsidRPr="005B01FE">
        <w:rPr>
          <w:noProof/>
        </w:rPr>
        <w:t>O</w:t>
      </w:r>
      <w:r w:rsidRPr="005B01FE">
        <w:rPr>
          <w:noProof/>
        </w:rPr>
        <w:t>D</w:t>
      </w:r>
      <w:r w:rsidR="00717AD6" w:rsidRPr="005B01FE">
        <w:rPr>
          <w:noProof/>
        </w:rPr>
        <w:t xml:space="preserve"> subsector</w:t>
      </w:r>
      <w:r w:rsidR="00CF0C60" w:rsidRPr="005B01FE">
        <w:rPr>
          <w:rStyle w:val="FootnoteReference"/>
          <w:noProof/>
        </w:rPr>
        <w:footnoteReference w:id="29"/>
      </w:r>
      <w:r w:rsidRPr="005B01FE">
        <w:rPr>
          <w:noProof/>
        </w:rPr>
        <w:t>. Other prominent non-European countries of co</w:t>
      </w:r>
      <w:r w:rsidR="00C432C2">
        <w:rPr>
          <w:noProof/>
        </w:rPr>
        <w:noBreakHyphen/>
      </w:r>
      <w:r w:rsidRPr="005B01FE">
        <w:rPr>
          <w:noProof/>
        </w:rPr>
        <w:t>production were India, Canada and Japan, accounting for approximately 11%, 4% and 3% of all productions analysed, respectively.</w:t>
      </w:r>
    </w:p>
    <w:p w14:paraId="1452E2D0" w14:textId="77777777" w:rsidR="00E44C95" w:rsidRPr="005B01FE" w:rsidRDefault="00E44C95" w:rsidP="00D45ED6">
      <w:pPr>
        <w:spacing w:before="240" w:after="0"/>
        <w:contextualSpacing/>
        <w:rPr>
          <w:i/>
          <w:noProof/>
          <w:highlight w:val="yellow"/>
        </w:rPr>
      </w:pPr>
    </w:p>
    <w:p w14:paraId="695B628D" w14:textId="56AF0D66" w:rsidR="00B14FE1" w:rsidRPr="003E04DB" w:rsidRDefault="00B14FE1" w:rsidP="009F2C6C">
      <w:pPr>
        <w:pStyle w:val="Heading2"/>
        <w:ind w:left="851" w:hanging="851"/>
        <w:rPr>
          <w:i/>
          <w:noProof/>
        </w:rPr>
      </w:pPr>
      <w:bookmarkStart w:id="20" w:name="_Toc167898086"/>
      <w:r w:rsidRPr="005B01FE">
        <w:rPr>
          <w:noProof/>
        </w:rPr>
        <w:t xml:space="preserve">Prominence of European works </w:t>
      </w:r>
      <w:r w:rsidR="0031049A">
        <w:rPr>
          <w:noProof/>
        </w:rPr>
        <w:t>o</w:t>
      </w:r>
      <w:r w:rsidRPr="005B01FE">
        <w:rPr>
          <w:noProof/>
        </w:rPr>
        <w:t xml:space="preserve">n </w:t>
      </w:r>
      <w:r w:rsidR="002200B8">
        <w:rPr>
          <w:noProof/>
        </w:rPr>
        <w:t>VOD</w:t>
      </w:r>
      <w:r w:rsidRPr="005B01FE">
        <w:rPr>
          <w:noProof/>
        </w:rPr>
        <w:t xml:space="preserve"> services (Article 13(1)</w:t>
      </w:r>
      <w:r w:rsidR="00D16E7F" w:rsidRPr="005B01FE">
        <w:rPr>
          <w:noProof/>
        </w:rPr>
        <w:t xml:space="preserve"> of the AVMSD</w:t>
      </w:r>
      <w:r w:rsidRPr="005B01FE">
        <w:rPr>
          <w:noProof/>
        </w:rPr>
        <w:t>)</w:t>
      </w:r>
      <w:bookmarkEnd w:id="20"/>
    </w:p>
    <w:p w14:paraId="09C52E17" w14:textId="5C2A287F" w:rsidR="008E3CC4" w:rsidRPr="005B01FE" w:rsidRDefault="004F14E8" w:rsidP="003E04DB">
      <w:pPr>
        <w:spacing w:before="240" w:after="0"/>
        <w:rPr>
          <w:noProof/>
          <w:lang w:eastAsia="nl-BE"/>
        </w:rPr>
      </w:pPr>
      <w:r w:rsidRPr="005B01FE">
        <w:rPr>
          <w:noProof/>
        </w:rPr>
        <w:t>Article 13(1) of the AVMSD requires Member States to ensure that VOD service providers ensure prominence of European works in their catalogues.</w:t>
      </w:r>
      <w:r w:rsidR="003C11B6" w:rsidRPr="005B01FE">
        <w:rPr>
          <w:noProof/>
        </w:rPr>
        <w:t xml:space="preserve"> </w:t>
      </w:r>
      <w:r w:rsidR="003C11B6" w:rsidRPr="005B01FE">
        <w:rPr>
          <w:noProof/>
          <w:lang w:eastAsia="nl-BE"/>
        </w:rPr>
        <w:t>National implementation measures to this end were introduced in 17 Member States during the reference period</w:t>
      </w:r>
      <w:r w:rsidR="003C11B6" w:rsidRPr="005B01FE">
        <w:rPr>
          <w:rStyle w:val="FootnoteReference"/>
          <w:noProof/>
          <w:lang w:eastAsia="nl-BE"/>
        </w:rPr>
        <w:footnoteReference w:id="30"/>
      </w:r>
      <w:r w:rsidR="003C11B6" w:rsidRPr="005B01FE">
        <w:rPr>
          <w:noProof/>
          <w:lang w:eastAsia="nl-BE"/>
        </w:rPr>
        <w:t xml:space="preserve">. </w:t>
      </w:r>
      <w:r w:rsidR="00DF4625" w:rsidRPr="005B01FE">
        <w:rPr>
          <w:noProof/>
        </w:rPr>
        <w:t>Several</w:t>
      </w:r>
      <w:r w:rsidR="008E3CC4" w:rsidRPr="005B01FE">
        <w:rPr>
          <w:noProof/>
        </w:rPr>
        <w:t xml:space="preserve"> </w:t>
      </w:r>
      <w:r w:rsidR="00DF4625" w:rsidRPr="005B01FE">
        <w:rPr>
          <w:noProof/>
        </w:rPr>
        <w:t xml:space="preserve">Member States </w:t>
      </w:r>
      <w:r w:rsidR="004841A1" w:rsidRPr="005B01FE">
        <w:rPr>
          <w:noProof/>
        </w:rPr>
        <w:t xml:space="preserve">that have transposed </w:t>
      </w:r>
      <w:r w:rsidR="00350A5E">
        <w:rPr>
          <w:noProof/>
        </w:rPr>
        <w:t>Directive (EU) 2018/1808</w:t>
      </w:r>
      <w:r w:rsidR="004841A1" w:rsidRPr="005B01FE">
        <w:rPr>
          <w:noProof/>
        </w:rPr>
        <w:t xml:space="preserve"> </w:t>
      </w:r>
      <w:r w:rsidR="00C87FFC" w:rsidRPr="005B01FE">
        <w:rPr>
          <w:noProof/>
        </w:rPr>
        <w:t xml:space="preserve">have </w:t>
      </w:r>
      <w:r w:rsidRPr="005B01FE">
        <w:rPr>
          <w:noProof/>
        </w:rPr>
        <w:t xml:space="preserve">further </w:t>
      </w:r>
      <w:r w:rsidR="00C87FFC" w:rsidRPr="005B01FE">
        <w:rPr>
          <w:noProof/>
        </w:rPr>
        <w:t xml:space="preserve">elaborated </w:t>
      </w:r>
      <w:r w:rsidR="00DF4625" w:rsidRPr="005B01FE">
        <w:rPr>
          <w:noProof/>
        </w:rPr>
        <w:t>on the notion of prominence</w:t>
      </w:r>
      <w:r w:rsidR="00C87FFC" w:rsidRPr="005B01FE">
        <w:rPr>
          <w:noProof/>
        </w:rPr>
        <w:t xml:space="preserve"> </w:t>
      </w:r>
      <w:r w:rsidR="008E3CC4" w:rsidRPr="005B01FE">
        <w:rPr>
          <w:noProof/>
        </w:rPr>
        <w:t xml:space="preserve">in </w:t>
      </w:r>
      <w:r w:rsidR="00C87FFC" w:rsidRPr="005B01FE">
        <w:rPr>
          <w:noProof/>
        </w:rPr>
        <w:t xml:space="preserve">the </w:t>
      </w:r>
      <w:r w:rsidR="008E3CC4" w:rsidRPr="005B01FE">
        <w:rPr>
          <w:noProof/>
        </w:rPr>
        <w:t>catalogues</w:t>
      </w:r>
      <w:r w:rsidR="00C87FFC" w:rsidRPr="005B01FE">
        <w:rPr>
          <w:noProof/>
        </w:rPr>
        <w:t xml:space="preserve"> of </w:t>
      </w:r>
      <w:r w:rsidR="002200B8">
        <w:rPr>
          <w:noProof/>
        </w:rPr>
        <w:t>VOD</w:t>
      </w:r>
      <w:r w:rsidR="00C87FFC" w:rsidRPr="005B01FE">
        <w:rPr>
          <w:noProof/>
        </w:rPr>
        <w:t xml:space="preserve"> services</w:t>
      </w:r>
      <w:r w:rsidR="00DF4625" w:rsidRPr="005B01FE">
        <w:rPr>
          <w:noProof/>
        </w:rPr>
        <w:t xml:space="preserve"> and </w:t>
      </w:r>
      <w:r w:rsidR="00570DC6" w:rsidRPr="005B01FE">
        <w:rPr>
          <w:noProof/>
        </w:rPr>
        <w:t>the measures needed to implement the requirement</w:t>
      </w:r>
      <w:r w:rsidR="008E3CC4" w:rsidRPr="005B01FE">
        <w:rPr>
          <w:noProof/>
        </w:rPr>
        <w:t>.</w:t>
      </w:r>
    </w:p>
    <w:p w14:paraId="5E63EDD1" w14:textId="3CF4386D" w:rsidR="004841A1" w:rsidRPr="005B01FE" w:rsidRDefault="004841A1" w:rsidP="008151DA">
      <w:pPr>
        <w:spacing w:before="240" w:after="0"/>
        <w:contextualSpacing/>
        <w:rPr>
          <w:noProof/>
        </w:rPr>
      </w:pPr>
    </w:p>
    <w:p w14:paraId="5650C9DD" w14:textId="499B48DC" w:rsidR="003C1508" w:rsidRPr="005B01FE" w:rsidRDefault="004841A1" w:rsidP="008151DA">
      <w:pPr>
        <w:spacing w:before="240" w:after="0"/>
        <w:contextualSpacing/>
        <w:rPr>
          <w:rFonts w:eastAsia="Arial"/>
          <w:noProof/>
          <w:lang w:eastAsia="en-AU"/>
        </w:rPr>
      </w:pPr>
      <w:r w:rsidRPr="005B01FE">
        <w:rPr>
          <w:rFonts w:eastAsia="Arial"/>
          <w:noProof/>
          <w:lang w:eastAsia="en-AU"/>
        </w:rPr>
        <w:t xml:space="preserve">For example, Austrian legislation </w:t>
      </w:r>
      <w:r w:rsidR="002616EE" w:rsidRPr="00E37308">
        <w:rPr>
          <w:rFonts w:eastAsia="Arial"/>
          <w:noProof/>
          <w:lang w:eastAsia="en-AU"/>
        </w:rPr>
        <w:t>states</w:t>
      </w:r>
      <w:r w:rsidRPr="005B01FE">
        <w:rPr>
          <w:rFonts w:eastAsia="Arial"/>
          <w:noProof/>
          <w:lang w:eastAsia="en-AU"/>
        </w:rPr>
        <w:t xml:space="preserve"> that European works </w:t>
      </w:r>
      <w:r w:rsidR="00E66FF8" w:rsidRPr="005B01FE">
        <w:rPr>
          <w:rFonts w:eastAsia="Arial"/>
          <w:noProof/>
          <w:lang w:eastAsia="en-AU"/>
        </w:rPr>
        <w:t>must</w:t>
      </w:r>
      <w:r w:rsidRPr="005B01FE">
        <w:rPr>
          <w:rFonts w:eastAsia="Arial"/>
          <w:noProof/>
          <w:lang w:eastAsia="en-AU"/>
        </w:rPr>
        <w:t xml:space="preserve"> be appropriately distinguished from other</w:t>
      </w:r>
      <w:r w:rsidRPr="005B01FE" w:rsidDel="00BB0506">
        <w:rPr>
          <w:rFonts w:eastAsia="Arial"/>
          <w:noProof/>
          <w:lang w:eastAsia="en-AU"/>
        </w:rPr>
        <w:t xml:space="preserve"> </w:t>
      </w:r>
      <w:r w:rsidRPr="005B01FE">
        <w:rPr>
          <w:rFonts w:eastAsia="Arial"/>
          <w:noProof/>
          <w:lang w:eastAsia="en-AU"/>
        </w:rPr>
        <w:t>works by means of a</w:t>
      </w:r>
      <w:r w:rsidRPr="005B01FE" w:rsidDel="00BB0506">
        <w:rPr>
          <w:rFonts w:eastAsia="Arial"/>
          <w:noProof/>
          <w:lang w:eastAsia="en-AU"/>
        </w:rPr>
        <w:t xml:space="preserve"> </w:t>
      </w:r>
      <w:r w:rsidRPr="005B01FE">
        <w:rPr>
          <w:rFonts w:eastAsia="Arial"/>
          <w:noProof/>
          <w:lang w:eastAsia="en-AU"/>
        </w:rPr>
        <w:t>clear identification</w:t>
      </w:r>
      <w:r w:rsidRPr="005B01FE">
        <w:rPr>
          <w:rFonts w:eastAsia="Arial"/>
          <w:noProof/>
          <w:vertAlign w:val="superscript"/>
          <w:lang w:eastAsia="en-AU"/>
        </w:rPr>
        <w:footnoteReference w:id="31"/>
      </w:r>
      <w:r w:rsidRPr="005B01FE">
        <w:rPr>
          <w:rFonts w:eastAsia="Arial"/>
          <w:noProof/>
          <w:lang w:eastAsia="en-AU"/>
        </w:rPr>
        <w:t>, while Finnish law talks about ensuring their visibility</w:t>
      </w:r>
      <w:r w:rsidRPr="005B01FE">
        <w:rPr>
          <w:rFonts w:eastAsia="Arial"/>
          <w:noProof/>
          <w:vertAlign w:val="superscript"/>
          <w:lang w:eastAsia="en-AU"/>
        </w:rPr>
        <w:footnoteReference w:id="32"/>
      </w:r>
      <w:r w:rsidRPr="005B01FE">
        <w:rPr>
          <w:rFonts w:eastAsia="Arial"/>
          <w:noProof/>
          <w:lang w:eastAsia="en-AU"/>
        </w:rPr>
        <w:t>. In the Netherlands, there is a requirement for European works to be brought to the attention of the public by the channel provider</w:t>
      </w:r>
      <w:r w:rsidRPr="005B01FE">
        <w:rPr>
          <w:rFonts w:eastAsia="Arial"/>
          <w:noProof/>
          <w:vertAlign w:val="superscript"/>
          <w:lang w:eastAsia="en-AU"/>
        </w:rPr>
        <w:footnoteReference w:id="33"/>
      </w:r>
      <w:r w:rsidRPr="005B01FE">
        <w:rPr>
          <w:rFonts w:eastAsia="Arial"/>
          <w:noProof/>
          <w:lang w:eastAsia="en-AU"/>
        </w:rPr>
        <w:t xml:space="preserve">. The laws of some </w:t>
      </w:r>
      <w:r w:rsidR="003017C1" w:rsidRPr="005B01FE">
        <w:rPr>
          <w:rFonts w:eastAsia="Arial"/>
          <w:noProof/>
          <w:lang w:eastAsia="en-AU"/>
        </w:rPr>
        <w:t>Member States</w:t>
      </w:r>
      <w:r w:rsidRPr="005B01FE">
        <w:rPr>
          <w:rFonts w:eastAsia="Arial"/>
          <w:noProof/>
          <w:lang w:eastAsia="en-AU"/>
        </w:rPr>
        <w:t xml:space="preserve"> go into greater detail in this regard. For instance, in</w:t>
      </w:r>
      <w:r w:rsidRPr="005B01FE" w:rsidDel="00410CC4">
        <w:rPr>
          <w:rFonts w:eastAsia="Arial"/>
          <w:noProof/>
          <w:lang w:eastAsia="en-AU"/>
        </w:rPr>
        <w:t xml:space="preserve"> </w:t>
      </w:r>
      <w:r w:rsidRPr="005B01FE">
        <w:rPr>
          <w:rFonts w:eastAsia="Arial"/>
          <w:noProof/>
          <w:lang w:eastAsia="en-AU"/>
        </w:rPr>
        <w:t>Bulgaria, the law states that prominence involves: (a) presenting European works in an attractive and accessible manner, for example through a dedicated section for European works that is accessible from the service</w:t>
      </w:r>
      <w:r w:rsidR="00E86B1D">
        <w:rPr>
          <w:rFonts w:eastAsia="Arial"/>
          <w:noProof/>
          <w:lang w:eastAsia="en-AU"/>
        </w:rPr>
        <w:t>’s</w:t>
      </w:r>
      <w:r w:rsidRPr="005B01FE">
        <w:rPr>
          <w:rFonts w:eastAsia="Arial"/>
          <w:noProof/>
          <w:lang w:eastAsia="en-AU"/>
        </w:rPr>
        <w:t xml:space="preserve"> homepage</w:t>
      </w:r>
      <w:r w:rsidR="00E86B1D">
        <w:rPr>
          <w:rFonts w:eastAsia="Arial"/>
          <w:noProof/>
          <w:lang w:eastAsia="en-AU"/>
        </w:rPr>
        <w:t>;</w:t>
      </w:r>
      <w:r w:rsidRPr="005B01FE">
        <w:rPr>
          <w:rFonts w:eastAsia="Arial"/>
          <w:noProof/>
          <w:lang w:eastAsia="en-AU"/>
        </w:rPr>
        <w:t xml:space="preserve"> (b) </w:t>
      </w:r>
      <w:r w:rsidR="009131F0">
        <w:rPr>
          <w:rFonts w:eastAsia="Arial"/>
          <w:noProof/>
          <w:lang w:eastAsia="en-AU"/>
        </w:rPr>
        <w:t xml:space="preserve">offering </w:t>
      </w:r>
      <w:r w:rsidRPr="005B01FE">
        <w:rPr>
          <w:rFonts w:eastAsia="Arial"/>
          <w:noProof/>
          <w:lang w:eastAsia="en-AU"/>
        </w:rPr>
        <w:t>the possibility to search for European works in the search tool available as part of th</w:t>
      </w:r>
      <w:r w:rsidR="00E86B1D">
        <w:rPr>
          <w:rFonts w:eastAsia="Arial"/>
          <w:noProof/>
          <w:lang w:eastAsia="en-AU"/>
        </w:rPr>
        <w:t>e</w:t>
      </w:r>
      <w:r w:rsidRPr="005B01FE">
        <w:rPr>
          <w:rFonts w:eastAsia="Arial"/>
          <w:noProof/>
          <w:lang w:eastAsia="en-AU"/>
        </w:rPr>
        <w:t xml:space="preserve"> service</w:t>
      </w:r>
      <w:r w:rsidR="00E86B1D">
        <w:rPr>
          <w:rFonts w:eastAsia="Arial"/>
          <w:noProof/>
          <w:lang w:eastAsia="en-AU"/>
        </w:rPr>
        <w:t>;</w:t>
      </w:r>
      <w:r w:rsidRPr="005B01FE">
        <w:rPr>
          <w:rFonts w:eastAsia="Arial"/>
          <w:noProof/>
          <w:lang w:eastAsia="en-AU"/>
        </w:rPr>
        <w:t xml:space="preserve"> and (c) us</w:t>
      </w:r>
      <w:r w:rsidR="009131F0">
        <w:rPr>
          <w:rFonts w:eastAsia="Arial"/>
          <w:noProof/>
          <w:lang w:eastAsia="en-AU"/>
        </w:rPr>
        <w:t>ing</w:t>
      </w:r>
      <w:r w:rsidRPr="005B01FE">
        <w:rPr>
          <w:rFonts w:eastAsia="Arial"/>
          <w:noProof/>
          <w:lang w:eastAsia="en-AU"/>
        </w:rPr>
        <w:t xml:space="preserve"> European works in th</w:t>
      </w:r>
      <w:r w:rsidR="00E86B1D">
        <w:rPr>
          <w:rFonts w:eastAsia="Arial"/>
          <w:noProof/>
          <w:lang w:eastAsia="en-AU"/>
        </w:rPr>
        <w:t>e</w:t>
      </w:r>
      <w:r w:rsidRPr="005B01FE">
        <w:rPr>
          <w:rFonts w:eastAsia="Arial"/>
          <w:noProof/>
          <w:lang w:eastAsia="en-AU"/>
        </w:rPr>
        <w:t xml:space="preserve"> service’s campaigns or </w:t>
      </w:r>
      <w:r w:rsidR="00174270">
        <w:rPr>
          <w:rFonts w:eastAsia="Arial"/>
          <w:noProof/>
          <w:lang w:eastAsia="en-AU"/>
        </w:rPr>
        <w:t>promotin</w:t>
      </w:r>
      <w:r w:rsidR="009131F0">
        <w:rPr>
          <w:rFonts w:eastAsia="Arial"/>
          <w:noProof/>
          <w:lang w:eastAsia="en-AU"/>
        </w:rPr>
        <w:t>g</w:t>
      </w:r>
      <w:r w:rsidR="00174270">
        <w:rPr>
          <w:rFonts w:eastAsia="Arial"/>
          <w:noProof/>
          <w:lang w:eastAsia="en-AU"/>
        </w:rPr>
        <w:t xml:space="preserve"> </w:t>
      </w:r>
      <w:r w:rsidRPr="005B01FE">
        <w:rPr>
          <w:rFonts w:eastAsia="Arial"/>
          <w:noProof/>
          <w:lang w:eastAsia="en-AU"/>
        </w:rPr>
        <w:t xml:space="preserve">a minimum percentage of European works </w:t>
      </w:r>
      <w:r w:rsidR="009131F0">
        <w:rPr>
          <w:rFonts w:eastAsia="Arial"/>
          <w:noProof/>
          <w:lang w:eastAsia="en-AU"/>
        </w:rPr>
        <w:t>in</w:t>
      </w:r>
      <w:r w:rsidRPr="005B01FE">
        <w:rPr>
          <w:rFonts w:eastAsia="Arial"/>
          <w:noProof/>
          <w:lang w:eastAsia="en-AU"/>
        </w:rPr>
        <w:t xml:space="preserve"> th</w:t>
      </w:r>
      <w:r w:rsidR="00E86B1D">
        <w:rPr>
          <w:rFonts w:eastAsia="Arial"/>
          <w:noProof/>
          <w:lang w:eastAsia="en-AU"/>
        </w:rPr>
        <w:t>e</w:t>
      </w:r>
      <w:r w:rsidRPr="005B01FE">
        <w:rPr>
          <w:rFonts w:eastAsia="Arial"/>
          <w:noProof/>
          <w:lang w:eastAsia="en-AU"/>
        </w:rPr>
        <w:t xml:space="preserve"> service</w:t>
      </w:r>
      <w:r w:rsidR="00E86B1D">
        <w:rPr>
          <w:rFonts w:eastAsia="Arial"/>
          <w:noProof/>
          <w:lang w:eastAsia="en-AU"/>
        </w:rPr>
        <w:t>’</w:t>
      </w:r>
      <w:r w:rsidRPr="005B01FE">
        <w:rPr>
          <w:rFonts w:eastAsia="Arial"/>
          <w:noProof/>
          <w:lang w:eastAsia="en-AU"/>
        </w:rPr>
        <w:t>s catalogue, for example by using banners or similar tools</w:t>
      </w:r>
      <w:r w:rsidRPr="005B01FE">
        <w:rPr>
          <w:rFonts w:eastAsia="Arial"/>
          <w:noProof/>
          <w:vertAlign w:val="superscript"/>
          <w:lang w:eastAsia="en-AU"/>
        </w:rPr>
        <w:footnoteReference w:id="34"/>
      </w:r>
      <w:r w:rsidRPr="005B01FE">
        <w:rPr>
          <w:rFonts w:eastAsia="Arial"/>
          <w:noProof/>
          <w:lang w:eastAsia="en-AU"/>
        </w:rPr>
        <w:t>. In</w:t>
      </w:r>
      <w:r w:rsidRPr="005B01FE" w:rsidDel="00AD0BAD">
        <w:rPr>
          <w:rFonts w:eastAsia="Arial"/>
          <w:noProof/>
          <w:lang w:eastAsia="en-AU"/>
        </w:rPr>
        <w:t xml:space="preserve"> </w:t>
      </w:r>
      <w:r w:rsidRPr="005B01FE">
        <w:rPr>
          <w:rFonts w:eastAsia="Arial"/>
          <w:noProof/>
          <w:lang w:eastAsia="en-AU"/>
        </w:rPr>
        <w:t xml:space="preserve">Germany, the law specifies that prominence may be ensured by </w:t>
      </w:r>
      <w:r w:rsidR="00E86B1D">
        <w:rPr>
          <w:rFonts w:eastAsia="Arial"/>
          <w:noProof/>
          <w:lang w:eastAsia="en-AU"/>
        </w:rPr>
        <w:t xml:space="preserve">creating </w:t>
      </w:r>
      <w:r w:rsidRPr="005B01FE">
        <w:rPr>
          <w:rFonts w:eastAsia="Arial"/>
          <w:noProof/>
          <w:lang w:eastAsia="en-AU"/>
        </w:rPr>
        <w:t xml:space="preserve">a special area for European works that is easily recognisable, directly accessible and permanently available from the </w:t>
      </w:r>
      <w:r w:rsidR="00E86B1D">
        <w:rPr>
          <w:rFonts w:eastAsia="Arial"/>
          <w:noProof/>
          <w:lang w:eastAsia="en-AU"/>
        </w:rPr>
        <w:t xml:space="preserve">service’s </w:t>
      </w:r>
      <w:r w:rsidRPr="005B01FE">
        <w:rPr>
          <w:rFonts w:eastAsia="Arial"/>
          <w:noProof/>
          <w:lang w:eastAsia="en-AU"/>
        </w:rPr>
        <w:t>main page</w:t>
      </w:r>
      <w:r w:rsidRPr="005B01FE">
        <w:rPr>
          <w:rFonts w:eastAsia="Arial"/>
          <w:noProof/>
          <w:vertAlign w:val="superscript"/>
          <w:lang w:eastAsia="en-AU"/>
        </w:rPr>
        <w:footnoteReference w:id="35"/>
      </w:r>
      <w:r w:rsidRPr="005B01FE">
        <w:rPr>
          <w:rFonts w:eastAsia="Arial"/>
          <w:noProof/>
          <w:lang w:eastAsia="en-AU"/>
        </w:rPr>
        <w:t>.</w:t>
      </w:r>
    </w:p>
    <w:p w14:paraId="37A83EC4" w14:textId="77777777" w:rsidR="008E3CC4" w:rsidRPr="005B01FE" w:rsidRDefault="008E3CC4" w:rsidP="008151DA">
      <w:pPr>
        <w:spacing w:before="240" w:after="0"/>
        <w:contextualSpacing/>
        <w:rPr>
          <w:noProof/>
          <w:highlight w:val="yellow"/>
        </w:rPr>
      </w:pPr>
    </w:p>
    <w:p w14:paraId="66E6D634" w14:textId="468A8BF3" w:rsidR="009A2A5D" w:rsidRPr="005B01FE" w:rsidRDefault="008151DA" w:rsidP="009A2A5D">
      <w:pPr>
        <w:spacing w:before="240" w:after="0"/>
        <w:contextualSpacing/>
        <w:rPr>
          <w:noProof/>
        </w:rPr>
      </w:pPr>
      <w:r w:rsidRPr="005B01FE">
        <w:rPr>
          <w:noProof/>
        </w:rPr>
        <w:t>In total, 1</w:t>
      </w:r>
      <w:r w:rsidR="003C1508" w:rsidRPr="005B01FE">
        <w:rPr>
          <w:noProof/>
        </w:rPr>
        <w:t>7</w:t>
      </w:r>
      <w:r w:rsidRPr="005B01FE">
        <w:rPr>
          <w:noProof/>
        </w:rPr>
        <w:t xml:space="preserve"> Member States</w:t>
      </w:r>
      <w:r w:rsidRPr="005B01FE">
        <w:rPr>
          <w:rStyle w:val="FootnoteReference"/>
          <w:noProof/>
        </w:rPr>
        <w:footnoteReference w:id="36"/>
      </w:r>
      <w:r w:rsidRPr="005B01FE">
        <w:rPr>
          <w:noProof/>
        </w:rPr>
        <w:t xml:space="preserve"> reported data on the measures used by some of the VOD services under their jurisdiction to </w:t>
      </w:r>
      <w:r w:rsidR="00283ECE" w:rsidRPr="005B01FE">
        <w:rPr>
          <w:noProof/>
        </w:rPr>
        <w:t>ensure</w:t>
      </w:r>
      <w:r w:rsidRPr="005B01FE">
        <w:rPr>
          <w:noProof/>
        </w:rPr>
        <w:t xml:space="preserve"> prominence of European works in their catalogues.</w:t>
      </w:r>
      <w:r w:rsidR="003C1508" w:rsidRPr="005B01FE">
        <w:rPr>
          <w:noProof/>
        </w:rPr>
        <w:t xml:space="preserve"> </w:t>
      </w:r>
      <w:r w:rsidR="00D54067" w:rsidRPr="0070311C">
        <w:rPr>
          <w:noProof/>
        </w:rPr>
        <w:t xml:space="preserve">However, as not many Member States reported </w:t>
      </w:r>
      <w:r w:rsidR="00E86B1D">
        <w:rPr>
          <w:noProof/>
        </w:rPr>
        <w:t xml:space="preserve">such </w:t>
      </w:r>
      <w:r w:rsidR="009A2A5D" w:rsidRPr="005B01FE">
        <w:rPr>
          <w:noProof/>
        </w:rPr>
        <w:t xml:space="preserve">data for all VOD services under their jurisdiction, robust data analysis of the prominence methods used was not possible. </w:t>
      </w:r>
      <w:r w:rsidR="003C1508" w:rsidRPr="005B01FE">
        <w:rPr>
          <w:noProof/>
        </w:rPr>
        <w:t>The most often cited prominence method in 2020 was a dedicated section for European works accessible from the homepage of the service</w:t>
      </w:r>
      <w:r w:rsidR="00466E71" w:rsidRPr="005B01FE">
        <w:rPr>
          <w:noProof/>
        </w:rPr>
        <w:t>, followed by highlighting European works through, for example, banners or similar tools.</w:t>
      </w:r>
      <w:r w:rsidR="003C1508" w:rsidRPr="005B01FE">
        <w:rPr>
          <w:noProof/>
        </w:rPr>
        <w:t xml:space="preserve"> </w:t>
      </w:r>
      <w:r w:rsidR="00466E71" w:rsidRPr="005B01FE">
        <w:rPr>
          <w:noProof/>
        </w:rPr>
        <w:t>The most used method in</w:t>
      </w:r>
      <w:r w:rsidR="003C1508" w:rsidRPr="005B01FE">
        <w:rPr>
          <w:noProof/>
        </w:rPr>
        <w:t xml:space="preserve"> 2021</w:t>
      </w:r>
      <w:r w:rsidR="00466E71" w:rsidRPr="005B01FE">
        <w:rPr>
          <w:noProof/>
        </w:rPr>
        <w:t xml:space="preserve"> was</w:t>
      </w:r>
      <w:r w:rsidR="003C1508" w:rsidRPr="005B01FE">
        <w:rPr>
          <w:noProof/>
        </w:rPr>
        <w:t xml:space="preserve"> a possibility to search for European works in the search tool available as part of the service</w:t>
      </w:r>
      <w:r w:rsidR="00466E71" w:rsidRPr="005B01FE">
        <w:rPr>
          <w:noProof/>
        </w:rPr>
        <w:t>, followed by a dedicated section for European works accessible from the homepage of the service</w:t>
      </w:r>
      <w:r w:rsidR="00E11ADE" w:rsidRPr="0070311C">
        <w:rPr>
          <w:rStyle w:val="FootnoteReference"/>
          <w:noProof/>
        </w:rPr>
        <w:footnoteReference w:id="37"/>
      </w:r>
      <w:r w:rsidR="00E11ADE" w:rsidRPr="0070311C">
        <w:rPr>
          <w:noProof/>
        </w:rPr>
        <w:t>.</w:t>
      </w:r>
      <w:r w:rsidR="003C1508" w:rsidRPr="005B01FE">
        <w:rPr>
          <w:noProof/>
        </w:rPr>
        <w:t xml:space="preserve"> </w:t>
      </w:r>
      <w:r w:rsidR="00371C11" w:rsidRPr="005B01FE">
        <w:rPr>
          <w:noProof/>
        </w:rPr>
        <w:t xml:space="preserve">Other, less frequently used ways to promote European works included </w:t>
      </w:r>
      <w:r w:rsidR="003C1508" w:rsidRPr="005B01FE">
        <w:rPr>
          <w:noProof/>
        </w:rPr>
        <w:t>promotion in newsletters</w:t>
      </w:r>
      <w:r w:rsidR="004B3B0B" w:rsidRPr="005B01FE">
        <w:rPr>
          <w:noProof/>
        </w:rPr>
        <w:t xml:space="preserve"> and</w:t>
      </w:r>
      <w:r w:rsidR="003C1508" w:rsidRPr="005B01FE">
        <w:rPr>
          <w:noProof/>
        </w:rPr>
        <w:t xml:space="preserve"> social media</w:t>
      </w:r>
      <w:r w:rsidR="004B3B0B" w:rsidRPr="005B01FE">
        <w:rPr>
          <w:noProof/>
        </w:rPr>
        <w:t>, displaying the production country in the programme description.</w:t>
      </w:r>
    </w:p>
    <w:p w14:paraId="029E4DDC" w14:textId="2AEB594A" w:rsidR="00FA432A" w:rsidRPr="005B01FE" w:rsidRDefault="0070311C" w:rsidP="00FA432A">
      <w:pPr>
        <w:pStyle w:val="Caption"/>
        <w:keepNext/>
        <w:rPr>
          <w:noProof/>
        </w:rPr>
      </w:pPr>
      <w:r w:rsidRPr="005B01FE">
        <w:rPr>
          <w:noProof/>
        </w:rPr>
        <w:t xml:space="preserve">Figure </w:t>
      </w:r>
      <w:r w:rsidR="00FE7170" w:rsidRPr="005B01FE">
        <w:rPr>
          <w:noProof/>
        </w:rPr>
        <w:fldChar w:fldCharType="begin"/>
      </w:r>
      <w:r w:rsidR="00FE7170" w:rsidRPr="005B01FE">
        <w:rPr>
          <w:noProof/>
        </w:rPr>
        <w:instrText xml:space="preserve"> SEQ Figure \* ARABIC </w:instrText>
      </w:r>
      <w:r w:rsidR="00FE7170" w:rsidRPr="005B01FE">
        <w:rPr>
          <w:noProof/>
        </w:rPr>
        <w:fldChar w:fldCharType="separate"/>
      </w:r>
      <w:r w:rsidR="00923757" w:rsidRPr="005B01FE">
        <w:rPr>
          <w:noProof/>
        </w:rPr>
        <w:t>3</w:t>
      </w:r>
      <w:r w:rsidR="00FE7170" w:rsidRPr="005B01FE">
        <w:rPr>
          <w:noProof/>
        </w:rPr>
        <w:fldChar w:fldCharType="end"/>
      </w:r>
      <w:r w:rsidR="00C821E9">
        <w:rPr>
          <w:noProof/>
        </w:rPr>
        <w:t>:</w:t>
      </w:r>
      <w:r w:rsidRPr="005B01FE">
        <w:rPr>
          <w:noProof/>
        </w:rPr>
        <w:t xml:space="preserve"> Number of services using prominence promotion tools in Member States that reported data on p</w:t>
      </w:r>
      <w:r w:rsidR="008459A4" w:rsidRPr="005B01FE">
        <w:rPr>
          <w:noProof/>
        </w:rPr>
        <w:t>r</w:t>
      </w:r>
      <w:r w:rsidRPr="005B01FE">
        <w:rPr>
          <w:noProof/>
        </w:rPr>
        <w:t xml:space="preserve">ominence of European </w:t>
      </w:r>
      <w:r w:rsidR="00043C97">
        <w:rPr>
          <w:noProof/>
        </w:rPr>
        <w:t>w</w:t>
      </w:r>
      <w:r w:rsidRPr="005B01FE">
        <w:rPr>
          <w:noProof/>
        </w:rPr>
        <w:t>orks in the catalogues of VOD services under their jurisdiction</w:t>
      </w:r>
    </w:p>
    <w:p w14:paraId="2225470F" w14:textId="21CD3A69" w:rsidR="0070311C" w:rsidRPr="005B01FE" w:rsidRDefault="00E940D2" w:rsidP="00FA432A">
      <w:pPr>
        <w:pStyle w:val="Caption"/>
        <w:keepNext/>
        <w:rPr>
          <w:noProof/>
        </w:rPr>
      </w:pPr>
      <w:r>
        <w:rPr>
          <w:noProof/>
          <w:lang w:eastAsia="en-GB"/>
        </w:rPr>
        <w:drawing>
          <wp:inline distT="0" distB="0" distL="0" distR="0" wp14:anchorId="1A290DF0" wp14:editId="58871967">
            <wp:extent cx="5760085" cy="3418840"/>
            <wp:effectExtent l="0" t="0" r="0" b="0"/>
            <wp:docPr id="11" name="Chart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69CD6A" w14:textId="323EA08D" w:rsidR="0070311C" w:rsidRPr="005B01FE" w:rsidRDefault="0070311C" w:rsidP="0070311C">
      <w:pPr>
        <w:spacing w:before="0" w:after="0"/>
        <w:contextualSpacing/>
        <w:rPr>
          <w:i/>
          <w:iCs/>
          <w:noProof/>
          <w:sz w:val="20"/>
          <w:szCs w:val="20"/>
          <w:highlight w:val="yellow"/>
        </w:rPr>
      </w:pPr>
      <w:r w:rsidRPr="005B01FE">
        <w:rPr>
          <w:i/>
          <w:iCs/>
          <w:noProof/>
          <w:sz w:val="20"/>
          <w:szCs w:val="20"/>
        </w:rPr>
        <w:t>Source: Member States’ reporting</w:t>
      </w:r>
    </w:p>
    <w:p w14:paraId="264FCE70" w14:textId="47879F4C" w:rsidR="002740DC" w:rsidRPr="005B01FE" w:rsidRDefault="002740DC" w:rsidP="009A2A5D">
      <w:pPr>
        <w:spacing w:before="240" w:after="0"/>
        <w:contextualSpacing/>
        <w:rPr>
          <w:noProof/>
          <w:highlight w:val="yellow"/>
        </w:rPr>
      </w:pPr>
    </w:p>
    <w:p w14:paraId="38F6FB21" w14:textId="072375C2" w:rsidR="002740DC" w:rsidRPr="005B01FE" w:rsidRDefault="002740DC" w:rsidP="009A2A5D">
      <w:pPr>
        <w:spacing w:before="240" w:after="0"/>
        <w:contextualSpacing/>
        <w:rPr>
          <w:noProof/>
        </w:rPr>
      </w:pPr>
      <w:r w:rsidRPr="005B01FE">
        <w:rPr>
          <w:noProof/>
        </w:rPr>
        <w:t xml:space="preserve">A mystery shopping </w:t>
      </w:r>
      <w:r w:rsidR="00CA3FE9">
        <w:rPr>
          <w:noProof/>
        </w:rPr>
        <w:t>test</w:t>
      </w:r>
      <w:r w:rsidR="00CA3FE9" w:rsidRPr="005B01FE">
        <w:rPr>
          <w:noProof/>
        </w:rPr>
        <w:t xml:space="preserve"> </w:t>
      </w:r>
      <w:r w:rsidRPr="005B01FE">
        <w:rPr>
          <w:noProof/>
        </w:rPr>
        <w:t xml:space="preserve">was carried out in the context of the </w:t>
      </w:r>
      <w:r w:rsidR="00CA3FE9">
        <w:rPr>
          <w:noProof/>
        </w:rPr>
        <w:t>s</w:t>
      </w:r>
      <w:r w:rsidRPr="005B01FE">
        <w:rPr>
          <w:noProof/>
        </w:rPr>
        <w:t xml:space="preserve">tudy, </w:t>
      </w:r>
      <w:r w:rsidR="005F7AC6" w:rsidRPr="005B01FE">
        <w:rPr>
          <w:noProof/>
        </w:rPr>
        <w:t>focusing on</w:t>
      </w:r>
      <w:r w:rsidRPr="005B01FE">
        <w:rPr>
          <w:noProof/>
        </w:rPr>
        <w:t xml:space="preserve"> a sample of </w:t>
      </w:r>
      <w:r w:rsidR="00C0272A" w:rsidRPr="005B01FE">
        <w:rPr>
          <w:noProof/>
        </w:rPr>
        <w:t>SVOD</w:t>
      </w:r>
      <w:r w:rsidRPr="005B01FE">
        <w:rPr>
          <w:noProof/>
        </w:rPr>
        <w:t xml:space="preserve"> services</w:t>
      </w:r>
      <w:r w:rsidR="00C12203" w:rsidRPr="005B01FE">
        <w:rPr>
          <w:rStyle w:val="FootnoteReference"/>
          <w:noProof/>
        </w:rPr>
        <w:footnoteReference w:id="38"/>
      </w:r>
      <w:r w:rsidRPr="005B01FE">
        <w:rPr>
          <w:noProof/>
        </w:rPr>
        <w:t>. It found that</w:t>
      </w:r>
      <w:r w:rsidR="007A786E" w:rsidRPr="005B01FE">
        <w:rPr>
          <w:noProof/>
        </w:rPr>
        <w:t>,</w:t>
      </w:r>
      <w:r w:rsidRPr="005B01FE">
        <w:rPr>
          <w:noProof/>
        </w:rPr>
        <w:t xml:space="preserve"> </w:t>
      </w:r>
      <w:r w:rsidR="00C12203" w:rsidRPr="005B01FE">
        <w:rPr>
          <w:noProof/>
        </w:rPr>
        <w:t xml:space="preserve">on average, </w:t>
      </w:r>
      <w:r w:rsidRPr="005B01FE">
        <w:rPr>
          <w:noProof/>
        </w:rPr>
        <w:t>40% of services included dedicated sections on the</w:t>
      </w:r>
      <w:r w:rsidR="00CA3FE9">
        <w:rPr>
          <w:noProof/>
        </w:rPr>
        <w:t>ir</w:t>
      </w:r>
      <w:r w:rsidRPr="005B01FE">
        <w:rPr>
          <w:noProof/>
        </w:rPr>
        <w:t xml:space="preserve"> homepage</w:t>
      </w:r>
      <w:r w:rsidR="00CA3FE9">
        <w:rPr>
          <w:noProof/>
        </w:rPr>
        <w:t>s</w:t>
      </w:r>
      <w:r w:rsidRPr="005B01FE">
        <w:rPr>
          <w:noProof/>
        </w:rPr>
        <w:t xml:space="preserve"> for European works </w:t>
      </w:r>
      <w:r w:rsidR="00D21625">
        <w:rPr>
          <w:noProof/>
        </w:rPr>
        <w:t>or</w:t>
      </w:r>
      <w:r w:rsidR="00D21625" w:rsidRPr="00E37308">
        <w:rPr>
          <w:noProof/>
        </w:rPr>
        <w:t xml:space="preserve"> </w:t>
      </w:r>
      <w:r w:rsidRPr="005B01FE">
        <w:rPr>
          <w:noProof/>
        </w:rPr>
        <w:t xml:space="preserve">works from the targeted country. Moreover, </w:t>
      </w:r>
      <w:r w:rsidR="00941CB6" w:rsidRPr="005B01FE">
        <w:rPr>
          <w:noProof/>
        </w:rPr>
        <w:t>49</w:t>
      </w:r>
      <w:r w:rsidRPr="005B01FE">
        <w:rPr>
          <w:noProof/>
        </w:rPr>
        <w:t>% of the services analysed offered the option to filter the works present in their catalogue by country or region.</w:t>
      </w:r>
      <w:r w:rsidR="00123D4C" w:rsidRPr="00123D4C">
        <w:rPr>
          <w:noProof/>
        </w:rPr>
        <w:t xml:space="preserve"> </w:t>
      </w:r>
      <w:r w:rsidR="00123D4C" w:rsidRPr="00E37308">
        <w:rPr>
          <w:noProof/>
        </w:rPr>
        <w:t>The</w:t>
      </w:r>
      <w:r w:rsidR="00D21625">
        <w:rPr>
          <w:noProof/>
        </w:rPr>
        <w:t>se shares</w:t>
      </w:r>
      <w:r w:rsidR="00D21625" w:rsidRPr="00E37308">
        <w:rPr>
          <w:noProof/>
        </w:rPr>
        <w:t xml:space="preserve"> </w:t>
      </w:r>
      <w:r w:rsidR="00CA3FE9">
        <w:rPr>
          <w:noProof/>
        </w:rPr>
        <w:t>varied across</w:t>
      </w:r>
      <w:r w:rsidR="00CA3FE9" w:rsidRPr="005B01FE">
        <w:rPr>
          <w:noProof/>
        </w:rPr>
        <w:t xml:space="preserve"> </w:t>
      </w:r>
      <w:r w:rsidR="00C12203" w:rsidRPr="005B01FE">
        <w:rPr>
          <w:noProof/>
        </w:rPr>
        <w:t xml:space="preserve">Member States and </w:t>
      </w:r>
      <w:r w:rsidR="002200B8">
        <w:rPr>
          <w:noProof/>
        </w:rPr>
        <w:t>VOD</w:t>
      </w:r>
      <w:r w:rsidR="00C12203" w:rsidRPr="005B01FE">
        <w:rPr>
          <w:noProof/>
        </w:rPr>
        <w:t xml:space="preserve"> service providers</w:t>
      </w:r>
      <w:r w:rsidR="00D21625">
        <w:rPr>
          <w:rStyle w:val="FootnoteReference"/>
          <w:noProof/>
        </w:rPr>
        <w:footnoteReference w:id="39"/>
      </w:r>
      <w:r w:rsidR="00D21625" w:rsidRPr="00E37308">
        <w:rPr>
          <w:noProof/>
        </w:rPr>
        <w:t>.</w:t>
      </w:r>
    </w:p>
    <w:p w14:paraId="1569B447" w14:textId="77777777" w:rsidR="00B14FE1" w:rsidRPr="005B01FE" w:rsidRDefault="00B14FE1" w:rsidP="00D45ED6">
      <w:pPr>
        <w:spacing w:before="240" w:after="0"/>
        <w:contextualSpacing/>
        <w:rPr>
          <w:b/>
          <w:bCs/>
          <w:iCs/>
          <w:noProof/>
          <w:highlight w:val="yellow"/>
        </w:rPr>
      </w:pPr>
    </w:p>
    <w:p w14:paraId="34237845" w14:textId="766948BF" w:rsidR="00B14FE1" w:rsidRPr="003E04DB" w:rsidRDefault="00B14FE1" w:rsidP="003E04DB">
      <w:pPr>
        <w:pStyle w:val="Heading2"/>
        <w:rPr>
          <w:i/>
          <w:noProof/>
        </w:rPr>
      </w:pPr>
      <w:bookmarkStart w:id="21" w:name="_Toc167898087"/>
      <w:r w:rsidRPr="005B01FE">
        <w:rPr>
          <w:noProof/>
        </w:rPr>
        <w:t>Financial contributions to the production of European works (Article 13(2)</w:t>
      </w:r>
      <w:r w:rsidR="00D16E7F" w:rsidRPr="005B01FE">
        <w:rPr>
          <w:noProof/>
        </w:rPr>
        <w:t xml:space="preserve"> of the</w:t>
      </w:r>
      <w:r w:rsidR="009205FB" w:rsidRPr="005B01FE">
        <w:rPr>
          <w:noProof/>
        </w:rPr>
        <w:t xml:space="preserve"> AVMSD</w:t>
      </w:r>
      <w:r w:rsidRPr="005B01FE">
        <w:rPr>
          <w:noProof/>
        </w:rPr>
        <w:t>)</w:t>
      </w:r>
      <w:bookmarkEnd w:id="21"/>
    </w:p>
    <w:p w14:paraId="28D5C689" w14:textId="3331EFDA" w:rsidR="00060F2D" w:rsidRDefault="00951D7E" w:rsidP="003E04DB">
      <w:pPr>
        <w:spacing w:before="240" w:after="0"/>
        <w:rPr>
          <w:noProof/>
        </w:rPr>
      </w:pPr>
      <w:r w:rsidRPr="005B01FE">
        <w:rPr>
          <w:noProof/>
        </w:rPr>
        <w:t xml:space="preserve">Article 13(2) of the AVMSD explicitly recognises the possibility </w:t>
      </w:r>
      <w:r w:rsidR="005B18D5" w:rsidRPr="005B01FE">
        <w:rPr>
          <w:noProof/>
        </w:rPr>
        <w:t>for</w:t>
      </w:r>
      <w:r w:rsidRPr="005B01FE">
        <w:rPr>
          <w:noProof/>
        </w:rPr>
        <w:t xml:space="preserve"> Member States to </w:t>
      </w:r>
      <w:r w:rsidR="00BA147D" w:rsidRPr="005B01FE">
        <w:rPr>
          <w:noProof/>
        </w:rPr>
        <w:t xml:space="preserve">extend the </w:t>
      </w:r>
      <w:r w:rsidRPr="005B01FE">
        <w:rPr>
          <w:noProof/>
        </w:rPr>
        <w:t>financial contributions</w:t>
      </w:r>
      <w:r w:rsidR="00F75C04">
        <w:rPr>
          <w:noProof/>
        </w:rPr>
        <w:t>, including via direct investment in content and contribution to national funds (levies),</w:t>
      </w:r>
      <w:r w:rsidRPr="005B01FE">
        <w:rPr>
          <w:noProof/>
        </w:rPr>
        <w:t xml:space="preserve"> </w:t>
      </w:r>
      <w:r w:rsidR="00BA147D" w:rsidRPr="005B01FE">
        <w:rPr>
          <w:noProof/>
        </w:rPr>
        <w:t>to the production of European works</w:t>
      </w:r>
      <w:r w:rsidR="00BA147D" w:rsidRPr="005B01FE" w:rsidDel="00BA147D">
        <w:rPr>
          <w:noProof/>
        </w:rPr>
        <w:t xml:space="preserve"> </w:t>
      </w:r>
      <w:r w:rsidR="00BA147D" w:rsidRPr="005B01FE">
        <w:rPr>
          <w:noProof/>
        </w:rPr>
        <w:t xml:space="preserve">to </w:t>
      </w:r>
      <w:r w:rsidR="00CA3FE9">
        <w:rPr>
          <w:noProof/>
        </w:rPr>
        <w:t xml:space="preserve">cover </w:t>
      </w:r>
      <w:r w:rsidRPr="005B01FE">
        <w:rPr>
          <w:noProof/>
        </w:rPr>
        <w:t>media service providers targeting audiences in their territories, but established in other Member States</w:t>
      </w:r>
      <w:r w:rsidR="00D21625">
        <w:rPr>
          <w:noProof/>
        </w:rPr>
        <w:t>, based on the revenues these providers earn in the targeted territories</w:t>
      </w:r>
      <w:r w:rsidRPr="005B01FE">
        <w:rPr>
          <w:noProof/>
        </w:rPr>
        <w:t xml:space="preserve">. In this respect, </w:t>
      </w:r>
      <w:r w:rsidR="00F75C04" w:rsidRPr="00B067BE">
        <w:rPr>
          <w:noProof/>
        </w:rPr>
        <w:t>seven</w:t>
      </w:r>
      <w:r w:rsidR="00F75C04" w:rsidRPr="00E34E75">
        <w:rPr>
          <w:noProof/>
        </w:rPr>
        <w:t xml:space="preserve"> </w:t>
      </w:r>
      <w:r w:rsidR="008151DA" w:rsidRPr="005B01FE">
        <w:rPr>
          <w:noProof/>
        </w:rPr>
        <w:t>Member States</w:t>
      </w:r>
      <w:r w:rsidR="005C1E16" w:rsidRPr="005B01FE">
        <w:rPr>
          <w:rStyle w:val="FootnoteReference"/>
          <w:noProof/>
        </w:rPr>
        <w:footnoteReference w:id="40"/>
      </w:r>
      <w:r w:rsidR="002F7F95" w:rsidRPr="005B01FE">
        <w:rPr>
          <w:noProof/>
        </w:rPr>
        <w:t xml:space="preserve"> </w:t>
      </w:r>
      <w:r w:rsidR="008151DA" w:rsidRPr="005B01FE">
        <w:rPr>
          <w:noProof/>
        </w:rPr>
        <w:t xml:space="preserve">reported </w:t>
      </w:r>
      <w:r w:rsidR="005C1E16" w:rsidRPr="005B01FE">
        <w:rPr>
          <w:noProof/>
        </w:rPr>
        <w:t xml:space="preserve">having in </w:t>
      </w:r>
      <w:r w:rsidR="001C588F">
        <w:rPr>
          <w:noProof/>
        </w:rPr>
        <w:t>place</w:t>
      </w:r>
      <w:r w:rsidR="001C588F" w:rsidRPr="005B01FE">
        <w:rPr>
          <w:noProof/>
        </w:rPr>
        <w:t xml:space="preserve"> </w:t>
      </w:r>
      <w:r w:rsidR="008151DA" w:rsidRPr="005B01FE">
        <w:rPr>
          <w:noProof/>
        </w:rPr>
        <w:t>financial contribution</w:t>
      </w:r>
      <w:r w:rsidR="005C1E16" w:rsidRPr="005B01FE">
        <w:rPr>
          <w:noProof/>
        </w:rPr>
        <w:t xml:space="preserve"> obligations</w:t>
      </w:r>
      <w:r w:rsidR="008151DA" w:rsidRPr="005B01FE">
        <w:rPr>
          <w:noProof/>
        </w:rPr>
        <w:t xml:space="preserve"> </w:t>
      </w:r>
      <w:r w:rsidR="001F26F2" w:rsidRPr="005B01FE">
        <w:rPr>
          <w:noProof/>
        </w:rPr>
        <w:t xml:space="preserve">for </w:t>
      </w:r>
      <w:r w:rsidR="002F7F95" w:rsidRPr="005B01FE">
        <w:rPr>
          <w:noProof/>
        </w:rPr>
        <w:t>cross-border</w:t>
      </w:r>
      <w:r w:rsidR="008151DA" w:rsidRPr="005B01FE">
        <w:rPr>
          <w:noProof/>
        </w:rPr>
        <w:t xml:space="preserve"> VOD service providers</w:t>
      </w:r>
      <w:r w:rsidR="005C1E16" w:rsidRPr="005B01FE">
        <w:rPr>
          <w:noProof/>
        </w:rPr>
        <w:t xml:space="preserve"> and </w:t>
      </w:r>
      <w:r w:rsidR="00D803A8" w:rsidRPr="005B01FE">
        <w:rPr>
          <w:noProof/>
        </w:rPr>
        <w:t>t</w:t>
      </w:r>
      <w:r w:rsidR="00D803A8">
        <w:rPr>
          <w:noProof/>
        </w:rPr>
        <w:t>wo</w:t>
      </w:r>
      <w:r w:rsidR="00D803A8" w:rsidRPr="005B01FE">
        <w:rPr>
          <w:noProof/>
        </w:rPr>
        <w:t xml:space="preserve"> </w:t>
      </w:r>
      <w:r w:rsidR="005C1E16" w:rsidRPr="005B01FE">
        <w:rPr>
          <w:noProof/>
        </w:rPr>
        <w:t>Member States</w:t>
      </w:r>
      <w:r w:rsidR="005C1E16" w:rsidRPr="005B01FE">
        <w:rPr>
          <w:rStyle w:val="FootnoteReference"/>
          <w:noProof/>
        </w:rPr>
        <w:footnoteReference w:id="41"/>
      </w:r>
      <w:r w:rsidR="005C1E16" w:rsidRPr="005B01FE">
        <w:rPr>
          <w:noProof/>
        </w:rPr>
        <w:t xml:space="preserve"> </w:t>
      </w:r>
      <w:r w:rsidR="00711A00" w:rsidRPr="005B01FE">
        <w:rPr>
          <w:noProof/>
        </w:rPr>
        <w:t xml:space="preserve">reported having </w:t>
      </w:r>
      <w:r w:rsidR="008A3E56" w:rsidRPr="005B01FE">
        <w:rPr>
          <w:noProof/>
        </w:rPr>
        <w:t xml:space="preserve">in </w:t>
      </w:r>
      <w:r w:rsidR="001C588F">
        <w:rPr>
          <w:noProof/>
        </w:rPr>
        <w:t>place</w:t>
      </w:r>
      <w:r w:rsidR="001C588F" w:rsidRPr="005B01FE">
        <w:rPr>
          <w:noProof/>
        </w:rPr>
        <w:t xml:space="preserve"> </w:t>
      </w:r>
      <w:r w:rsidR="00711A00" w:rsidRPr="005B01FE">
        <w:rPr>
          <w:noProof/>
        </w:rPr>
        <w:t xml:space="preserve">such obligations </w:t>
      </w:r>
      <w:r w:rsidR="001F26F2" w:rsidRPr="005B01FE">
        <w:rPr>
          <w:noProof/>
        </w:rPr>
        <w:t xml:space="preserve">for </w:t>
      </w:r>
      <w:r w:rsidR="005C1E16" w:rsidRPr="005B01FE">
        <w:rPr>
          <w:noProof/>
        </w:rPr>
        <w:t xml:space="preserve">cross-border linear service providers </w:t>
      </w:r>
      <w:r w:rsidR="00A8119E" w:rsidRPr="005B01FE">
        <w:rPr>
          <w:noProof/>
        </w:rPr>
        <w:t>during the reference period</w:t>
      </w:r>
      <w:r w:rsidR="008151DA" w:rsidRPr="005B01FE">
        <w:rPr>
          <w:noProof/>
        </w:rPr>
        <w:t>.</w:t>
      </w:r>
      <w:r w:rsidR="00FF2C19" w:rsidRPr="005B01FE">
        <w:rPr>
          <w:noProof/>
        </w:rPr>
        <w:t xml:space="preserve"> In </w:t>
      </w:r>
      <w:r w:rsidR="00D573C1" w:rsidRPr="005B01FE">
        <w:rPr>
          <w:noProof/>
        </w:rPr>
        <w:t>the</w:t>
      </w:r>
      <w:r w:rsidR="00FF2C19" w:rsidRPr="005B01FE">
        <w:rPr>
          <w:noProof/>
        </w:rPr>
        <w:t xml:space="preserve"> EEA </w:t>
      </w:r>
      <w:r w:rsidR="001002D6">
        <w:rPr>
          <w:noProof/>
        </w:rPr>
        <w:t xml:space="preserve">EFTA </w:t>
      </w:r>
      <w:r w:rsidR="00FF2C19" w:rsidRPr="005B01FE">
        <w:rPr>
          <w:noProof/>
        </w:rPr>
        <w:t xml:space="preserve">countries, no direct or indirect cross-border financial contributions were in </w:t>
      </w:r>
      <w:r w:rsidR="008A3E56" w:rsidRPr="005B01FE">
        <w:rPr>
          <w:noProof/>
        </w:rPr>
        <w:t xml:space="preserve">force </w:t>
      </w:r>
      <w:r w:rsidR="00FF2C19" w:rsidRPr="005B01FE">
        <w:rPr>
          <w:noProof/>
        </w:rPr>
        <w:t>in the reference period.</w:t>
      </w:r>
      <w:r w:rsidR="009F0826" w:rsidRPr="005B01FE">
        <w:rPr>
          <w:noProof/>
        </w:rPr>
        <w:t xml:space="preserve"> Some Member States only had financial obligations for domestic VOD or linear services.</w:t>
      </w:r>
      <w:r w:rsidR="00D94EA0">
        <w:rPr>
          <w:noProof/>
        </w:rPr>
        <w:t xml:space="preserve"> </w:t>
      </w:r>
    </w:p>
    <w:p w14:paraId="35E81419" w14:textId="77777777" w:rsidR="00A64F65" w:rsidRDefault="00A64F65" w:rsidP="00D45ED6">
      <w:pPr>
        <w:spacing w:before="240" w:after="0"/>
        <w:contextualSpacing/>
        <w:rPr>
          <w:noProof/>
        </w:rPr>
      </w:pPr>
    </w:p>
    <w:p w14:paraId="71A41106" w14:textId="11A1D11F" w:rsidR="00A64F65" w:rsidRPr="00C55D56" w:rsidRDefault="00B907CC" w:rsidP="00A64F65">
      <w:pPr>
        <w:spacing w:before="240" w:after="0"/>
        <w:contextualSpacing/>
        <w:rPr>
          <w:noProof/>
        </w:rPr>
      </w:pPr>
      <w:r>
        <w:rPr>
          <w:noProof/>
        </w:rPr>
        <w:t xml:space="preserve">In </w:t>
      </w:r>
      <w:r w:rsidR="00A64F65">
        <w:rPr>
          <w:noProof/>
        </w:rPr>
        <w:t>comparison, i</w:t>
      </w:r>
      <w:r w:rsidR="00A64F65" w:rsidRPr="00C55D56">
        <w:rPr>
          <w:noProof/>
        </w:rPr>
        <w:t xml:space="preserve">n </w:t>
      </w:r>
      <w:r w:rsidR="00A64F65">
        <w:rPr>
          <w:noProof/>
        </w:rPr>
        <w:t>the previous</w:t>
      </w:r>
      <w:r w:rsidR="00A64F65" w:rsidRPr="00C55D56">
        <w:rPr>
          <w:noProof/>
        </w:rPr>
        <w:t xml:space="preserve"> report</w:t>
      </w:r>
      <w:r w:rsidR="00A64F65">
        <w:rPr>
          <w:noProof/>
        </w:rPr>
        <w:t xml:space="preserve"> (where the </w:t>
      </w:r>
      <w:r w:rsidR="000C18E9">
        <w:rPr>
          <w:noProof/>
        </w:rPr>
        <w:t xml:space="preserve">modified </w:t>
      </w:r>
      <w:r w:rsidR="00A64F65">
        <w:rPr>
          <w:noProof/>
        </w:rPr>
        <w:t>sections in the AVMSD were not yet relevant)</w:t>
      </w:r>
      <w:r w:rsidR="00A64F65" w:rsidRPr="00C55D56">
        <w:rPr>
          <w:noProof/>
        </w:rPr>
        <w:t xml:space="preserve">, </w:t>
      </w:r>
      <w:r w:rsidR="00A64F65" w:rsidRPr="00B067BE">
        <w:rPr>
          <w:noProof/>
        </w:rPr>
        <w:t xml:space="preserve">nine Member States reported on having </w:t>
      </w:r>
      <w:r w:rsidR="007E0557" w:rsidRPr="00B067BE">
        <w:rPr>
          <w:noProof/>
        </w:rPr>
        <w:t xml:space="preserve">in place </w:t>
      </w:r>
      <w:r w:rsidR="00A64F65" w:rsidRPr="00B067BE">
        <w:rPr>
          <w:noProof/>
        </w:rPr>
        <w:t>financial contributions made by VOD service providers</w:t>
      </w:r>
      <w:r w:rsidR="00A64F65">
        <w:rPr>
          <w:noProof/>
        </w:rPr>
        <w:t xml:space="preserve"> either under their jurisdiction or across borders</w:t>
      </w:r>
      <w:r w:rsidR="00A64F65">
        <w:rPr>
          <w:rStyle w:val="FootnoteReference"/>
          <w:noProof/>
        </w:rPr>
        <w:footnoteReference w:id="42"/>
      </w:r>
      <w:r w:rsidR="00A64F65" w:rsidRPr="00C55D56">
        <w:rPr>
          <w:noProof/>
        </w:rPr>
        <w:t xml:space="preserve">. </w:t>
      </w:r>
    </w:p>
    <w:p w14:paraId="0009E11A" w14:textId="25A53313" w:rsidR="001A1327" w:rsidRPr="005B01FE" w:rsidRDefault="001A1327" w:rsidP="00D45ED6">
      <w:pPr>
        <w:spacing w:before="240" w:after="0"/>
        <w:contextualSpacing/>
        <w:rPr>
          <w:noProof/>
          <w:highlight w:val="yellow"/>
        </w:rPr>
      </w:pPr>
    </w:p>
    <w:p w14:paraId="7CA6174B" w14:textId="4202B3C8" w:rsidR="00E30C0C" w:rsidRPr="009F2C6C" w:rsidRDefault="00EB7123" w:rsidP="009F2C6C">
      <w:pPr>
        <w:rPr>
          <w:noProof/>
          <w:u w:val="single"/>
        </w:rPr>
      </w:pPr>
      <w:r>
        <w:rPr>
          <w:noProof/>
          <w:u w:val="single"/>
        </w:rPr>
        <w:t xml:space="preserve">Examples of obligations for </w:t>
      </w:r>
      <w:r w:rsidR="00E30C0C" w:rsidRPr="009F2C6C">
        <w:rPr>
          <w:noProof/>
          <w:u w:val="single"/>
        </w:rPr>
        <w:t>cross-border VOD services</w:t>
      </w:r>
    </w:p>
    <w:p w14:paraId="0AD89E85" w14:textId="326502BA" w:rsidR="00E30C0C" w:rsidRPr="005B01FE" w:rsidRDefault="00E30C0C" w:rsidP="00E30C0C">
      <w:pPr>
        <w:numPr>
          <w:ilvl w:val="0"/>
          <w:numId w:val="47"/>
        </w:numPr>
        <w:spacing w:before="240" w:after="0"/>
        <w:contextualSpacing/>
        <w:rPr>
          <w:noProof/>
        </w:rPr>
      </w:pPr>
      <w:r w:rsidRPr="005B01FE">
        <w:rPr>
          <w:noProof/>
        </w:rPr>
        <w:t xml:space="preserve">In Germany and Poland, </w:t>
      </w:r>
      <w:r w:rsidR="009C2BA6">
        <w:rPr>
          <w:noProof/>
        </w:rPr>
        <w:t xml:space="preserve">cross-border </w:t>
      </w:r>
      <w:r w:rsidRPr="005B01FE">
        <w:rPr>
          <w:noProof/>
        </w:rPr>
        <w:t>VOD service providers</w:t>
      </w:r>
      <w:r w:rsidR="0033738F">
        <w:rPr>
          <w:noProof/>
        </w:rPr>
        <w:t xml:space="preserve"> must pay </w:t>
      </w:r>
      <w:r w:rsidR="0033738F" w:rsidRPr="005B01FE">
        <w:rPr>
          <w:noProof/>
        </w:rPr>
        <w:t>a levy/tax</w:t>
      </w:r>
      <w:r w:rsidRPr="005B01FE">
        <w:rPr>
          <w:noProof/>
        </w:rPr>
        <w:t>. The rate to be paid varied between 1.5% of the revenue generated in Poland through advertising or user fees from subscribers, whichever is higher, and 1.8-2.5% of net annual turnover in Germany</w:t>
      </w:r>
      <w:r w:rsidR="00B74AA5">
        <w:rPr>
          <w:noProof/>
        </w:rPr>
        <w:t>,</w:t>
      </w:r>
      <w:r w:rsidRPr="005B01FE">
        <w:rPr>
          <w:noProof/>
        </w:rPr>
        <w:t xml:space="preserve"> depending on the size of the VOD service.</w:t>
      </w:r>
    </w:p>
    <w:p w14:paraId="33461AFA" w14:textId="5DB20F87" w:rsidR="00E30C0C" w:rsidRPr="005B01FE" w:rsidRDefault="00E30C0C" w:rsidP="00E30C0C">
      <w:pPr>
        <w:numPr>
          <w:ilvl w:val="0"/>
          <w:numId w:val="47"/>
        </w:numPr>
        <w:spacing w:before="240" w:after="0"/>
        <w:contextualSpacing/>
        <w:rPr>
          <w:noProof/>
        </w:rPr>
      </w:pPr>
      <w:r w:rsidRPr="005B01FE">
        <w:rPr>
          <w:noProof/>
        </w:rPr>
        <w:t>Both a levy and an obligation to invest directly existed in France</w:t>
      </w:r>
      <w:r w:rsidR="00C963C9">
        <w:rPr>
          <w:noProof/>
        </w:rPr>
        <w:t xml:space="preserve"> and</w:t>
      </w:r>
      <w:r w:rsidR="00C963C9" w:rsidRPr="005B01FE">
        <w:rPr>
          <w:noProof/>
        </w:rPr>
        <w:t xml:space="preserve"> </w:t>
      </w:r>
      <w:r w:rsidRPr="005B01FE">
        <w:rPr>
          <w:noProof/>
        </w:rPr>
        <w:t>Croatia.</w:t>
      </w:r>
    </w:p>
    <w:p w14:paraId="2385A750" w14:textId="093161BA" w:rsidR="00E30C0C" w:rsidRPr="005B01FE" w:rsidRDefault="00E30C0C" w:rsidP="00E30C0C">
      <w:pPr>
        <w:numPr>
          <w:ilvl w:val="1"/>
          <w:numId w:val="47"/>
        </w:numPr>
        <w:spacing w:before="240" w:after="0"/>
        <w:contextualSpacing/>
        <w:rPr>
          <w:noProof/>
        </w:rPr>
      </w:pPr>
      <w:r w:rsidRPr="005B01FE">
        <w:rPr>
          <w:noProof/>
        </w:rPr>
        <w:t xml:space="preserve">In France, the obligations varied depending on the type of VOD service. </w:t>
      </w:r>
      <w:r w:rsidR="00112857">
        <w:rPr>
          <w:noProof/>
        </w:rPr>
        <w:t xml:space="preserve">SVOD </w:t>
      </w:r>
      <w:r w:rsidRPr="005B01FE">
        <w:rPr>
          <w:noProof/>
        </w:rPr>
        <w:t xml:space="preserve">services must devote 20-25% of their annual net turnover generated in France to the funding of European or French cinematographic and audiovisual productions; </w:t>
      </w:r>
      <w:r w:rsidR="00C26B7A" w:rsidRPr="005B01FE">
        <w:rPr>
          <w:noProof/>
        </w:rPr>
        <w:t xml:space="preserve">it is 15% for </w:t>
      </w:r>
      <w:r w:rsidRPr="005B01FE">
        <w:rPr>
          <w:noProof/>
        </w:rPr>
        <w:t>other VOD services, subject to certain reductions. In addition, there was a 5.15-15% levy on the yearly turnover.</w:t>
      </w:r>
    </w:p>
    <w:p w14:paraId="49432E79" w14:textId="5D1753FC" w:rsidR="00E30C0C" w:rsidRPr="005B01FE" w:rsidRDefault="00E30C0C" w:rsidP="00D5110F">
      <w:pPr>
        <w:numPr>
          <w:ilvl w:val="1"/>
          <w:numId w:val="47"/>
        </w:numPr>
        <w:spacing w:before="240" w:after="0"/>
        <w:contextualSpacing/>
        <w:rPr>
          <w:noProof/>
        </w:rPr>
      </w:pPr>
      <w:r w:rsidRPr="005B01FE">
        <w:rPr>
          <w:noProof/>
        </w:rPr>
        <w:t>In Croatia, VOD services were required to invest 2% of the</w:t>
      </w:r>
      <w:r w:rsidR="00B74AA5">
        <w:rPr>
          <w:noProof/>
        </w:rPr>
        <w:t>ir</w:t>
      </w:r>
      <w:r w:rsidRPr="005B01FE">
        <w:rPr>
          <w:noProof/>
        </w:rPr>
        <w:t xml:space="preserve"> annual gross revenue in the production or purchase of Croatian audiovisual works by independent producers. In addition, VOD services must pay a levy of 2% of the</w:t>
      </w:r>
      <w:r w:rsidR="00B74AA5">
        <w:rPr>
          <w:noProof/>
        </w:rPr>
        <w:t>ir</w:t>
      </w:r>
      <w:r w:rsidRPr="005B01FE">
        <w:rPr>
          <w:noProof/>
        </w:rPr>
        <w:t xml:space="preserve"> annual gross income.</w:t>
      </w:r>
    </w:p>
    <w:p w14:paraId="315AB6E4" w14:textId="5372786E" w:rsidR="00E30C0C" w:rsidRPr="005B01FE" w:rsidRDefault="00E30C0C" w:rsidP="00E30C0C">
      <w:pPr>
        <w:numPr>
          <w:ilvl w:val="0"/>
          <w:numId w:val="47"/>
        </w:numPr>
        <w:spacing w:before="240" w:after="0"/>
        <w:contextualSpacing/>
        <w:rPr>
          <w:noProof/>
        </w:rPr>
      </w:pPr>
      <w:r w:rsidRPr="005B01FE">
        <w:rPr>
          <w:noProof/>
        </w:rPr>
        <w:t xml:space="preserve">In Italy, there was an obligation to invest directly in European works. </w:t>
      </w:r>
      <w:r w:rsidR="00FA676E" w:rsidRPr="005B01FE">
        <w:rPr>
          <w:noProof/>
        </w:rPr>
        <w:t>17-</w:t>
      </w:r>
      <w:r w:rsidRPr="005B01FE">
        <w:rPr>
          <w:noProof/>
        </w:rPr>
        <w:t>20% of net annual revenue</w:t>
      </w:r>
      <w:r w:rsidR="00FA676E" w:rsidRPr="005B01FE">
        <w:rPr>
          <w:noProof/>
        </w:rPr>
        <w:t>, increasing gradually over time,</w:t>
      </w:r>
      <w:r w:rsidRPr="005B01FE">
        <w:rPr>
          <w:noProof/>
        </w:rPr>
        <w:t xml:space="preserve"> should be reserved </w:t>
      </w:r>
      <w:r w:rsidR="006E605C">
        <w:rPr>
          <w:noProof/>
        </w:rPr>
        <w:t>for</w:t>
      </w:r>
      <w:r w:rsidR="006E605C" w:rsidRPr="005B01FE">
        <w:rPr>
          <w:noProof/>
        </w:rPr>
        <w:t xml:space="preserve"> </w:t>
      </w:r>
      <w:r w:rsidRPr="005B01FE">
        <w:rPr>
          <w:noProof/>
        </w:rPr>
        <w:t>the production</w:t>
      </w:r>
      <w:r w:rsidR="006E605C">
        <w:rPr>
          <w:noProof/>
        </w:rPr>
        <w:t xml:space="preserve"> of </w:t>
      </w:r>
      <w:r w:rsidRPr="005B01FE">
        <w:rPr>
          <w:noProof/>
        </w:rPr>
        <w:t>European works by independent producers</w:t>
      </w:r>
      <w:r w:rsidR="006E605C">
        <w:rPr>
          <w:noProof/>
        </w:rPr>
        <w:t xml:space="preserve"> or the</w:t>
      </w:r>
      <w:r w:rsidR="006E605C" w:rsidRPr="005B01FE">
        <w:rPr>
          <w:noProof/>
        </w:rPr>
        <w:t xml:space="preserve"> purchase or pre-purchase of rights on</w:t>
      </w:r>
      <w:r w:rsidR="006E605C" w:rsidRPr="006E605C">
        <w:rPr>
          <w:rStyle w:val="FootnoteReference"/>
          <w:noProof/>
          <w:vertAlign w:val="baseline"/>
        </w:rPr>
        <w:t xml:space="preserve"> </w:t>
      </w:r>
      <w:r w:rsidR="006E605C">
        <w:rPr>
          <w:noProof/>
        </w:rPr>
        <w:t>such works</w:t>
      </w:r>
      <w:r w:rsidR="00FA676E" w:rsidRPr="005B01FE">
        <w:rPr>
          <w:rStyle w:val="FootnoteReference"/>
          <w:noProof/>
        </w:rPr>
        <w:footnoteReference w:id="43"/>
      </w:r>
      <w:r w:rsidRPr="005B01FE">
        <w:rPr>
          <w:noProof/>
        </w:rPr>
        <w:t>.</w:t>
      </w:r>
    </w:p>
    <w:p w14:paraId="002727FE" w14:textId="249E54D9" w:rsidR="00E30C0C" w:rsidRPr="005B01FE" w:rsidRDefault="00E30C0C" w:rsidP="00E30C0C">
      <w:pPr>
        <w:numPr>
          <w:ilvl w:val="0"/>
          <w:numId w:val="47"/>
        </w:numPr>
        <w:spacing w:before="240" w:after="0"/>
        <w:contextualSpacing/>
        <w:rPr>
          <w:noProof/>
        </w:rPr>
      </w:pPr>
      <w:r w:rsidRPr="005B01FE">
        <w:rPr>
          <w:noProof/>
        </w:rPr>
        <w:t xml:space="preserve">In Belgium (all </w:t>
      </w:r>
      <w:r w:rsidR="006E605C">
        <w:rPr>
          <w:noProof/>
        </w:rPr>
        <w:t>C</w:t>
      </w:r>
      <w:r w:rsidRPr="005B01FE">
        <w:rPr>
          <w:noProof/>
        </w:rPr>
        <w:t>ommunities), there was a choice between a levy or an obligation to invest directly. In the French Community</w:t>
      </w:r>
      <w:r w:rsidR="0035309D" w:rsidRPr="0035309D">
        <w:rPr>
          <w:noProof/>
        </w:rPr>
        <w:t xml:space="preserve"> </w:t>
      </w:r>
      <w:r w:rsidR="0035309D">
        <w:rPr>
          <w:noProof/>
        </w:rPr>
        <w:t>of Belgium</w:t>
      </w:r>
      <w:r w:rsidRPr="005B01FE">
        <w:rPr>
          <w:noProof/>
        </w:rPr>
        <w:t>, the amount of the contribution varied between 1.4% and 2.2% of the turnover, depending on the size of the service.</w:t>
      </w:r>
    </w:p>
    <w:p w14:paraId="23436260" w14:textId="481D06AE" w:rsidR="00E30C0C" w:rsidRPr="005B01FE" w:rsidRDefault="00E30C0C" w:rsidP="00E30C0C">
      <w:pPr>
        <w:numPr>
          <w:ilvl w:val="0"/>
          <w:numId w:val="47"/>
        </w:numPr>
        <w:spacing w:before="240" w:after="0"/>
        <w:contextualSpacing/>
        <w:rPr>
          <w:noProof/>
        </w:rPr>
      </w:pPr>
      <w:r w:rsidRPr="005B01FE">
        <w:rPr>
          <w:noProof/>
        </w:rPr>
        <w:t xml:space="preserve">Where non-domestic VOD service providers specifically targeted </w:t>
      </w:r>
      <w:r w:rsidR="0035309D">
        <w:rPr>
          <w:noProof/>
        </w:rPr>
        <w:t xml:space="preserve">with </w:t>
      </w:r>
      <w:r w:rsidRPr="005B01FE">
        <w:rPr>
          <w:noProof/>
        </w:rPr>
        <w:t xml:space="preserve">the audience in Greece, they </w:t>
      </w:r>
      <w:r w:rsidR="0035309D">
        <w:rPr>
          <w:noProof/>
        </w:rPr>
        <w:t>are</w:t>
      </w:r>
      <w:r w:rsidR="0035309D" w:rsidRPr="005B01FE">
        <w:rPr>
          <w:noProof/>
        </w:rPr>
        <w:t xml:space="preserve"> </w:t>
      </w:r>
      <w:r w:rsidRPr="005B01FE">
        <w:rPr>
          <w:noProof/>
        </w:rPr>
        <w:t xml:space="preserve">obliged to </w:t>
      </w:r>
      <w:r w:rsidR="006542E9">
        <w:rPr>
          <w:noProof/>
        </w:rPr>
        <w:t xml:space="preserve">pay a yearly </w:t>
      </w:r>
      <w:r w:rsidRPr="005B01FE">
        <w:rPr>
          <w:noProof/>
        </w:rPr>
        <w:t>contribut</w:t>
      </w:r>
      <w:r w:rsidR="006542E9">
        <w:rPr>
          <w:noProof/>
        </w:rPr>
        <w:t>ion of</w:t>
      </w:r>
      <w:r w:rsidRPr="005B01FE">
        <w:rPr>
          <w:noProof/>
        </w:rPr>
        <w:t xml:space="preserve"> 1.5% of the turnover generated by their operations in Greece, either for the production of Greek audiovisual works or for the acquisition of rights </w:t>
      </w:r>
      <w:r w:rsidR="006542E9">
        <w:rPr>
          <w:noProof/>
        </w:rPr>
        <w:t>o</w:t>
      </w:r>
      <w:r w:rsidRPr="005B01FE">
        <w:rPr>
          <w:noProof/>
        </w:rPr>
        <w:t>n Greek audiovisual works that have not yet been released, or to a specific national fund.</w:t>
      </w:r>
    </w:p>
    <w:p w14:paraId="403D8188" w14:textId="77777777" w:rsidR="00A64F65" w:rsidRPr="005B01FE" w:rsidRDefault="00A64F65" w:rsidP="00A64F65">
      <w:pPr>
        <w:spacing w:before="240" w:after="0"/>
        <w:contextualSpacing/>
        <w:rPr>
          <w:noProof/>
        </w:rPr>
      </w:pPr>
    </w:p>
    <w:p w14:paraId="34E6D19E" w14:textId="46142DD5" w:rsidR="00A62FF7" w:rsidRPr="009F2C6C" w:rsidRDefault="00EB7123" w:rsidP="009F2C6C">
      <w:pPr>
        <w:rPr>
          <w:noProof/>
          <w:u w:val="single"/>
        </w:rPr>
      </w:pPr>
      <w:r>
        <w:rPr>
          <w:noProof/>
          <w:u w:val="single"/>
        </w:rPr>
        <w:t xml:space="preserve">Examples of </w:t>
      </w:r>
      <w:r w:rsidR="00C5560D" w:rsidRPr="009F2C6C">
        <w:rPr>
          <w:noProof/>
          <w:u w:val="single"/>
        </w:rPr>
        <w:t xml:space="preserve">obligations for </w:t>
      </w:r>
      <w:r w:rsidR="00260FDD" w:rsidRPr="009F2C6C">
        <w:rPr>
          <w:noProof/>
          <w:u w:val="single"/>
        </w:rPr>
        <w:t xml:space="preserve">cross-border </w:t>
      </w:r>
      <w:r w:rsidR="00C5560D" w:rsidRPr="009F2C6C">
        <w:rPr>
          <w:noProof/>
          <w:u w:val="single"/>
        </w:rPr>
        <w:t>linear services</w:t>
      </w:r>
    </w:p>
    <w:p w14:paraId="08A1964A" w14:textId="6933C904" w:rsidR="00C5560D" w:rsidRPr="005B01FE" w:rsidRDefault="003865B2" w:rsidP="00A62FF7">
      <w:pPr>
        <w:numPr>
          <w:ilvl w:val="0"/>
          <w:numId w:val="47"/>
        </w:numPr>
        <w:spacing w:before="240" w:after="0"/>
        <w:contextualSpacing/>
        <w:rPr>
          <w:noProof/>
        </w:rPr>
      </w:pPr>
      <w:r w:rsidRPr="005B01FE">
        <w:rPr>
          <w:noProof/>
        </w:rPr>
        <w:t>I</w:t>
      </w:r>
      <w:r w:rsidR="00C5560D" w:rsidRPr="005B01FE">
        <w:rPr>
          <w:noProof/>
        </w:rPr>
        <w:t xml:space="preserve">n the French Community of Belgium, there </w:t>
      </w:r>
      <w:r w:rsidR="00EB784D">
        <w:rPr>
          <w:noProof/>
        </w:rPr>
        <w:t>was</w:t>
      </w:r>
      <w:r w:rsidR="0035309D" w:rsidRPr="005B01FE">
        <w:rPr>
          <w:noProof/>
        </w:rPr>
        <w:t xml:space="preserve"> </w:t>
      </w:r>
      <w:r w:rsidR="00C5560D" w:rsidRPr="005B01FE">
        <w:rPr>
          <w:noProof/>
        </w:rPr>
        <w:t xml:space="preserve">a choice between making a direct investment in the form of either co-production or pre-purchase of audiovisual works </w:t>
      </w:r>
      <w:r w:rsidR="009D4107" w:rsidRPr="005B01FE">
        <w:rPr>
          <w:noProof/>
        </w:rPr>
        <w:t>and</w:t>
      </w:r>
      <w:r w:rsidR="00C5560D" w:rsidRPr="005B01FE">
        <w:rPr>
          <w:noProof/>
        </w:rPr>
        <w:t xml:space="preserve"> pay</w:t>
      </w:r>
      <w:r w:rsidR="009D4107" w:rsidRPr="005B01FE">
        <w:rPr>
          <w:noProof/>
        </w:rPr>
        <w:t>ing</w:t>
      </w:r>
      <w:r w:rsidR="00C5560D" w:rsidRPr="005B01FE">
        <w:rPr>
          <w:noProof/>
        </w:rPr>
        <w:t xml:space="preserve"> a levy to a film fund. The amount of the contribution depend</w:t>
      </w:r>
      <w:r w:rsidR="006542E9">
        <w:rPr>
          <w:noProof/>
        </w:rPr>
        <w:t>ed</w:t>
      </w:r>
      <w:r w:rsidR="00C5560D" w:rsidRPr="005B01FE">
        <w:rPr>
          <w:noProof/>
        </w:rPr>
        <w:t xml:space="preserve"> on the size of the turnover of the linear service.</w:t>
      </w:r>
    </w:p>
    <w:p w14:paraId="30A8FA88" w14:textId="140B68B1" w:rsidR="00A62FF7" w:rsidRPr="005B01FE" w:rsidRDefault="00EB03EA" w:rsidP="002616EE">
      <w:pPr>
        <w:numPr>
          <w:ilvl w:val="0"/>
          <w:numId w:val="47"/>
        </w:numPr>
        <w:spacing w:before="240" w:after="0"/>
        <w:contextualSpacing/>
        <w:rPr>
          <w:noProof/>
        </w:rPr>
      </w:pPr>
      <w:r w:rsidRPr="005B01FE">
        <w:rPr>
          <w:noProof/>
        </w:rPr>
        <w:t xml:space="preserve">In France, </w:t>
      </w:r>
      <w:r w:rsidR="00260FDD" w:rsidRPr="005B01FE">
        <w:rPr>
          <w:noProof/>
        </w:rPr>
        <w:t xml:space="preserve">there </w:t>
      </w:r>
      <w:r w:rsidR="00EB784D">
        <w:rPr>
          <w:noProof/>
        </w:rPr>
        <w:t>was</w:t>
      </w:r>
      <w:r w:rsidR="00266BE4" w:rsidRPr="005B01FE">
        <w:rPr>
          <w:noProof/>
        </w:rPr>
        <w:t xml:space="preserve"> </w:t>
      </w:r>
      <w:r w:rsidR="00260FDD" w:rsidRPr="005B01FE">
        <w:rPr>
          <w:noProof/>
        </w:rPr>
        <w:t>an</w:t>
      </w:r>
      <w:r w:rsidRPr="005B01FE">
        <w:rPr>
          <w:noProof/>
        </w:rPr>
        <w:t xml:space="preserve"> </w:t>
      </w:r>
      <w:r w:rsidR="00260FDD" w:rsidRPr="005B01FE">
        <w:rPr>
          <w:noProof/>
        </w:rPr>
        <w:t>obligation</w:t>
      </w:r>
      <w:r w:rsidR="009D4107" w:rsidRPr="005B01FE">
        <w:rPr>
          <w:noProof/>
        </w:rPr>
        <w:t xml:space="preserve"> </w:t>
      </w:r>
      <w:r w:rsidR="006542E9">
        <w:rPr>
          <w:noProof/>
        </w:rPr>
        <w:t xml:space="preserve">to invest </w:t>
      </w:r>
      <w:r w:rsidRPr="005B01FE">
        <w:rPr>
          <w:noProof/>
        </w:rPr>
        <w:t>at least 1</w:t>
      </w:r>
      <w:r w:rsidR="002B4243" w:rsidRPr="005B01FE">
        <w:rPr>
          <w:noProof/>
        </w:rPr>
        <w:t>2.5</w:t>
      </w:r>
      <w:r w:rsidRPr="005B01FE">
        <w:rPr>
          <w:noProof/>
        </w:rPr>
        <w:t xml:space="preserve">-15% of yearly turnover </w:t>
      </w:r>
      <w:r w:rsidR="006542E9">
        <w:rPr>
          <w:noProof/>
        </w:rPr>
        <w:t>in</w:t>
      </w:r>
      <w:r w:rsidR="006542E9" w:rsidRPr="005B01FE">
        <w:rPr>
          <w:noProof/>
        </w:rPr>
        <w:t xml:space="preserve"> </w:t>
      </w:r>
      <w:r w:rsidRPr="005B01FE">
        <w:rPr>
          <w:noProof/>
        </w:rPr>
        <w:t xml:space="preserve">the production of European audiovisual works or works </w:t>
      </w:r>
      <w:r w:rsidR="002616EE">
        <w:rPr>
          <w:noProof/>
        </w:rPr>
        <w:t>the original language of which is French.</w:t>
      </w:r>
    </w:p>
    <w:p w14:paraId="19EC0DD8" w14:textId="77777777" w:rsidR="00E4423E" w:rsidRPr="005B01FE" w:rsidRDefault="00E4423E" w:rsidP="00D45ED6">
      <w:pPr>
        <w:spacing w:before="240" w:after="0"/>
        <w:contextualSpacing/>
        <w:rPr>
          <w:b/>
          <w:bCs/>
          <w:iCs/>
          <w:noProof/>
        </w:rPr>
      </w:pPr>
    </w:p>
    <w:p w14:paraId="1F1466BC" w14:textId="5AF30888" w:rsidR="00CD23B2" w:rsidRPr="003E04DB" w:rsidRDefault="00CD23B2" w:rsidP="003E04DB">
      <w:pPr>
        <w:pStyle w:val="Heading2"/>
        <w:rPr>
          <w:noProof/>
        </w:rPr>
      </w:pPr>
      <w:bookmarkStart w:id="22" w:name="_Toc167898088"/>
      <w:r w:rsidRPr="005B01FE">
        <w:rPr>
          <w:noProof/>
        </w:rPr>
        <w:t xml:space="preserve">Exempted </w:t>
      </w:r>
      <w:r w:rsidR="00C71395" w:rsidRPr="005B01FE">
        <w:rPr>
          <w:noProof/>
        </w:rPr>
        <w:t xml:space="preserve">VOD </w:t>
      </w:r>
      <w:r w:rsidRPr="005B01FE">
        <w:rPr>
          <w:noProof/>
        </w:rPr>
        <w:t>services</w:t>
      </w:r>
      <w:bookmarkEnd w:id="22"/>
    </w:p>
    <w:p w14:paraId="51AC3D4F" w14:textId="19AC43E5" w:rsidR="00C71395" w:rsidRPr="005B01FE" w:rsidRDefault="00C71395" w:rsidP="00C71395">
      <w:pPr>
        <w:spacing w:before="240" w:after="0"/>
        <w:contextualSpacing/>
        <w:rPr>
          <w:iCs/>
          <w:noProof/>
        </w:rPr>
      </w:pPr>
      <w:r w:rsidRPr="005B01FE">
        <w:rPr>
          <w:iCs/>
          <w:noProof/>
        </w:rPr>
        <w:t>According to Article 13(6)</w:t>
      </w:r>
      <w:r w:rsidR="00146EBF" w:rsidRPr="005B01FE">
        <w:rPr>
          <w:iCs/>
          <w:noProof/>
        </w:rPr>
        <w:t xml:space="preserve"> </w:t>
      </w:r>
      <w:r w:rsidR="001D40EC" w:rsidRPr="005B01FE">
        <w:rPr>
          <w:iCs/>
          <w:noProof/>
        </w:rPr>
        <w:t xml:space="preserve">of the </w:t>
      </w:r>
      <w:r w:rsidR="00146EBF" w:rsidRPr="005B01FE">
        <w:rPr>
          <w:iCs/>
          <w:noProof/>
        </w:rPr>
        <w:t>AVMSD</w:t>
      </w:r>
      <w:r w:rsidRPr="005B01FE">
        <w:rPr>
          <w:iCs/>
          <w:noProof/>
        </w:rPr>
        <w:t xml:space="preserve">, the obligations contained in </w:t>
      </w:r>
      <w:r w:rsidR="006E418A">
        <w:rPr>
          <w:iCs/>
          <w:noProof/>
        </w:rPr>
        <w:t>Article 13(</w:t>
      </w:r>
      <w:r w:rsidRPr="005B01FE">
        <w:rPr>
          <w:iCs/>
          <w:noProof/>
        </w:rPr>
        <w:t>1</w:t>
      </w:r>
      <w:r w:rsidR="006E418A">
        <w:rPr>
          <w:iCs/>
          <w:noProof/>
        </w:rPr>
        <w:t>)</w:t>
      </w:r>
      <w:r w:rsidRPr="005B01FE">
        <w:rPr>
          <w:iCs/>
          <w:noProof/>
        </w:rPr>
        <w:t xml:space="preserve"> and </w:t>
      </w:r>
      <w:r w:rsidR="006E418A">
        <w:rPr>
          <w:iCs/>
          <w:noProof/>
        </w:rPr>
        <w:t>(</w:t>
      </w:r>
      <w:r w:rsidRPr="005B01FE">
        <w:rPr>
          <w:iCs/>
          <w:noProof/>
        </w:rPr>
        <w:t>2</w:t>
      </w:r>
      <w:r w:rsidR="006E418A">
        <w:rPr>
          <w:iCs/>
          <w:noProof/>
        </w:rPr>
        <w:t>)</w:t>
      </w:r>
      <w:r w:rsidRPr="005B01FE">
        <w:rPr>
          <w:iCs/>
          <w:noProof/>
        </w:rPr>
        <w:t xml:space="preserve"> </w:t>
      </w:r>
      <w:r w:rsidR="006E418A">
        <w:rPr>
          <w:iCs/>
          <w:noProof/>
        </w:rPr>
        <w:t xml:space="preserve">do </w:t>
      </w:r>
      <w:r w:rsidRPr="005B01FE">
        <w:rPr>
          <w:iCs/>
          <w:noProof/>
        </w:rPr>
        <w:t xml:space="preserve">not apply to media service providers with a low turnover or a low audience. Member States may also waive such obligations or requirements where they would be impracticable or unjustified by reason of the nature or theme of the audiovisual media services. </w:t>
      </w:r>
      <w:r w:rsidR="0035309D" w:rsidRPr="1F11C0E3">
        <w:rPr>
          <w:noProof/>
        </w:rPr>
        <w:t xml:space="preserve">These provisions have been </w:t>
      </w:r>
      <w:r w:rsidR="00112857" w:rsidRPr="1F11C0E3">
        <w:rPr>
          <w:noProof/>
        </w:rPr>
        <w:t xml:space="preserve">clarified </w:t>
      </w:r>
      <w:r w:rsidRPr="005B01FE">
        <w:rPr>
          <w:iCs/>
          <w:noProof/>
        </w:rPr>
        <w:t>in Commission guidelines</w:t>
      </w:r>
      <w:r w:rsidRPr="005B01FE">
        <w:rPr>
          <w:iCs/>
          <w:noProof/>
          <w:vertAlign w:val="superscript"/>
        </w:rPr>
        <w:footnoteReference w:id="44"/>
      </w:r>
      <w:r w:rsidRPr="005B01FE">
        <w:rPr>
          <w:iCs/>
          <w:noProof/>
        </w:rPr>
        <w:t>.</w:t>
      </w:r>
      <w:r w:rsidR="00C2261F" w:rsidRPr="005B01FE">
        <w:rPr>
          <w:iCs/>
          <w:noProof/>
        </w:rPr>
        <w:t xml:space="preserve"> </w:t>
      </w:r>
      <w:r w:rsidR="006E418A">
        <w:rPr>
          <w:iCs/>
          <w:noProof/>
        </w:rPr>
        <w:t>T</w:t>
      </w:r>
      <w:r w:rsidR="00C2261F" w:rsidRPr="005B01FE">
        <w:rPr>
          <w:iCs/>
          <w:noProof/>
        </w:rPr>
        <w:t>o determin</w:t>
      </w:r>
      <w:r w:rsidR="006E418A">
        <w:rPr>
          <w:iCs/>
          <w:noProof/>
        </w:rPr>
        <w:t>e</w:t>
      </w:r>
      <w:r w:rsidR="00C2261F" w:rsidRPr="005B01FE">
        <w:rPr>
          <w:iCs/>
          <w:noProof/>
        </w:rPr>
        <w:t xml:space="preserve"> ‘low turnover’, the guidelines rely on the EUR</w:t>
      </w:r>
      <w:r w:rsidR="00C10E59">
        <w:rPr>
          <w:iCs/>
          <w:noProof/>
        </w:rPr>
        <w:t> </w:t>
      </w:r>
      <w:r w:rsidR="00C2261F" w:rsidRPr="005B01FE">
        <w:rPr>
          <w:iCs/>
          <w:noProof/>
        </w:rPr>
        <w:t>2</w:t>
      </w:r>
      <w:r w:rsidR="00C10E59">
        <w:rPr>
          <w:iCs/>
          <w:noProof/>
        </w:rPr>
        <w:t> </w:t>
      </w:r>
      <w:r w:rsidR="00C2261F" w:rsidRPr="005B01FE">
        <w:rPr>
          <w:iCs/>
          <w:noProof/>
        </w:rPr>
        <w:t>million annual turnover threshold mentioned in Recommendation 2003/361/EC</w:t>
      </w:r>
      <w:r w:rsidR="002C2AA5" w:rsidRPr="005B01FE">
        <w:rPr>
          <w:iCs/>
          <w:noProof/>
        </w:rPr>
        <w:t xml:space="preserve"> concerning the definition </w:t>
      </w:r>
      <w:r w:rsidR="00B72EB4" w:rsidRPr="005B01FE">
        <w:rPr>
          <w:iCs/>
          <w:noProof/>
        </w:rPr>
        <w:t>of</w:t>
      </w:r>
      <w:r w:rsidR="002C2AA5" w:rsidRPr="005B01FE">
        <w:rPr>
          <w:iCs/>
          <w:noProof/>
        </w:rPr>
        <w:t xml:space="preserve"> micro, small and medium-sized enterprises</w:t>
      </w:r>
      <w:r w:rsidR="002C2AA5" w:rsidRPr="005B01FE">
        <w:rPr>
          <w:rStyle w:val="FootnoteReference"/>
          <w:iCs/>
          <w:noProof/>
        </w:rPr>
        <w:footnoteReference w:id="45"/>
      </w:r>
      <w:r w:rsidR="00C2261F" w:rsidRPr="005B01FE">
        <w:rPr>
          <w:iCs/>
          <w:noProof/>
        </w:rPr>
        <w:t xml:space="preserve">. Nevertheless, Member States with smaller national audiovisual markets can determine lower turnover thresholds. For ‘low audience’, the </w:t>
      </w:r>
      <w:r w:rsidR="00112857" w:rsidRPr="1F11C0E3">
        <w:rPr>
          <w:noProof/>
        </w:rPr>
        <w:t xml:space="preserve">threshold </w:t>
      </w:r>
      <w:r w:rsidR="00E33630">
        <w:rPr>
          <w:noProof/>
        </w:rPr>
        <w:t xml:space="preserve">according to the guidelines </w:t>
      </w:r>
      <w:r w:rsidR="00C2261F" w:rsidRPr="005B01FE">
        <w:rPr>
          <w:iCs/>
          <w:noProof/>
        </w:rPr>
        <w:t xml:space="preserve">is an audience share of less than 1% </w:t>
      </w:r>
      <w:r w:rsidR="00C10E59" w:rsidRPr="005B01FE">
        <w:rPr>
          <w:iCs/>
          <w:noProof/>
        </w:rPr>
        <w:t xml:space="preserve">in a given targeted Member State </w:t>
      </w:r>
      <w:r w:rsidR="00C2261F" w:rsidRPr="005B01FE">
        <w:rPr>
          <w:iCs/>
          <w:noProof/>
        </w:rPr>
        <w:t>for non-linear services and of 2% for linear services.</w:t>
      </w:r>
      <w:r w:rsidR="00D21625">
        <w:rPr>
          <w:iCs/>
          <w:noProof/>
        </w:rPr>
        <w:t xml:space="preserve"> Member States may </w:t>
      </w:r>
      <w:r w:rsidR="00F67BC8">
        <w:rPr>
          <w:iCs/>
          <w:noProof/>
        </w:rPr>
        <w:t xml:space="preserve">apply lower thresholds to take account of </w:t>
      </w:r>
      <w:r w:rsidR="00D21625">
        <w:rPr>
          <w:iCs/>
          <w:noProof/>
        </w:rPr>
        <w:t>their national markets</w:t>
      </w:r>
      <w:r w:rsidR="003D4080">
        <w:rPr>
          <w:iCs/>
          <w:noProof/>
        </w:rPr>
        <w:t>’</w:t>
      </w:r>
      <w:r w:rsidR="00D21625">
        <w:rPr>
          <w:iCs/>
          <w:noProof/>
        </w:rPr>
        <w:t xml:space="preserve"> size</w:t>
      </w:r>
      <w:r w:rsidR="003D4080">
        <w:rPr>
          <w:iCs/>
          <w:noProof/>
        </w:rPr>
        <w:t xml:space="preserve"> and structure</w:t>
      </w:r>
      <w:r w:rsidR="00D21625">
        <w:rPr>
          <w:iCs/>
          <w:noProof/>
        </w:rPr>
        <w:t xml:space="preserve">, </w:t>
      </w:r>
      <w:r w:rsidR="003D4080">
        <w:rPr>
          <w:iCs/>
          <w:noProof/>
        </w:rPr>
        <w:t>in duly justified cases</w:t>
      </w:r>
      <w:r w:rsidR="00C83058">
        <w:rPr>
          <w:iCs/>
          <w:noProof/>
        </w:rPr>
        <w:t>,</w:t>
      </w:r>
      <w:r w:rsidR="003D4080">
        <w:rPr>
          <w:iCs/>
          <w:noProof/>
        </w:rPr>
        <w:t xml:space="preserve"> </w:t>
      </w:r>
      <w:r w:rsidR="00C83058">
        <w:rPr>
          <w:noProof/>
        </w:rPr>
        <w:t xml:space="preserve">in line with their cultural policy objectives, including the objective to ensure the sustainability of national audiovisual and </w:t>
      </w:r>
      <w:r w:rsidR="00D21625">
        <w:rPr>
          <w:iCs/>
          <w:noProof/>
        </w:rPr>
        <w:t>film funding system</w:t>
      </w:r>
      <w:r w:rsidR="00C83058">
        <w:rPr>
          <w:iCs/>
          <w:noProof/>
        </w:rPr>
        <w:t>s</w:t>
      </w:r>
      <w:r w:rsidR="00D21625">
        <w:rPr>
          <w:iCs/>
          <w:noProof/>
        </w:rPr>
        <w:t>.</w:t>
      </w:r>
    </w:p>
    <w:p w14:paraId="61AAE795" w14:textId="6F428875" w:rsidR="00534553" w:rsidRPr="005B01FE" w:rsidRDefault="00534553" w:rsidP="00C71395">
      <w:pPr>
        <w:spacing w:before="240" w:after="0"/>
        <w:contextualSpacing/>
        <w:rPr>
          <w:iCs/>
          <w:noProof/>
          <w:highlight w:val="yellow"/>
        </w:rPr>
      </w:pPr>
    </w:p>
    <w:p w14:paraId="6679D056" w14:textId="22D45E83" w:rsidR="00534553" w:rsidRPr="005B01FE" w:rsidRDefault="00E76C47" w:rsidP="00C71395">
      <w:pPr>
        <w:spacing w:before="240" w:after="0"/>
        <w:contextualSpacing/>
        <w:rPr>
          <w:iCs/>
          <w:noProof/>
          <w:highlight w:val="yellow"/>
        </w:rPr>
      </w:pPr>
      <w:r w:rsidRPr="005B01FE">
        <w:rPr>
          <w:iCs/>
          <w:noProof/>
        </w:rPr>
        <w:t xml:space="preserve">The national data sheets showed that </w:t>
      </w:r>
      <w:r w:rsidR="001C21BB">
        <w:rPr>
          <w:iCs/>
          <w:noProof/>
        </w:rPr>
        <w:t>a</w:t>
      </w:r>
      <w:r w:rsidR="001C21BB" w:rsidRPr="005B01FE">
        <w:rPr>
          <w:iCs/>
          <w:noProof/>
        </w:rPr>
        <w:t xml:space="preserve"> </w:t>
      </w:r>
      <w:r w:rsidRPr="005B01FE">
        <w:rPr>
          <w:iCs/>
          <w:noProof/>
        </w:rPr>
        <w:t xml:space="preserve">total </w:t>
      </w:r>
      <w:r w:rsidR="001C21BB">
        <w:rPr>
          <w:iCs/>
          <w:noProof/>
        </w:rPr>
        <w:t xml:space="preserve">of </w:t>
      </w:r>
      <w:r w:rsidRPr="005B01FE">
        <w:rPr>
          <w:iCs/>
          <w:noProof/>
        </w:rPr>
        <w:t xml:space="preserve">540 VOD services were reported to have been exempted during the whole </w:t>
      </w:r>
      <w:r w:rsidR="001C21BB">
        <w:rPr>
          <w:iCs/>
          <w:noProof/>
        </w:rPr>
        <w:t>reference</w:t>
      </w:r>
      <w:r w:rsidR="001C21BB" w:rsidRPr="005B01FE">
        <w:rPr>
          <w:iCs/>
          <w:noProof/>
        </w:rPr>
        <w:t xml:space="preserve"> </w:t>
      </w:r>
      <w:r w:rsidRPr="005B01FE">
        <w:rPr>
          <w:iCs/>
          <w:noProof/>
        </w:rPr>
        <w:t xml:space="preserve">period. </w:t>
      </w:r>
      <w:r w:rsidR="00112857">
        <w:rPr>
          <w:noProof/>
        </w:rPr>
        <w:t>An exemption that had been implemented and applied the most</w:t>
      </w:r>
      <w:r w:rsidR="009122DC">
        <w:rPr>
          <w:iCs/>
          <w:noProof/>
        </w:rPr>
        <w:t xml:space="preserve"> </w:t>
      </w:r>
      <w:r w:rsidR="00D94862" w:rsidRPr="005B01FE">
        <w:rPr>
          <w:iCs/>
          <w:noProof/>
        </w:rPr>
        <w:t>was</w:t>
      </w:r>
      <w:r w:rsidR="00534553" w:rsidRPr="005B01FE">
        <w:rPr>
          <w:iCs/>
          <w:noProof/>
        </w:rPr>
        <w:t xml:space="preserve"> an exemption resulting from the nature of the services concerned</w:t>
      </w:r>
      <w:r w:rsidR="0018406B" w:rsidRPr="005B01FE">
        <w:rPr>
          <w:iCs/>
          <w:noProof/>
        </w:rPr>
        <w:t xml:space="preserve">, which would make it impracticable or </w:t>
      </w:r>
      <w:r w:rsidR="00112857">
        <w:rPr>
          <w:noProof/>
        </w:rPr>
        <w:t xml:space="preserve">unjustified </w:t>
      </w:r>
      <w:r w:rsidR="0018406B" w:rsidRPr="005B01FE">
        <w:rPr>
          <w:iCs/>
          <w:noProof/>
        </w:rPr>
        <w:t xml:space="preserve">to apply the obligations. </w:t>
      </w:r>
      <w:r w:rsidR="00AD1AC8" w:rsidRPr="005B01FE">
        <w:rPr>
          <w:iCs/>
          <w:noProof/>
        </w:rPr>
        <w:t>In Austria, for instance, several VOD services were exempted because they were sport</w:t>
      </w:r>
      <w:r w:rsidR="00A91E69" w:rsidRPr="005B01FE">
        <w:rPr>
          <w:iCs/>
          <w:noProof/>
        </w:rPr>
        <w:t>-focused</w:t>
      </w:r>
      <w:r w:rsidR="00AD1AC8" w:rsidRPr="005B01FE">
        <w:rPr>
          <w:iCs/>
          <w:noProof/>
        </w:rPr>
        <w:t xml:space="preserve"> VOD services. </w:t>
      </w:r>
      <w:r w:rsidR="0018406B" w:rsidRPr="005B01FE">
        <w:rPr>
          <w:iCs/>
          <w:noProof/>
        </w:rPr>
        <w:t xml:space="preserve">Where Member States had rules in place during the reference period, the Commission guidelines’ turnover </w:t>
      </w:r>
      <w:r w:rsidR="00911367" w:rsidRPr="005B01FE">
        <w:rPr>
          <w:iCs/>
          <w:noProof/>
        </w:rPr>
        <w:t xml:space="preserve">threshold </w:t>
      </w:r>
      <w:r w:rsidR="0018406B" w:rsidRPr="005B01FE">
        <w:rPr>
          <w:iCs/>
          <w:noProof/>
        </w:rPr>
        <w:t>w</w:t>
      </w:r>
      <w:r w:rsidR="00911367" w:rsidRPr="005B01FE">
        <w:rPr>
          <w:iCs/>
          <w:noProof/>
        </w:rPr>
        <w:t>as</w:t>
      </w:r>
      <w:r w:rsidR="0018406B" w:rsidRPr="005B01FE">
        <w:rPr>
          <w:iCs/>
          <w:noProof/>
        </w:rPr>
        <w:t xml:space="preserve"> generally applied</w:t>
      </w:r>
      <w:r w:rsidR="00911367" w:rsidRPr="005B01FE">
        <w:rPr>
          <w:iCs/>
          <w:noProof/>
        </w:rPr>
        <w:t xml:space="preserve">. </w:t>
      </w:r>
      <w:r w:rsidR="00E66FF8" w:rsidRPr="005B01FE">
        <w:rPr>
          <w:iCs/>
          <w:noProof/>
        </w:rPr>
        <w:t>Regarding</w:t>
      </w:r>
      <w:r w:rsidR="00911367" w:rsidRPr="005B01FE">
        <w:rPr>
          <w:iCs/>
          <w:noProof/>
        </w:rPr>
        <w:t xml:space="preserve"> the audience share exemption, there were some variations in terms of the exact threshold or the way it was assessed</w:t>
      </w:r>
      <w:r w:rsidR="0018406B" w:rsidRPr="005B01FE">
        <w:rPr>
          <w:iCs/>
          <w:noProof/>
        </w:rPr>
        <w:t>.</w:t>
      </w:r>
      <w:r w:rsidR="00D66669" w:rsidRPr="005B01FE">
        <w:rPr>
          <w:iCs/>
          <w:noProof/>
        </w:rPr>
        <w:t xml:space="preserve"> For example, in Croatia</w:t>
      </w:r>
      <w:r w:rsidR="00320670">
        <w:rPr>
          <w:iCs/>
          <w:noProof/>
        </w:rPr>
        <w:t>,</w:t>
      </w:r>
      <w:r w:rsidR="00D66669" w:rsidRPr="005B01FE">
        <w:rPr>
          <w:iCs/>
          <w:noProof/>
        </w:rPr>
        <w:t xml:space="preserve"> </w:t>
      </w:r>
      <w:r w:rsidR="00D66669" w:rsidRPr="005B01FE">
        <w:rPr>
          <w:noProof/>
          <w:lang w:eastAsia="en-GB"/>
        </w:rPr>
        <w:t xml:space="preserve">the audience share to be used is 0.3% or less of </w:t>
      </w:r>
      <w:r w:rsidR="001D40EC" w:rsidRPr="005B01FE">
        <w:rPr>
          <w:noProof/>
          <w:lang w:eastAsia="en-GB"/>
        </w:rPr>
        <w:t xml:space="preserve">the </w:t>
      </w:r>
      <w:r w:rsidR="00D66669" w:rsidRPr="005B01FE">
        <w:rPr>
          <w:noProof/>
          <w:lang w:eastAsia="en-GB"/>
        </w:rPr>
        <w:t xml:space="preserve">total audience, while in Sweden, the 1% </w:t>
      </w:r>
      <w:r w:rsidR="00320670" w:rsidRPr="005B01FE">
        <w:rPr>
          <w:iCs/>
          <w:noProof/>
        </w:rPr>
        <w:t xml:space="preserve">threshold </w:t>
      </w:r>
      <w:r w:rsidR="00D66669" w:rsidRPr="005B01FE">
        <w:rPr>
          <w:noProof/>
          <w:lang w:eastAsia="en-GB"/>
        </w:rPr>
        <w:t xml:space="preserve">is based on </w:t>
      </w:r>
      <w:r w:rsidR="001D40EC" w:rsidRPr="005B01FE">
        <w:rPr>
          <w:noProof/>
          <w:lang w:eastAsia="en-GB"/>
        </w:rPr>
        <w:t xml:space="preserve">the </w:t>
      </w:r>
      <w:r w:rsidR="00D66669" w:rsidRPr="005B01FE">
        <w:rPr>
          <w:noProof/>
          <w:lang w:eastAsia="en-GB"/>
        </w:rPr>
        <w:t xml:space="preserve">viewing time of the catalogues. </w:t>
      </w:r>
      <w:r w:rsidR="005D0528" w:rsidRPr="005B01FE">
        <w:rPr>
          <w:iCs/>
          <w:noProof/>
        </w:rPr>
        <w:t xml:space="preserve"> </w:t>
      </w:r>
    </w:p>
    <w:p w14:paraId="702DA8FC" w14:textId="77777777" w:rsidR="00CD23B2" w:rsidRPr="005B01FE" w:rsidRDefault="00CD23B2" w:rsidP="00D45ED6">
      <w:pPr>
        <w:spacing w:before="240" w:after="0"/>
        <w:contextualSpacing/>
        <w:rPr>
          <w:iCs/>
          <w:noProof/>
        </w:rPr>
      </w:pPr>
    </w:p>
    <w:p w14:paraId="4F291284" w14:textId="67D89437" w:rsidR="00CF5542" w:rsidRPr="003E04DB" w:rsidRDefault="00D45ED6" w:rsidP="003E04DB">
      <w:pPr>
        <w:pStyle w:val="Heading2"/>
        <w:rPr>
          <w:noProof/>
        </w:rPr>
      </w:pPr>
      <w:bookmarkStart w:id="23" w:name="_Toc167898089"/>
      <w:r w:rsidRPr="005B01FE">
        <w:rPr>
          <w:noProof/>
        </w:rPr>
        <w:t>Methods of implementation and monitoring by the Member States</w:t>
      </w:r>
      <w:bookmarkEnd w:id="23"/>
    </w:p>
    <w:p w14:paraId="1213B29F" w14:textId="4EF542DD" w:rsidR="00493F8C" w:rsidRPr="005B01FE" w:rsidRDefault="00F517AF" w:rsidP="003E04DB">
      <w:pPr>
        <w:spacing w:before="240" w:after="0"/>
        <w:rPr>
          <w:noProof/>
        </w:rPr>
      </w:pPr>
      <w:r w:rsidRPr="005B01FE">
        <w:rPr>
          <w:noProof/>
        </w:rPr>
        <w:t>Under Article 13(4)</w:t>
      </w:r>
      <w:r w:rsidR="00D16E7F" w:rsidRPr="005B01FE">
        <w:rPr>
          <w:noProof/>
        </w:rPr>
        <w:t xml:space="preserve"> of the</w:t>
      </w:r>
      <w:r w:rsidR="00E76C47" w:rsidRPr="005B01FE">
        <w:rPr>
          <w:noProof/>
        </w:rPr>
        <w:t xml:space="preserve"> AVMSD</w:t>
      </w:r>
      <w:r w:rsidRPr="005B01FE">
        <w:rPr>
          <w:noProof/>
        </w:rPr>
        <w:t>, Member States are obliged to report to the Commission on the implementation of Article 13</w:t>
      </w:r>
      <w:r w:rsidR="00C541A9">
        <w:rPr>
          <w:noProof/>
        </w:rPr>
        <w:t>(1) and (2)</w:t>
      </w:r>
      <w:r w:rsidRPr="005B01FE">
        <w:rPr>
          <w:noProof/>
        </w:rPr>
        <w:t xml:space="preserve">. </w:t>
      </w:r>
      <w:r w:rsidR="00C541A9">
        <w:rPr>
          <w:noProof/>
        </w:rPr>
        <w:t>Various</w:t>
      </w:r>
      <w:r w:rsidR="00C541A9" w:rsidRPr="005B01FE">
        <w:rPr>
          <w:noProof/>
        </w:rPr>
        <w:t xml:space="preserve"> </w:t>
      </w:r>
      <w:r w:rsidRPr="005B01FE">
        <w:rPr>
          <w:noProof/>
        </w:rPr>
        <w:t xml:space="preserve">monitoring and verification systems can help to ensure accuracy of this data and ensure compliance with Article 13. </w:t>
      </w:r>
      <w:r w:rsidR="00F92B1E">
        <w:rPr>
          <w:noProof/>
        </w:rPr>
        <w:t>Most</w:t>
      </w:r>
      <w:r w:rsidRPr="005B01FE">
        <w:rPr>
          <w:noProof/>
        </w:rPr>
        <w:t xml:space="preserve"> Member States</w:t>
      </w:r>
      <w:r w:rsidRPr="005B01FE">
        <w:rPr>
          <w:rStyle w:val="FootnoteReference"/>
          <w:noProof/>
        </w:rPr>
        <w:footnoteReference w:id="46"/>
      </w:r>
      <w:r w:rsidRPr="005B01FE">
        <w:rPr>
          <w:noProof/>
        </w:rPr>
        <w:t xml:space="preserve"> </w:t>
      </w:r>
      <w:r w:rsidR="000C1887" w:rsidRPr="005B01FE">
        <w:rPr>
          <w:noProof/>
        </w:rPr>
        <w:t xml:space="preserve">and Iceland </w:t>
      </w:r>
      <w:r w:rsidRPr="005B01FE">
        <w:rPr>
          <w:noProof/>
        </w:rPr>
        <w:t>report</w:t>
      </w:r>
      <w:r w:rsidR="00D94862" w:rsidRPr="005B01FE">
        <w:rPr>
          <w:noProof/>
        </w:rPr>
        <w:t>ed</w:t>
      </w:r>
      <w:r w:rsidRPr="005B01FE">
        <w:rPr>
          <w:noProof/>
        </w:rPr>
        <w:t xml:space="preserve"> to have </w:t>
      </w:r>
      <w:r w:rsidR="00112857" w:rsidRPr="00E34E75">
        <w:rPr>
          <w:noProof/>
        </w:rPr>
        <w:t xml:space="preserve">identical </w:t>
      </w:r>
      <w:r w:rsidR="00F92B1E">
        <w:rPr>
          <w:noProof/>
        </w:rPr>
        <w:t xml:space="preserve">or similar </w:t>
      </w:r>
      <w:r w:rsidR="00112857" w:rsidRPr="00E34E75">
        <w:rPr>
          <w:noProof/>
        </w:rPr>
        <w:t xml:space="preserve">monitoring </w:t>
      </w:r>
      <w:r w:rsidR="000C1887" w:rsidRPr="005B01FE">
        <w:rPr>
          <w:noProof/>
        </w:rPr>
        <w:t xml:space="preserve">and verification </w:t>
      </w:r>
      <w:r w:rsidR="00D94862" w:rsidRPr="005B01FE">
        <w:rPr>
          <w:noProof/>
        </w:rPr>
        <w:t xml:space="preserve">systems </w:t>
      </w:r>
      <w:r w:rsidR="00C541A9">
        <w:rPr>
          <w:noProof/>
        </w:rPr>
        <w:t>for</w:t>
      </w:r>
      <w:r w:rsidR="00C541A9" w:rsidRPr="005B01FE">
        <w:rPr>
          <w:noProof/>
        </w:rPr>
        <w:t xml:space="preserve"> </w:t>
      </w:r>
      <w:r w:rsidRPr="005B01FE">
        <w:rPr>
          <w:noProof/>
        </w:rPr>
        <w:t xml:space="preserve">both </w:t>
      </w:r>
      <w:r w:rsidR="000C1887" w:rsidRPr="005B01FE">
        <w:rPr>
          <w:noProof/>
        </w:rPr>
        <w:t xml:space="preserve">VOD </w:t>
      </w:r>
      <w:r w:rsidR="00C541A9">
        <w:rPr>
          <w:noProof/>
        </w:rPr>
        <w:t xml:space="preserve">(Article 13) </w:t>
      </w:r>
      <w:r w:rsidR="000C1887" w:rsidRPr="005B01FE">
        <w:rPr>
          <w:noProof/>
        </w:rPr>
        <w:t xml:space="preserve">and linear services </w:t>
      </w:r>
      <w:r w:rsidR="00C541A9">
        <w:rPr>
          <w:noProof/>
        </w:rPr>
        <w:t>(</w:t>
      </w:r>
      <w:r w:rsidRPr="005B01FE">
        <w:rPr>
          <w:noProof/>
        </w:rPr>
        <w:t>Articles 16 and 17</w:t>
      </w:r>
      <w:r w:rsidR="00C541A9">
        <w:rPr>
          <w:noProof/>
        </w:rPr>
        <w:t>)</w:t>
      </w:r>
      <w:r w:rsidR="001D40EC" w:rsidRPr="005B01FE">
        <w:rPr>
          <w:noProof/>
        </w:rPr>
        <w:t>.</w:t>
      </w:r>
      <w:r w:rsidRPr="005B01FE">
        <w:rPr>
          <w:noProof/>
        </w:rPr>
        <w:t xml:space="preserve"> </w:t>
      </w:r>
      <w:r w:rsidR="00ED16AA" w:rsidRPr="005B01FE">
        <w:rPr>
          <w:noProof/>
        </w:rPr>
        <w:t xml:space="preserve">For instance, in Italy and Iceland, </w:t>
      </w:r>
      <w:r w:rsidR="0035309D">
        <w:rPr>
          <w:noProof/>
        </w:rPr>
        <w:t xml:space="preserve">both VOD and linear services had to report annually to the competent authority </w:t>
      </w:r>
      <w:r w:rsidR="00ED16AA" w:rsidRPr="005B01FE">
        <w:rPr>
          <w:noProof/>
        </w:rPr>
        <w:t xml:space="preserve">, while the competent authority could also conduct random checks. </w:t>
      </w:r>
      <w:r w:rsidR="001D40EC" w:rsidRPr="005B01FE">
        <w:rPr>
          <w:noProof/>
        </w:rPr>
        <w:t xml:space="preserve">Please refer to </w:t>
      </w:r>
      <w:r w:rsidR="00C541A9">
        <w:rPr>
          <w:noProof/>
        </w:rPr>
        <w:t>S</w:t>
      </w:r>
      <w:r w:rsidR="001D40EC" w:rsidRPr="005B01FE">
        <w:rPr>
          <w:noProof/>
        </w:rPr>
        <w:t>ection 2.3 of this report for monitoring of linear services.</w:t>
      </w:r>
    </w:p>
    <w:p w14:paraId="4F55EA23" w14:textId="1824D94D" w:rsidR="005832FB" w:rsidRPr="005B01FE" w:rsidRDefault="005832FB" w:rsidP="00C41B02">
      <w:pPr>
        <w:spacing w:before="240" w:after="0"/>
        <w:contextualSpacing/>
        <w:rPr>
          <w:noProof/>
        </w:rPr>
      </w:pPr>
    </w:p>
    <w:p w14:paraId="2093F6E8" w14:textId="75844AA5" w:rsidR="005832FB" w:rsidRPr="005B01FE" w:rsidRDefault="005832FB" w:rsidP="00C41B02">
      <w:pPr>
        <w:spacing w:before="240" w:after="0"/>
        <w:contextualSpacing/>
        <w:rPr>
          <w:noProof/>
        </w:rPr>
      </w:pPr>
      <w:r w:rsidRPr="005B01FE">
        <w:rPr>
          <w:noProof/>
        </w:rPr>
        <w:t xml:space="preserve">In contrast, in </w:t>
      </w:r>
      <w:r w:rsidR="00F92B1E">
        <w:rPr>
          <w:noProof/>
        </w:rPr>
        <w:t xml:space="preserve">notably </w:t>
      </w:r>
      <w:r w:rsidR="00A3253D">
        <w:rPr>
          <w:noProof/>
        </w:rPr>
        <w:t>five</w:t>
      </w:r>
      <w:r w:rsidR="00FE1EC1" w:rsidRPr="005B01FE">
        <w:rPr>
          <w:noProof/>
        </w:rPr>
        <w:t xml:space="preserve"> </w:t>
      </w:r>
      <w:r w:rsidRPr="005B01FE">
        <w:rPr>
          <w:noProof/>
        </w:rPr>
        <w:t>Member States</w:t>
      </w:r>
      <w:r w:rsidRPr="005B01FE">
        <w:rPr>
          <w:rStyle w:val="FootnoteReference"/>
          <w:noProof/>
        </w:rPr>
        <w:footnoteReference w:id="47"/>
      </w:r>
      <w:r w:rsidRPr="005B01FE">
        <w:rPr>
          <w:noProof/>
        </w:rPr>
        <w:t>, the monitoring systems for VOD service providers differ</w:t>
      </w:r>
      <w:r w:rsidR="00D94862" w:rsidRPr="005B01FE">
        <w:rPr>
          <w:noProof/>
        </w:rPr>
        <w:t>ed</w:t>
      </w:r>
      <w:r w:rsidRPr="005B01FE">
        <w:rPr>
          <w:noProof/>
        </w:rPr>
        <w:t xml:space="preserve"> from the systems applied </w:t>
      </w:r>
      <w:r w:rsidR="00C541A9">
        <w:rPr>
          <w:noProof/>
        </w:rPr>
        <w:t>to</w:t>
      </w:r>
      <w:r w:rsidR="00C541A9" w:rsidRPr="005B01FE">
        <w:rPr>
          <w:noProof/>
        </w:rPr>
        <w:t xml:space="preserve"> </w:t>
      </w:r>
      <w:r w:rsidRPr="005B01FE">
        <w:rPr>
          <w:noProof/>
        </w:rPr>
        <w:t>linear service providers</w:t>
      </w:r>
      <w:r w:rsidR="00C541A9">
        <w:rPr>
          <w:noProof/>
        </w:rPr>
        <w:t>.</w:t>
      </w:r>
    </w:p>
    <w:p w14:paraId="5E133C74" w14:textId="2F61B526" w:rsidR="005832FB" w:rsidRPr="005B01FE" w:rsidRDefault="005832FB" w:rsidP="00C41B02">
      <w:pPr>
        <w:spacing w:before="240" w:after="0"/>
        <w:contextualSpacing/>
        <w:rPr>
          <w:noProof/>
          <w:highlight w:val="yellow"/>
        </w:rPr>
      </w:pPr>
    </w:p>
    <w:p w14:paraId="2B9D696E" w14:textId="26A7EDDF" w:rsidR="005832FB" w:rsidRPr="005B01FE" w:rsidRDefault="005832FB" w:rsidP="005832FB">
      <w:pPr>
        <w:numPr>
          <w:ilvl w:val="0"/>
          <w:numId w:val="47"/>
        </w:numPr>
        <w:spacing w:before="240" w:after="0"/>
        <w:contextualSpacing/>
        <w:rPr>
          <w:noProof/>
        </w:rPr>
      </w:pPr>
      <w:r w:rsidRPr="005B01FE">
        <w:rPr>
          <w:noProof/>
        </w:rPr>
        <w:t>In the French Community of Belgium, V</w:t>
      </w:r>
      <w:r w:rsidR="008D496F" w:rsidRPr="005B01FE">
        <w:rPr>
          <w:noProof/>
        </w:rPr>
        <w:t>O</w:t>
      </w:r>
      <w:r w:rsidRPr="005B01FE">
        <w:rPr>
          <w:noProof/>
        </w:rPr>
        <w:t xml:space="preserve">D service providers </w:t>
      </w:r>
      <w:r w:rsidR="00D94862" w:rsidRPr="005B01FE">
        <w:rPr>
          <w:noProof/>
        </w:rPr>
        <w:t>were</w:t>
      </w:r>
      <w:r w:rsidRPr="005B01FE">
        <w:rPr>
          <w:noProof/>
        </w:rPr>
        <w:t xml:space="preserve"> required to report the number of views and rentals of each work in their catalogues for a </w:t>
      </w:r>
      <w:r w:rsidR="00C541A9">
        <w:rPr>
          <w:noProof/>
        </w:rPr>
        <w:t>1</w:t>
      </w:r>
      <w:r w:rsidRPr="005B01FE">
        <w:rPr>
          <w:noProof/>
        </w:rPr>
        <w:t xml:space="preserve">-month reference period, also indicating the 50 most watched works </w:t>
      </w:r>
      <w:r w:rsidR="00AA63CA">
        <w:rPr>
          <w:noProof/>
        </w:rPr>
        <w:t>in</w:t>
      </w:r>
      <w:r w:rsidR="00AA63CA" w:rsidRPr="00E34E75">
        <w:rPr>
          <w:noProof/>
        </w:rPr>
        <w:t xml:space="preserve"> </w:t>
      </w:r>
      <w:r w:rsidRPr="005B01FE">
        <w:rPr>
          <w:noProof/>
        </w:rPr>
        <w:t xml:space="preserve">the last </w:t>
      </w:r>
      <w:r w:rsidR="00C541A9">
        <w:rPr>
          <w:noProof/>
        </w:rPr>
        <w:t>6 </w:t>
      </w:r>
      <w:r w:rsidRPr="005B01FE">
        <w:rPr>
          <w:noProof/>
        </w:rPr>
        <w:t xml:space="preserve">months. </w:t>
      </w:r>
    </w:p>
    <w:p w14:paraId="0BEA0742" w14:textId="77777777" w:rsidR="008D496F" w:rsidRPr="005B01FE" w:rsidRDefault="008D496F" w:rsidP="00D573C1">
      <w:pPr>
        <w:spacing w:before="240" w:after="0"/>
        <w:contextualSpacing/>
        <w:rPr>
          <w:noProof/>
          <w:highlight w:val="yellow"/>
        </w:rPr>
      </w:pPr>
    </w:p>
    <w:p w14:paraId="3FA15A42" w14:textId="0811C864" w:rsidR="005832FB" w:rsidRPr="005B01FE" w:rsidRDefault="005832FB" w:rsidP="005832FB">
      <w:pPr>
        <w:numPr>
          <w:ilvl w:val="0"/>
          <w:numId w:val="47"/>
        </w:numPr>
        <w:spacing w:before="240" w:after="0"/>
        <w:contextualSpacing/>
        <w:rPr>
          <w:noProof/>
        </w:rPr>
      </w:pPr>
      <w:r w:rsidRPr="005B01FE">
        <w:rPr>
          <w:noProof/>
        </w:rPr>
        <w:t xml:space="preserve">In Germany, monitoring of </w:t>
      </w:r>
      <w:r w:rsidR="00C541A9">
        <w:rPr>
          <w:noProof/>
        </w:rPr>
        <w:t xml:space="preserve">VOD </w:t>
      </w:r>
      <w:r w:rsidRPr="005B01FE">
        <w:rPr>
          <w:noProof/>
        </w:rPr>
        <w:t>service providers was introduced in 2021</w:t>
      </w:r>
      <w:r w:rsidR="008D496F" w:rsidRPr="005B01FE">
        <w:rPr>
          <w:noProof/>
        </w:rPr>
        <w:t xml:space="preserve"> to be carried out on a case-by-case basis by the Commission on Licensing and Supervision (ZAK), which is the central body of state media authorities</w:t>
      </w:r>
      <w:r w:rsidRPr="005B01FE">
        <w:rPr>
          <w:noProof/>
        </w:rPr>
        <w:t xml:space="preserve">. Before </w:t>
      </w:r>
      <w:r w:rsidR="008D496F" w:rsidRPr="005B01FE">
        <w:rPr>
          <w:noProof/>
        </w:rPr>
        <w:t>that</w:t>
      </w:r>
      <w:r w:rsidRPr="005B01FE">
        <w:rPr>
          <w:noProof/>
        </w:rPr>
        <w:t xml:space="preserve">, monitoring only existed in </w:t>
      </w:r>
      <w:r w:rsidR="00C541A9">
        <w:rPr>
          <w:noProof/>
        </w:rPr>
        <w:t>the form of</w:t>
      </w:r>
      <w:r w:rsidR="00C541A9" w:rsidRPr="005B01FE">
        <w:rPr>
          <w:noProof/>
        </w:rPr>
        <w:t xml:space="preserve"> </w:t>
      </w:r>
      <w:r w:rsidRPr="005B01FE">
        <w:rPr>
          <w:noProof/>
        </w:rPr>
        <w:t xml:space="preserve">checks on the fulfilment of the financial obligations of </w:t>
      </w:r>
      <w:r w:rsidR="007C0F47">
        <w:rPr>
          <w:noProof/>
        </w:rPr>
        <w:t>VOD</w:t>
      </w:r>
      <w:r w:rsidRPr="005B01FE">
        <w:rPr>
          <w:noProof/>
        </w:rPr>
        <w:t xml:space="preserve"> service providers (which included on-site checks carried out by third parties commissioned by the competent authority).</w:t>
      </w:r>
    </w:p>
    <w:p w14:paraId="721F9068" w14:textId="77777777" w:rsidR="008D496F" w:rsidRPr="005B01FE" w:rsidRDefault="008D496F" w:rsidP="00D573C1">
      <w:pPr>
        <w:spacing w:before="240" w:after="0"/>
        <w:contextualSpacing/>
        <w:rPr>
          <w:noProof/>
          <w:highlight w:val="yellow"/>
        </w:rPr>
      </w:pPr>
    </w:p>
    <w:p w14:paraId="59E17B84" w14:textId="0ACF4517" w:rsidR="005832FB" w:rsidRPr="005B01FE" w:rsidRDefault="005832FB" w:rsidP="005832FB">
      <w:pPr>
        <w:numPr>
          <w:ilvl w:val="0"/>
          <w:numId w:val="47"/>
        </w:numPr>
        <w:spacing w:before="240" w:after="0"/>
        <w:contextualSpacing/>
        <w:rPr>
          <w:noProof/>
        </w:rPr>
      </w:pPr>
      <w:r w:rsidRPr="005B01FE">
        <w:rPr>
          <w:noProof/>
        </w:rPr>
        <w:t xml:space="preserve">In Spain, no monitoring system for </w:t>
      </w:r>
      <w:r w:rsidR="00C541A9">
        <w:rPr>
          <w:noProof/>
        </w:rPr>
        <w:t>VOD</w:t>
      </w:r>
      <w:r w:rsidRPr="005B01FE">
        <w:rPr>
          <w:noProof/>
        </w:rPr>
        <w:t xml:space="preserve"> service providers </w:t>
      </w:r>
      <w:r w:rsidR="0035309D">
        <w:rPr>
          <w:noProof/>
        </w:rPr>
        <w:t xml:space="preserve">is foreseen in </w:t>
      </w:r>
      <w:r w:rsidRPr="005B01FE">
        <w:rPr>
          <w:noProof/>
        </w:rPr>
        <w:t xml:space="preserve">law. Nevertheless, the Spanish National Markets and Competition Commission (CNMC) has established an administrative practice, including systematic information requests on an annual basis to </w:t>
      </w:r>
      <w:r w:rsidR="007C0F47">
        <w:rPr>
          <w:noProof/>
        </w:rPr>
        <w:t>VOD</w:t>
      </w:r>
      <w:r w:rsidRPr="005B01FE">
        <w:rPr>
          <w:noProof/>
        </w:rPr>
        <w:t xml:space="preserve"> service providers established in Spain. In case of need, on-site inspections </w:t>
      </w:r>
      <w:r w:rsidR="00D94862" w:rsidRPr="005B01FE">
        <w:rPr>
          <w:noProof/>
        </w:rPr>
        <w:t>were</w:t>
      </w:r>
      <w:r w:rsidRPr="005B01FE">
        <w:rPr>
          <w:noProof/>
        </w:rPr>
        <w:t xml:space="preserve"> also conducted to verify information.</w:t>
      </w:r>
    </w:p>
    <w:p w14:paraId="0CD354E2" w14:textId="77777777" w:rsidR="008D496F" w:rsidRPr="005B01FE" w:rsidRDefault="008D496F" w:rsidP="00D573C1">
      <w:pPr>
        <w:spacing w:before="240" w:after="0"/>
        <w:contextualSpacing/>
        <w:rPr>
          <w:noProof/>
          <w:highlight w:val="yellow"/>
        </w:rPr>
      </w:pPr>
    </w:p>
    <w:p w14:paraId="4B431E97" w14:textId="51B52C61" w:rsidR="005832FB" w:rsidRPr="005B01FE" w:rsidRDefault="00D21625" w:rsidP="008E3866">
      <w:pPr>
        <w:numPr>
          <w:ilvl w:val="0"/>
          <w:numId w:val="47"/>
        </w:numPr>
        <w:spacing w:before="240" w:after="0"/>
        <w:contextualSpacing/>
        <w:rPr>
          <w:noProof/>
        </w:rPr>
      </w:pPr>
      <w:r w:rsidRPr="00DA539E">
        <w:rPr>
          <w:noProof/>
        </w:rPr>
        <w:t xml:space="preserve">In the Netherlands, in contrast with the monitoring of linear audiovisual service providers, the competent authority not only required data to be reported annually, but </w:t>
      </w:r>
      <w:r w:rsidR="0035309D">
        <w:rPr>
          <w:noProof/>
        </w:rPr>
        <w:t xml:space="preserve">also conducts </w:t>
      </w:r>
      <w:r w:rsidRPr="00DA539E">
        <w:rPr>
          <w:noProof/>
        </w:rPr>
        <w:t>additional random checks on</w:t>
      </w:r>
      <w:r>
        <w:rPr>
          <w:noProof/>
        </w:rPr>
        <w:t xml:space="preserve"> </w:t>
      </w:r>
      <w:r w:rsidR="00C541A9">
        <w:rPr>
          <w:noProof/>
        </w:rPr>
        <w:t>VOD</w:t>
      </w:r>
      <w:r w:rsidR="005832FB" w:rsidRPr="005B01FE">
        <w:rPr>
          <w:noProof/>
        </w:rPr>
        <w:t xml:space="preserve"> service providers throughout the year.</w:t>
      </w:r>
      <w:r w:rsidR="007A4232">
        <w:rPr>
          <w:noProof/>
        </w:rPr>
        <w:t xml:space="preserve"> </w:t>
      </w:r>
    </w:p>
    <w:p w14:paraId="6BC06017" w14:textId="77777777" w:rsidR="008D496F" w:rsidRPr="005B01FE" w:rsidRDefault="008D496F" w:rsidP="00D573C1">
      <w:pPr>
        <w:spacing w:before="240" w:after="0"/>
        <w:contextualSpacing/>
        <w:rPr>
          <w:noProof/>
          <w:highlight w:val="yellow"/>
        </w:rPr>
      </w:pPr>
    </w:p>
    <w:p w14:paraId="4C82B2B6" w14:textId="53BA8F58" w:rsidR="005832FB" w:rsidRPr="005B01FE" w:rsidRDefault="005832FB" w:rsidP="005832FB">
      <w:pPr>
        <w:numPr>
          <w:ilvl w:val="0"/>
          <w:numId w:val="47"/>
        </w:numPr>
        <w:spacing w:before="240" w:after="0"/>
        <w:contextualSpacing/>
        <w:rPr>
          <w:noProof/>
        </w:rPr>
      </w:pPr>
      <w:r w:rsidRPr="005B01FE">
        <w:rPr>
          <w:noProof/>
        </w:rPr>
        <w:t xml:space="preserve">In Romania, </w:t>
      </w:r>
      <w:r w:rsidR="00C541A9">
        <w:rPr>
          <w:noProof/>
        </w:rPr>
        <w:t>VOD</w:t>
      </w:r>
      <w:r w:rsidRPr="005B01FE">
        <w:rPr>
          <w:noProof/>
        </w:rPr>
        <w:t xml:space="preserve"> service providers </w:t>
      </w:r>
      <w:r w:rsidR="0035309D">
        <w:rPr>
          <w:noProof/>
        </w:rPr>
        <w:t xml:space="preserve">are </w:t>
      </w:r>
      <w:r w:rsidRPr="005B01FE">
        <w:rPr>
          <w:noProof/>
        </w:rPr>
        <w:t xml:space="preserve">required to provide data quarterly (the competent authority examines the fulfilment of the year’s obligations annually, on the basis of aggregated data). Furthermore, </w:t>
      </w:r>
      <w:r w:rsidR="00C541A9">
        <w:rPr>
          <w:noProof/>
        </w:rPr>
        <w:t>VOD</w:t>
      </w:r>
      <w:r w:rsidRPr="005B01FE">
        <w:rPr>
          <w:noProof/>
        </w:rPr>
        <w:t xml:space="preserve"> service providers </w:t>
      </w:r>
      <w:r w:rsidR="0035309D">
        <w:rPr>
          <w:noProof/>
        </w:rPr>
        <w:t xml:space="preserve">are </w:t>
      </w:r>
      <w:r w:rsidRPr="005B01FE">
        <w:rPr>
          <w:noProof/>
        </w:rPr>
        <w:t xml:space="preserve">required to submit to the </w:t>
      </w:r>
      <w:r w:rsidR="008D496F" w:rsidRPr="005B01FE">
        <w:rPr>
          <w:noProof/>
        </w:rPr>
        <w:t xml:space="preserve">national regulatory authority </w:t>
      </w:r>
      <w:r w:rsidRPr="005B01FE">
        <w:rPr>
          <w:noProof/>
        </w:rPr>
        <w:t xml:space="preserve">a statistical report regarding the percentage and visibility of European </w:t>
      </w:r>
      <w:r w:rsidR="004205B0" w:rsidRPr="005B01FE">
        <w:rPr>
          <w:noProof/>
        </w:rPr>
        <w:t xml:space="preserve">works </w:t>
      </w:r>
      <w:r w:rsidRPr="005B01FE">
        <w:rPr>
          <w:noProof/>
        </w:rPr>
        <w:t xml:space="preserve">in their programme catalogue. This report must be submitted annually. </w:t>
      </w:r>
    </w:p>
    <w:p w14:paraId="33F27336" w14:textId="62190D2D" w:rsidR="00493F8C" w:rsidRPr="005B01FE" w:rsidRDefault="00493F8C" w:rsidP="00C41B02">
      <w:pPr>
        <w:spacing w:before="240" w:after="0"/>
        <w:contextualSpacing/>
        <w:rPr>
          <w:noProof/>
          <w:highlight w:val="yellow"/>
        </w:rPr>
      </w:pPr>
    </w:p>
    <w:p w14:paraId="2EFF7F86" w14:textId="18875762" w:rsidR="005832FB" w:rsidRPr="005B01FE" w:rsidRDefault="005832FB" w:rsidP="00C41B02">
      <w:pPr>
        <w:spacing w:before="240" w:after="0"/>
        <w:contextualSpacing/>
        <w:rPr>
          <w:noProof/>
        </w:rPr>
      </w:pPr>
      <w:r w:rsidRPr="005B01FE">
        <w:rPr>
          <w:noProof/>
        </w:rPr>
        <w:t xml:space="preserve">Moreover, in the reference period, </w:t>
      </w:r>
      <w:r w:rsidR="00CB3B19" w:rsidRPr="00DA539E">
        <w:rPr>
          <w:noProof/>
        </w:rPr>
        <w:t>four Member States</w:t>
      </w:r>
      <w:r w:rsidR="00CB3B19" w:rsidRPr="00DA539E">
        <w:rPr>
          <w:rStyle w:val="FootnoteReference"/>
          <w:noProof/>
        </w:rPr>
        <w:footnoteReference w:id="48"/>
      </w:r>
      <w:r w:rsidR="00CB3B19" w:rsidRPr="00DA539E">
        <w:rPr>
          <w:noProof/>
        </w:rPr>
        <w:t xml:space="preserve"> and two</w:t>
      </w:r>
      <w:r w:rsidR="00CB3B19">
        <w:rPr>
          <w:noProof/>
        </w:rPr>
        <w:t xml:space="preserve"> </w:t>
      </w:r>
      <w:r w:rsidR="000C1887" w:rsidRPr="005B01FE">
        <w:rPr>
          <w:noProof/>
        </w:rPr>
        <w:t>EEA</w:t>
      </w:r>
      <w:r w:rsidR="001002D6">
        <w:rPr>
          <w:noProof/>
        </w:rPr>
        <w:t xml:space="preserve"> EFTA</w:t>
      </w:r>
      <w:r w:rsidR="000C1887" w:rsidRPr="005B01FE">
        <w:rPr>
          <w:noProof/>
        </w:rPr>
        <w:t xml:space="preserve"> countries (Liechtenstein and Norway) </w:t>
      </w:r>
      <w:r w:rsidRPr="005B01FE">
        <w:rPr>
          <w:noProof/>
        </w:rPr>
        <w:t>did not have any monitoring system in place for VOD service providers.</w:t>
      </w:r>
      <w:r w:rsidR="006D0044">
        <w:rPr>
          <w:noProof/>
        </w:rPr>
        <w:t xml:space="preserve"> </w:t>
      </w:r>
    </w:p>
    <w:p w14:paraId="2853269B" w14:textId="1EE02092" w:rsidR="005832FB" w:rsidRPr="005B01FE" w:rsidRDefault="005832FB" w:rsidP="00C41B02">
      <w:pPr>
        <w:spacing w:before="240" w:after="0"/>
        <w:contextualSpacing/>
        <w:rPr>
          <w:noProof/>
          <w:highlight w:val="yellow"/>
        </w:rPr>
      </w:pPr>
    </w:p>
    <w:p w14:paraId="11A6DC6D" w14:textId="6871AF26" w:rsidR="009C72C5" w:rsidRPr="005B01FE" w:rsidRDefault="00D21625" w:rsidP="005832FB">
      <w:pPr>
        <w:spacing w:before="240" w:after="0"/>
        <w:contextualSpacing/>
        <w:rPr>
          <w:noProof/>
        </w:rPr>
      </w:pPr>
      <w:bookmarkStart w:id="24" w:name="_Hlk163485109"/>
      <w:r w:rsidRPr="00E34E75">
        <w:rPr>
          <w:noProof/>
        </w:rPr>
        <w:t>Similarly to monitoring, the most widely applied</w:t>
      </w:r>
      <w:bookmarkEnd w:id="24"/>
      <w:r>
        <w:rPr>
          <w:noProof/>
        </w:rPr>
        <w:t xml:space="preserve"> </w:t>
      </w:r>
      <w:r w:rsidR="00191975">
        <w:rPr>
          <w:noProof/>
        </w:rPr>
        <w:t>penalties</w:t>
      </w:r>
      <w:r w:rsidR="00191975" w:rsidRPr="005B01FE">
        <w:rPr>
          <w:noProof/>
        </w:rPr>
        <w:t xml:space="preserve"> </w:t>
      </w:r>
      <w:r w:rsidR="00ED16AA" w:rsidRPr="005B01FE">
        <w:rPr>
          <w:noProof/>
        </w:rPr>
        <w:t>(warnings, fines and licence withdrawals)</w:t>
      </w:r>
      <w:r w:rsidR="000C1887" w:rsidRPr="005B01FE">
        <w:rPr>
          <w:noProof/>
        </w:rPr>
        <w:t xml:space="preserve"> </w:t>
      </w:r>
      <w:r w:rsidR="00191975">
        <w:rPr>
          <w:noProof/>
        </w:rPr>
        <w:t>for</w:t>
      </w:r>
      <w:r w:rsidR="00191975" w:rsidRPr="005B01FE">
        <w:rPr>
          <w:noProof/>
        </w:rPr>
        <w:t xml:space="preserve"> </w:t>
      </w:r>
      <w:r w:rsidR="000C1887" w:rsidRPr="005B01FE">
        <w:rPr>
          <w:noProof/>
        </w:rPr>
        <w:t>VOD service providers</w:t>
      </w:r>
      <w:r w:rsidR="005832FB" w:rsidRPr="005B01FE">
        <w:rPr>
          <w:noProof/>
        </w:rPr>
        <w:t xml:space="preserve"> </w:t>
      </w:r>
      <w:r w:rsidR="00D94862" w:rsidRPr="005B01FE">
        <w:rPr>
          <w:noProof/>
        </w:rPr>
        <w:t>were</w:t>
      </w:r>
      <w:r w:rsidR="005832FB" w:rsidRPr="005B01FE">
        <w:rPr>
          <w:noProof/>
        </w:rPr>
        <w:t xml:space="preserve"> identical to those </w:t>
      </w:r>
      <w:r w:rsidR="00191975">
        <w:rPr>
          <w:noProof/>
        </w:rPr>
        <w:t>for</w:t>
      </w:r>
      <w:r w:rsidR="005832FB" w:rsidRPr="005B01FE">
        <w:rPr>
          <w:noProof/>
        </w:rPr>
        <w:t xml:space="preserve"> linear service providers. However, in six Member States</w:t>
      </w:r>
      <w:r w:rsidR="00337294" w:rsidRPr="005B01FE">
        <w:rPr>
          <w:rStyle w:val="FootnoteReference"/>
          <w:noProof/>
        </w:rPr>
        <w:footnoteReference w:id="49"/>
      </w:r>
      <w:r w:rsidR="00191975">
        <w:rPr>
          <w:noProof/>
        </w:rPr>
        <w:t>,</w:t>
      </w:r>
      <w:r w:rsidR="005832FB" w:rsidRPr="005B01FE">
        <w:rPr>
          <w:noProof/>
        </w:rPr>
        <w:t xml:space="preserve"> the </w:t>
      </w:r>
      <w:r w:rsidR="00191975">
        <w:rPr>
          <w:noProof/>
        </w:rPr>
        <w:t xml:space="preserve">penalties for VOD service providers were slightly different from </w:t>
      </w:r>
      <w:r w:rsidR="005832FB" w:rsidRPr="005B01FE">
        <w:rPr>
          <w:noProof/>
        </w:rPr>
        <w:t xml:space="preserve">those </w:t>
      </w:r>
      <w:r w:rsidR="00191975">
        <w:rPr>
          <w:noProof/>
        </w:rPr>
        <w:t>for</w:t>
      </w:r>
      <w:r w:rsidR="005832FB" w:rsidRPr="005B01FE">
        <w:rPr>
          <w:noProof/>
        </w:rPr>
        <w:t xml:space="preserve"> broadcasters.</w:t>
      </w:r>
      <w:r w:rsidR="00CB3B19" w:rsidRPr="00E34E75">
        <w:rPr>
          <w:noProof/>
        </w:rPr>
        <w:t xml:space="preserve"> More specifically, Czechia and Malta had lower fines for non-compliance for VOD service providers</w:t>
      </w:r>
      <w:r w:rsidR="00CB3B19">
        <w:rPr>
          <w:rStyle w:val="FootnoteReference"/>
          <w:noProof/>
        </w:rPr>
        <w:footnoteReference w:id="50"/>
      </w:r>
      <w:r w:rsidR="00CB3B19" w:rsidRPr="00E34E75">
        <w:rPr>
          <w:noProof/>
        </w:rPr>
        <w:t>, while Slovakia applied higher fines</w:t>
      </w:r>
      <w:r w:rsidR="0096335E" w:rsidRPr="005B01FE">
        <w:rPr>
          <w:rStyle w:val="FootnoteReference"/>
          <w:noProof/>
        </w:rPr>
        <w:footnoteReference w:id="51"/>
      </w:r>
      <w:r w:rsidR="00112270" w:rsidRPr="00E34E75">
        <w:rPr>
          <w:noProof/>
        </w:rPr>
        <w:t>.</w:t>
      </w:r>
      <w:r w:rsidR="005832FB" w:rsidRPr="005B01FE">
        <w:rPr>
          <w:noProof/>
        </w:rPr>
        <w:t xml:space="preserve"> Furthermore, Estonia and the Netherlands </w:t>
      </w:r>
      <w:r w:rsidR="00191975">
        <w:rPr>
          <w:noProof/>
        </w:rPr>
        <w:t xml:space="preserve">had </w:t>
      </w:r>
      <w:r w:rsidR="005832FB" w:rsidRPr="005B01FE">
        <w:rPr>
          <w:noProof/>
        </w:rPr>
        <w:t xml:space="preserve">a narrower set of </w:t>
      </w:r>
      <w:r w:rsidR="00191975">
        <w:rPr>
          <w:noProof/>
        </w:rPr>
        <w:t>penalties</w:t>
      </w:r>
      <w:r w:rsidR="00191975" w:rsidRPr="005B01FE">
        <w:rPr>
          <w:noProof/>
        </w:rPr>
        <w:t xml:space="preserve"> </w:t>
      </w:r>
      <w:r w:rsidR="005832FB" w:rsidRPr="005B01FE">
        <w:rPr>
          <w:noProof/>
        </w:rPr>
        <w:t>for VOD service providers (</w:t>
      </w:r>
      <w:r w:rsidR="00193940">
        <w:rPr>
          <w:noProof/>
        </w:rPr>
        <w:t>for example,</w:t>
      </w:r>
      <w:r w:rsidR="005832FB" w:rsidRPr="005B01FE">
        <w:rPr>
          <w:noProof/>
        </w:rPr>
        <w:t xml:space="preserve"> the Netherlands d</w:t>
      </w:r>
      <w:r w:rsidR="00D94862" w:rsidRPr="005B01FE">
        <w:rPr>
          <w:noProof/>
        </w:rPr>
        <w:t>id</w:t>
      </w:r>
      <w:r w:rsidR="005832FB" w:rsidRPr="005B01FE">
        <w:rPr>
          <w:noProof/>
        </w:rPr>
        <w:t xml:space="preserve"> not </w:t>
      </w:r>
      <w:r w:rsidR="00191975">
        <w:rPr>
          <w:noProof/>
        </w:rPr>
        <w:t xml:space="preserve">give </w:t>
      </w:r>
      <w:r w:rsidR="005832FB" w:rsidRPr="005B01FE">
        <w:rPr>
          <w:noProof/>
        </w:rPr>
        <w:t>warnings, only fines)</w:t>
      </w:r>
      <w:r w:rsidR="007B118E">
        <w:rPr>
          <w:noProof/>
        </w:rPr>
        <w:t>. In Bulgaria, there were no sanctions for VOD service providers in relation to Article 13 of the AVMSD whereas sanctions were in place in relation to Articles 16 and 17 of the AVMSD</w:t>
      </w:r>
      <w:r w:rsidR="00B97663" w:rsidRPr="00B97663">
        <w:rPr>
          <w:rStyle w:val="FootnoteReference"/>
          <w:noProof/>
        </w:rPr>
        <w:t xml:space="preserve"> </w:t>
      </w:r>
      <w:r w:rsidR="00B97663">
        <w:rPr>
          <w:rStyle w:val="FootnoteReference"/>
          <w:noProof/>
        </w:rPr>
        <w:footnoteReference w:id="52"/>
      </w:r>
      <w:r w:rsidR="005832FB" w:rsidRPr="005B01FE">
        <w:rPr>
          <w:noProof/>
        </w:rPr>
        <w:t>.</w:t>
      </w:r>
    </w:p>
    <w:p w14:paraId="0112AC2F" w14:textId="77777777" w:rsidR="00CF5542" w:rsidRPr="005B01FE" w:rsidRDefault="00CF5542" w:rsidP="00C41B02">
      <w:pPr>
        <w:spacing w:before="240" w:after="0"/>
        <w:contextualSpacing/>
        <w:rPr>
          <w:noProof/>
          <w:highlight w:val="yellow"/>
        </w:rPr>
      </w:pPr>
    </w:p>
    <w:p w14:paraId="163F9EA0" w14:textId="6C5922C3" w:rsidR="00812B41" w:rsidRPr="005B01FE" w:rsidRDefault="00812B41" w:rsidP="00A87FB0">
      <w:pPr>
        <w:pStyle w:val="Heading1"/>
        <w:rPr>
          <w:noProof/>
        </w:rPr>
      </w:pPr>
      <w:bookmarkStart w:id="25" w:name="_Toc167898090"/>
      <w:r w:rsidRPr="005B01FE">
        <w:rPr>
          <w:noProof/>
        </w:rPr>
        <w:t>APPLICATION OF ARTICLES 16 AND 17</w:t>
      </w:r>
      <w:r w:rsidR="0015215A" w:rsidRPr="005B01FE">
        <w:rPr>
          <w:noProof/>
        </w:rPr>
        <w:t xml:space="preserve"> </w:t>
      </w:r>
      <w:r w:rsidR="0035309D" w:rsidRPr="1940DF43">
        <w:rPr>
          <w:noProof/>
        </w:rPr>
        <w:t xml:space="preserve">OF THE AVMSD </w:t>
      </w:r>
      <w:bookmarkEnd w:id="25"/>
    </w:p>
    <w:p w14:paraId="21B52F07" w14:textId="77777777" w:rsidR="00CF5542" w:rsidRPr="005B01FE" w:rsidRDefault="00CF5542" w:rsidP="00C41B02">
      <w:pPr>
        <w:spacing w:before="240" w:after="0"/>
        <w:contextualSpacing/>
        <w:rPr>
          <w:b/>
          <w:noProof/>
        </w:rPr>
      </w:pPr>
    </w:p>
    <w:p w14:paraId="2A402E7A" w14:textId="6C553B99" w:rsidR="00812B41" w:rsidRPr="003E04DB" w:rsidRDefault="00467DB7" w:rsidP="003E04DB">
      <w:pPr>
        <w:pStyle w:val="Heading2"/>
        <w:ind w:left="851" w:hanging="851"/>
        <w:rPr>
          <w:noProof/>
        </w:rPr>
      </w:pPr>
      <w:r>
        <w:rPr>
          <w:noProof/>
        </w:rPr>
        <w:t xml:space="preserve"> </w:t>
      </w:r>
      <w:bookmarkStart w:id="26" w:name="_Toc167898091"/>
      <w:r w:rsidR="00AB5E81" w:rsidRPr="005B01FE">
        <w:rPr>
          <w:noProof/>
        </w:rPr>
        <w:t xml:space="preserve">Overview of the European linear audiovisual services </w:t>
      </w:r>
      <w:r w:rsidR="0035309D" w:rsidRPr="1940DF43">
        <w:rPr>
          <w:noProof/>
        </w:rPr>
        <w:t>market</w:t>
      </w:r>
      <w:bookmarkEnd w:id="26"/>
    </w:p>
    <w:p w14:paraId="2BF26FB7" w14:textId="05B17799" w:rsidR="00B02DD1" w:rsidRPr="005B01FE" w:rsidRDefault="00EB538D" w:rsidP="003E04DB">
      <w:pPr>
        <w:pStyle w:val="Mainbodytext"/>
        <w:spacing w:before="240" w:after="0"/>
        <w:jc w:val="both"/>
        <w:rPr>
          <w:rFonts w:ascii="Times New Roman" w:hAnsi="Times New Roman"/>
          <w:noProof/>
          <w:sz w:val="24"/>
          <w:szCs w:val="24"/>
          <w:highlight w:val="yellow"/>
        </w:rPr>
      </w:pPr>
      <w:r w:rsidRPr="005B01FE">
        <w:rPr>
          <w:rFonts w:ascii="Times New Roman" w:hAnsi="Times New Roman"/>
          <w:noProof/>
          <w:sz w:val="24"/>
          <w:szCs w:val="24"/>
        </w:rPr>
        <w:t>As a result of the pandemic, the average television viewing time per person increase</w:t>
      </w:r>
      <w:r w:rsidR="000D4AED">
        <w:rPr>
          <w:rFonts w:ascii="Times New Roman" w:hAnsi="Times New Roman"/>
          <w:noProof/>
          <w:sz w:val="24"/>
          <w:szCs w:val="24"/>
        </w:rPr>
        <w:t>d</w:t>
      </w:r>
      <w:r w:rsidRPr="005B01FE">
        <w:rPr>
          <w:rFonts w:ascii="Times New Roman" w:hAnsi="Times New Roman"/>
          <w:noProof/>
          <w:sz w:val="24"/>
          <w:szCs w:val="24"/>
        </w:rPr>
        <w:t xml:space="preserve"> in Europe with </w:t>
      </w:r>
      <w:r w:rsidR="0028766D" w:rsidRPr="005B01FE">
        <w:rPr>
          <w:rFonts w:ascii="Times New Roman" w:hAnsi="Times New Roman"/>
          <w:noProof/>
          <w:sz w:val="24"/>
          <w:szCs w:val="24"/>
        </w:rPr>
        <w:t xml:space="preserve">revenues generated through </w:t>
      </w:r>
      <w:r w:rsidRPr="005B01FE">
        <w:rPr>
          <w:rFonts w:ascii="Times New Roman" w:hAnsi="Times New Roman"/>
          <w:noProof/>
          <w:sz w:val="24"/>
          <w:szCs w:val="24"/>
        </w:rPr>
        <w:t xml:space="preserve">TV advertising simultaneously dropping in 2020. </w:t>
      </w:r>
      <w:r w:rsidR="000D4AED">
        <w:rPr>
          <w:rFonts w:ascii="Times New Roman" w:hAnsi="Times New Roman"/>
          <w:noProof/>
          <w:sz w:val="24"/>
          <w:szCs w:val="24"/>
        </w:rPr>
        <w:t>H</w:t>
      </w:r>
      <w:r w:rsidR="000D4AED" w:rsidRPr="005B01FE">
        <w:rPr>
          <w:rFonts w:ascii="Times New Roman" w:hAnsi="Times New Roman"/>
          <w:noProof/>
          <w:sz w:val="24"/>
          <w:szCs w:val="24"/>
        </w:rPr>
        <w:t>owever</w:t>
      </w:r>
      <w:r w:rsidR="000D4AED">
        <w:rPr>
          <w:rFonts w:ascii="Times New Roman" w:hAnsi="Times New Roman"/>
          <w:noProof/>
          <w:sz w:val="24"/>
          <w:szCs w:val="24"/>
        </w:rPr>
        <w:t>,</w:t>
      </w:r>
      <w:r w:rsidR="000D4AED" w:rsidRPr="005B01FE">
        <w:rPr>
          <w:rFonts w:ascii="Times New Roman" w:hAnsi="Times New Roman"/>
          <w:noProof/>
          <w:sz w:val="24"/>
          <w:szCs w:val="24"/>
        </w:rPr>
        <w:t xml:space="preserve"> </w:t>
      </w:r>
      <w:r w:rsidR="000D4AED">
        <w:rPr>
          <w:rFonts w:ascii="Times New Roman" w:hAnsi="Times New Roman"/>
          <w:noProof/>
          <w:sz w:val="24"/>
          <w:szCs w:val="24"/>
        </w:rPr>
        <w:t>a</w:t>
      </w:r>
      <w:r w:rsidRPr="005B01FE">
        <w:rPr>
          <w:rFonts w:ascii="Times New Roman" w:hAnsi="Times New Roman"/>
          <w:noProof/>
          <w:sz w:val="24"/>
          <w:szCs w:val="24"/>
        </w:rPr>
        <w:t xml:space="preserve"> year later</w:t>
      </w:r>
      <w:r w:rsidR="000D4AED">
        <w:rPr>
          <w:rFonts w:ascii="Times New Roman" w:hAnsi="Times New Roman"/>
          <w:noProof/>
          <w:sz w:val="24"/>
          <w:szCs w:val="24"/>
        </w:rPr>
        <w:t>,</w:t>
      </w:r>
      <w:r w:rsidRPr="005B01FE">
        <w:rPr>
          <w:rFonts w:ascii="Times New Roman" w:hAnsi="Times New Roman"/>
          <w:noProof/>
          <w:sz w:val="24"/>
          <w:szCs w:val="24"/>
        </w:rPr>
        <w:t xml:space="preserve"> in 2021, the viewing time returned to a more usual level </w:t>
      </w:r>
      <w:r w:rsidR="0028766D" w:rsidRPr="005B01FE">
        <w:rPr>
          <w:rFonts w:ascii="Times New Roman" w:hAnsi="Times New Roman"/>
          <w:noProof/>
          <w:sz w:val="24"/>
          <w:szCs w:val="24"/>
        </w:rPr>
        <w:t>with advertising expenditure generally increasing again, including</w:t>
      </w:r>
      <w:r w:rsidRPr="005B01FE">
        <w:rPr>
          <w:rFonts w:ascii="Times New Roman" w:hAnsi="Times New Roman"/>
          <w:noProof/>
          <w:sz w:val="24"/>
          <w:szCs w:val="24"/>
        </w:rPr>
        <w:t xml:space="preserve"> TV advertising</w:t>
      </w:r>
      <w:r w:rsidRPr="005B01FE">
        <w:rPr>
          <w:rStyle w:val="FootnoteReference"/>
          <w:rFonts w:ascii="Times New Roman" w:hAnsi="Times New Roman"/>
          <w:noProof/>
          <w:sz w:val="24"/>
          <w:szCs w:val="24"/>
        </w:rPr>
        <w:footnoteReference w:id="53"/>
      </w:r>
      <w:r w:rsidRPr="005B01FE">
        <w:rPr>
          <w:rFonts w:ascii="Times New Roman" w:hAnsi="Times New Roman"/>
          <w:noProof/>
          <w:sz w:val="24"/>
          <w:szCs w:val="24"/>
        </w:rPr>
        <w:t>.</w:t>
      </w:r>
      <w:bookmarkStart w:id="27" w:name="_Hlk73906655"/>
      <w:r w:rsidR="00B02DD1" w:rsidRPr="005B01FE">
        <w:rPr>
          <w:rFonts w:ascii="Times New Roman" w:hAnsi="Times New Roman"/>
          <w:noProof/>
          <w:sz w:val="24"/>
          <w:szCs w:val="24"/>
        </w:rPr>
        <w:t xml:space="preserve"> The three main sources of revenues </w:t>
      </w:r>
      <w:r w:rsidR="001647A5" w:rsidRPr="005B01FE">
        <w:rPr>
          <w:rFonts w:ascii="Times New Roman" w:hAnsi="Times New Roman"/>
          <w:noProof/>
          <w:sz w:val="24"/>
          <w:szCs w:val="24"/>
        </w:rPr>
        <w:t>were</w:t>
      </w:r>
      <w:r w:rsidR="00B02DD1" w:rsidRPr="005B01FE">
        <w:rPr>
          <w:rFonts w:ascii="Times New Roman" w:hAnsi="Times New Roman"/>
          <w:noProof/>
          <w:sz w:val="24"/>
          <w:szCs w:val="24"/>
        </w:rPr>
        <w:t xml:space="preserve"> pay TV subscriptions, TV advertising and public funding. Together, they account</w:t>
      </w:r>
      <w:r w:rsidR="001647A5" w:rsidRPr="005B01FE">
        <w:rPr>
          <w:rFonts w:ascii="Times New Roman" w:hAnsi="Times New Roman"/>
          <w:noProof/>
          <w:sz w:val="24"/>
          <w:szCs w:val="24"/>
        </w:rPr>
        <w:t>ed</w:t>
      </w:r>
      <w:r w:rsidR="00B02DD1" w:rsidRPr="005B01FE">
        <w:rPr>
          <w:rFonts w:ascii="Times New Roman" w:hAnsi="Times New Roman"/>
          <w:noProof/>
          <w:sz w:val="24"/>
          <w:szCs w:val="24"/>
        </w:rPr>
        <w:t xml:space="preserve"> for 80% of all revenues, </w:t>
      </w:r>
      <w:r w:rsidR="006F3F37" w:rsidRPr="005B01FE">
        <w:rPr>
          <w:rFonts w:ascii="Times New Roman" w:hAnsi="Times New Roman"/>
          <w:noProof/>
          <w:sz w:val="24"/>
          <w:szCs w:val="24"/>
        </w:rPr>
        <w:t xml:space="preserve">which </w:t>
      </w:r>
      <w:r w:rsidR="00B02DD1" w:rsidRPr="005B01FE">
        <w:rPr>
          <w:rFonts w:ascii="Times New Roman" w:hAnsi="Times New Roman"/>
          <w:noProof/>
          <w:sz w:val="24"/>
          <w:szCs w:val="24"/>
        </w:rPr>
        <w:t>have stagnated in the last few years</w:t>
      </w:r>
      <w:r w:rsidR="00B02DD1" w:rsidRPr="005B01FE">
        <w:rPr>
          <w:rStyle w:val="FootnoteReference"/>
          <w:rFonts w:ascii="Times New Roman" w:hAnsi="Times New Roman"/>
          <w:noProof/>
          <w:sz w:val="24"/>
          <w:szCs w:val="24"/>
        </w:rPr>
        <w:footnoteReference w:id="54"/>
      </w:r>
      <w:r w:rsidR="00B02DD1" w:rsidRPr="005B01FE">
        <w:rPr>
          <w:rFonts w:ascii="Times New Roman" w:hAnsi="Times New Roman"/>
          <w:noProof/>
          <w:sz w:val="24"/>
          <w:szCs w:val="24"/>
        </w:rPr>
        <w:t>.</w:t>
      </w:r>
    </w:p>
    <w:p w14:paraId="417BEFAF" w14:textId="77777777" w:rsidR="00B02DD1" w:rsidRPr="005B01FE" w:rsidRDefault="00B02DD1" w:rsidP="00EB538D">
      <w:pPr>
        <w:pStyle w:val="Mainbodytext"/>
        <w:spacing w:before="0"/>
        <w:contextualSpacing/>
        <w:jc w:val="both"/>
        <w:rPr>
          <w:rFonts w:ascii="Times New Roman" w:hAnsi="Times New Roman"/>
          <w:noProof/>
          <w:sz w:val="24"/>
          <w:szCs w:val="24"/>
          <w:highlight w:val="yellow"/>
        </w:rPr>
      </w:pPr>
    </w:p>
    <w:p w14:paraId="4843E841" w14:textId="7B9B2EA9" w:rsidR="00EB538D" w:rsidRPr="005B01FE" w:rsidRDefault="000D4AED" w:rsidP="00144C67">
      <w:pPr>
        <w:pStyle w:val="Mainbodytext"/>
        <w:spacing w:before="0"/>
        <w:contextualSpacing/>
        <w:jc w:val="both"/>
        <w:rPr>
          <w:rFonts w:ascii="Times New Roman" w:hAnsi="Times New Roman"/>
          <w:noProof/>
          <w:sz w:val="24"/>
          <w:szCs w:val="24"/>
          <w:highlight w:val="yellow"/>
        </w:rPr>
      </w:pPr>
      <w:r>
        <w:rPr>
          <w:rFonts w:ascii="Times New Roman" w:hAnsi="Times New Roman"/>
          <w:noProof/>
          <w:sz w:val="24"/>
          <w:szCs w:val="24"/>
        </w:rPr>
        <w:t>L</w:t>
      </w:r>
      <w:r w:rsidR="00B02DD1" w:rsidRPr="005B01FE">
        <w:rPr>
          <w:rFonts w:ascii="Times New Roman" w:hAnsi="Times New Roman"/>
          <w:noProof/>
          <w:sz w:val="24"/>
          <w:szCs w:val="24"/>
        </w:rPr>
        <w:t xml:space="preserve">inear channels </w:t>
      </w:r>
      <w:r w:rsidR="001647A5" w:rsidRPr="005B01FE">
        <w:rPr>
          <w:rFonts w:ascii="Times New Roman" w:hAnsi="Times New Roman"/>
          <w:noProof/>
          <w:sz w:val="24"/>
          <w:szCs w:val="24"/>
        </w:rPr>
        <w:t>have been</w:t>
      </w:r>
      <w:r w:rsidR="00B02DD1" w:rsidRPr="005B01FE">
        <w:rPr>
          <w:rFonts w:ascii="Times New Roman" w:hAnsi="Times New Roman"/>
          <w:noProof/>
          <w:sz w:val="24"/>
          <w:szCs w:val="24"/>
        </w:rPr>
        <w:t xml:space="preserve"> more divided </w:t>
      </w:r>
      <w:r>
        <w:rPr>
          <w:rFonts w:ascii="Times New Roman" w:hAnsi="Times New Roman"/>
          <w:noProof/>
          <w:sz w:val="24"/>
          <w:szCs w:val="24"/>
        </w:rPr>
        <w:t>along</w:t>
      </w:r>
      <w:r w:rsidR="00B02DD1" w:rsidRPr="005B01FE">
        <w:rPr>
          <w:rFonts w:ascii="Times New Roman" w:hAnsi="Times New Roman"/>
          <w:noProof/>
          <w:sz w:val="24"/>
          <w:szCs w:val="24"/>
        </w:rPr>
        <w:t xml:space="preserve"> national borders </w:t>
      </w:r>
      <w:r w:rsidR="001647A5" w:rsidRPr="005B01FE">
        <w:rPr>
          <w:rFonts w:ascii="Times New Roman" w:hAnsi="Times New Roman"/>
          <w:noProof/>
          <w:sz w:val="24"/>
          <w:szCs w:val="24"/>
        </w:rPr>
        <w:t>compared to</w:t>
      </w:r>
      <w:r w:rsidR="00B02DD1" w:rsidRPr="005B01FE">
        <w:rPr>
          <w:rFonts w:ascii="Times New Roman" w:hAnsi="Times New Roman"/>
          <w:noProof/>
          <w:sz w:val="24"/>
          <w:szCs w:val="24"/>
        </w:rPr>
        <w:t xml:space="preserve"> VOD services. Overall, 56% of TV viewing time was divided between the top 20 broadcasters</w:t>
      </w:r>
      <w:r w:rsidR="001647A5" w:rsidRPr="005B01FE">
        <w:rPr>
          <w:rFonts w:ascii="Times New Roman" w:hAnsi="Times New Roman"/>
          <w:noProof/>
          <w:sz w:val="24"/>
          <w:szCs w:val="24"/>
        </w:rPr>
        <w:t xml:space="preserve"> in Europe</w:t>
      </w:r>
      <w:r w:rsidR="00B02DD1" w:rsidRPr="005B01FE">
        <w:rPr>
          <w:rStyle w:val="FootnoteReference"/>
          <w:rFonts w:ascii="Times New Roman" w:hAnsi="Times New Roman"/>
          <w:noProof/>
          <w:sz w:val="24"/>
          <w:szCs w:val="24"/>
        </w:rPr>
        <w:footnoteReference w:id="55"/>
      </w:r>
      <w:r w:rsidR="00B02DD1" w:rsidRPr="005B01FE">
        <w:rPr>
          <w:rFonts w:ascii="Times New Roman" w:hAnsi="Times New Roman"/>
          <w:noProof/>
          <w:sz w:val="24"/>
          <w:szCs w:val="24"/>
        </w:rPr>
        <w:t xml:space="preserve">. Linear channels </w:t>
      </w:r>
      <w:r w:rsidR="00E227DA" w:rsidRPr="005B01FE">
        <w:rPr>
          <w:rFonts w:ascii="Times New Roman" w:hAnsi="Times New Roman"/>
          <w:noProof/>
          <w:sz w:val="24"/>
          <w:szCs w:val="24"/>
        </w:rPr>
        <w:t>were</w:t>
      </w:r>
      <w:r w:rsidR="00B02DD1" w:rsidRPr="005B01FE">
        <w:rPr>
          <w:rFonts w:ascii="Times New Roman" w:hAnsi="Times New Roman"/>
          <w:noProof/>
          <w:sz w:val="24"/>
          <w:szCs w:val="24"/>
        </w:rPr>
        <w:t xml:space="preserve">, however, also influenced by large US-based companies: according to the European Audiovisual Observatory, </w:t>
      </w:r>
      <w:r w:rsidR="000327B8" w:rsidRPr="005B01FE">
        <w:rPr>
          <w:rFonts w:ascii="Times New Roman" w:hAnsi="Times New Roman"/>
          <w:noProof/>
          <w:sz w:val="24"/>
          <w:szCs w:val="24"/>
        </w:rPr>
        <w:t>in the Netherlands, Spain and Germany, more than 100 private</w:t>
      </w:r>
      <w:r w:rsidR="00B02DD1" w:rsidRPr="005B01FE">
        <w:rPr>
          <w:rFonts w:ascii="Times New Roman" w:hAnsi="Times New Roman"/>
          <w:noProof/>
          <w:sz w:val="24"/>
          <w:szCs w:val="24"/>
        </w:rPr>
        <w:t xml:space="preserve"> TV channels </w:t>
      </w:r>
      <w:r w:rsidR="000327B8" w:rsidRPr="005B01FE">
        <w:rPr>
          <w:rFonts w:ascii="Times New Roman" w:hAnsi="Times New Roman"/>
          <w:noProof/>
          <w:sz w:val="24"/>
          <w:szCs w:val="24"/>
        </w:rPr>
        <w:t>ha</w:t>
      </w:r>
      <w:r w:rsidR="00E227DA" w:rsidRPr="005B01FE">
        <w:rPr>
          <w:rFonts w:ascii="Times New Roman" w:hAnsi="Times New Roman"/>
          <w:noProof/>
          <w:sz w:val="24"/>
          <w:szCs w:val="24"/>
        </w:rPr>
        <w:t>d</w:t>
      </w:r>
      <w:r w:rsidR="000327B8" w:rsidRPr="005B01FE">
        <w:rPr>
          <w:rFonts w:ascii="Times New Roman" w:hAnsi="Times New Roman"/>
          <w:noProof/>
          <w:sz w:val="24"/>
          <w:szCs w:val="24"/>
        </w:rPr>
        <w:t xml:space="preserve"> a</w:t>
      </w:r>
      <w:r w:rsidR="00B02DD1" w:rsidRPr="005B01FE">
        <w:rPr>
          <w:rFonts w:ascii="Times New Roman" w:hAnsi="Times New Roman"/>
          <w:noProof/>
          <w:sz w:val="24"/>
          <w:szCs w:val="24"/>
        </w:rPr>
        <w:t xml:space="preserve"> US</w:t>
      </w:r>
      <w:r w:rsidR="000327B8" w:rsidRPr="005B01FE">
        <w:rPr>
          <w:rFonts w:ascii="Times New Roman" w:hAnsi="Times New Roman"/>
          <w:noProof/>
          <w:sz w:val="24"/>
          <w:szCs w:val="24"/>
        </w:rPr>
        <w:t xml:space="preserve"> parent company</w:t>
      </w:r>
      <w:r w:rsidR="00B02DD1" w:rsidRPr="005B01FE">
        <w:rPr>
          <w:rStyle w:val="FootnoteReference"/>
          <w:rFonts w:ascii="Times New Roman" w:hAnsi="Times New Roman"/>
          <w:noProof/>
          <w:sz w:val="24"/>
          <w:szCs w:val="24"/>
        </w:rPr>
        <w:footnoteReference w:id="56"/>
      </w:r>
      <w:r w:rsidR="00B02DD1" w:rsidRPr="005B01FE">
        <w:rPr>
          <w:rFonts w:ascii="Times New Roman" w:hAnsi="Times New Roman"/>
          <w:noProof/>
          <w:sz w:val="24"/>
          <w:szCs w:val="24"/>
        </w:rPr>
        <w:t>.</w:t>
      </w:r>
    </w:p>
    <w:p w14:paraId="4AF43A57" w14:textId="77777777" w:rsidR="00144C67" w:rsidRPr="005B01FE" w:rsidRDefault="00144C67" w:rsidP="00144C67">
      <w:pPr>
        <w:pStyle w:val="Mainbodytext"/>
        <w:spacing w:before="0" w:after="0"/>
        <w:contextualSpacing/>
        <w:jc w:val="both"/>
        <w:rPr>
          <w:rFonts w:ascii="Times New Roman" w:hAnsi="Times New Roman"/>
          <w:noProof/>
          <w:sz w:val="24"/>
          <w:szCs w:val="24"/>
          <w:highlight w:val="yellow"/>
        </w:rPr>
      </w:pPr>
    </w:p>
    <w:p w14:paraId="61364CA3" w14:textId="253340F6" w:rsidR="00C8331D" w:rsidRPr="005B01FE" w:rsidRDefault="00144C67" w:rsidP="005D0528">
      <w:pPr>
        <w:spacing w:before="0"/>
        <w:contextualSpacing/>
        <w:rPr>
          <w:noProof/>
        </w:rPr>
      </w:pPr>
      <w:r w:rsidRPr="005B01FE">
        <w:rPr>
          <w:noProof/>
        </w:rPr>
        <w:t xml:space="preserve">According to the information </w:t>
      </w:r>
      <w:r w:rsidR="000D4AED">
        <w:rPr>
          <w:noProof/>
        </w:rPr>
        <w:t xml:space="preserve">provided by </w:t>
      </w:r>
      <w:r w:rsidRPr="005B01FE">
        <w:rPr>
          <w:noProof/>
        </w:rPr>
        <w:t xml:space="preserve">the Member States and the EEA EFTA countries, </w:t>
      </w:r>
      <w:r w:rsidR="000D4AED">
        <w:rPr>
          <w:noProof/>
        </w:rPr>
        <w:t xml:space="preserve">a </w:t>
      </w:r>
      <w:r w:rsidRPr="005B01FE">
        <w:rPr>
          <w:noProof/>
        </w:rPr>
        <w:t xml:space="preserve">total </w:t>
      </w:r>
      <w:r w:rsidR="000D4AED">
        <w:rPr>
          <w:noProof/>
        </w:rPr>
        <w:t xml:space="preserve">of </w:t>
      </w:r>
      <w:r w:rsidR="00855A25" w:rsidRPr="005B01FE">
        <w:rPr>
          <w:noProof/>
        </w:rPr>
        <w:t>4</w:t>
      </w:r>
      <w:r w:rsidR="000D4AED">
        <w:rPr>
          <w:noProof/>
        </w:rPr>
        <w:t> </w:t>
      </w:r>
      <w:r w:rsidR="00D86E22" w:rsidRPr="005B01FE">
        <w:rPr>
          <w:noProof/>
        </w:rPr>
        <w:t>397</w:t>
      </w:r>
      <w:r w:rsidRPr="005B01FE">
        <w:rPr>
          <w:noProof/>
        </w:rPr>
        <w:t xml:space="preserve"> TV channels </w:t>
      </w:r>
      <w:r w:rsidR="000D4AED">
        <w:rPr>
          <w:noProof/>
        </w:rPr>
        <w:t xml:space="preserve">were </w:t>
      </w:r>
      <w:r w:rsidRPr="005B01FE">
        <w:rPr>
          <w:noProof/>
        </w:rPr>
        <w:t xml:space="preserve">operational in their jurisdiction in 2020 and </w:t>
      </w:r>
      <w:r w:rsidR="00855A25" w:rsidRPr="005B01FE">
        <w:rPr>
          <w:noProof/>
        </w:rPr>
        <w:t>4</w:t>
      </w:r>
      <w:r w:rsidR="000D4AED">
        <w:rPr>
          <w:noProof/>
        </w:rPr>
        <w:t> </w:t>
      </w:r>
      <w:r w:rsidR="00855A25" w:rsidRPr="005B01FE">
        <w:rPr>
          <w:noProof/>
        </w:rPr>
        <w:t>48</w:t>
      </w:r>
      <w:r w:rsidR="00D86E22" w:rsidRPr="005B01FE">
        <w:rPr>
          <w:noProof/>
        </w:rPr>
        <w:t>3</w:t>
      </w:r>
      <w:r w:rsidRPr="005B01FE">
        <w:rPr>
          <w:noProof/>
        </w:rPr>
        <w:t xml:space="preserve"> in 2021. </w:t>
      </w:r>
      <w:r w:rsidR="00F50487" w:rsidRPr="00F50487">
        <w:rPr>
          <w:noProof/>
        </w:rPr>
        <w:t xml:space="preserve">The figure below illustrates the overall situation in 2020 and 2021, including also </w:t>
      </w:r>
      <w:r w:rsidR="00640BEF">
        <w:rPr>
          <w:noProof/>
        </w:rPr>
        <w:t>the</w:t>
      </w:r>
      <w:r w:rsidR="00F50487" w:rsidRPr="00F50487">
        <w:rPr>
          <w:noProof/>
        </w:rPr>
        <w:t xml:space="preserve"> </w:t>
      </w:r>
      <w:r w:rsidR="00F50487">
        <w:rPr>
          <w:noProof/>
        </w:rPr>
        <w:t>channels</w:t>
      </w:r>
      <w:r w:rsidR="00F50487" w:rsidRPr="00F50487">
        <w:rPr>
          <w:noProof/>
        </w:rPr>
        <w:t xml:space="preserve"> that are exempted from the obligations under the Article</w:t>
      </w:r>
      <w:r w:rsidR="00F50487">
        <w:rPr>
          <w:noProof/>
        </w:rPr>
        <w:t>s</w:t>
      </w:r>
      <w:r w:rsidR="00F50487" w:rsidRPr="00F50487">
        <w:rPr>
          <w:noProof/>
        </w:rPr>
        <w:t xml:space="preserve"> </w:t>
      </w:r>
      <w:r w:rsidR="00F50487">
        <w:rPr>
          <w:noProof/>
        </w:rPr>
        <w:t>16 and 17</w:t>
      </w:r>
      <w:r w:rsidR="00F50487" w:rsidRPr="00F50487">
        <w:rPr>
          <w:noProof/>
        </w:rPr>
        <w:t xml:space="preserve"> of the AVMSD (for further information</w:t>
      </w:r>
      <w:r w:rsidR="00F50487">
        <w:rPr>
          <w:noProof/>
        </w:rPr>
        <w:t xml:space="preserve"> about exemptions</w:t>
      </w:r>
      <w:r w:rsidR="00F50487" w:rsidRPr="00F50487">
        <w:rPr>
          <w:noProof/>
        </w:rPr>
        <w:t xml:space="preserve">, please see </w:t>
      </w:r>
      <w:r w:rsidR="00F50487">
        <w:rPr>
          <w:noProof/>
        </w:rPr>
        <w:t xml:space="preserve">the next </w:t>
      </w:r>
      <w:r w:rsidR="00F50487" w:rsidRPr="00F50487">
        <w:rPr>
          <w:noProof/>
        </w:rPr>
        <w:t xml:space="preserve">section </w:t>
      </w:r>
      <w:r w:rsidR="00F50487">
        <w:rPr>
          <w:noProof/>
        </w:rPr>
        <w:t>2</w:t>
      </w:r>
      <w:r w:rsidR="00F50487" w:rsidRPr="00F50487">
        <w:rPr>
          <w:noProof/>
        </w:rPr>
        <w:t>.</w:t>
      </w:r>
      <w:r w:rsidR="00F50487">
        <w:rPr>
          <w:noProof/>
        </w:rPr>
        <w:t>2</w:t>
      </w:r>
      <w:r w:rsidR="00F50487" w:rsidRPr="00F50487">
        <w:rPr>
          <w:noProof/>
        </w:rPr>
        <w:t xml:space="preserve">). </w:t>
      </w:r>
      <w:r w:rsidR="00855A25" w:rsidRPr="005B01FE">
        <w:rPr>
          <w:noProof/>
        </w:rPr>
        <w:t xml:space="preserve">For comparison, </w:t>
      </w:r>
      <w:r w:rsidR="000D4AED" w:rsidRPr="005B01FE">
        <w:rPr>
          <w:noProof/>
        </w:rPr>
        <w:t>at the end of 2019</w:t>
      </w:r>
      <w:r w:rsidR="000D4AED">
        <w:rPr>
          <w:noProof/>
        </w:rPr>
        <w:t xml:space="preserve">, </w:t>
      </w:r>
      <w:r w:rsidR="00855A25" w:rsidRPr="005B01FE">
        <w:rPr>
          <w:noProof/>
        </w:rPr>
        <w:t>t</w:t>
      </w:r>
      <w:r w:rsidRPr="005B01FE">
        <w:rPr>
          <w:noProof/>
        </w:rPr>
        <w:t>h</w:t>
      </w:r>
      <w:r w:rsidR="00855A25" w:rsidRPr="005B01FE">
        <w:rPr>
          <w:noProof/>
        </w:rPr>
        <w:t xml:space="preserve">e European Audiovisual Observatory reported </w:t>
      </w:r>
      <w:r w:rsidR="000D4AED">
        <w:rPr>
          <w:noProof/>
        </w:rPr>
        <w:t xml:space="preserve">that </w:t>
      </w:r>
      <w:r w:rsidR="00855A25" w:rsidRPr="005B01FE">
        <w:rPr>
          <w:noProof/>
        </w:rPr>
        <w:t>4</w:t>
      </w:r>
      <w:r w:rsidR="000D4AED">
        <w:rPr>
          <w:noProof/>
        </w:rPr>
        <w:t> </w:t>
      </w:r>
      <w:r w:rsidR="00855A25" w:rsidRPr="005B01FE">
        <w:rPr>
          <w:noProof/>
        </w:rPr>
        <w:t xml:space="preserve">657 TV channels </w:t>
      </w:r>
      <w:r w:rsidR="000D4AED">
        <w:rPr>
          <w:noProof/>
        </w:rPr>
        <w:t xml:space="preserve">were </w:t>
      </w:r>
      <w:r w:rsidR="00855A25" w:rsidRPr="005B01FE">
        <w:rPr>
          <w:noProof/>
        </w:rPr>
        <w:t xml:space="preserve">available </w:t>
      </w:r>
      <w:r w:rsidR="00855A25" w:rsidRPr="00814A6E">
        <w:rPr>
          <w:noProof/>
        </w:rPr>
        <w:t xml:space="preserve">in the </w:t>
      </w:r>
      <w:r w:rsidR="009B34A4" w:rsidRPr="00814A6E">
        <w:rPr>
          <w:noProof/>
        </w:rPr>
        <w:t>Member States including</w:t>
      </w:r>
      <w:r w:rsidR="003152AC" w:rsidRPr="00814A6E">
        <w:rPr>
          <w:noProof/>
        </w:rPr>
        <w:t xml:space="preserve"> at that time</w:t>
      </w:r>
      <w:r w:rsidR="009B34A4" w:rsidRPr="00814A6E">
        <w:rPr>
          <w:noProof/>
        </w:rPr>
        <w:t xml:space="preserve"> the UK</w:t>
      </w:r>
      <w:bookmarkStart w:id="28" w:name="_Hlk167898284"/>
      <w:r w:rsidR="00855A25" w:rsidRPr="005B01FE">
        <w:rPr>
          <w:rStyle w:val="FootnoteReference"/>
          <w:noProof/>
        </w:rPr>
        <w:footnoteReference w:id="57"/>
      </w:r>
      <w:bookmarkEnd w:id="28"/>
      <w:r w:rsidR="00855A25" w:rsidRPr="005B01FE">
        <w:rPr>
          <w:noProof/>
        </w:rPr>
        <w:t>.</w:t>
      </w:r>
      <w:r w:rsidRPr="005B01FE">
        <w:rPr>
          <w:noProof/>
        </w:rPr>
        <w:t xml:space="preserve"> The highest number of TV channels </w:t>
      </w:r>
      <w:r w:rsidR="00855A25" w:rsidRPr="005B01FE">
        <w:rPr>
          <w:noProof/>
        </w:rPr>
        <w:t xml:space="preserve">was reported </w:t>
      </w:r>
      <w:r w:rsidR="000D4AED">
        <w:rPr>
          <w:noProof/>
        </w:rPr>
        <w:t>for</w:t>
      </w:r>
      <w:r w:rsidR="000D4AED" w:rsidRPr="005B01FE">
        <w:rPr>
          <w:noProof/>
        </w:rPr>
        <w:t xml:space="preserve"> </w:t>
      </w:r>
      <w:r w:rsidR="00855A25" w:rsidRPr="005B01FE">
        <w:rPr>
          <w:noProof/>
        </w:rPr>
        <w:t xml:space="preserve">Germany, </w:t>
      </w:r>
      <w:r w:rsidR="006F3F37" w:rsidRPr="005B01FE">
        <w:rPr>
          <w:noProof/>
        </w:rPr>
        <w:t xml:space="preserve">with </w:t>
      </w:r>
      <w:r w:rsidR="00855A25" w:rsidRPr="005B01FE">
        <w:rPr>
          <w:noProof/>
        </w:rPr>
        <w:t>57</w:t>
      </w:r>
      <w:r w:rsidR="00D86E22" w:rsidRPr="005B01FE">
        <w:rPr>
          <w:noProof/>
        </w:rPr>
        <w:t>3</w:t>
      </w:r>
      <w:r w:rsidR="00855A25" w:rsidRPr="005B01FE">
        <w:rPr>
          <w:noProof/>
        </w:rPr>
        <w:t xml:space="preserve"> and 577 channels in 2020 and 2021, respectively, followed by the Netherlands (499 in both years)</w:t>
      </w:r>
      <w:r w:rsidRPr="005B01FE">
        <w:rPr>
          <w:noProof/>
        </w:rPr>
        <w:t>.</w:t>
      </w:r>
      <w:r w:rsidR="00855A25" w:rsidRPr="005B01FE">
        <w:rPr>
          <w:noProof/>
        </w:rPr>
        <w:t xml:space="preserve"> The smallest number of channels was reported </w:t>
      </w:r>
      <w:r w:rsidR="000D4AED">
        <w:rPr>
          <w:noProof/>
        </w:rPr>
        <w:t>for</w:t>
      </w:r>
      <w:r w:rsidR="000D4AED" w:rsidRPr="005B01FE">
        <w:rPr>
          <w:noProof/>
        </w:rPr>
        <w:t xml:space="preserve"> </w:t>
      </w:r>
      <w:r w:rsidR="00855A25" w:rsidRPr="005B01FE">
        <w:rPr>
          <w:noProof/>
        </w:rPr>
        <w:t xml:space="preserve">Liechtenstein (1 in both years) and Belgium (French Community, </w:t>
      </w:r>
      <w:r w:rsidR="006F3F37" w:rsidRPr="005B01FE">
        <w:rPr>
          <w:noProof/>
        </w:rPr>
        <w:t xml:space="preserve">with </w:t>
      </w:r>
      <w:r w:rsidR="00855A25" w:rsidRPr="005B01FE">
        <w:rPr>
          <w:noProof/>
        </w:rPr>
        <w:t>20 and 19 in 2020 and 2021, respectively).</w:t>
      </w:r>
    </w:p>
    <w:p w14:paraId="4C2AA3C9" w14:textId="3A4FF03D" w:rsidR="00C8331D" w:rsidRPr="005B01FE" w:rsidRDefault="00C8331D" w:rsidP="00C8331D">
      <w:pPr>
        <w:pStyle w:val="Caption"/>
        <w:keepNext/>
        <w:rPr>
          <w:noProof/>
        </w:rPr>
      </w:pPr>
      <w:r w:rsidRPr="005B01FE">
        <w:rPr>
          <w:noProof/>
        </w:rPr>
        <w:t xml:space="preserve">Figure </w:t>
      </w:r>
      <w:r w:rsidR="00CB3B19">
        <w:rPr>
          <w:noProof/>
        </w:rPr>
        <w:fldChar w:fldCharType="begin"/>
      </w:r>
      <w:r w:rsidR="00CB3B19">
        <w:rPr>
          <w:noProof/>
        </w:rPr>
        <w:instrText xml:space="preserve"> SEQ Figure \* ARABIC </w:instrText>
      </w:r>
      <w:r w:rsidR="00CB3B19">
        <w:rPr>
          <w:noProof/>
        </w:rPr>
        <w:fldChar w:fldCharType="separate"/>
      </w:r>
      <w:r w:rsidR="00CB3B19" w:rsidRPr="1F11C0E3">
        <w:rPr>
          <w:noProof/>
        </w:rPr>
        <w:t>4</w:t>
      </w:r>
      <w:r w:rsidR="00CB3B19">
        <w:rPr>
          <w:noProof/>
        </w:rPr>
        <w:fldChar w:fldCharType="end"/>
      </w:r>
      <w:r w:rsidR="00CB3B19">
        <w:rPr>
          <w:noProof/>
        </w:rPr>
        <w:t>:</w:t>
      </w:r>
      <w:r w:rsidR="00CB3B19" w:rsidRPr="005B01FE">
        <w:rPr>
          <w:noProof/>
        </w:rPr>
        <w:t xml:space="preserve"> </w:t>
      </w:r>
      <w:r w:rsidR="00CB3B19">
        <w:rPr>
          <w:noProof/>
        </w:rPr>
        <w:t xml:space="preserve"> Number of TV channels in the EU and EEA EFTA countries, 2020-2021</w:t>
      </w:r>
    </w:p>
    <w:p w14:paraId="5169166B" w14:textId="11AE60D2" w:rsidR="00C8331D" w:rsidRPr="005B01FE" w:rsidRDefault="00AD31AD" w:rsidP="00182906">
      <w:pPr>
        <w:rPr>
          <w:noProof/>
        </w:rPr>
      </w:pPr>
      <w:r w:rsidRPr="005B01FE">
        <w:rPr>
          <w:noProof/>
          <w:lang w:eastAsia="en-GB"/>
        </w:rPr>
        <w:drawing>
          <wp:inline distT="0" distB="0" distL="0" distR="0" wp14:anchorId="57D61906" wp14:editId="243FE336">
            <wp:extent cx="5752465" cy="3799840"/>
            <wp:effectExtent l="0" t="0" r="635"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E5E837" w14:textId="27C029F4" w:rsidR="00C8331D" w:rsidRPr="005B01FE" w:rsidRDefault="00C8331D" w:rsidP="005D0528">
      <w:pPr>
        <w:spacing w:before="0"/>
        <w:contextualSpacing/>
        <w:rPr>
          <w:i/>
          <w:iCs/>
          <w:noProof/>
          <w:sz w:val="20"/>
          <w:szCs w:val="20"/>
          <w:highlight w:val="yellow"/>
        </w:rPr>
      </w:pPr>
      <w:r w:rsidRPr="005B01FE">
        <w:rPr>
          <w:i/>
          <w:iCs/>
          <w:noProof/>
          <w:sz w:val="20"/>
          <w:szCs w:val="20"/>
        </w:rPr>
        <w:t xml:space="preserve">Source: the </w:t>
      </w:r>
      <w:r w:rsidR="00576015">
        <w:rPr>
          <w:i/>
          <w:iCs/>
          <w:noProof/>
          <w:sz w:val="20"/>
          <w:szCs w:val="20"/>
        </w:rPr>
        <w:t>s</w:t>
      </w:r>
      <w:r w:rsidRPr="005B01FE">
        <w:rPr>
          <w:i/>
          <w:iCs/>
          <w:noProof/>
          <w:sz w:val="20"/>
          <w:szCs w:val="20"/>
        </w:rPr>
        <w:t>tudy, Member States’ reporting</w:t>
      </w:r>
    </w:p>
    <w:p w14:paraId="217DEFA1" w14:textId="77777777" w:rsidR="005D0528" w:rsidRPr="005B01FE" w:rsidRDefault="005D0528" w:rsidP="005D0528">
      <w:pPr>
        <w:spacing w:before="0"/>
        <w:contextualSpacing/>
        <w:rPr>
          <w:noProof/>
          <w:highlight w:val="yellow"/>
        </w:rPr>
      </w:pPr>
    </w:p>
    <w:p w14:paraId="7FA5B4BF" w14:textId="7CD454C6" w:rsidR="00BA1C32" w:rsidRPr="003E04DB" w:rsidRDefault="00812B41" w:rsidP="003E04DB">
      <w:pPr>
        <w:pStyle w:val="Heading2"/>
        <w:rPr>
          <w:noProof/>
        </w:rPr>
      </w:pPr>
      <w:bookmarkStart w:id="29" w:name="_Toc167898092"/>
      <w:bookmarkEnd w:id="27"/>
      <w:r w:rsidRPr="005B01FE">
        <w:rPr>
          <w:noProof/>
        </w:rPr>
        <w:t>Possible exemption of channels with a very low audience share and number of channels covered</w:t>
      </w:r>
      <w:bookmarkEnd w:id="29"/>
    </w:p>
    <w:p w14:paraId="003C68A5" w14:textId="4EFF4B7C" w:rsidR="00BE690A" w:rsidRPr="005B01FE" w:rsidRDefault="00720BEC" w:rsidP="003E04DB">
      <w:pPr>
        <w:spacing w:before="240" w:after="0"/>
        <w:rPr>
          <w:noProof/>
        </w:rPr>
      </w:pPr>
      <w:r w:rsidRPr="005B01FE">
        <w:rPr>
          <w:noProof/>
        </w:rPr>
        <w:t xml:space="preserve">Article 16(3) of the AVMSD requires Member States to provide the Commission every </w:t>
      </w:r>
      <w:r w:rsidR="00C066EA">
        <w:rPr>
          <w:noProof/>
        </w:rPr>
        <w:t>2 </w:t>
      </w:r>
      <w:r w:rsidRPr="005B01FE">
        <w:rPr>
          <w:noProof/>
        </w:rPr>
        <w:t xml:space="preserve">years with a report on the application of Articles 16 and 17. </w:t>
      </w:r>
      <w:r w:rsidR="00BE690A" w:rsidRPr="005B01FE">
        <w:rPr>
          <w:noProof/>
        </w:rPr>
        <w:t>In addition to exemptions from the reporting obligation, Article</w:t>
      </w:r>
      <w:r w:rsidR="00C066EA">
        <w:rPr>
          <w:noProof/>
        </w:rPr>
        <w:t> </w:t>
      </w:r>
      <w:r w:rsidR="00BE690A" w:rsidRPr="005B01FE">
        <w:rPr>
          <w:noProof/>
        </w:rPr>
        <w:t xml:space="preserve">16(1) and </w:t>
      </w:r>
      <w:r w:rsidR="00C066EA">
        <w:rPr>
          <w:noProof/>
        </w:rPr>
        <w:t>Article </w:t>
      </w:r>
      <w:r w:rsidR="00BE690A" w:rsidRPr="005B01FE">
        <w:rPr>
          <w:noProof/>
        </w:rPr>
        <w:t>17 of the AVMSD state that the obligation to promote European works (including independent works) does not extend to the time allotted to news, sports events, games, advertising, teletext services and teleshopping. Furthermore, Article</w:t>
      </w:r>
      <w:r w:rsidR="00CD625E">
        <w:rPr>
          <w:noProof/>
        </w:rPr>
        <w:t> </w:t>
      </w:r>
      <w:r w:rsidR="00BE690A" w:rsidRPr="005B01FE">
        <w:rPr>
          <w:noProof/>
        </w:rPr>
        <w:t>17 state</w:t>
      </w:r>
      <w:r w:rsidR="00CD625E">
        <w:rPr>
          <w:noProof/>
        </w:rPr>
        <w:t>s</w:t>
      </w:r>
      <w:r w:rsidR="00BE690A" w:rsidRPr="005B01FE">
        <w:rPr>
          <w:noProof/>
        </w:rPr>
        <w:t xml:space="preserve"> that the promotion </w:t>
      </w:r>
      <w:r w:rsidR="00CD625E">
        <w:rPr>
          <w:noProof/>
        </w:rPr>
        <w:t>must</w:t>
      </w:r>
      <w:r w:rsidR="00CD625E" w:rsidRPr="005B01FE">
        <w:rPr>
          <w:noProof/>
        </w:rPr>
        <w:t xml:space="preserve"> </w:t>
      </w:r>
      <w:r w:rsidR="00BE690A" w:rsidRPr="005B01FE">
        <w:rPr>
          <w:noProof/>
        </w:rPr>
        <w:t>be practicable and appropriate</w:t>
      </w:r>
      <w:r w:rsidR="00CD625E">
        <w:rPr>
          <w:noProof/>
        </w:rPr>
        <w:t>,</w:t>
      </w:r>
      <w:r w:rsidR="00BE690A" w:rsidRPr="005B01FE">
        <w:rPr>
          <w:noProof/>
        </w:rPr>
        <w:t xml:space="preserve"> and Article</w:t>
      </w:r>
      <w:r w:rsidR="00CD625E">
        <w:rPr>
          <w:noProof/>
        </w:rPr>
        <w:t> </w:t>
      </w:r>
      <w:r w:rsidR="00BE690A" w:rsidRPr="005B01FE">
        <w:rPr>
          <w:noProof/>
        </w:rPr>
        <w:t>18</w:t>
      </w:r>
      <w:r w:rsidR="00CD625E">
        <w:rPr>
          <w:noProof/>
        </w:rPr>
        <w:t xml:space="preserve"> states</w:t>
      </w:r>
      <w:r w:rsidR="00BE690A" w:rsidRPr="005B01FE">
        <w:rPr>
          <w:noProof/>
        </w:rPr>
        <w:t xml:space="preserve"> that the </w:t>
      </w:r>
      <w:r w:rsidR="00CD625E">
        <w:rPr>
          <w:noProof/>
        </w:rPr>
        <w:t xml:space="preserve">obligation to </w:t>
      </w:r>
      <w:r w:rsidR="00BE690A" w:rsidRPr="005B01FE">
        <w:rPr>
          <w:noProof/>
        </w:rPr>
        <w:t>promot</w:t>
      </w:r>
      <w:r w:rsidR="00CD625E">
        <w:rPr>
          <w:noProof/>
        </w:rPr>
        <w:t>e</w:t>
      </w:r>
      <w:r w:rsidR="00BE690A" w:rsidRPr="005B01FE">
        <w:rPr>
          <w:noProof/>
        </w:rPr>
        <w:t xml:space="preserve"> </w:t>
      </w:r>
      <w:r w:rsidR="00CD625E">
        <w:rPr>
          <w:noProof/>
        </w:rPr>
        <w:t>European works does</w:t>
      </w:r>
      <w:r w:rsidR="00CD625E" w:rsidRPr="005B01FE">
        <w:rPr>
          <w:noProof/>
        </w:rPr>
        <w:t xml:space="preserve"> </w:t>
      </w:r>
      <w:r w:rsidR="00BE690A" w:rsidRPr="005B01FE">
        <w:rPr>
          <w:noProof/>
        </w:rPr>
        <w:t>not apply to television broadcasts that are intended for local audiences and do not form part of a national network. This makes it possible to exempt services from obligations based on their specific genre</w:t>
      </w:r>
      <w:r w:rsidR="00CD625E">
        <w:rPr>
          <w:noProof/>
        </w:rPr>
        <w:t>, among other things</w:t>
      </w:r>
      <w:r w:rsidR="00BE690A" w:rsidRPr="005B01FE">
        <w:rPr>
          <w:noProof/>
        </w:rPr>
        <w:t>.</w:t>
      </w:r>
    </w:p>
    <w:p w14:paraId="1C624D9B" w14:textId="77777777" w:rsidR="00BE690A" w:rsidRPr="005B01FE" w:rsidRDefault="00BE690A" w:rsidP="00C41B02">
      <w:pPr>
        <w:spacing w:before="240" w:after="0"/>
        <w:contextualSpacing/>
        <w:rPr>
          <w:noProof/>
        </w:rPr>
      </w:pPr>
    </w:p>
    <w:p w14:paraId="13140850" w14:textId="618E17A7" w:rsidR="00812B41" w:rsidRPr="005B01FE" w:rsidRDefault="00CD625E" w:rsidP="003E04DB">
      <w:pPr>
        <w:spacing w:before="240"/>
        <w:rPr>
          <w:noProof/>
          <w:highlight w:val="yellow"/>
        </w:rPr>
      </w:pPr>
      <w:r>
        <w:rPr>
          <w:noProof/>
        </w:rPr>
        <w:t>I</w:t>
      </w:r>
      <w:r w:rsidR="003C21C4" w:rsidRPr="005B01FE">
        <w:rPr>
          <w:noProof/>
        </w:rPr>
        <w:t xml:space="preserve">n its </w:t>
      </w:r>
      <w:r w:rsidR="003C21C4" w:rsidRPr="009F2C6C">
        <w:rPr>
          <w:i/>
          <w:iCs/>
          <w:noProof/>
        </w:rPr>
        <w:t xml:space="preserve">Revised Guidelines for Monitoring the Application of Articles 16 and 17 of the </w:t>
      </w:r>
      <w:r w:rsidRPr="00CD625E">
        <w:rPr>
          <w:i/>
          <w:iCs/>
          <w:noProof/>
        </w:rPr>
        <w:t xml:space="preserve">Audiovisual </w:t>
      </w:r>
      <w:r w:rsidR="0033334C">
        <w:rPr>
          <w:i/>
          <w:iCs/>
          <w:noProof/>
        </w:rPr>
        <w:t xml:space="preserve">and </w:t>
      </w:r>
      <w:r w:rsidRPr="00CD625E">
        <w:rPr>
          <w:i/>
          <w:iCs/>
          <w:noProof/>
        </w:rPr>
        <w:t>Media Services</w:t>
      </w:r>
      <w:r>
        <w:rPr>
          <w:i/>
          <w:iCs/>
          <w:noProof/>
        </w:rPr>
        <w:t xml:space="preserve"> (</w:t>
      </w:r>
      <w:r w:rsidR="003C21C4" w:rsidRPr="009F2C6C">
        <w:rPr>
          <w:i/>
          <w:iCs/>
          <w:noProof/>
        </w:rPr>
        <w:t>AVMS</w:t>
      </w:r>
      <w:r>
        <w:rPr>
          <w:i/>
          <w:iCs/>
          <w:noProof/>
        </w:rPr>
        <w:t>) Directive</w:t>
      </w:r>
      <w:r w:rsidR="003C21C4" w:rsidRPr="005B01FE">
        <w:rPr>
          <w:noProof/>
        </w:rPr>
        <w:t xml:space="preserve"> of July 2011</w:t>
      </w:r>
      <w:r w:rsidR="0033334C">
        <w:rPr>
          <w:noProof/>
        </w:rPr>
        <w:t xml:space="preserve"> (the ‘Revised Guidelines’)</w:t>
      </w:r>
      <w:r w:rsidR="003C21C4" w:rsidRPr="005B01FE">
        <w:rPr>
          <w:rStyle w:val="FootnoteReference"/>
          <w:noProof/>
        </w:rPr>
        <w:footnoteReference w:id="58"/>
      </w:r>
      <w:r>
        <w:rPr>
          <w:noProof/>
        </w:rPr>
        <w:t xml:space="preserve">, the Commission </w:t>
      </w:r>
      <w:r w:rsidR="006E55F1" w:rsidRPr="005B01FE">
        <w:rPr>
          <w:noProof/>
        </w:rPr>
        <w:t>detailed</w:t>
      </w:r>
      <w:r w:rsidR="00194D50" w:rsidRPr="005B01FE">
        <w:rPr>
          <w:noProof/>
        </w:rPr>
        <w:t xml:space="preserve"> the possibility for</w:t>
      </w:r>
      <w:r w:rsidR="00812B41" w:rsidRPr="005B01FE">
        <w:rPr>
          <w:noProof/>
        </w:rPr>
        <w:t xml:space="preserve"> channels with a very low audience share (below 0.3%) to request an individual exemption from th</w:t>
      </w:r>
      <w:r w:rsidR="0033334C">
        <w:rPr>
          <w:noProof/>
        </w:rPr>
        <w:t>e</w:t>
      </w:r>
      <w:r w:rsidR="00812B41" w:rsidRPr="005B01FE">
        <w:rPr>
          <w:noProof/>
        </w:rPr>
        <w:t xml:space="preserve"> reporting obligation. The underlying reasons for this exemption </w:t>
      </w:r>
      <w:r w:rsidR="0033334C">
        <w:rPr>
          <w:noProof/>
        </w:rPr>
        <w:t>are</w:t>
      </w:r>
      <w:r w:rsidR="0033334C" w:rsidRPr="005B01FE">
        <w:rPr>
          <w:noProof/>
        </w:rPr>
        <w:t xml:space="preserve"> </w:t>
      </w:r>
      <w:r w:rsidR="00812B41" w:rsidRPr="005B01FE">
        <w:rPr>
          <w:noProof/>
        </w:rPr>
        <w:t xml:space="preserve">the flexible wording of </w:t>
      </w:r>
      <w:r w:rsidR="005D4D54" w:rsidRPr="005B01FE">
        <w:rPr>
          <w:noProof/>
        </w:rPr>
        <w:t>the provisions</w:t>
      </w:r>
      <w:r w:rsidR="00812B41" w:rsidRPr="005B01FE">
        <w:rPr>
          <w:noProof/>
        </w:rPr>
        <w:t xml:space="preserve"> (‘where practicable’) and the emergence of new and small channels. This exemption concern</w:t>
      </w:r>
      <w:r w:rsidR="0033334C">
        <w:rPr>
          <w:noProof/>
        </w:rPr>
        <w:t>s</w:t>
      </w:r>
      <w:r w:rsidR="00812B41" w:rsidRPr="005B01FE">
        <w:rPr>
          <w:noProof/>
        </w:rPr>
        <w:t xml:space="preserve"> </w:t>
      </w:r>
      <w:r w:rsidR="005D4D54" w:rsidRPr="005B01FE">
        <w:rPr>
          <w:noProof/>
        </w:rPr>
        <w:t xml:space="preserve">only </w:t>
      </w:r>
      <w:r w:rsidR="00812B41" w:rsidRPr="005B01FE">
        <w:rPr>
          <w:noProof/>
        </w:rPr>
        <w:t>the reporting obligation</w:t>
      </w:r>
      <w:r w:rsidR="005D4D54" w:rsidRPr="005B01FE">
        <w:rPr>
          <w:noProof/>
        </w:rPr>
        <w:t xml:space="preserve"> </w:t>
      </w:r>
      <w:r w:rsidR="00812B41" w:rsidRPr="005B01FE">
        <w:rPr>
          <w:noProof/>
        </w:rPr>
        <w:t>and not the obligation to ensure the</w:t>
      </w:r>
      <w:r w:rsidR="009122DC">
        <w:rPr>
          <w:noProof/>
        </w:rPr>
        <w:t xml:space="preserve"> </w:t>
      </w:r>
      <w:r w:rsidR="00812B41" w:rsidRPr="005B01FE">
        <w:rPr>
          <w:noProof/>
        </w:rPr>
        <w:t>share of European works</w:t>
      </w:r>
      <w:r w:rsidR="005D4D54" w:rsidRPr="005B01FE">
        <w:rPr>
          <w:noProof/>
        </w:rPr>
        <w:t xml:space="preserve"> </w:t>
      </w:r>
      <w:r w:rsidR="00812B41" w:rsidRPr="005B01FE">
        <w:rPr>
          <w:noProof/>
        </w:rPr>
        <w:t xml:space="preserve">set out in the Directive. It </w:t>
      </w:r>
      <w:r w:rsidR="0033334C">
        <w:rPr>
          <w:noProof/>
        </w:rPr>
        <w:t>is</w:t>
      </w:r>
      <w:r w:rsidR="0033334C" w:rsidRPr="005B01FE">
        <w:rPr>
          <w:noProof/>
        </w:rPr>
        <w:t xml:space="preserve"> </w:t>
      </w:r>
      <w:r w:rsidR="0059152D" w:rsidRPr="005B01FE">
        <w:rPr>
          <w:noProof/>
        </w:rPr>
        <w:t>for</w:t>
      </w:r>
      <w:r w:rsidR="00812B41" w:rsidRPr="005B01FE">
        <w:rPr>
          <w:noProof/>
        </w:rPr>
        <w:t xml:space="preserve"> the competent national authorities</w:t>
      </w:r>
      <w:r w:rsidR="0059152D" w:rsidRPr="005B01FE">
        <w:rPr>
          <w:noProof/>
        </w:rPr>
        <w:t xml:space="preserve"> to grant </w:t>
      </w:r>
      <w:r w:rsidR="0033334C">
        <w:rPr>
          <w:noProof/>
        </w:rPr>
        <w:t>such an exemption</w:t>
      </w:r>
      <w:r w:rsidR="00194D50" w:rsidRPr="005B01FE">
        <w:rPr>
          <w:noProof/>
        </w:rPr>
        <w:t>, and</w:t>
      </w:r>
      <w:r w:rsidR="00812B41" w:rsidRPr="005B01FE">
        <w:rPr>
          <w:noProof/>
        </w:rPr>
        <w:t xml:space="preserve"> </w:t>
      </w:r>
      <w:r w:rsidR="00194D50" w:rsidRPr="005B01FE">
        <w:rPr>
          <w:noProof/>
        </w:rPr>
        <w:t>t</w:t>
      </w:r>
      <w:r w:rsidR="00812B41" w:rsidRPr="005B01FE">
        <w:rPr>
          <w:noProof/>
        </w:rPr>
        <w:t xml:space="preserve">he Revised Guidelines set out the detailed conditions for granting </w:t>
      </w:r>
      <w:r w:rsidR="0033334C">
        <w:rPr>
          <w:noProof/>
        </w:rPr>
        <w:t>it</w:t>
      </w:r>
      <w:r w:rsidR="00812B41" w:rsidRPr="005B01FE">
        <w:rPr>
          <w:noProof/>
        </w:rPr>
        <w:t>.</w:t>
      </w:r>
      <w:r w:rsidR="00E72656" w:rsidRPr="005B01FE">
        <w:rPr>
          <w:noProof/>
        </w:rPr>
        <w:t xml:space="preserve"> Additionally, </w:t>
      </w:r>
      <w:r w:rsidR="005D4D54" w:rsidRPr="005B01FE">
        <w:rPr>
          <w:noProof/>
        </w:rPr>
        <w:t>under</w:t>
      </w:r>
      <w:r w:rsidR="00E72656" w:rsidRPr="005B01FE">
        <w:rPr>
          <w:noProof/>
        </w:rPr>
        <w:t xml:space="preserve"> the </w:t>
      </w:r>
      <w:r w:rsidR="0033334C">
        <w:rPr>
          <w:noProof/>
        </w:rPr>
        <w:t xml:space="preserve">Revised </w:t>
      </w:r>
      <w:r w:rsidR="00E72656" w:rsidRPr="005B01FE">
        <w:rPr>
          <w:noProof/>
        </w:rPr>
        <w:t>Guidelines</w:t>
      </w:r>
      <w:r w:rsidR="00AA57CC" w:rsidRPr="005B01FE">
        <w:rPr>
          <w:noProof/>
        </w:rPr>
        <w:t>,</w:t>
      </w:r>
      <w:r w:rsidR="00E72656" w:rsidRPr="005B01FE">
        <w:rPr>
          <w:noProof/>
        </w:rPr>
        <w:t xml:space="preserve"> it is not necessary for national reports to include data on:</w:t>
      </w:r>
    </w:p>
    <w:p w14:paraId="5B34A849" w14:textId="40ADA764" w:rsidR="00E72656" w:rsidRPr="005B01FE" w:rsidRDefault="0033334C" w:rsidP="00C742BD">
      <w:pPr>
        <w:numPr>
          <w:ilvl w:val="0"/>
          <w:numId w:val="40"/>
        </w:numPr>
        <w:spacing w:before="240" w:after="0"/>
        <w:contextualSpacing/>
        <w:rPr>
          <w:noProof/>
        </w:rPr>
      </w:pPr>
      <w:r>
        <w:rPr>
          <w:noProof/>
        </w:rPr>
        <w:t>c</w:t>
      </w:r>
      <w:r w:rsidR="00E72656" w:rsidRPr="005B01FE">
        <w:rPr>
          <w:noProof/>
        </w:rPr>
        <w:t>hannels broadcasting exclusively news, sport</w:t>
      </w:r>
      <w:r w:rsidR="005D4D54" w:rsidRPr="005B01FE">
        <w:rPr>
          <w:noProof/>
        </w:rPr>
        <w:t>ing</w:t>
      </w:r>
      <w:r w:rsidR="00E72656" w:rsidRPr="005B01FE">
        <w:rPr>
          <w:noProof/>
        </w:rPr>
        <w:t xml:space="preserve"> events, games, advertising, teletext services and teleshopping</w:t>
      </w:r>
      <w:r>
        <w:rPr>
          <w:noProof/>
        </w:rPr>
        <w:t>;</w:t>
      </w:r>
    </w:p>
    <w:p w14:paraId="0E28D61C" w14:textId="16B33FEC" w:rsidR="00E72656" w:rsidRPr="005B01FE" w:rsidRDefault="0033334C" w:rsidP="00C742BD">
      <w:pPr>
        <w:numPr>
          <w:ilvl w:val="0"/>
          <w:numId w:val="40"/>
        </w:numPr>
        <w:spacing w:before="240" w:after="0"/>
        <w:contextualSpacing/>
        <w:rPr>
          <w:noProof/>
        </w:rPr>
      </w:pPr>
      <w:r>
        <w:rPr>
          <w:noProof/>
        </w:rPr>
        <w:t>b</w:t>
      </w:r>
      <w:r w:rsidR="00E72656" w:rsidRPr="005B01FE">
        <w:rPr>
          <w:noProof/>
        </w:rPr>
        <w:t xml:space="preserve">roadcasts </w:t>
      </w:r>
      <w:r w:rsidR="006E7D1D" w:rsidRPr="005B01FE">
        <w:rPr>
          <w:noProof/>
        </w:rPr>
        <w:t>‘</w:t>
      </w:r>
      <w:r w:rsidR="00E72656" w:rsidRPr="005B01FE">
        <w:rPr>
          <w:noProof/>
        </w:rPr>
        <w:t>intended for local audiences</w:t>
      </w:r>
      <w:r w:rsidR="006E7D1D" w:rsidRPr="005B01FE">
        <w:rPr>
          <w:noProof/>
        </w:rPr>
        <w:t>’</w:t>
      </w:r>
      <w:r w:rsidR="00E72656" w:rsidRPr="005B01FE">
        <w:rPr>
          <w:noProof/>
        </w:rPr>
        <w:t xml:space="preserve"> </w:t>
      </w:r>
      <w:r w:rsidR="003C6FA4">
        <w:rPr>
          <w:noProof/>
        </w:rPr>
        <w:t>that</w:t>
      </w:r>
      <w:r w:rsidR="003C6FA4" w:rsidRPr="005B01FE">
        <w:rPr>
          <w:noProof/>
        </w:rPr>
        <w:t xml:space="preserve"> </w:t>
      </w:r>
      <w:r w:rsidR="00E72656" w:rsidRPr="005B01FE">
        <w:rPr>
          <w:noProof/>
        </w:rPr>
        <w:t xml:space="preserve">do not </w:t>
      </w:r>
      <w:r w:rsidR="006E7D1D" w:rsidRPr="005B01FE">
        <w:rPr>
          <w:noProof/>
        </w:rPr>
        <w:t>‘</w:t>
      </w:r>
      <w:r w:rsidR="00E72656" w:rsidRPr="005B01FE">
        <w:rPr>
          <w:noProof/>
        </w:rPr>
        <w:t>form part of a national network</w:t>
      </w:r>
      <w:r w:rsidR="006E7D1D" w:rsidRPr="005B01FE">
        <w:rPr>
          <w:noProof/>
        </w:rPr>
        <w:t>’</w:t>
      </w:r>
      <w:r w:rsidR="00CA314E" w:rsidRPr="005B01FE">
        <w:rPr>
          <w:noProof/>
        </w:rPr>
        <w:t xml:space="preserve"> (as stated in Article 18 of the AVMSD)</w:t>
      </w:r>
      <w:r>
        <w:rPr>
          <w:noProof/>
        </w:rPr>
        <w:t>;</w:t>
      </w:r>
    </w:p>
    <w:p w14:paraId="4FAAB5A1" w14:textId="4B1381F7" w:rsidR="00E72656" w:rsidRPr="005B01FE" w:rsidRDefault="0033334C" w:rsidP="00C742BD">
      <w:pPr>
        <w:numPr>
          <w:ilvl w:val="0"/>
          <w:numId w:val="40"/>
        </w:numPr>
        <w:spacing w:before="240" w:after="0"/>
        <w:contextualSpacing/>
        <w:rPr>
          <w:noProof/>
        </w:rPr>
      </w:pPr>
      <w:r>
        <w:rPr>
          <w:noProof/>
        </w:rPr>
        <w:t>c</w:t>
      </w:r>
      <w:r w:rsidR="00E72656" w:rsidRPr="005B01FE">
        <w:rPr>
          <w:noProof/>
        </w:rPr>
        <w:t>hannels broadcasting entirely in a language that has no official status as one of the languages of one or more Member States</w:t>
      </w:r>
      <w:r>
        <w:rPr>
          <w:noProof/>
        </w:rPr>
        <w:t>; and</w:t>
      </w:r>
    </w:p>
    <w:p w14:paraId="6306C9F0" w14:textId="7AA10473" w:rsidR="00E72656" w:rsidRPr="005B01FE" w:rsidRDefault="0033334C" w:rsidP="00C742BD">
      <w:pPr>
        <w:numPr>
          <w:ilvl w:val="0"/>
          <w:numId w:val="40"/>
        </w:numPr>
        <w:spacing w:before="240" w:after="0"/>
        <w:contextualSpacing/>
        <w:rPr>
          <w:noProof/>
        </w:rPr>
      </w:pPr>
      <w:r>
        <w:rPr>
          <w:noProof/>
        </w:rPr>
        <w:t>b</w:t>
      </w:r>
      <w:r w:rsidR="00E72656" w:rsidRPr="005B01FE">
        <w:rPr>
          <w:noProof/>
        </w:rPr>
        <w:t xml:space="preserve">roadcasts exclusively intended for reception in </w:t>
      </w:r>
      <w:r w:rsidR="003C6FA4">
        <w:rPr>
          <w:noProof/>
        </w:rPr>
        <w:t xml:space="preserve">non-EU </w:t>
      </w:r>
      <w:r w:rsidR="00E72656" w:rsidRPr="005B01FE">
        <w:rPr>
          <w:noProof/>
        </w:rPr>
        <w:t xml:space="preserve">countries and not receivable </w:t>
      </w:r>
      <w:r w:rsidR="006504A3" w:rsidRPr="005B01FE">
        <w:rPr>
          <w:noProof/>
        </w:rPr>
        <w:t xml:space="preserve">by the public </w:t>
      </w:r>
      <w:r w:rsidR="00E72656" w:rsidRPr="005B01FE">
        <w:rPr>
          <w:noProof/>
        </w:rPr>
        <w:t>in a Member State with standard consumer equipment.</w:t>
      </w:r>
    </w:p>
    <w:p w14:paraId="225885E9" w14:textId="77777777" w:rsidR="00720BEC" w:rsidRPr="005B01FE" w:rsidRDefault="00720BEC" w:rsidP="00C41B02">
      <w:pPr>
        <w:spacing w:before="240" w:after="0"/>
        <w:contextualSpacing/>
        <w:rPr>
          <w:noProof/>
          <w:highlight w:val="yellow"/>
        </w:rPr>
      </w:pPr>
    </w:p>
    <w:p w14:paraId="4FC4F5B2" w14:textId="57D6FDA3" w:rsidR="00C80D73" w:rsidRPr="005B01FE" w:rsidRDefault="00D86E22" w:rsidP="00DA11F2">
      <w:pPr>
        <w:spacing w:before="240" w:after="0"/>
        <w:contextualSpacing/>
        <w:rPr>
          <w:noProof/>
          <w:highlight w:val="yellow"/>
        </w:rPr>
      </w:pPr>
      <w:r w:rsidRPr="005B01FE">
        <w:rPr>
          <w:noProof/>
        </w:rPr>
        <w:t xml:space="preserve">Almost all </w:t>
      </w:r>
      <w:r w:rsidR="002D7A9E" w:rsidRPr="005B01FE">
        <w:rPr>
          <w:noProof/>
        </w:rPr>
        <w:t>national regulatory authorities reported that they ha</w:t>
      </w:r>
      <w:r w:rsidR="00AF5887" w:rsidRPr="005B01FE">
        <w:rPr>
          <w:noProof/>
        </w:rPr>
        <w:t>d</w:t>
      </w:r>
      <w:r w:rsidR="002D7A9E" w:rsidRPr="005B01FE">
        <w:rPr>
          <w:noProof/>
        </w:rPr>
        <w:t xml:space="preserve"> granted exemptions from</w:t>
      </w:r>
      <w:r w:rsidR="00AF5887" w:rsidRPr="005B01FE">
        <w:rPr>
          <w:noProof/>
        </w:rPr>
        <w:t xml:space="preserve"> the</w:t>
      </w:r>
      <w:r w:rsidR="002D7A9E" w:rsidRPr="005B01FE">
        <w:rPr>
          <w:noProof/>
        </w:rPr>
        <w:t xml:space="preserve"> reporting obligation during the </w:t>
      </w:r>
      <w:r w:rsidR="001C21BB">
        <w:rPr>
          <w:noProof/>
        </w:rPr>
        <w:t>reference</w:t>
      </w:r>
      <w:r w:rsidR="001C21BB" w:rsidRPr="005B01FE">
        <w:rPr>
          <w:noProof/>
        </w:rPr>
        <w:t xml:space="preserve"> </w:t>
      </w:r>
      <w:r w:rsidR="002D7A9E" w:rsidRPr="005B01FE">
        <w:rPr>
          <w:noProof/>
        </w:rPr>
        <w:t xml:space="preserve">period </w:t>
      </w:r>
      <w:r w:rsidR="001C21BB">
        <w:rPr>
          <w:noProof/>
        </w:rPr>
        <w:t>(</w:t>
      </w:r>
      <w:r w:rsidR="002D7A9E" w:rsidRPr="005B01FE">
        <w:rPr>
          <w:noProof/>
          <w:lang w:eastAsia="en-GB"/>
        </w:rPr>
        <w:t>20</w:t>
      </w:r>
      <w:r w:rsidR="00AA57CC" w:rsidRPr="005B01FE">
        <w:rPr>
          <w:noProof/>
          <w:lang w:eastAsia="en-GB"/>
        </w:rPr>
        <w:t>20-2021</w:t>
      </w:r>
      <w:r w:rsidR="001C21BB">
        <w:rPr>
          <w:noProof/>
          <w:lang w:eastAsia="en-GB"/>
        </w:rPr>
        <w:t>)</w:t>
      </w:r>
      <w:r w:rsidR="002D7A9E" w:rsidRPr="005B01FE">
        <w:rPr>
          <w:noProof/>
        </w:rPr>
        <w:t xml:space="preserve">. </w:t>
      </w:r>
      <w:r w:rsidR="00E70A9A" w:rsidRPr="005B01FE">
        <w:rPr>
          <w:noProof/>
        </w:rPr>
        <w:t xml:space="preserve">The </w:t>
      </w:r>
      <w:r w:rsidR="00E66FF8" w:rsidRPr="005B01FE">
        <w:rPr>
          <w:noProof/>
        </w:rPr>
        <w:t>most cited</w:t>
      </w:r>
      <w:r w:rsidR="00E70A9A" w:rsidRPr="005B01FE">
        <w:rPr>
          <w:noProof/>
        </w:rPr>
        <w:t xml:space="preserve"> reason for </w:t>
      </w:r>
      <w:r w:rsidR="00306544">
        <w:rPr>
          <w:noProof/>
        </w:rPr>
        <w:t xml:space="preserve">granting an </w:t>
      </w:r>
      <w:r w:rsidR="00E70A9A" w:rsidRPr="005B01FE">
        <w:rPr>
          <w:noProof/>
        </w:rPr>
        <w:t xml:space="preserve">exemption from </w:t>
      </w:r>
      <w:r w:rsidR="00306544">
        <w:rPr>
          <w:noProof/>
        </w:rPr>
        <w:t xml:space="preserve">the </w:t>
      </w:r>
      <w:r w:rsidR="00E70A9A" w:rsidRPr="005B01FE">
        <w:rPr>
          <w:noProof/>
        </w:rPr>
        <w:t xml:space="preserve">reporting obligation </w:t>
      </w:r>
      <w:r w:rsidR="006F3F37" w:rsidRPr="005B01FE">
        <w:rPr>
          <w:noProof/>
        </w:rPr>
        <w:t xml:space="preserve">was an audience share </w:t>
      </w:r>
      <w:r w:rsidR="00E70A9A" w:rsidRPr="005B01FE">
        <w:rPr>
          <w:noProof/>
        </w:rPr>
        <w:t>below 0.3%</w:t>
      </w:r>
      <w:r w:rsidR="00E70A9A" w:rsidRPr="005B01FE">
        <w:rPr>
          <w:rStyle w:val="FootnoteReference"/>
          <w:noProof/>
        </w:rPr>
        <w:footnoteReference w:id="59"/>
      </w:r>
      <w:r w:rsidR="00E70A9A" w:rsidRPr="005B01FE">
        <w:rPr>
          <w:noProof/>
        </w:rPr>
        <w:t>. Other reasons mentioned were the channel’s local or regional nature</w:t>
      </w:r>
      <w:r w:rsidR="00DA11F2" w:rsidRPr="005B01FE">
        <w:rPr>
          <w:rStyle w:val="FootnoteReference"/>
          <w:noProof/>
        </w:rPr>
        <w:footnoteReference w:id="60"/>
      </w:r>
      <w:r w:rsidR="00DA11F2">
        <w:rPr>
          <w:noProof/>
        </w:rPr>
        <w:t xml:space="preserve">, channels broadcasting exclusively </w:t>
      </w:r>
      <w:r w:rsidR="00DA11F2" w:rsidRPr="003D5019">
        <w:rPr>
          <w:noProof/>
        </w:rPr>
        <w:t xml:space="preserve">sports </w:t>
      </w:r>
      <w:r w:rsidR="00DA11F2" w:rsidRPr="005B01FE">
        <w:rPr>
          <w:noProof/>
        </w:rPr>
        <w:t>or news</w:t>
      </w:r>
      <w:r w:rsidR="00DA11F2" w:rsidRPr="005B01FE">
        <w:rPr>
          <w:rStyle w:val="FootnoteReference"/>
          <w:noProof/>
        </w:rPr>
        <w:footnoteReference w:id="61"/>
      </w:r>
      <w:r w:rsidR="00DA11F2">
        <w:rPr>
          <w:noProof/>
        </w:rPr>
        <w:t xml:space="preserve">, </w:t>
      </w:r>
      <w:r w:rsidR="00DA11F2" w:rsidRPr="005B01FE">
        <w:rPr>
          <w:noProof/>
        </w:rPr>
        <w:t>teleshopping</w:t>
      </w:r>
      <w:r w:rsidR="00DA11F2" w:rsidRPr="005B01FE">
        <w:rPr>
          <w:rStyle w:val="FootnoteReference"/>
          <w:noProof/>
        </w:rPr>
        <w:footnoteReference w:id="62"/>
      </w:r>
      <w:r w:rsidR="00DA11F2">
        <w:rPr>
          <w:noProof/>
        </w:rPr>
        <w:t>,</w:t>
      </w:r>
      <w:r w:rsidR="00DA11F2" w:rsidRPr="005B01FE" w:rsidDel="00DA11F2">
        <w:rPr>
          <w:noProof/>
        </w:rPr>
        <w:t xml:space="preserve"> </w:t>
      </w:r>
      <w:r w:rsidR="00DA11F2" w:rsidRPr="005B01FE">
        <w:rPr>
          <w:noProof/>
        </w:rPr>
        <w:t>a relaxing burning fireplace</w:t>
      </w:r>
      <w:r w:rsidR="00DA11F2" w:rsidRPr="005B01FE">
        <w:rPr>
          <w:rStyle w:val="FootnoteReference"/>
          <w:noProof/>
        </w:rPr>
        <w:footnoteReference w:id="63"/>
      </w:r>
      <w:r w:rsidR="00DA11F2">
        <w:rPr>
          <w:noProof/>
        </w:rPr>
        <w:t xml:space="preserve">, </w:t>
      </w:r>
      <w:r w:rsidR="00DA11F2" w:rsidRPr="005B01FE">
        <w:rPr>
          <w:noProof/>
        </w:rPr>
        <w:t>parliamentary proceedings</w:t>
      </w:r>
      <w:r w:rsidR="00DA11F2" w:rsidRPr="005B01FE">
        <w:rPr>
          <w:rStyle w:val="FootnoteReference"/>
          <w:noProof/>
        </w:rPr>
        <w:footnoteReference w:id="64"/>
      </w:r>
      <w:r w:rsidR="00DA11F2">
        <w:rPr>
          <w:noProof/>
        </w:rPr>
        <w:t xml:space="preserve"> or</w:t>
      </w:r>
      <w:r w:rsidR="00DA11F2" w:rsidRPr="005B01FE">
        <w:rPr>
          <w:noProof/>
        </w:rPr>
        <w:t xml:space="preserve"> religious</w:t>
      </w:r>
      <w:r w:rsidR="00DA11F2" w:rsidRPr="005B01FE">
        <w:rPr>
          <w:rStyle w:val="FootnoteReference"/>
          <w:noProof/>
        </w:rPr>
        <w:footnoteReference w:id="65"/>
      </w:r>
      <w:r w:rsidR="00DA11F2" w:rsidRPr="005B01FE">
        <w:rPr>
          <w:noProof/>
        </w:rPr>
        <w:t xml:space="preserve"> or adult</w:t>
      </w:r>
      <w:r w:rsidR="00DA11F2" w:rsidRPr="005B01FE">
        <w:rPr>
          <w:rStyle w:val="FootnoteReference"/>
          <w:noProof/>
        </w:rPr>
        <w:footnoteReference w:id="66"/>
      </w:r>
      <w:r w:rsidR="00DA11F2" w:rsidRPr="005B01FE">
        <w:rPr>
          <w:noProof/>
        </w:rPr>
        <w:t xml:space="preserve"> content</w:t>
      </w:r>
      <w:r w:rsidR="00DA11F2">
        <w:rPr>
          <w:noProof/>
        </w:rPr>
        <w:t xml:space="preserve"> or a</w:t>
      </w:r>
      <w:r w:rsidR="00E70A9A" w:rsidRPr="005B01FE">
        <w:rPr>
          <w:noProof/>
        </w:rPr>
        <w:t xml:space="preserve"> channel</w:t>
      </w:r>
      <w:r w:rsidR="00C80D73" w:rsidRPr="005B01FE">
        <w:rPr>
          <w:noProof/>
        </w:rPr>
        <w:t xml:space="preserve"> broadcasting entirely in a language that has no official status as one of the languages of one or more M</w:t>
      </w:r>
      <w:r w:rsidR="00306544">
        <w:rPr>
          <w:noProof/>
        </w:rPr>
        <w:t xml:space="preserve">ember </w:t>
      </w:r>
      <w:r w:rsidR="00C80D73" w:rsidRPr="005B01FE">
        <w:rPr>
          <w:noProof/>
        </w:rPr>
        <w:t>S</w:t>
      </w:r>
      <w:r w:rsidR="00306544">
        <w:rPr>
          <w:noProof/>
        </w:rPr>
        <w:t>tates</w:t>
      </w:r>
      <w:r w:rsidR="00DA11F2">
        <w:rPr>
          <w:rStyle w:val="FootnoteReference"/>
          <w:noProof/>
        </w:rPr>
        <w:footnoteReference w:id="67"/>
      </w:r>
      <w:r w:rsidR="00E70A9A" w:rsidRPr="005B01FE">
        <w:rPr>
          <w:noProof/>
        </w:rPr>
        <w:t>.</w:t>
      </w:r>
      <w:r w:rsidR="00DA11F2">
        <w:rPr>
          <w:noProof/>
        </w:rPr>
        <w:t xml:space="preserve"> </w:t>
      </w:r>
    </w:p>
    <w:p w14:paraId="7F014CE5" w14:textId="77777777" w:rsidR="00DA11F2" w:rsidRDefault="00DA11F2" w:rsidP="00C41B02">
      <w:pPr>
        <w:spacing w:before="240" w:after="0"/>
        <w:contextualSpacing/>
        <w:rPr>
          <w:noProof/>
        </w:rPr>
      </w:pPr>
    </w:p>
    <w:p w14:paraId="29607709" w14:textId="7F1CBE30" w:rsidR="002D7A9E" w:rsidRPr="005B01FE" w:rsidRDefault="00D9390D" w:rsidP="00C41B02">
      <w:pPr>
        <w:spacing w:before="240" w:after="0"/>
        <w:contextualSpacing/>
        <w:rPr>
          <w:noProof/>
        </w:rPr>
      </w:pPr>
      <w:r w:rsidRPr="005B01FE">
        <w:rPr>
          <w:noProof/>
        </w:rPr>
        <w:t>As reported in the national data sheets, d</w:t>
      </w:r>
      <w:r w:rsidR="002D7A9E" w:rsidRPr="005B01FE">
        <w:rPr>
          <w:noProof/>
        </w:rPr>
        <w:t xml:space="preserve">uring the </w:t>
      </w:r>
      <w:r w:rsidR="00E00DEB" w:rsidRPr="005B01FE">
        <w:rPr>
          <w:noProof/>
        </w:rPr>
        <w:t xml:space="preserve">whole </w:t>
      </w:r>
      <w:r w:rsidR="001C21BB">
        <w:rPr>
          <w:noProof/>
        </w:rPr>
        <w:t>reference</w:t>
      </w:r>
      <w:r w:rsidR="001C21BB" w:rsidRPr="005B01FE">
        <w:rPr>
          <w:noProof/>
        </w:rPr>
        <w:t xml:space="preserve"> </w:t>
      </w:r>
      <w:r w:rsidR="002D7A9E" w:rsidRPr="005B01FE">
        <w:rPr>
          <w:noProof/>
        </w:rPr>
        <w:t>period, the total number of channels</w:t>
      </w:r>
      <w:r w:rsidRPr="005B01FE">
        <w:rPr>
          <w:noProof/>
        </w:rPr>
        <w:t xml:space="preserve"> in the EU</w:t>
      </w:r>
      <w:r w:rsidR="00992DA9">
        <w:rPr>
          <w:noProof/>
        </w:rPr>
        <w:t xml:space="preserve"> subject to </w:t>
      </w:r>
      <w:r w:rsidR="00E26552" w:rsidRPr="005B01FE">
        <w:rPr>
          <w:noProof/>
        </w:rPr>
        <w:t>either or both types of exemption</w:t>
      </w:r>
      <w:r w:rsidR="00AA57CC" w:rsidRPr="005B01FE">
        <w:rPr>
          <w:noProof/>
        </w:rPr>
        <w:t xml:space="preserve"> amounted to </w:t>
      </w:r>
      <w:r w:rsidR="00E26552" w:rsidRPr="005B01FE">
        <w:rPr>
          <w:noProof/>
        </w:rPr>
        <w:t>2</w:t>
      </w:r>
      <w:r w:rsidR="004C07B9">
        <w:rPr>
          <w:noProof/>
        </w:rPr>
        <w:t> </w:t>
      </w:r>
      <w:r w:rsidR="00E26552" w:rsidRPr="005B01FE">
        <w:rPr>
          <w:noProof/>
        </w:rPr>
        <w:t>236</w:t>
      </w:r>
      <w:r w:rsidR="00AA57CC" w:rsidRPr="005B01FE">
        <w:rPr>
          <w:noProof/>
        </w:rPr>
        <w:t xml:space="preserve">, compared to </w:t>
      </w:r>
      <w:r w:rsidR="002D7A9E" w:rsidRPr="005B01FE">
        <w:rPr>
          <w:noProof/>
        </w:rPr>
        <w:t>2</w:t>
      </w:r>
      <w:r w:rsidR="006E7D1D" w:rsidRPr="005B01FE">
        <w:rPr>
          <w:noProof/>
        </w:rPr>
        <w:t> </w:t>
      </w:r>
      <w:r w:rsidR="002D7A9E" w:rsidRPr="005B01FE">
        <w:rPr>
          <w:noProof/>
        </w:rPr>
        <w:t>895 in 2019</w:t>
      </w:r>
      <w:r w:rsidR="009347F5" w:rsidRPr="005B01FE">
        <w:rPr>
          <w:rStyle w:val="FootnoteReference"/>
          <w:noProof/>
        </w:rPr>
        <w:footnoteReference w:id="68"/>
      </w:r>
      <w:r w:rsidR="002D7A9E" w:rsidRPr="005B01FE">
        <w:rPr>
          <w:noProof/>
        </w:rPr>
        <w:t>.</w:t>
      </w:r>
      <w:r w:rsidR="005D0528" w:rsidRPr="005B01FE">
        <w:rPr>
          <w:noProof/>
        </w:rPr>
        <w:t xml:space="preserve"> </w:t>
      </w:r>
      <w:r w:rsidR="00AA57CC" w:rsidRPr="005B01FE">
        <w:rPr>
          <w:noProof/>
        </w:rPr>
        <w:t xml:space="preserve">The Netherlands </w:t>
      </w:r>
      <w:r w:rsidR="005A5143" w:rsidRPr="005B01FE">
        <w:rPr>
          <w:noProof/>
        </w:rPr>
        <w:t xml:space="preserve">had the highest number of exempted channels </w:t>
      </w:r>
      <w:r w:rsidR="00AA57CC" w:rsidRPr="005B01FE">
        <w:rPr>
          <w:noProof/>
        </w:rPr>
        <w:t>(</w:t>
      </w:r>
      <w:r w:rsidR="00CB3B19" w:rsidRPr="00BC45BF">
        <w:rPr>
          <w:noProof/>
        </w:rPr>
        <w:t>410</w:t>
      </w:r>
      <w:r w:rsidR="00AA57CC" w:rsidRPr="005B01FE">
        <w:rPr>
          <w:noProof/>
        </w:rPr>
        <w:t xml:space="preserve">), followed by Hungary (228) and </w:t>
      </w:r>
      <w:r w:rsidR="00E26552" w:rsidRPr="005B01FE">
        <w:rPr>
          <w:noProof/>
        </w:rPr>
        <w:t>Luxembourg</w:t>
      </w:r>
      <w:r w:rsidR="00AA57CC" w:rsidRPr="005B01FE">
        <w:rPr>
          <w:noProof/>
        </w:rPr>
        <w:t xml:space="preserve"> (21</w:t>
      </w:r>
      <w:r w:rsidR="00E26552" w:rsidRPr="005B01FE">
        <w:rPr>
          <w:noProof/>
        </w:rPr>
        <w:t>9</w:t>
      </w:r>
      <w:r w:rsidR="00AA57CC" w:rsidRPr="005B01FE">
        <w:rPr>
          <w:noProof/>
        </w:rPr>
        <w:t xml:space="preserve">). </w:t>
      </w:r>
      <w:r w:rsidR="00E26552" w:rsidRPr="005B01FE">
        <w:rPr>
          <w:noProof/>
        </w:rPr>
        <w:t>Three</w:t>
      </w:r>
      <w:r w:rsidR="00AA57CC" w:rsidRPr="005B01FE">
        <w:rPr>
          <w:noProof/>
        </w:rPr>
        <w:t xml:space="preserve"> Member States </w:t>
      </w:r>
      <w:r w:rsidR="00E00DEB" w:rsidRPr="005B01FE">
        <w:rPr>
          <w:noProof/>
        </w:rPr>
        <w:t xml:space="preserve">(Estonia, Latvia and Malta) </w:t>
      </w:r>
      <w:r w:rsidR="00992DA9">
        <w:rPr>
          <w:noProof/>
        </w:rPr>
        <w:t xml:space="preserve">and </w:t>
      </w:r>
      <w:r w:rsidR="00E00DEB" w:rsidRPr="005B01FE">
        <w:rPr>
          <w:noProof/>
        </w:rPr>
        <w:t xml:space="preserve">Liechtenstein </w:t>
      </w:r>
      <w:r w:rsidR="00AA57CC" w:rsidRPr="005B01FE">
        <w:rPr>
          <w:noProof/>
        </w:rPr>
        <w:t>report</w:t>
      </w:r>
      <w:r w:rsidR="00E26552" w:rsidRPr="005B01FE">
        <w:rPr>
          <w:noProof/>
        </w:rPr>
        <w:t>ed not having any</w:t>
      </w:r>
      <w:r w:rsidR="00AA57CC" w:rsidRPr="005B01FE">
        <w:rPr>
          <w:noProof/>
        </w:rPr>
        <w:t xml:space="preserve"> exempted channels. Belgium</w:t>
      </w:r>
      <w:r w:rsidR="00AA57CC" w:rsidRPr="005B01FE">
        <w:rPr>
          <w:rStyle w:val="FootnoteReference"/>
          <w:noProof/>
          <w:lang w:eastAsia="en-GB"/>
        </w:rPr>
        <w:footnoteReference w:id="69"/>
      </w:r>
      <w:r w:rsidR="00E26552" w:rsidRPr="005B01FE">
        <w:rPr>
          <w:noProof/>
        </w:rPr>
        <w:t>, Bulgaria, Cyprus, Czechia</w:t>
      </w:r>
      <w:r w:rsidR="009E1A8D" w:rsidRPr="005B01FE">
        <w:rPr>
          <w:noProof/>
        </w:rPr>
        <w:t>,</w:t>
      </w:r>
      <w:r w:rsidR="00E26552" w:rsidRPr="005B01FE">
        <w:rPr>
          <w:noProof/>
        </w:rPr>
        <w:t xml:space="preserve"> Finland</w:t>
      </w:r>
      <w:r w:rsidR="00AA57CC" w:rsidRPr="005B01FE">
        <w:rPr>
          <w:noProof/>
        </w:rPr>
        <w:t xml:space="preserve"> </w:t>
      </w:r>
      <w:r w:rsidR="009E1A8D" w:rsidRPr="005B01FE">
        <w:rPr>
          <w:noProof/>
        </w:rPr>
        <w:t xml:space="preserve">and Iceland </w:t>
      </w:r>
      <w:r w:rsidR="00AA57CC" w:rsidRPr="005B01FE">
        <w:rPr>
          <w:noProof/>
        </w:rPr>
        <w:t xml:space="preserve">reported fewer than </w:t>
      </w:r>
      <w:r w:rsidR="00E9436A">
        <w:rPr>
          <w:noProof/>
        </w:rPr>
        <w:t xml:space="preserve">ten </w:t>
      </w:r>
      <w:r w:rsidR="00AA57CC" w:rsidRPr="005B01FE">
        <w:rPr>
          <w:noProof/>
        </w:rPr>
        <w:t>exempted channels</w:t>
      </w:r>
      <w:r w:rsidR="00E26552" w:rsidRPr="005B01FE">
        <w:rPr>
          <w:noProof/>
        </w:rPr>
        <w:t xml:space="preserve"> in total</w:t>
      </w:r>
      <w:r w:rsidR="00AA57CC" w:rsidRPr="005B01FE">
        <w:rPr>
          <w:noProof/>
        </w:rPr>
        <w:t>.</w:t>
      </w:r>
    </w:p>
    <w:p w14:paraId="74C34C17" w14:textId="77777777" w:rsidR="00CF5542" w:rsidRPr="005B01FE" w:rsidRDefault="00CF5542" w:rsidP="00C41B02">
      <w:pPr>
        <w:spacing w:before="240" w:after="0"/>
        <w:contextualSpacing/>
        <w:rPr>
          <w:noProof/>
          <w:highlight w:val="yellow"/>
        </w:rPr>
      </w:pPr>
    </w:p>
    <w:p w14:paraId="6D94E27F" w14:textId="01C19F64" w:rsidR="00CF5542" w:rsidRPr="003E04DB" w:rsidRDefault="00467DB7" w:rsidP="003E04DB">
      <w:pPr>
        <w:pStyle w:val="Heading2"/>
        <w:rPr>
          <w:noProof/>
        </w:rPr>
      </w:pPr>
      <w:r>
        <w:rPr>
          <w:noProof/>
        </w:rPr>
        <w:t xml:space="preserve"> </w:t>
      </w:r>
      <w:bookmarkStart w:id="30" w:name="_Toc167898093"/>
      <w:r w:rsidR="00812B41" w:rsidRPr="005B01FE">
        <w:rPr>
          <w:noProof/>
        </w:rPr>
        <w:t>Monitoring</w:t>
      </w:r>
      <w:bookmarkEnd w:id="30"/>
    </w:p>
    <w:p w14:paraId="021DC5BD" w14:textId="4EEE140E" w:rsidR="00A36C70" w:rsidRPr="005B01FE" w:rsidRDefault="00A36C70" w:rsidP="003E04DB">
      <w:pPr>
        <w:spacing w:before="240" w:after="0"/>
        <w:rPr>
          <w:noProof/>
          <w:lang w:eastAsia="en-GB"/>
        </w:rPr>
      </w:pPr>
      <w:r w:rsidRPr="005B01FE">
        <w:rPr>
          <w:noProof/>
          <w:lang w:eastAsia="en-GB"/>
        </w:rPr>
        <w:t>During the reference period, five Member States</w:t>
      </w:r>
      <w:r w:rsidRPr="005B01FE">
        <w:rPr>
          <w:rStyle w:val="FootnoteReference"/>
          <w:noProof/>
          <w:lang w:eastAsia="en-GB"/>
        </w:rPr>
        <w:footnoteReference w:id="70"/>
      </w:r>
      <w:r w:rsidRPr="005B01FE">
        <w:rPr>
          <w:noProof/>
          <w:lang w:eastAsia="en-GB"/>
        </w:rPr>
        <w:t xml:space="preserve"> int</w:t>
      </w:r>
      <w:r w:rsidR="00FE2B27" w:rsidRPr="005B01FE">
        <w:rPr>
          <w:noProof/>
          <w:lang w:eastAsia="en-GB"/>
        </w:rPr>
        <w:t>r</w:t>
      </w:r>
      <w:r w:rsidRPr="005B01FE">
        <w:rPr>
          <w:noProof/>
          <w:lang w:eastAsia="en-GB"/>
        </w:rPr>
        <w:t xml:space="preserve">oduced legislative changes </w:t>
      </w:r>
      <w:r w:rsidR="00D510E2">
        <w:rPr>
          <w:noProof/>
          <w:lang w:eastAsia="en-GB"/>
        </w:rPr>
        <w:t>to</w:t>
      </w:r>
      <w:r w:rsidR="00D510E2" w:rsidRPr="005B01FE">
        <w:rPr>
          <w:noProof/>
          <w:lang w:eastAsia="en-GB"/>
        </w:rPr>
        <w:t xml:space="preserve"> </w:t>
      </w:r>
      <w:r w:rsidRPr="005B01FE">
        <w:rPr>
          <w:noProof/>
          <w:lang w:eastAsia="en-GB"/>
        </w:rPr>
        <w:t>stren</w:t>
      </w:r>
      <w:r w:rsidR="00843A77" w:rsidRPr="005B01FE">
        <w:rPr>
          <w:noProof/>
          <w:lang w:eastAsia="en-GB"/>
        </w:rPr>
        <w:t>g</w:t>
      </w:r>
      <w:r w:rsidRPr="005B01FE">
        <w:rPr>
          <w:noProof/>
          <w:lang w:eastAsia="en-GB"/>
        </w:rPr>
        <w:t>then their monitoring or verification systems.</w:t>
      </w:r>
      <w:r w:rsidR="00FE2B27" w:rsidRPr="005B01FE">
        <w:rPr>
          <w:noProof/>
          <w:lang w:eastAsia="en-GB"/>
        </w:rPr>
        <w:t xml:space="preserve"> </w:t>
      </w:r>
      <w:r w:rsidR="00E33630">
        <w:rPr>
          <w:noProof/>
          <w:lang w:eastAsia="en-GB"/>
        </w:rPr>
        <w:t>A further t</w:t>
      </w:r>
      <w:r w:rsidR="00FE2B27" w:rsidRPr="005B01FE">
        <w:rPr>
          <w:noProof/>
          <w:lang w:eastAsia="en-GB"/>
        </w:rPr>
        <w:t>hree Member States</w:t>
      </w:r>
      <w:r w:rsidR="00FE2B27" w:rsidRPr="005B01FE">
        <w:rPr>
          <w:rStyle w:val="FootnoteReference"/>
          <w:noProof/>
          <w:lang w:eastAsia="en-GB"/>
        </w:rPr>
        <w:footnoteReference w:id="71"/>
      </w:r>
      <w:r w:rsidR="00FE2B27" w:rsidRPr="005B01FE">
        <w:rPr>
          <w:noProof/>
          <w:lang w:eastAsia="en-GB"/>
        </w:rPr>
        <w:t xml:space="preserve"> made legislative changes, requiring their competent authorities to </w:t>
      </w:r>
      <w:r w:rsidR="00D510E2">
        <w:rPr>
          <w:noProof/>
          <w:lang w:eastAsia="en-GB"/>
        </w:rPr>
        <w:t xml:space="preserve">provide </w:t>
      </w:r>
      <w:r w:rsidR="00D510E2" w:rsidRPr="005B01FE">
        <w:rPr>
          <w:noProof/>
          <w:lang w:eastAsia="en-GB"/>
        </w:rPr>
        <w:t xml:space="preserve">the Commission </w:t>
      </w:r>
      <w:r w:rsidR="00FE2B27" w:rsidRPr="005B01FE">
        <w:rPr>
          <w:noProof/>
          <w:lang w:eastAsia="en-GB"/>
        </w:rPr>
        <w:t xml:space="preserve">every </w:t>
      </w:r>
      <w:r w:rsidR="00D510E2">
        <w:rPr>
          <w:noProof/>
          <w:lang w:eastAsia="en-GB"/>
        </w:rPr>
        <w:t>2 </w:t>
      </w:r>
      <w:r w:rsidR="00FE2B27" w:rsidRPr="005B01FE">
        <w:rPr>
          <w:noProof/>
          <w:lang w:eastAsia="en-GB"/>
        </w:rPr>
        <w:t>years</w:t>
      </w:r>
      <w:r w:rsidR="00D510E2">
        <w:rPr>
          <w:noProof/>
          <w:lang w:eastAsia="en-GB"/>
        </w:rPr>
        <w:t xml:space="preserve"> with a report</w:t>
      </w:r>
      <w:r w:rsidR="00FE2B27" w:rsidRPr="005B01FE">
        <w:rPr>
          <w:noProof/>
          <w:lang w:eastAsia="en-GB"/>
        </w:rPr>
        <w:t xml:space="preserve"> outlining the performance of broadcasters in fulfilling their obligations pursuant to Articles 16 and 17 of the AVMSD.</w:t>
      </w:r>
    </w:p>
    <w:p w14:paraId="7A1EAA5C" w14:textId="4A3006BE" w:rsidR="00FE2B27" w:rsidRPr="005B01FE" w:rsidRDefault="00FE2B27" w:rsidP="00C41B02">
      <w:pPr>
        <w:spacing w:before="240" w:after="0"/>
        <w:contextualSpacing/>
        <w:rPr>
          <w:noProof/>
          <w:highlight w:val="yellow"/>
          <w:lang w:eastAsia="en-GB"/>
        </w:rPr>
      </w:pPr>
    </w:p>
    <w:p w14:paraId="3E52AF2B" w14:textId="5A77DAA7" w:rsidR="00FE2B27" w:rsidRPr="005B01FE" w:rsidRDefault="00FE2B27" w:rsidP="00FE2B27">
      <w:pPr>
        <w:spacing w:before="240" w:after="0"/>
        <w:contextualSpacing/>
        <w:rPr>
          <w:noProof/>
          <w:highlight w:val="yellow"/>
          <w:lang w:eastAsia="en-GB"/>
        </w:rPr>
      </w:pPr>
      <w:r w:rsidRPr="005B01FE">
        <w:rPr>
          <w:noProof/>
          <w:lang w:eastAsia="en-GB"/>
        </w:rPr>
        <w:t xml:space="preserve">During the reference period, </w:t>
      </w:r>
      <w:r w:rsidR="00D510E2">
        <w:rPr>
          <w:noProof/>
          <w:lang w:eastAsia="en-GB"/>
        </w:rPr>
        <w:t xml:space="preserve">most </w:t>
      </w:r>
      <w:r w:rsidRPr="005B01FE">
        <w:rPr>
          <w:noProof/>
          <w:lang w:eastAsia="en-GB"/>
        </w:rPr>
        <w:t xml:space="preserve">Member States required broadcasters to submit an annual report to the competent authorities on the </w:t>
      </w:r>
      <w:r w:rsidR="003A2211" w:rsidRPr="005B01FE">
        <w:rPr>
          <w:noProof/>
          <w:lang w:eastAsia="en-GB"/>
        </w:rPr>
        <w:t>fulfilment</w:t>
      </w:r>
      <w:r w:rsidRPr="005B01FE">
        <w:rPr>
          <w:noProof/>
          <w:lang w:eastAsia="en-GB"/>
        </w:rPr>
        <w:t xml:space="preserve"> of their obligations under Articles 16 and 17 of the AVMSD</w:t>
      </w:r>
      <w:r w:rsidRPr="005B01FE">
        <w:rPr>
          <w:rStyle w:val="FootnoteReference"/>
          <w:noProof/>
          <w:lang w:eastAsia="en-GB"/>
        </w:rPr>
        <w:footnoteReference w:id="72"/>
      </w:r>
      <w:r w:rsidRPr="005B01FE">
        <w:rPr>
          <w:noProof/>
          <w:lang w:eastAsia="en-GB"/>
        </w:rPr>
        <w:t>. Five Member States</w:t>
      </w:r>
      <w:r w:rsidRPr="005B01FE">
        <w:rPr>
          <w:rStyle w:val="FootnoteReference"/>
          <w:noProof/>
          <w:lang w:eastAsia="en-GB"/>
        </w:rPr>
        <w:footnoteReference w:id="73"/>
      </w:r>
      <w:r w:rsidRPr="005B01FE">
        <w:rPr>
          <w:noProof/>
          <w:lang w:eastAsia="en-GB"/>
        </w:rPr>
        <w:t xml:space="preserve"> also carried out random checks throughout the year to gain up-to-date information on compliance with obligations at more regular intervals. Some Member States ha</w:t>
      </w:r>
      <w:r w:rsidR="004B701F" w:rsidRPr="005B01FE">
        <w:rPr>
          <w:noProof/>
          <w:lang w:eastAsia="en-GB"/>
        </w:rPr>
        <w:t>d</w:t>
      </w:r>
      <w:r w:rsidRPr="005B01FE">
        <w:rPr>
          <w:noProof/>
          <w:lang w:eastAsia="en-GB"/>
        </w:rPr>
        <w:t xml:space="preserve"> more rela</w:t>
      </w:r>
      <w:r w:rsidR="00843A77" w:rsidRPr="005B01FE">
        <w:rPr>
          <w:noProof/>
          <w:lang w:eastAsia="en-GB"/>
        </w:rPr>
        <w:t>x</w:t>
      </w:r>
      <w:r w:rsidRPr="005B01FE">
        <w:rPr>
          <w:noProof/>
          <w:lang w:eastAsia="en-GB"/>
        </w:rPr>
        <w:t>ed rules regarding the periodicity of monitoring: four Member States</w:t>
      </w:r>
      <w:r w:rsidRPr="005B01FE">
        <w:rPr>
          <w:rStyle w:val="FootnoteReference"/>
          <w:noProof/>
          <w:lang w:eastAsia="en-GB"/>
        </w:rPr>
        <w:footnoteReference w:id="74"/>
      </w:r>
      <w:r w:rsidRPr="005B01FE">
        <w:rPr>
          <w:noProof/>
          <w:lang w:eastAsia="en-GB"/>
        </w:rPr>
        <w:t xml:space="preserve"> require</w:t>
      </w:r>
      <w:r w:rsidR="004B701F" w:rsidRPr="005B01FE">
        <w:rPr>
          <w:noProof/>
          <w:lang w:eastAsia="en-GB"/>
        </w:rPr>
        <w:t>d</w:t>
      </w:r>
      <w:r w:rsidRPr="005B01FE">
        <w:rPr>
          <w:noProof/>
          <w:lang w:eastAsia="en-GB"/>
        </w:rPr>
        <w:t xml:space="preserve"> reports on relevant data every </w:t>
      </w:r>
      <w:r w:rsidR="007C0976">
        <w:rPr>
          <w:noProof/>
          <w:lang w:eastAsia="en-GB"/>
        </w:rPr>
        <w:t>2 </w:t>
      </w:r>
      <w:r w:rsidRPr="005B01FE">
        <w:rPr>
          <w:noProof/>
          <w:lang w:eastAsia="en-GB"/>
        </w:rPr>
        <w:t>years and three Member States</w:t>
      </w:r>
      <w:r w:rsidRPr="005B01FE">
        <w:rPr>
          <w:rStyle w:val="FootnoteReference"/>
          <w:noProof/>
          <w:lang w:eastAsia="en-GB"/>
        </w:rPr>
        <w:footnoteReference w:id="75"/>
      </w:r>
      <w:r w:rsidRPr="005B01FE">
        <w:rPr>
          <w:noProof/>
          <w:lang w:eastAsia="en-GB"/>
        </w:rPr>
        <w:t xml:space="preserve"> request</w:t>
      </w:r>
      <w:r w:rsidR="004B701F" w:rsidRPr="005B01FE">
        <w:rPr>
          <w:noProof/>
          <w:lang w:eastAsia="en-GB"/>
        </w:rPr>
        <w:t>ed</w:t>
      </w:r>
      <w:r w:rsidRPr="005B01FE">
        <w:rPr>
          <w:noProof/>
          <w:lang w:eastAsia="en-GB"/>
        </w:rPr>
        <w:t xml:space="preserve"> information on a case-by-case basis, without any particular periodicity. </w:t>
      </w:r>
      <w:r w:rsidR="003A2211" w:rsidRPr="005B01FE">
        <w:rPr>
          <w:noProof/>
          <w:lang w:eastAsia="en-GB"/>
        </w:rPr>
        <w:t>T</w:t>
      </w:r>
      <w:r w:rsidRPr="005B01FE">
        <w:rPr>
          <w:noProof/>
          <w:lang w:eastAsia="en-GB"/>
        </w:rPr>
        <w:t>hree Member States ha</w:t>
      </w:r>
      <w:r w:rsidR="004B701F" w:rsidRPr="005B01FE">
        <w:rPr>
          <w:noProof/>
          <w:lang w:eastAsia="en-GB"/>
        </w:rPr>
        <w:t>d</w:t>
      </w:r>
      <w:r w:rsidRPr="005B01FE">
        <w:rPr>
          <w:noProof/>
          <w:lang w:eastAsia="en-GB"/>
        </w:rPr>
        <w:t xml:space="preserve"> stricter rules than other Member States: </w:t>
      </w:r>
    </w:p>
    <w:p w14:paraId="0A6176D2" w14:textId="430C1701" w:rsidR="00FE2B27" w:rsidRPr="005B01FE" w:rsidRDefault="00FE2B27" w:rsidP="00FE2B27">
      <w:pPr>
        <w:numPr>
          <w:ilvl w:val="0"/>
          <w:numId w:val="47"/>
        </w:numPr>
        <w:spacing w:before="240" w:after="0"/>
        <w:contextualSpacing/>
        <w:rPr>
          <w:noProof/>
          <w:lang w:eastAsia="en-GB"/>
        </w:rPr>
      </w:pPr>
      <w:r w:rsidRPr="005B01FE">
        <w:rPr>
          <w:noProof/>
          <w:lang w:eastAsia="en-GB"/>
        </w:rPr>
        <w:t>Hungary require</w:t>
      </w:r>
      <w:r w:rsidR="004B701F" w:rsidRPr="005B01FE">
        <w:rPr>
          <w:noProof/>
          <w:lang w:eastAsia="en-GB"/>
        </w:rPr>
        <w:t>d</w:t>
      </w:r>
      <w:r w:rsidRPr="005B01FE">
        <w:rPr>
          <w:noProof/>
          <w:lang w:eastAsia="en-GB"/>
        </w:rPr>
        <w:t xml:space="preserve"> broadcasters to send data </w:t>
      </w:r>
      <w:r w:rsidR="00E66FF8" w:rsidRPr="005B01FE">
        <w:rPr>
          <w:noProof/>
          <w:lang w:eastAsia="en-GB"/>
        </w:rPr>
        <w:t>monthly</w:t>
      </w:r>
      <w:r w:rsidRPr="005B01FE">
        <w:rPr>
          <w:noProof/>
          <w:lang w:eastAsia="en-GB"/>
        </w:rPr>
        <w:t xml:space="preserve"> (the competent authority examines the fulfilment of the obligations annually, on the basis of aggregated data</w:t>
      </w:r>
      <w:r w:rsidR="007C0976">
        <w:rPr>
          <w:noProof/>
          <w:lang w:eastAsia="en-GB"/>
        </w:rPr>
        <w:t xml:space="preserve"> for the whole year</w:t>
      </w:r>
      <w:r w:rsidRPr="005B01FE">
        <w:rPr>
          <w:noProof/>
          <w:lang w:eastAsia="en-GB"/>
        </w:rPr>
        <w:t>);</w:t>
      </w:r>
    </w:p>
    <w:p w14:paraId="27BA0E96" w14:textId="1577E063" w:rsidR="00FE2B27" w:rsidRPr="005B01FE" w:rsidRDefault="00FE2B27" w:rsidP="00FE2B27">
      <w:pPr>
        <w:numPr>
          <w:ilvl w:val="0"/>
          <w:numId w:val="47"/>
        </w:numPr>
        <w:spacing w:before="240" w:after="0"/>
        <w:contextualSpacing/>
        <w:rPr>
          <w:noProof/>
          <w:lang w:eastAsia="en-GB"/>
        </w:rPr>
      </w:pPr>
      <w:r w:rsidRPr="005B01FE">
        <w:rPr>
          <w:noProof/>
          <w:lang w:eastAsia="en-GB"/>
        </w:rPr>
        <w:t>Portugal require</w:t>
      </w:r>
      <w:r w:rsidR="004B701F" w:rsidRPr="005B01FE">
        <w:rPr>
          <w:noProof/>
          <w:lang w:eastAsia="en-GB"/>
        </w:rPr>
        <w:t>d</w:t>
      </w:r>
      <w:r w:rsidRPr="005B01FE">
        <w:rPr>
          <w:noProof/>
          <w:lang w:eastAsia="en-GB"/>
        </w:rPr>
        <w:t xml:space="preserve"> broadcasters to report every </w:t>
      </w:r>
      <w:r w:rsidR="007C0976">
        <w:rPr>
          <w:noProof/>
          <w:lang w:eastAsia="en-GB"/>
        </w:rPr>
        <w:t>3 </w:t>
      </w:r>
      <w:r w:rsidRPr="005B01FE">
        <w:rPr>
          <w:noProof/>
          <w:lang w:eastAsia="en-GB"/>
        </w:rPr>
        <w:t>months (the competent authority examines the fulfilment of the obligations annually</w:t>
      </w:r>
      <w:r w:rsidR="00BD0617" w:rsidRPr="005B01FE">
        <w:rPr>
          <w:noProof/>
          <w:lang w:eastAsia="en-GB"/>
        </w:rPr>
        <w:t>)</w:t>
      </w:r>
      <w:r w:rsidRPr="005B01FE">
        <w:rPr>
          <w:noProof/>
          <w:lang w:eastAsia="en-GB"/>
        </w:rPr>
        <w:t>;</w:t>
      </w:r>
      <w:r w:rsidR="007C0976">
        <w:rPr>
          <w:noProof/>
          <w:lang w:eastAsia="en-GB"/>
        </w:rPr>
        <w:t xml:space="preserve"> and</w:t>
      </w:r>
    </w:p>
    <w:p w14:paraId="2F7F7746" w14:textId="30436385" w:rsidR="00FE2B27" w:rsidRPr="005B01FE" w:rsidRDefault="00FE2B27" w:rsidP="00D573C1">
      <w:pPr>
        <w:numPr>
          <w:ilvl w:val="0"/>
          <w:numId w:val="47"/>
        </w:numPr>
        <w:spacing w:before="240" w:after="0"/>
        <w:contextualSpacing/>
        <w:rPr>
          <w:noProof/>
          <w:lang w:eastAsia="en-GB"/>
        </w:rPr>
      </w:pPr>
      <w:r w:rsidRPr="005B01FE">
        <w:rPr>
          <w:noProof/>
          <w:lang w:eastAsia="en-GB"/>
        </w:rPr>
        <w:t>Romania request</w:t>
      </w:r>
      <w:r w:rsidR="004B701F" w:rsidRPr="005B01FE">
        <w:rPr>
          <w:noProof/>
          <w:lang w:eastAsia="en-GB"/>
        </w:rPr>
        <w:t>ed</w:t>
      </w:r>
      <w:r w:rsidRPr="005B01FE">
        <w:rPr>
          <w:noProof/>
          <w:lang w:eastAsia="en-GB"/>
        </w:rPr>
        <w:t xml:space="preserve"> reports twice a year.</w:t>
      </w:r>
    </w:p>
    <w:p w14:paraId="7BF49D30" w14:textId="62E7D2CC" w:rsidR="00A36C70" w:rsidRPr="005B01FE" w:rsidRDefault="00A36C70" w:rsidP="00C41B02">
      <w:pPr>
        <w:spacing w:before="240" w:after="0"/>
        <w:contextualSpacing/>
        <w:rPr>
          <w:noProof/>
          <w:highlight w:val="yellow"/>
          <w:lang w:eastAsia="en-GB"/>
        </w:rPr>
      </w:pPr>
    </w:p>
    <w:p w14:paraId="04CD4806" w14:textId="32E7F44E" w:rsidR="00FE7170" w:rsidRPr="005B01FE" w:rsidRDefault="00FE7170" w:rsidP="00FE7170">
      <w:pPr>
        <w:pStyle w:val="Caption"/>
        <w:keepNext/>
        <w:rPr>
          <w:noProof/>
        </w:rPr>
      </w:pPr>
      <w:r w:rsidRPr="005B01FE">
        <w:rPr>
          <w:noProof/>
        </w:rPr>
        <w:t xml:space="preserve">Figure </w:t>
      </w:r>
      <w:r w:rsidRPr="005B01FE">
        <w:rPr>
          <w:noProof/>
        </w:rPr>
        <w:fldChar w:fldCharType="begin"/>
      </w:r>
      <w:r w:rsidRPr="005B01FE">
        <w:rPr>
          <w:noProof/>
        </w:rPr>
        <w:instrText xml:space="preserve"> SEQ Figure \* ARABIC </w:instrText>
      </w:r>
      <w:r w:rsidRPr="005B01FE">
        <w:rPr>
          <w:noProof/>
        </w:rPr>
        <w:fldChar w:fldCharType="separate"/>
      </w:r>
      <w:r w:rsidR="00923757" w:rsidRPr="005B01FE">
        <w:rPr>
          <w:noProof/>
        </w:rPr>
        <w:t>5</w:t>
      </w:r>
      <w:r w:rsidRPr="005B01FE">
        <w:rPr>
          <w:noProof/>
        </w:rPr>
        <w:fldChar w:fldCharType="end"/>
      </w:r>
      <w:r w:rsidR="00C821E9">
        <w:rPr>
          <w:noProof/>
        </w:rPr>
        <w:t>:</w:t>
      </w:r>
      <w:r w:rsidRPr="005B01FE">
        <w:rPr>
          <w:noProof/>
        </w:rPr>
        <w:t xml:space="preserve"> Number of Member States using different monitoring frequencies, 2021</w:t>
      </w:r>
    </w:p>
    <w:p w14:paraId="728ECEAC" w14:textId="378C5227" w:rsidR="00FE7170" w:rsidRPr="005B01FE" w:rsidRDefault="00AD31AD" w:rsidP="00C41B02">
      <w:pPr>
        <w:spacing w:before="240" w:after="0"/>
        <w:contextualSpacing/>
        <w:rPr>
          <w:noProof/>
        </w:rPr>
      </w:pPr>
      <w:r w:rsidRPr="005B01FE">
        <w:rPr>
          <w:noProof/>
          <w:lang w:eastAsia="en-GB"/>
        </w:rPr>
        <w:drawing>
          <wp:inline distT="0" distB="0" distL="0" distR="0" wp14:anchorId="658DCA08" wp14:editId="0060D5E3">
            <wp:extent cx="5752465" cy="26479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428A63" w14:textId="5B743DBE" w:rsidR="00576015" w:rsidRDefault="00FE7170" w:rsidP="00C41B02">
      <w:pPr>
        <w:spacing w:before="240" w:after="0"/>
        <w:contextualSpacing/>
        <w:rPr>
          <w:i/>
          <w:iCs/>
          <w:noProof/>
          <w:sz w:val="20"/>
          <w:szCs w:val="20"/>
        </w:rPr>
      </w:pPr>
      <w:r w:rsidRPr="005B01FE">
        <w:rPr>
          <w:i/>
          <w:iCs/>
          <w:noProof/>
          <w:sz w:val="20"/>
          <w:szCs w:val="20"/>
        </w:rPr>
        <w:t xml:space="preserve">Source: the </w:t>
      </w:r>
      <w:r w:rsidR="00576015">
        <w:rPr>
          <w:i/>
          <w:iCs/>
          <w:noProof/>
          <w:sz w:val="20"/>
          <w:szCs w:val="20"/>
        </w:rPr>
        <w:t>s</w:t>
      </w:r>
      <w:r w:rsidRPr="005B01FE">
        <w:rPr>
          <w:i/>
          <w:iCs/>
          <w:noProof/>
          <w:sz w:val="20"/>
          <w:szCs w:val="20"/>
        </w:rPr>
        <w:t>tudy, Member States’ reporting</w:t>
      </w:r>
    </w:p>
    <w:p w14:paraId="1D387784" w14:textId="2F5D5996" w:rsidR="00FE7170" w:rsidRPr="005B01FE" w:rsidRDefault="00FE7170" w:rsidP="00C41B02">
      <w:pPr>
        <w:spacing w:before="240" w:after="0"/>
        <w:contextualSpacing/>
        <w:rPr>
          <w:i/>
          <w:iCs/>
          <w:noProof/>
          <w:sz w:val="20"/>
          <w:szCs w:val="20"/>
        </w:rPr>
      </w:pPr>
      <w:r w:rsidRPr="005B01FE">
        <w:rPr>
          <w:i/>
          <w:iCs/>
          <w:noProof/>
          <w:sz w:val="20"/>
          <w:szCs w:val="20"/>
        </w:rPr>
        <w:t>*Some Member States have different monitoring frequencies for public broadcasters and commercial broadcasters, and are therefore included in multiple categories.</w:t>
      </w:r>
    </w:p>
    <w:p w14:paraId="292CBB90" w14:textId="3993C538" w:rsidR="00FE7170" w:rsidRPr="005B01FE" w:rsidRDefault="00FE7170" w:rsidP="00C41B02">
      <w:pPr>
        <w:spacing w:before="240" w:after="0"/>
        <w:contextualSpacing/>
        <w:rPr>
          <w:noProof/>
          <w:highlight w:val="yellow"/>
          <w:lang w:eastAsia="en-GB"/>
        </w:rPr>
      </w:pPr>
    </w:p>
    <w:p w14:paraId="6919AFBE" w14:textId="1A3467AC" w:rsidR="00FE2B27" w:rsidRPr="005B01FE" w:rsidRDefault="00FE2B27" w:rsidP="00FE2B27">
      <w:pPr>
        <w:spacing w:before="240" w:after="0"/>
        <w:contextualSpacing/>
        <w:rPr>
          <w:noProof/>
          <w:lang w:eastAsia="en-GB"/>
        </w:rPr>
      </w:pPr>
      <w:r w:rsidRPr="005B01FE">
        <w:rPr>
          <w:noProof/>
          <w:lang w:eastAsia="en-GB"/>
        </w:rPr>
        <w:t>20 Member States</w:t>
      </w:r>
      <w:r w:rsidRPr="005B01FE">
        <w:rPr>
          <w:rStyle w:val="FootnoteReference"/>
          <w:noProof/>
          <w:lang w:eastAsia="en-GB"/>
        </w:rPr>
        <w:footnoteReference w:id="76"/>
      </w:r>
      <w:r w:rsidRPr="005B01FE">
        <w:rPr>
          <w:noProof/>
          <w:lang w:eastAsia="en-GB"/>
        </w:rPr>
        <w:t xml:space="preserve"> ha</w:t>
      </w:r>
      <w:r w:rsidR="004B701F" w:rsidRPr="005B01FE">
        <w:rPr>
          <w:noProof/>
          <w:lang w:eastAsia="en-GB"/>
        </w:rPr>
        <w:t>d</w:t>
      </w:r>
      <w:r w:rsidRPr="005B01FE">
        <w:rPr>
          <w:noProof/>
          <w:lang w:eastAsia="en-GB"/>
        </w:rPr>
        <w:t xml:space="preserve"> a verification system in place, without specific procedural rules on verification. In four Member States</w:t>
      </w:r>
      <w:r w:rsidRPr="005B01FE">
        <w:rPr>
          <w:rStyle w:val="FootnoteReference"/>
          <w:noProof/>
          <w:lang w:eastAsia="en-GB"/>
        </w:rPr>
        <w:footnoteReference w:id="77"/>
      </w:r>
      <w:r w:rsidR="004B701F" w:rsidRPr="005B01FE">
        <w:rPr>
          <w:noProof/>
          <w:lang w:eastAsia="en-GB"/>
        </w:rPr>
        <w:t>,</w:t>
      </w:r>
      <w:r w:rsidRPr="005B01FE">
        <w:rPr>
          <w:noProof/>
          <w:lang w:eastAsia="en-GB"/>
        </w:rPr>
        <w:t xml:space="preserve"> data </w:t>
      </w:r>
      <w:r w:rsidR="004B701F" w:rsidRPr="005B01FE">
        <w:rPr>
          <w:noProof/>
          <w:lang w:eastAsia="en-GB"/>
        </w:rPr>
        <w:t>was</w:t>
      </w:r>
      <w:r w:rsidRPr="005B01FE">
        <w:rPr>
          <w:noProof/>
          <w:lang w:eastAsia="en-GB"/>
        </w:rPr>
        <w:t xml:space="preserve"> verified by way of sample-based checks. Accordingly, in these Member States, the </w:t>
      </w:r>
      <w:r w:rsidR="00193940">
        <w:rPr>
          <w:noProof/>
          <w:lang w:eastAsia="en-GB"/>
        </w:rPr>
        <w:t xml:space="preserve">competent </w:t>
      </w:r>
      <w:r w:rsidRPr="005B01FE">
        <w:rPr>
          <w:noProof/>
          <w:lang w:eastAsia="en-GB"/>
        </w:rPr>
        <w:t xml:space="preserve">authority </w:t>
      </w:r>
      <w:r w:rsidR="004B701F" w:rsidRPr="005B01FE">
        <w:rPr>
          <w:noProof/>
          <w:lang w:eastAsia="en-GB"/>
        </w:rPr>
        <w:t xml:space="preserve">would </w:t>
      </w:r>
      <w:r w:rsidRPr="005B01FE">
        <w:rPr>
          <w:noProof/>
          <w:lang w:eastAsia="en-GB"/>
        </w:rPr>
        <w:t>randomly select samples of data from a certain period to verify data included in reports (</w:t>
      </w:r>
      <w:r w:rsidR="00193940">
        <w:rPr>
          <w:noProof/>
          <w:lang w:eastAsia="en-GB"/>
        </w:rPr>
        <w:t xml:space="preserve">for example, </w:t>
      </w:r>
      <w:r w:rsidRPr="005B01FE">
        <w:rPr>
          <w:noProof/>
          <w:lang w:eastAsia="en-GB"/>
        </w:rPr>
        <w:t xml:space="preserve">Cyprus </w:t>
      </w:r>
      <w:r w:rsidR="004B701F" w:rsidRPr="005B01FE">
        <w:rPr>
          <w:noProof/>
          <w:lang w:eastAsia="en-GB"/>
        </w:rPr>
        <w:t xml:space="preserve">would </w:t>
      </w:r>
      <w:r w:rsidRPr="005B01FE">
        <w:rPr>
          <w:noProof/>
          <w:lang w:eastAsia="en-GB"/>
        </w:rPr>
        <w:t xml:space="preserve">randomly select </w:t>
      </w:r>
      <w:r w:rsidR="00193940">
        <w:rPr>
          <w:noProof/>
          <w:lang w:eastAsia="en-GB"/>
        </w:rPr>
        <w:t>2</w:t>
      </w:r>
      <w:r w:rsidRPr="005B01FE">
        <w:rPr>
          <w:noProof/>
          <w:lang w:eastAsia="en-GB"/>
        </w:rPr>
        <w:t>-week samples). Moreover, the authorities in three Member States</w:t>
      </w:r>
      <w:r w:rsidRPr="005B01FE">
        <w:rPr>
          <w:rStyle w:val="FootnoteReference"/>
          <w:noProof/>
          <w:lang w:eastAsia="en-GB"/>
        </w:rPr>
        <w:footnoteReference w:id="78"/>
      </w:r>
      <w:r w:rsidRPr="005B01FE">
        <w:rPr>
          <w:noProof/>
          <w:lang w:eastAsia="en-GB"/>
        </w:rPr>
        <w:t xml:space="preserve"> use</w:t>
      </w:r>
      <w:r w:rsidR="004B701F" w:rsidRPr="005B01FE">
        <w:rPr>
          <w:noProof/>
          <w:lang w:eastAsia="en-GB"/>
        </w:rPr>
        <w:t>d</w:t>
      </w:r>
      <w:r w:rsidRPr="005B01FE">
        <w:rPr>
          <w:noProof/>
          <w:lang w:eastAsia="en-GB"/>
        </w:rPr>
        <w:t xml:space="preserve"> external services to assist with the verification process (</w:t>
      </w:r>
      <w:r w:rsidR="00193940">
        <w:rPr>
          <w:noProof/>
          <w:lang w:eastAsia="en-GB"/>
        </w:rPr>
        <w:t>for example</w:t>
      </w:r>
      <w:r w:rsidRPr="005B01FE">
        <w:rPr>
          <w:noProof/>
          <w:lang w:eastAsia="en-GB"/>
        </w:rPr>
        <w:t xml:space="preserve">, the competent authority in Spain </w:t>
      </w:r>
      <w:r w:rsidR="004B701F" w:rsidRPr="005B01FE">
        <w:rPr>
          <w:noProof/>
          <w:lang w:eastAsia="en-GB"/>
        </w:rPr>
        <w:t>was</w:t>
      </w:r>
      <w:r w:rsidRPr="005B01FE">
        <w:rPr>
          <w:noProof/>
          <w:lang w:eastAsia="en-GB"/>
        </w:rPr>
        <w:t xml:space="preserve"> assisted by a law firm, selected through a public procurement process). In addition, the Flemish Community in Belgium </w:t>
      </w:r>
      <w:r w:rsidR="00193940">
        <w:rPr>
          <w:noProof/>
          <w:lang w:eastAsia="en-GB"/>
        </w:rPr>
        <w:t>carried out</w:t>
      </w:r>
      <w:r w:rsidR="00193940" w:rsidRPr="005B01FE">
        <w:rPr>
          <w:noProof/>
          <w:lang w:eastAsia="en-GB"/>
        </w:rPr>
        <w:t xml:space="preserve"> </w:t>
      </w:r>
      <w:r w:rsidRPr="005B01FE">
        <w:rPr>
          <w:noProof/>
          <w:lang w:eastAsia="en-GB"/>
        </w:rPr>
        <w:t>a risk analysis as part of its verification procedure and conduct</w:t>
      </w:r>
      <w:r w:rsidR="004B701F" w:rsidRPr="005B01FE">
        <w:rPr>
          <w:noProof/>
          <w:lang w:eastAsia="en-GB"/>
        </w:rPr>
        <w:t>ed</w:t>
      </w:r>
      <w:r w:rsidRPr="005B01FE">
        <w:rPr>
          <w:noProof/>
          <w:lang w:eastAsia="en-GB"/>
        </w:rPr>
        <w:t xml:space="preserve"> a detailed verification if </w:t>
      </w:r>
      <w:r w:rsidR="00193940">
        <w:rPr>
          <w:noProof/>
          <w:lang w:eastAsia="en-GB"/>
        </w:rPr>
        <w:t xml:space="preserve">there were </w:t>
      </w:r>
      <w:r w:rsidRPr="005B01FE">
        <w:rPr>
          <w:noProof/>
          <w:lang w:eastAsia="en-GB"/>
        </w:rPr>
        <w:t>discrepancies in the data submitted.</w:t>
      </w:r>
    </w:p>
    <w:p w14:paraId="0E7DBC1A" w14:textId="77777777" w:rsidR="00843A77" w:rsidRPr="005B01FE" w:rsidRDefault="00843A77" w:rsidP="00FE2B27">
      <w:pPr>
        <w:spacing w:before="240" w:after="0"/>
        <w:contextualSpacing/>
        <w:rPr>
          <w:noProof/>
          <w:highlight w:val="yellow"/>
          <w:lang w:eastAsia="en-GB"/>
        </w:rPr>
      </w:pPr>
    </w:p>
    <w:p w14:paraId="0DAA4191" w14:textId="7AE42B59" w:rsidR="00FE2B27" w:rsidRPr="005B01FE" w:rsidRDefault="00FE2B27" w:rsidP="00FE2B27">
      <w:pPr>
        <w:spacing w:before="240" w:after="0"/>
        <w:contextualSpacing/>
        <w:rPr>
          <w:noProof/>
          <w:lang w:eastAsia="en-GB"/>
        </w:rPr>
      </w:pPr>
      <w:r w:rsidRPr="005B01FE">
        <w:rPr>
          <w:noProof/>
          <w:lang w:eastAsia="en-GB"/>
        </w:rPr>
        <w:t>In terms of the number of employees allocated to the verification of data provided by broadcasters, 17 Member States</w:t>
      </w:r>
      <w:r w:rsidR="009F0299" w:rsidRPr="005B01FE">
        <w:rPr>
          <w:rStyle w:val="FootnoteReference"/>
          <w:noProof/>
          <w:lang w:eastAsia="en-GB"/>
        </w:rPr>
        <w:footnoteReference w:id="79"/>
      </w:r>
      <w:r w:rsidRPr="005B01FE">
        <w:rPr>
          <w:noProof/>
          <w:lang w:eastAsia="en-GB"/>
        </w:rPr>
        <w:t xml:space="preserve"> d</w:t>
      </w:r>
      <w:r w:rsidR="004B701F" w:rsidRPr="005B01FE">
        <w:rPr>
          <w:noProof/>
          <w:lang w:eastAsia="en-GB"/>
        </w:rPr>
        <w:t>id</w:t>
      </w:r>
      <w:r w:rsidRPr="005B01FE">
        <w:rPr>
          <w:noProof/>
          <w:lang w:eastAsia="en-GB"/>
        </w:rPr>
        <w:t xml:space="preserve"> not have dedicated human resources allocated to the verification process. The remaining </w:t>
      </w:r>
      <w:r w:rsidR="00193940">
        <w:rPr>
          <w:noProof/>
          <w:lang w:eastAsia="en-GB"/>
        </w:rPr>
        <w:t>10</w:t>
      </w:r>
      <w:r w:rsidR="00193940" w:rsidRPr="005B01FE">
        <w:rPr>
          <w:noProof/>
          <w:lang w:eastAsia="en-GB"/>
        </w:rPr>
        <w:t xml:space="preserve"> </w:t>
      </w:r>
      <w:r w:rsidRPr="005B01FE">
        <w:rPr>
          <w:noProof/>
          <w:lang w:eastAsia="en-GB"/>
        </w:rPr>
        <w:t>Member States ha</w:t>
      </w:r>
      <w:r w:rsidR="004B701F" w:rsidRPr="005B01FE">
        <w:rPr>
          <w:noProof/>
          <w:lang w:eastAsia="en-GB"/>
        </w:rPr>
        <w:t>d</w:t>
      </w:r>
      <w:r w:rsidRPr="005B01FE">
        <w:rPr>
          <w:noProof/>
          <w:lang w:eastAsia="en-GB"/>
        </w:rPr>
        <w:t xml:space="preserve"> </w:t>
      </w:r>
      <w:r w:rsidR="00637B51" w:rsidRPr="005B01FE">
        <w:rPr>
          <w:noProof/>
          <w:lang w:eastAsia="en-GB"/>
        </w:rPr>
        <w:t>between</w:t>
      </w:r>
      <w:r w:rsidRPr="005B01FE">
        <w:rPr>
          <w:noProof/>
          <w:lang w:eastAsia="en-GB"/>
        </w:rPr>
        <w:t xml:space="preserve"> </w:t>
      </w:r>
      <w:r w:rsidR="00193940">
        <w:rPr>
          <w:noProof/>
          <w:lang w:eastAsia="en-GB"/>
        </w:rPr>
        <w:t>1</w:t>
      </w:r>
      <w:r w:rsidR="009F0299" w:rsidRPr="005B01FE">
        <w:rPr>
          <w:rStyle w:val="FootnoteReference"/>
          <w:noProof/>
          <w:lang w:eastAsia="en-GB"/>
        </w:rPr>
        <w:footnoteReference w:id="80"/>
      </w:r>
      <w:r w:rsidRPr="005B01FE">
        <w:rPr>
          <w:noProof/>
          <w:lang w:eastAsia="en-GB"/>
        </w:rPr>
        <w:t xml:space="preserve"> </w:t>
      </w:r>
      <w:r w:rsidR="00637B51" w:rsidRPr="005B01FE">
        <w:rPr>
          <w:noProof/>
          <w:lang w:eastAsia="en-GB"/>
        </w:rPr>
        <w:t>and</w:t>
      </w:r>
      <w:r w:rsidRPr="005B01FE">
        <w:rPr>
          <w:noProof/>
          <w:lang w:eastAsia="en-GB"/>
        </w:rPr>
        <w:t xml:space="preserve"> </w:t>
      </w:r>
      <w:r w:rsidR="00193940">
        <w:rPr>
          <w:noProof/>
          <w:lang w:eastAsia="en-GB"/>
        </w:rPr>
        <w:t>10</w:t>
      </w:r>
      <w:r w:rsidR="009F0299" w:rsidRPr="005B01FE">
        <w:rPr>
          <w:rStyle w:val="FootnoteReference"/>
          <w:noProof/>
          <w:lang w:eastAsia="en-GB"/>
        </w:rPr>
        <w:footnoteReference w:id="81"/>
      </w:r>
      <w:r w:rsidR="00637B51" w:rsidRPr="005B01FE">
        <w:rPr>
          <w:noProof/>
          <w:lang w:eastAsia="en-GB"/>
        </w:rPr>
        <w:t xml:space="preserve"> dedicated employees</w:t>
      </w:r>
      <w:r w:rsidRPr="005B01FE">
        <w:rPr>
          <w:noProof/>
          <w:lang w:eastAsia="en-GB"/>
        </w:rPr>
        <w:t>.</w:t>
      </w:r>
    </w:p>
    <w:p w14:paraId="4C40792D" w14:textId="1666467B" w:rsidR="009F0299" w:rsidRPr="005B01FE" w:rsidRDefault="009F0299" w:rsidP="00FE2B27">
      <w:pPr>
        <w:spacing w:before="240" w:after="0"/>
        <w:contextualSpacing/>
        <w:rPr>
          <w:noProof/>
          <w:highlight w:val="yellow"/>
          <w:lang w:eastAsia="en-GB"/>
        </w:rPr>
      </w:pPr>
    </w:p>
    <w:p w14:paraId="6CAA8E5C" w14:textId="3BA0641A" w:rsidR="009F0299" w:rsidRPr="005B01FE" w:rsidRDefault="009F0299" w:rsidP="00FE2B27">
      <w:pPr>
        <w:spacing w:before="240" w:after="0"/>
        <w:contextualSpacing/>
        <w:rPr>
          <w:noProof/>
          <w:lang w:eastAsia="en-GB"/>
        </w:rPr>
      </w:pPr>
      <w:r w:rsidRPr="005B01FE">
        <w:rPr>
          <w:noProof/>
          <w:lang w:eastAsia="en-GB"/>
        </w:rPr>
        <w:t xml:space="preserve">Regarding the </w:t>
      </w:r>
      <w:r w:rsidR="001002D6">
        <w:rPr>
          <w:noProof/>
          <w:lang w:eastAsia="en-GB"/>
        </w:rPr>
        <w:t xml:space="preserve">EEA </w:t>
      </w:r>
      <w:r w:rsidR="00D573C1" w:rsidRPr="005B01FE">
        <w:rPr>
          <w:noProof/>
          <w:lang w:eastAsia="en-GB"/>
        </w:rPr>
        <w:t>EFTA</w:t>
      </w:r>
      <w:r w:rsidRPr="005B01FE">
        <w:rPr>
          <w:noProof/>
          <w:lang w:eastAsia="en-GB"/>
        </w:rPr>
        <w:t xml:space="preserve"> countries, Liechtenstein ha</w:t>
      </w:r>
      <w:r w:rsidR="004B701F" w:rsidRPr="005B01FE">
        <w:rPr>
          <w:noProof/>
          <w:lang w:eastAsia="en-GB"/>
        </w:rPr>
        <w:t>d</w:t>
      </w:r>
      <w:r w:rsidRPr="005B01FE">
        <w:rPr>
          <w:noProof/>
          <w:lang w:eastAsia="en-GB"/>
        </w:rPr>
        <w:t xml:space="preserve"> neither a monitoring system</w:t>
      </w:r>
      <w:r w:rsidR="00E9436A">
        <w:rPr>
          <w:noProof/>
          <w:lang w:eastAsia="en-GB"/>
        </w:rPr>
        <w:t xml:space="preserve"> </w:t>
      </w:r>
      <w:r w:rsidRPr="005B01FE">
        <w:rPr>
          <w:noProof/>
          <w:lang w:eastAsia="en-GB"/>
        </w:rPr>
        <w:t xml:space="preserve">nor a verification system. Norwegian legislation </w:t>
      </w:r>
      <w:r w:rsidR="00686FB3" w:rsidRPr="005B01FE">
        <w:rPr>
          <w:noProof/>
          <w:lang w:eastAsia="en-GB"/>
        </w:rPr>
        <w:t xml:space="preserve">concerning monitoring and verification </w:t>
      </w:r>
      <w:r w:rsidRPr="005B01FE">
        <w:rPr>
          <w:noProof/>
          <w:lang w:eastAsia="en-GB"/>
        </w:rPr>
        <w:t>require</w:t>
      </w:r>
      <w:r w:rsidR="004B701F" w:rsidRPr="005B01FE">
        <w:rPr>
          <w:noProof/>
          <w:lang w:eastAsia="en-GB"/>
        </w:rPr>
        <w:t>d</w:t>
      </w:r>
      <w:r w:rsidRPr="005B01FE">
        <w:rPr>
          <w:noProof/>
          <w:lang w:eastAsia="en-GB"/>
        </w:rPr>
        <w:t xml:space="preserve"> an annual report and </w:t>
      </w:r>
      <w:r w:rsidR="004B701F" w:rsidRPr="005B01FE">
        <w:rPr>
          <w:noProof/>
          <w:lang w:eastAsia="en-GB"/>
        </w:rPr>
        <w:t>the</w:t>
      </w:r>
      <w:r w:rsidRPr="005B01FE">
        <w:rPr>
          <w:noProof/>
          <w:lang w:eastAsia="en-GB"/>
        </w:rPr>
        <w:t xml:space="preserve"> incoming information</w:t>
      </w:r>
      <w:r w:rsidR="004B701F" w:rsidRPr="005B01FE">
        <w:rPr>
          <w:noProof/>
          <w:lang w:eastAsia="en-GB"/>
        </w:rPr>
        <w:t xml:space="preserve"> was checked</w:t>
      </w:r>
      <w:r w:rsidR="00686FB3" w:rsidRPr="005B01FE">
        <w:rPr>
          <w:noProof/>
          <w:lang w:eastAsia="en-GB"/>
        </w:rPr>
        <w:t>.</w:t>
      </w:r>
      <w:r w:rsidRPr="005B01FE">
        <w:rPr>
          <w:noProof/>
          <w:lang w:eastAsia="en-GB"/>
        </w:rPr>
        <w:t xml:space="preserve"> Iceland also conduct</w:t>
      </w:r>
      <w:r w:rsidR="004B701F" w:rsidRPr="005B01FE">
        <w:rPr>
          <w:noProof/>
          <w:lang w:eastAsia="en-GB"/>
        </w:rPr>
        <w:t>ed</w:t>
      </w:r>
      <w:r w:rsidRPr="005B01FE">
        <w:rPr>
          <w:noProof/>
          <w:lang w:eastAsia="en-GB"/>
        </w:rPr>
        <w:t xml:space="preserve"> random checks on broadcasters throughout the year and involve</w:t>
      </w:r>
      <w:r w:rsidR="00686FB3" w:rsidRPr="005B01FE">
        <w:rPr>
          <w:noProof/>
          <w:lang w:eastAsia="en-GB"/>
        </w:rPr>
        <w:t>d</w:t>
      </w:r>
      <w:r w:rsidRPr="005B01FE">
        <w:rPr>
          <w:noProof/>
          <w:lang w:eastAsia="en-GB"/>
        </w:rPr>
        <w:t xml:space="preserve"> professional accredited certification bodies in its verification system. </w:t>
      </w:r>
      <w:r w:rsidR="00D573C1" w:rsidRPr="005B01FE">
        <w:rPr>
          <w:noProof/>
          <w:lang w:eastAsia="en-GB"/>
        </w:rPr>
        <w:t xml:space="preserve">The </w:t>
      </w:r>
      <w:r w:rsidRPr="005B01FE">
        <w:rPr>
          <w:noProof/>
          <w:lang w:eastAsia="en-GB"/>
        </w:rPr>
        <w:t xml:space="preserve">EEA </w:t>
      </w:r>
      <w:r w:rsidR="001002D6">
        <w:rPr>
          <w:noProof/>
          <w:lang w:eastAsia="en-GB"/>
        </w:rPr>
        <w:t xml:space="preserve">EFTA </w:t>
      </w:r>
      <w:r w:rsidRPr="005B01FE">
        <w:rPr>
          <w:noProof/>
          <w:lang w:eastAsia="en-GB"/>
        </w:rPr>
        <w:t>countries d</w:t>
      </w:r>
      <w:r w:rsidR="00686FB3" w:rsidRPr="005B01FE">
        <w:rPr>
          <w:noProof/>
          <w:lang w:eastAsia="en-GB"/>
        </w:rPr>
        <w:t>id</w:t>
      </w:r>
      <w:r w:rsidRPr="005B01FE">
        <w:rPr>
          <w:noProof/>
          <w:lang w:eastAsia="en-GB"/>
        </w:rPr>
        <w:t xml:space="preserve"> not have dedicated human resources allocated to their verification systems.</w:t>
      </w:r>
    </w:p>
    <w:p w14:paraId="635E1BA8" w14:textId="77777777" w:rsidR="00B65816" w:rsidRPr="005B01FE" w:rsidRDefault="00B65816" w:rsidP="00C41B02">
      <w:pPr>
        <w:spacing w:before="240" w:after="0"/>
        <w:contextualSpacing/>
        <w:rPr>
          <w:noProof/>
          <w:highlight w:val="yellow"/>
        </w:rPr>
      </w:pPr>
    </w:p>
    <w:p w14:paraId="42EDC414" w14:textId="20991C08" w:rsidR="00763F6C" w:rsidRPr="003E04DB" w:rsidRDefault="00CB3B19" w:rsidP="003E04DB">
      <w:pPr>
        <w:pStyle w:val="Heading2"/>
        <w:rPr>
          <w:noProof/>
        </w:rPr>
      </w:pPr>
      <w:bookmarkStart w:id="31" w:name="_Toc167898094"/>
      <w:r w:rsidRPr="1940DF43">
        <w:rPr>
          <w:noProof/>
        </w:rPr>
        <w:t>Application of Article 16 of the AVMSD – Majority proportion of European works</w:t>
      </w:r>
      <w:bookmarkEnd w:id="31"/>
    </w:p>
    <w:p w14:paraId="058392E5" w14:textId="1EBD413F" w:rsidR="008E07A0" w:rsidRPr="005B01FE" w:rsidRDefault="008E07A0" w:rsidP="003E04DB">
      <w:pPr>
        <w:spacing w:before="240" w:after="0"/>
        <w:rPr>
          <w:noProof/>
        </w:rPr>
      </w:pPr>
      <w:r w:rsidRPr="005B01FE">
        <w:rPr>
          <w:noProof/>
        </w:rPr>
        <w:t>Article 16(1) of the</w:t>
      </w:r>
      <w:r w:rsidR="003C2A08" w:rsidRPr="005B01FE">
        <w:rPr>
          <w:noProof/>
        </w:rPr>
        <w:t xml:space="preserve"> </w:t>
      </w:r>
      <w:r w:rsidRPr="005B01FE">
        <w:rPr>
          <w:noProof/>
        </w:rPr>
        <w:t>AVMSD requires Member States to ensure, where practicable and by appropriate means, that broadcasters reserve for European works a majority proportion of their transmission time, excluding the time allotted to news, sports events, games, advertising, teletext services and teleshopping</w:t>
      </w:r>
      <w:r w:rsidRPr="005B01FE">
        <w:rPr>
          <w:rStyle w:val="FootnoteReference"/>
          <w:noProof/>
        </w:rPr>
        <w:footnoteReference w:id="82"/>
      </w:r>
      <w:r w:rsidRPr="005B01FE">
        <w:rPr>
          <w:noProof/>
        </w:rPr>
        <w:t xml:space="preserve">. </w:t>
      </w:r>
      <w:r w:rsidR="00E777A0" w:rsidRPr="00E777A0">
        <w:rPr>
          <w:noProof/>
        </w:rPr>
        <w:t>Directive (EU) 2018/1808</w:t>
      </w:r>
      <w:r w:rsidRPr="005B01FE">
        <w:rPr>
          <w:noProof/>
        </w:rPr>
        <w:t xml:space="preserve"> did not introduce any changes </w:t>
      </w:r>
      <w:r w:rsidR="00467DB7">
        <w:rPr>
          <w:noProof/>
        </w:rPr>
        <w:t>to</w:t>
      </w:r>
      <w:r w:rsidR="00467DB7" w:rsidRPr="005B01FE">
        <w:rPr>
          <w:noProof/>
        </w:rPr>
        <w:t xml:space="preserve"> </w:t>
      </w:r>
      <w:r w:rsidRPr="005B01FE">
        <w:rPr>
          <w:noProof/>
        </w:rPr>
        <w:t>this Article.</w:t>
      </w:r>
    </w:p>
    <w:p w14:paraId="635EF3FE" w14:textId="77777777" w:rsidR="008E07A0" w:rsidRPr="005B01FE" w:rsidRDefault="008E07A0" w:rsidP="00AB5E81">
      <w:pPr>
        <w:spacing w:before="240" w:after="0"/>
        <w:contextualSpacing/>
        <w:rPr>
          <w:noProof/>
          <w:highlight w:val="yellow"/>
        </w:rPr>
      </w:pPr>
    </w:p>
    <w:p w14:paraId="0AAE01AE" w14:textId="570A08B9" w:rsidR="00E57AB9" w:rsidRPr="005B01FE" w:rsidRDefault="00467DB7" w:rsidP="00E57AB9">
      <w:pPr>
        <w:spacing w:before="240" w:after="0"/>
        <w:contextualSpacing/>
        <w:rPr>
          <w:noProof/>
          <w:highlight w:val="yellow"/>
        </w:rPr>
      </w:pPr>
      <w:r>
        <w:rPr>
          <w:noProof/>
        </w:rPr>
        <w:t>D</w:t>
      </w:r>
      <w:r w:rsidRPr="005B01FE">
        <w:rPr>
          <w:noProof/>
        </w:rPr>
        <w:t xml:space="preserve">uring the </w:t>
      </w:r>
      <w:r>
        <w:rPr>
          <w:noProof/>
        </w:rPr>
        <w:t>reference</w:t>
      </w:r>
      <w:r w:rsidRPr="005B01FE">
        <w:rPr>
          <w:noProof/>
        </w:rPr>
        <w:t xml:space="preserve"> period</w:t>
      </w:r>
      <w:r w:rsidR="00E57AB9" w:rsidRPr="005B01FE">
        <w:rPr>
          <w:noProof/>
        </w:rPr>
        <w:t>, legislative changes in relation to the implementation of Article</w:t>
      </w:r>
      <w:r>
        <w:rPr>
          <w:noProof/>
        </w:rPr>
        <w:t> </w:t>
      </w:r>
      <w:r w:rsidR="00E57AB9" w:rsidRPr="005B01FE">
        <w:rPr>
          <w:noProof/>
        </w:rPr>
        <w:t>16 of the AVMSD took place in four Member States (Austria, French Community</w:t>
      </w:r>
      <w:r w:rsidR="00CB3B19" w:rsidRPr="00CB3B19">
        <w:rPr>
          <w:noProof/>
        </w:rPr>
        <w:t xml:space="preserve"> </w:t>
      </w:r>
      <w:r w:rsidR="00CB3B19">
        <w:rPr>
          <w:noProof/>
        </w:rPr>
        <w:t>of Belgium</w:t>
      </w:r>
      <w:r w:rsidR="00E57AB9" w:rsidRPr="005B01FE">
        <w:rPr>
          <w:noProof/>
        </w:rPr>
        <w:t xml:space="preserve">, Greece and Croatia). These changes included Croatia imposing an obligatory quota of more than 50% </w:t>
      </w:r>
      <w:r w:rsidR="00332E0D" w:rsidRPr="005B01FE">
        <w:rPr>
          <w:noProof/>
        </w:rPr>
        <w:t xml:space="preserve">on </w:t>
      </w:r>
      <w:r w:rsidR="00E57AB9" w:rsidRPr="005B01FE">
        <w:rPr>
          <w:noProof/>
        </w:rPr>
        <w:t>private broadcasters instead of the earlier minimum initial proportion of 20% with the aim of progressively increas</w:t>
      </w:r>
      <w:r w:rsidR="00C77367" w:rsidRPr="005B01FE">
        <w:rPr>
          <w:noProof/>
        </w:rPr>
        <w:t>ing</w:t>
      </w:r>
      <w:r w:rsidR="00E57AB9" w:rsidRPr="005B01FE">
        <w:rPr>
          <w:noProof/>
        </w:rPr>
        <w:t xml:space="preserve"> this proportion every year. </w:t>
      </w:r>
      <w:r w:rsidR="00703A4E" w:rsidRPr="005B01FE">
        <w:rPr>
          <w:noProof/>
        </w:rPr>
        <w:t xml:space="preserve">The changes in other Member States were minor. </w:t>
      </w:r>
      <w:r>
        <w:rPr>
          <w:noProof/>
        </w:rPr>
        <w:t xml:space="preserve">In </w:t>
      </w:r>
      <w:r w:rsidR="00E57AB9" w:rsidRPr="005B01FE">
        <w:rPr>
          <w:noProof/>
        </w:rPr>
        <w:t xml:space="preserve">the EEA </w:t>
      </w:r>
      <w:r w:rsidR="001002D6">
        <w:rPr>
          <w:noProof/>
        </w:rPr>
        <w:t xml:space="preserve">EFTA </w:t>
      </w:r>
      <w:r w:rsidR="00E57AB9" w:rsidRPr="005B01FE">
        <w:rPr>
          <w:noProof/>
        </w:rPr>
        <w:t xml:space="preserve">countries, </w:t>
      </w:r>
      <w:r w:rsidR="003A2211" w:rsidRPr="005B01FE">
        <w:rPr>
          <w:noProof/>
        </w:rPr>
        <w:t xml:space="preserve">there were </w:t>
      </w:r>
      <w:r w:rsidR="00E57AB9" w:rsidRPr="005B01FE">
        <w:rPr>
          <w:noProof/>
        </w:rPr>
        <w:t>no legislative changes related to Article</w:t>
      </w:r>
      <w:r>
        <w:rPr>
          <w:noProof/>
        </w:rPr>
        <w:t> </w:t>
      </w:r>
      <w:r w:rsidR="00E57AB9" w:rsidRPr="005B01FE">
        <w:rPr>
          <w:noProof/>
        </w:rPr>
        <w:t>16 during the reference period.</w:t>
      </w:r>
    </w:p>
    <w:p w14:paraId="431A5EE3" w14:textId="77777777" w:rsidR="00E57AB9" w:rsidRPr="005B01FE" w:rsidRDefault="00E57AB9" w:rsidP="00E57AB9">
      <w:pPr>
        <w:spacing w:before="240" w:after="0"/>
        <w:contextualSpacing/>
        <w:rPr>
          <w:noProof/>
          <w:highlight w:val="yellow"/>
        </w:rPr>
      </w:pPr>
    </w:p>
    <w:p w14:paraId="7F98B3F0" w14:textId="6979EA8A" w:rsidR="00E57AB9" w:rsidRPr="005B01FE" w:rsidRDefault="008E07A0" w:rsidP="00AB5E81">
      <w:pPr>
        <w:spacing w:before="240" w:after="0"/>
        <w:contextualSpacing/>
        <w:rPr>
          <w:noProof/>
          <w:highlight w:val="yellow"/>
        </w:rPr>
      </w:pPr>
      <w:r w:rsidRPr="005B01FE">
        <w:rPr>
          <w:noProof/>
        </w:rPr>
        <w:t>All Member States require</w:t>
      </w:r>
      <w:r w:rsidR="00686FB3" w:rsidRPr="005B01FE">
        <w:rPr>
          <w:noProof/>
        </w:rPr>
        <w:t>d</w:t>
      </w:r>
      <w:r w:rsidRPr="005B01FE">
        <w:rPr>
          <w:noProof/>
        </w:rPr>
        <w:t xml:space="preserve"> broadcasters to reserve a majority proportion of their transmission time for European works, with some Member States </w:t>
      </w:r>
      <w:r w:rsidR="008B260A">
        <w:rPr>
          <w:noProof/>
        </w:rPr>
        <w:t>setting</w:t>
      </w:r>
      <w:r w:rsidR="008B260A" w:rsidRPr="005B01FE">
        <w:rPr>
          <w:noProof/>
        </w:rPr>
        <w:t xml:space="preserve"> </w:t>
      </w:r>
      <w:r w:rsidRPr="005B01FE">
        <w:rPr>
          <w:noProof/>
        </w:rPr>
        <w:t>a higher proportion (60%) for public broadcasters (Hungary</w:t>
      </w:r>
      <w:r w:rsidR="00E57AB9" w:rsidRPr="005B01FE">
        <w:rPr>
          <w:noProof/>
        </w:rPr>
        <w:t xml:space="preserve"> and Belgium</w:t>
      </w:r>
      <w:r w:rsidR="00E57AB9" w:rsidRPr="005B01FE">
        <w:rPr>
          <w:rStyle w:val="FootnoteReference"/>
          <w:noProof/>
        </w:rPr>
        <w:footnoteReference w:id="83"/>
      </w:r>
      <w:r w:rsidRPr="005B01FE">
        <w:rPr>
          <w:noProof/>
        </w:rPr>
        <w:t>) or for all broadcasters (France</w:t>
      </w:r>
      <w:r w:rsidR="00E57AB9" w:rsidRPr="005B01FE">
        <w:rPr>
          <w:noProof/>
        </w:rPr>
        <w:t xml:space="preserve"> and Italy</w:t>
      </w:r>
      <w:r w:rsidRPr="005B01FE">
        <w:rPr>
          <w:noProof/>
        </w:rPr>
        <w:t>).</w:t>
      </w:r>
      <w:r w:rsidR="00E57AB9" w:rsidRPr="005B01FE">
        <w:rPr>
          <w:noProof/>
        </w:rPr>
        <w:t xml:space="preserve"> Furthermore, during the reference period, nine Member States had specific quotas </w:t>
      </w:r>
      <w:r w:rsidR="008B260A">
        <w:rPr>
          <w:noProof/>
        </w:rPr>
        <w:t>for</w:t>
      </w:r>
      <w:r w:rsidR="008B260A" w:rsidRPr="005B01FE">
        <w:rPr>
          <w:noProof/>
        </w:rPr>
        <w:t xml:space="preserve"> </w:t>
      </w:r>
      <w:r w:rsidR="00E57AB9" w:rsidRPr="005B01FE">
        <w:rPr>
          <w:noProof/>
        </w:rPr>
        <w:t>works produced in their official languages</w:t>
      </w:r>
      <w:r w:rsidR="00E57AB9" w:rsidRPr="005B01FE">
        <w:rPr>
          <w:rStyle w:val="FootnoteReference"/>
          <w:noProof/>
        </w:rPr>
        <w:footnoteReference w:id="84"/>
      </w:r>
      <w:r w:rsidR="00E57AB9" w:rsidRPr="005B01FE">
        <w:rPr>
          <w:noProof/>
        </w:rPr>
        <w:t>.</w:t>
      </w:r>
    </w:p>
    <w:p w14:paraId="13C13CC0" w14:textId="77777777" w:rsidR="00AB5E81" w:rsidRPr="005B01FE" w:rsidRDefault="00AB5E81" w:rsidP="008E7BB6">
      <w:pPr>
        <w:spacing w:before="0" w:after="0"/>
        <w:contextualSpacing/>
        <w:rPr>
          <w:noProof/>
          <w:highlight w:val="yellow"/>
        </w:rPr>
      </w:pPr>
    </w:p>
    <w:p w14:paraId="19E25E55" w14:textId="6B8B59A6" w:rsidR="001739E5" w:rsidRPr="005B01FE" w:rsidRDefault="002830C5" w:rsidP="008E7BB6">
      <w:pPr>
        <w:spacing w:before="0" w:after="0"/>
        <w:contextualSpacing/>
        <w:rPr>
          <w:noProof/>
          <w:highlight w:val="yellow"/>
        </w:rPr>
      </w:pPr>
      <w:r>
        <w:rPr>
          <w:noProof/>
        </w:rPr>
        <w:t>A</w:t>
      </w:r>
      <w:r w:rsidR="0037702C" w:rsidRPr="005B01FE">
        <w:rPr>
          <w:noProof/>
        </w:rPr>
        <w:t xml:space="preserve">ccording to the data reported by Member States, </w:t>
      </w:r>
      <w:r w:rsidR="006927A9">
        <w:rPr>
          <w:noProof/>
        </w:rPr>
        <w:t>the average share</w:t>
      </w:r>
      <w:r w:rsidR="007559B5">
        <w:rPr>
          <w:noProof/>
        </w:rPr>
        <w:t xml:space="preserve"> across linear audiovisual media services</w:t>
      </w:r>
      <w:r w:rsidR="006927A9">
        <w:rPr>
          <w:noProof/>
        </w:rPr>
        <w:t xml:space="preserve"> in </w:t>
      </w:r>
      <w:r w:rsidR="001739E5" w:rsidRPr="005B01FE">
        <w:rPr>
          <w:noProof/>
        </w:rPr>
        <w:t>all Member States appear</w:t>
      </w:r>
      <w:r w:rsidR="00686FB3" w:rsidRPr="005B01FE">
        <w:rPr>
          <w:noProof/>
        </w:rPr>
        <w:t>ed</w:t>
      </w:r>
      <w:r w:rsidR="001739E5" w:rsidRPr="005B01FE">
        <w:rPr>
          <w:noProof/>
        </w:rPr>
        <w:t xml:space="preserve"> to reach the quota laid down in Article 16 of the AVMSD in the reference period, except for Cyprus</w:t>
      </w:r>
      <w:r w:rsidR="00A6558C" w:rsidRPr="005B01FE">
        <w:rPr>
          <w:noProof/>
        </w:rPr>
        <w:t xml:space="preserve">, where </w:t>
      </w:r>
      <w:r w:rsidRPr="005B01FE">
        <w:rPr>
          <w:noProof/>
        </w:rPr>
        <w:t>most</w:t>
      </w:r>
      <w:r w:rsidR="00A6558C" w:rsidRPr="005B01FE">
        <w:rPr>
          <w:noProof/>
        </w:rPr>
        <w:t xml:space="preserve"> linear audiovisual media service providers </w:t>
      </w:r>
      <w:r w:rsidR="00CB3B19" w:rsidRPr="00A44817">
        <w:rPr>
          <w:noProof/>
        </w:rPr>
        <w:t>did not appea</w:t>
      </w:r>
      <w:r w:rsidR="00CB3B19">
        <w:rPr>
          <w:noProof/>
        </w:rPr>
        <w:t xml:space="preserve">r </w:t>
      </w:r>
      <w:r w:rsidR="00A6558C" w:rsidRPr="005B01FE">
        <w:rPr>
          <w:noProof/>
        </w:rPr>
        <w:t xml:space="preserve">to </w:t>
      </w:r>
      <w:r>
        <w:rPr>
          <w:noProof/>
        </w:rPr>
        <w:t>meet</w:t>
      </w:r>
      <w:r w:rsidRPr="005B01FE">
        <w:rPr>
          <w:noProof/>
        </w:rPr>
        <w:t xml:space="preserve"> </w:t>
      </w:r>
      <w:r w:rsidR="00A6558C" w:rsidRPr="005B01FE">
        <w:rPr>
          <w:noProof/>
        </w:rPr>
        <w:t xml:space="preserve">the </w:t>
      </w:r>
      <w:r w:rsidR="00D21625" w:rsidRPr="00A44817">
        <w:rPr>
          <w:noProof/>
        </w:rPr>
        <w:t>obligat</w:t>
      </w:r>
      <w:r w:rsidR="00D21625">
        <w:rPr>
          <w:noProof/>
        </w:rPr>
        <w:t>ory minimum</w:t>
      </w:r>
      <w:r w:rsidR="00D21625" w:rsidRPr="00A44817">
        <w:rPr>
          <w:noProof/>
        </w:rPr>
        <w:t xml:space="preserve">. </w:t>
      </w:r>
      <w:r w:rsidR="00A6558C" w:rsidRPr="005B01FE">
        <w:rPr>
          <w:noProof/>
        </w:rPr>
        <w:t xml:space="preserve">However, the amount of data reported on </w:t>
      </w:r>
      <w:r w:rsidR="002B5DCE">
        <w:rPr>
          <w:noProof/>
        </w:rPr>
        <w:t xml:space="preserve">compliance with the quota </w:t>
      </w:r>
      <w:r w:rsidR="00A6558C" w:rsidRPr="005B01FE">
        <w:rPr>
          <w:noProof/>
        </w:rPr>
        <w:t>var</w:t>
      </w:r>
      <w:r w:rsidR="00686FB3" w:rsidRPr="005B01FE">
        <w:rPr>
          <w:noProof/>
        </w:rPr>
        <w:t>ied</w:t>
      </w:r>
      <w:r w:rsidR="00A6558C" w:rsidRPr="005B01FE">
        <w:rPr>
          <w:noProof/>
        </w:rPr>
        <w:t xml:space="preserve"> a lot between Member States.</w:t>
      </w:r>
      <w:r w:rsidR="00D875D4" w:rsidRPr="005B01FE">
        <w:rPr>
          <w:noProof/>
        </w:rPr>
        <w:t xml:space="preserve"> For instance, Estonia reported data on almost all </w:t>
      </w:r>
      <w:r>
        <w:rPr>
          <w:noProof/>
        </w:rPr>
        <w:t>its</w:t>
      </w:r>
      <w:r w:rsidR="00D875D4" w:rsidRPr="005B01FE">
        <w:rPr>
          <w:noProof/>
        </w:rPr>
        <w:t xml:space="preserve"> linear audiovisual media service providers, </w:t>
      </w:r>
      <w:r w:rsidR="00CB3B19">
        <w:rPr>
          <w:noProof/>
        </w:rPr>
        <w:t>while the Netherlands only reported data on 7 providers in 2021 compared to 87 in 2020</w:t>
      </w:r>
      <w:r w:rsidR="00BF0E49">
        <w:rPr>
          <w:noProof/>
        </w:rPr>
        <w:t xml:space="preserve"> due to the national reporting obligations being primarily of biannual nature</w:t>
      </w:r>
      <w:r w:rsidR="00CB3B19">
        <w:rPr>
          <w:rStyle w:val="FootnoteReference"/>
          <w:noProof/>
        </w:rPr>
        <w:footnoteReference w:id="85"/>
      </w:r>
      <w:r w:rsidR="00CB3B19">
        <w:rPr>
          <w:noProof/>
        </w:rPr>
        <w:t>.</w:t>
      </w:r>
    </w:p>
    <w:p w14:paraId="3A67E288" w14:textId="613652B4" w:rsidR="00D51183" w:rsidRPr="005B01FE" w:rsidRDefault="00D51183" w:rsidP="008E7BB6">
      <w:pPr>
        <w:spacing w:before="0" w:after="0"/>
        <w:contextualSpacing/>
        <w:rPr>
          <w:noProof/>
          <w:highlight w:val="yellow"/>
        </w:rPr>
      </w:pPr>
    </w:p>
    <w:p w14:paraId="727B096F" w14:textId="26C3F8B5" w:rsidR="007A2C3F" w:rsidRPr="005B01FE" w:rsidRDefault="00D51183" w:rsidP="007A2C3F">
      <w:pPr>
        <w:spacing w:before="240" w:after="0"/>
        <w:contextualSpacing/>
        <w:rPr>
          <w:noProof/>
        </w:rPr>
      </w:pPr>
      <w:r w:rsidRPr="005B01FE">
        <w:rPr>
          <w:noProof/>
        </w:rPr>
        <w:t xml:space="preserve">Based on the national reports, the average proportion of European works on linear services was </w:t>
      </w:r>
      <w:r w:rsidR="00DB52EF" w:rsidRPr="005B01FE">
        <w:rPr>
          <w:noProof/>
        </w:rPr>
        <w:t>68</w:t>
      </w:r>
      <w:r w:rsidRPr="005B01FE">
        <w:rPr>
          <w:noProof/>
        </w:rPr>
        <w:t xml:space="preserve">% in 2020 and </w:t>
      </w:r>
      <w:r w:rsidR="00DB52EF" w:rsidRPr="005B01FE">
        <w:rPr>
          <w:noProof/>
        </w:rPr>
        <w:t>69</w:t>
      </w:r>
      <w:r w:rsidRPr="005B01FE">
        <w:rPr>
          <w:noProof/>
        </w:rPr>
        <w:t>% in 2021</w:t>
      </w:r>
      <w:r w:rsidR="00686FB3" w:rsidRPr="005B01FE">
        <w:rPr>
          <w:rStyle w:val="FootnoteReference"/>
          <w:noProof/>
        </w:rPr>
        <w:footnoteReference w:id="86"/>
      </w:r>
      <w:r w:rsidR="00D17409" w:rsidRPr="005B01FE">
        <w:rPr>
          <w:noProof/>
        </w:rPr>
        <w:t>, compared to 72.6% reported in 2019</w:t>
      </w:r>
      <w:r w:rsidR="00686FB3" w:rsidRPr="005B01FE">
        <w:rPr>
          <w:rStyle w:val="FootnoteReference"/>
          <w:noProof/>
        </w:rPr>
        <w:footnoteReference w:id="87"/>
      </w:r>
      <w:r w:rsidRPr="005B01FE">
        <w:rPr>
          <w:noProof/>
        </w:rPr>
        <w:t xml:space="preserve">. </w:t>
      </w:r>
      <w:r w:rsidR="00E34000" w:rsidRPr="005B01FE">
        <w:rPr>
          <w:noProof/>
        </w:rPr>
        <w:t>H</w:t>
      </w:r>
      <w:r w:rsidRPr="005B01FE">
        <w:rPr>
          <w:noProof/>
        </w:rPr>
        <w:t>owever</w:t>
      </w:r>
      <w:r w:rsidR="008F58BA" w:rsidRPr="005B01FE">
        <w:rPr>
          <w:noProof/>
        </w:rPr>
        <w:t>,</w:t>
      </w:r>
      <w:r w:rsidRPr="005B01FE">
        <w:rPr>
          <w:noProof/>
        </w:rPr>
        <w:t xml:space="preserve"> </w:t>
      </w:r>
      <w:r w:rsidR="004201F1" w:rsidRPr="005B01FE">
        <w:rPr>
          <w:noProof/>
        </w:rPr>
        <w:t xml:space="preserve">similarly to the average proportion of European works </w:t>
      </w:r>
      <w:r w:rsidR="0031049A">
        <w:rPr>
          <w:noProof/>
        </w:rPr>
        <w:t>o</w:t>
      </w:r>
      <w:r w:rsidR="004201F1" w:rsidRPr="005B01FE">
        <w:rPr>
          <w:noProof/>
        </w:rPr>
        <w:t xml:space="preserve">n VOD services (see </w:t>
      </w:r>
      <w:r w:rsidR="0036575A">
        <w:rPr>
          <w:noProof/>
        </w:rPr>
        <w:t>S</w:t>
      </w:r>
      <w:r w:rsidR="004201F1" w:rsidRPr="005B01FE">
        <w:rPr>
          <w:noProof/>
        </w:rPr>
        <w:t>ection</w:t>
      </w:r>
      <w:r w:rsidR="0036575A">
        <w:rPr>
          <w:noProof/>
        </w:rPr>
        <w:t> </w:t>
      </w:r>
      <w:r w:rsidR="005D03E2" w:rsidRPr="005B01FE">
        <w:rPr>
          <w:noProof/>
        </w:rPr>
        <w:t>1.3</w:t>
      </w:r>
      <w:r w:rsidR="004201F1" w:rsidRPr="005B01FE">
        <w:rPr>
          <w:noProof/>
        </w:rPr>
        <w:t>)</w:t>
      </w:r>
      <w:r w:rsidR="00172AC2">
        <w:rPr>
          <w:noProof/>
        </w:rPr>
        <w:t xml:space="preserve"> and the findings in the previous report</w:t>
      </w:r>
      <w:r w:rsidR="004201F1" w:rsidRPr="005B01FE">
        <w:rPr>
          <w:noProof/>
        </w:rPr>
        <w:t xml:space="preserve">, </w:t>
      </w:r>
      <w:r w:rsidRPr="005B01FE">
        <w:rPr>
          <w:noProof/>
        </w:rPr>
        <w:t xml:space="preserve">the data </w:t>
      </w:r>
      <w:r w:rsidR="00AA63CA" w:rsidRPr="00BB0BBB">
        <w:rPr>
          <w:noProof/>
        </w:rPr>
        <w:t>w</w:t>
      </w:r>
      <w:r w:rsidR="00AA63CA">
        <w:rPr>
          <w:noProof/>
        </w:rPr>
        <w:t>ere</w:t>
      </w:r>
      <w:r w:rsidRPr="005B01FE">
        <w:rPr>
          <w:noProof/>
        </w:rPr>
        <w:t xml:space="preserve"> based on </w:t>
      </w:r>
      <w:r w:rsidR="00430DB6" w:rsidRPr="005B01FE">
        <w:rPr>
          <w:noProof/>
        </w:rPr>
        <w:t xml:space="preserve">the information </w:t>
      </w:r>
      <w:r w:rsidR="00E34000" w:rsidRPr="005B01FE">
        <w:rPr>
          <w:noProof/>
        </w:rPr>
        <w:t>provided</w:t>
      </w:r>
      <w:r w:rsidR="003A2211" w:rsidRPr="005B01FE">
        <w:rPr>
          <w:noProof/>
        </w:rPr>
        <w:t xml:space="preserve"> by the </w:t>
      </w:r>
      <w:r w:rsidR="00686FB3" w:rsidRPr="005B01FE">
        <w:rPr>
          <w:noProof/>
        </w:rPr>
        <w:t>Member States</w:t>
      </w:r>
      <w:r w:rsidR="009D37CE" w:rsidRPr="005B01FE">
        <w:rPr>
          <w:noProof/>
        </w:rPr>
        <w:t>, which was not complete in some cases</w:t>
      </w:r>
      <w:r w:rsidRPr="005B01FE">
        <w:rPr>
          <w:noProof/>
        </w:rPr>
        <w:t xml:space="preserve">. </w:t>
      </w:r>
      <w:r w:rsidR="009D37CE" w:rsidRPr="005B01FE">
        <w:rPr>
          <w:noProof/>
        </w:rPr>
        <w:t xml:space="preserve">For example, </w:t>
      </w:r>
      <w:r w:rsidR="008F69ED" w:rsidRPr="005B01FE">
        <w:rPr>
          <w:noProof/>
        </w:rPr>
        <w:t>Malta did not</w:t>
      </w:r>
      <w:r w:rsidR="00686FB3" w:rsidRPr="005B01FE">
        <w:rPr>
          <w:noProof/>
        </w:rPr>
        <w:t xml:space="preserve"> </w:t>
      </w:r>
      <w:r w:rsidRPr="005B01FE">
        <w:rPr>
          <w:noProof/>
        </w:rPr>
        <w:t xml:space="preserve">report on the share of European works </w:t>
      </w:r>
      <w:r w:rsidR="00C41529">
        <w:rPr>
          <w:noProof/>
        </w:rPr>
        <w:t>o</w:t>
      </w:r>
      <w:r w:rsidR="008F69ED" w:rsidRPr="005B01FE">
        <w:rPr>
          <w:noProof/>
        </w:rPr>
        <w:t>n linear</w:t>
      </w:r>
      <w:r w:rsidRPr="005B01FE">
        <w:rPr>
          <w:noProof/>
        </w:rPr>
        <w:t xml:space="preserve"> services </w:t>
      </w:r>
      <w:r w:rsidR="00686FB3" w:rsidRPr="005B01FE">
        <w:rPr>
          <w:noProof/>
        </w:rPr>
        <w:t xml:space="preserve">in the reference period </w:t>
      </w:r>
      <w:r w:rsidRPr="005B01FE">
        <w:rPr>
          <w:noProof/>
        </w:rPr>
        <w:t xml:space="preserve">at all and </w:t>
      </w:r>
      <w:r w:rsidR="008F69ED" w:rsidRPr="005B01FE">
        <w:rPr>
          <w:noProof/>
        </w:rPr>
        <w:t>Ireland</w:t>
      </w:r>
      <w:r w:rsidRPr="005B01FE">
        <w:rPr>
          <w:noProof/>
        </w:rPr>
        <w:t xml:space="preserve"> did not report in 2021. Furthermore, those that did report on the share of European works </w:t>
      </w:r>
      <w:r w:rsidR="00C41529">
        <w:rPr>
          <w:noProof/>
        </w:rPr>
        <w:t>o</w:t>
      </w:r>
      <w:r w:rsidR="008F69ED" w:rsidRPr="005B01FE">
        <w:rPr>
          <w:noProof/>
        </w:rPr>
        <w:t>n linear</w:t>
      </w:r>
      <w:r w:rsidRPr="005B01FE">
        <w:rPr>
          <w:noProof/>
        </w:rPr>
        <w:t xml:space="preserve"> services did not do so for </w:t>
      </w:r>
      <w:r w:rsidR="00E66FF8" w:rsidRPr="005B01FE">
        <w:rPr>
          <w:noProof/>
        </w:rPr>
        <w:t>all</w:t>
      </w:r>
      <w:r w:rsidRPr="005B01FE">
        <w:rPr>
          <w:noProof/>
        </w:rPr>
        <w:t xml:space="preserve"> services listed. </w:t>
      </w:r>
      <w:r w:rsidR="007A2C3F" w:rsidRPr="005B01FE">
        <w:rPr>
          <w:noProof/>
        </w:rPr>
        <w:t>For 2020, data on the proportion of European works w</w:t>
      </w:r>
      <w:r w:rsidR="00EF0C09">
        <w:rPr>
          <w:noProof/>
        </w:rPr>
        <w:t>as</w:t>
      </w:r>
      <w:r w:rsidR="007A2C3F" w:rsidRPr="005B01FE">
        <w:rPr>
          <w:noProof/>
        </w:rPr>
        <w:t xml:space="preserve"> only provided for 1</w:t>
      </w:r>
      <w:r w:rsidR="0079273A">
        <w:rPr>
          <w:noProof/>
        </w:rPr>
        <w:t> </w:t>
      </w:r>
      <w:r w:rsidR="007A2C3F" w:rsidRPr="005B01FE">
        <w:rPr>
          <w:noProof/>
        </w:rPr>
        <w:t>267 linear services (59%) out of a total of 2</w:t>
      </w:r>
      <w:r w:rsidR="0079273A">
        <w:rPr>
          <w:noProof/>
        </w:rPr>
        <w:t> </w:t>
      </w:r>
      <w:r w:rsidR="007A2C3F" w:rsidRPr="005B01FE">
        <w:rPr>
          <w:noProof/>
        </w:rPr>
        <w:t xml:space="preserve">161 services that Member States reported as operating in their territory in 2020 and not being subject to exemptions during the whole reference period. </w:t>
      </w:r>
      <w:r w:rsidR="0079273A">
        <w:rPr>
          <w:noProof/>
        </w:rPr>
        <w:t>I</w:t>
      </w:r>
      <w:r w:rsidR="0079273A" w:rsidRPr="005B01FE">
        <w:rPr>
          <w:noProof/>
        </w:rPr>
        <w:t>n 2021</w:t>
      </w:r>
      <w:r w:rsidR="0079273A">
        <w:rPr>
          <w:noProof/>
        </w:rPr>
        <w:t>, t</w:t>
      </w:r>
      <w:r w:rsidR="007A2C3F" w:rsidRPr="005B01FE">
        <w:rPr>
          <w:noProof/>
        </w:rPr>
        <w:t>he corresponding figures were 1</w:t>
      </w:r>
      <w:r w:rsidR="0079273A">
        <w:rPr>
          <w:noProof/>
        </w:rPr>
        <w:t> </w:t>
      </w:r>
      <w:r w:rsidR="007A2C3F" w:rsidRPr="005B01FE">
        <w:rPr>
          <w:noProof/>
        </w:rPr>
        <w:t>276 linear services (57%) out of a total of 2</w:t>
      </w:r>
      <w:r w:rsidR="0079273A">
        <w:rPr>
          <w:noProof/>
        </w:rPr>
        <w:t> </w:t>
      </w:r>
      <w:r w:rsidR="007A2C3F" w:rsidRPr="005B01FE">
        <w:rPr>
          <w:noProof/>
        </w:rPr>
        <w:t>247 services.</w:t>
      </w:r>
    </w:p>
    <w:p w14:paraId="0A71FA48" w14:textId="77777777" w:rsidR="00D551A9" w:rsidRPr="005B01FE" w:rsidRDefault="00D551A9" w:rsidP="00D51183">
      <w:pPr>
        <w:spacing w:before="240" w:after="0"/>
        <w:contextualSpacing/>
        <w:rPr>
          <w:noProof/>
        </w:rPr>
      </w:pPr>
    </w:p>
    <w:p w14:paraId="3E8599F5" w14:textId="092B18B8" w:rsidR="007A2C3F" w:rsidRPr="005B01FE" w:rsidRDefault="007A2C3F" w:rsidP="007A2C3F">
      <w:pPr>
        <w:pStyle w:val="Caption"/>
        <w:keepNext/>
        <w:spacing w:after="0"/>
        <w:rPr>
          <w:noProof/>
        </w:rPr>
      </w:pPr>
      <w:r w:rsidRPr="005B01FE">
        <w:rPr>
          <w:noProof/>
        </w:rPr>
        <w:t xml:space="preserve">Figure </w:t>
      </w:r>
      <w:r w:rsidRPr="005B01FE">
        <w:rPr>
          <w:noProof/>
        </w:rPr>
        <w:fldChar w:fldCharType="begin"/>
      </w:r>
      <w:r w:rsidRPr="005B01FE">
        <w:rPr>
          <w:noProof/>
        </w:rPr>
        <w:instrText xml:space="preserve"> SEQ Figure \* ARABIC </w:instrText>
      </w:r>
      <w:r w:rsidRPr="005B01FE">
        <w:rPr>
          <w:noProof/>
        </w:rPr>
        <w:fldChar w:fldCharType="separate"/>
      </w:r>
      <w:r w:rsidR="00923757" w:rsidRPr="005B01FE">
        <w:rPr>
          <w:noProof/>
        </w:rPr>
        <w:t>6</w:t>
      </w:r>
      <w:r w:rsidRPr="005B01FE">
        <w:rPr>
          <w:noProof/>
        </w:rPr>
        <w:fldChar w:fldCharType="end"/>
      </w:r>
      <w:r w:rsidR="00C821E9">
        <w:rPr>
          <w:noProof/>
        </w:rPr>
        <w:t>:</w:t>
      </w:r>
      <w:r w:rsidRPr="005B01FE">
        <w:rPr>
          <w:noProof/>
        </w:rPr>
        <w:t xml:space="preserve"> Share of European </w:t>
      </w:r>
      <w:r w:rsidR="0079273A">
        <w:rPr>
          <w:noProof/>
        </w:rPr>
        <w:t>w</w:t>
      </w:r>
      <w:r w:rsidRPr="005B01FE">
        <w:rPr>
          <w:noProof/>
        </w:rPr>
        <w:t>orks on TV channels, 2020-2021</w:t>
      </w:r>
    </w:p>
    <w:p w14:paraId="26702EE9" w14:textId="13FB670C" w:rsidR="007A2C3F" w:rsidRPr="005B01FE" w:rsidRDefault="00AD31AD" w:rsidP="007A2C3F">
      <w:pPr>
        <w:spacing w:after="0"/>
        <w:contextualSpacing/>
        <w:rPr>
          <w:noProof/>
        </w:rPr>
      </w:pPr>
      <w:r w:rsidRPr="005B01FE">
        <w:rPr>
          <w:noProof/>
          <w:lang w:eastAsia="en-GB"/>
        </w:rPr>
        <w:drawing>
          <wp:inline distT="0" distB="0" distL="0" distR="0" wp14:anchorId="4C556EA9" wp14:editId="1DFA1F03">
            <wp:extent cx="5752465" cy="315214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C4717E" w14:textId="55600630" w:rsidR="007A2C3F" w:rsidRPr="005B01FE" w:rsidRDefault="007A2C3F" w:rsidP="007A2C3F">
      <w:pPr>
        <w:spacing w:after="0"/>
        <w:contextualSpacing/>
        <w:rPr>
          <w:i/>
          <w:iCs/>
          <w:noProof/>
          <w:sz w:val="20"/>
          <w:szCs w:val="20"/>
        </w:rPr>
      </w:pPr>
      <w:r w:rsidRPr="005B01FE">
        <w:rPr>
          <w:i/>
          <w:iCs/>
          <w:noProof/>
          <w:sz w:val="20"/>
          <w:szCs w:val="20"/>
        </w:rPr>
        <w:t xml:space="preserve">Source: the </w:t>
      </w:r>
      <w:r w:rsidR="00576015">
        <w:rPr>
          <w:i/>
          <w:iCs/>
          <w:noProof/>
          <w:sz w:val="20"/>
          <w:szCs w:val="20"/>
        </w:rPr>
        <w:t>s</w:t>
      </w:r>
      <w:r w:rsidRPr="005B01FE">
        <w:rPr>
          <w:i/>
          <w:iCs/>
          <w:noProof/>
          <w:sz w:val="20"/>
          <w:szCs w:val="20"/>
        </w:rPr>
        <w:t>tudy, based on Member States’ reporting</w:t>
      </w:r>
    </w:p>
    <w:p w14:paraId="1ACDA91B" w14:textId="4BE5DAB2" w:rsidR="00ED7113" w:rsidRPr="005B01FE" w:rsidRDefault="00ED7113" w:rsidP="00D573C1">
      <w:pPr>
        <w:spacing w:before="0" w:after="0"/>
        <w:contextualSpacing/>
        <w:rPr>
          <w:noProof/>
          <w:highlight w:val="yellow"/>
        </w:rPr>
      </w:pPr>
    </w:p>
    <w:p w14:paraId="1DEBEFEE" w14:textId="5FDA33E1" w:rsidR="007A39CC" w:rsidRPr="005B01FE" w:rsidRDefault="008D2A60" w:rsidP="00C41B02">
      <w:pPr>
        <w:spacing w:before="240" w:after="0"/>
        <w:contextualSpacing/>
        <w:rPr>
          <w:noProof/>
          <w:color w:val="000000"/>
          <w:highlight w:val="yellow"/>
        </w:rPr>
      </w:pPr>
      <w:r w:rsidRPr="005B01FE">
        <w:rPr>
          <w:noProof/>
        </w:rPr>
        <w:t xml:space="preserve">According to the </w:t>
      </w:r>
      <w:r w:rsidR="00F6235D" w:rsidRPr="005B01FE">
        <w:rPr>
          <w:noProof/>
        </w:rPr>
        <w:t xml:space="preserve">independent analysis included in the </w:t>
      </w:r>
      <w:r w:rsidR="0014732B">
        <w:rPr>
          <w:noProof/>
        </w:rPr>
        <w:t>s</w:t>
      </w:r>
      <w:r w:rsidRPr="005B01FE">
        <w:rPr>
          <w:noProof/>
        </w:rPr>
        <w:t>tudy</w:t>
      </w:r>
      <w:r w:rsidR="00686FB3" w:rsidRPr="005B01FE">
        <w:rPr>
          <w:noProof/>
        </w:rPr>
        <w:t>, which was</w:t>
      </w:r>
      <w:r w:rsidR="000D1F0C" w:rsidRPr="005B01FE">
        <w:rPr>
          <w:noProof/>
        </w:rPr>
        <w:t xml:space="preserve"> based on a sample of 15 Member States</w:t>
      </w:r>
      <w:r w:rsidR="000D1F0C" w:rsidRPr="005B01FE">
        <w:rPr>
          <w:rStyle w:val="FootnoteReference"/>
          <w:noProof/>
        </w:rPr>
        <w:footnoteReference w:id="88"/>
      </w:r>
      <w:r w:rsidR="000211B6" w:rsidRPr="005B01FE">
        <w:rPr>
          <w:noProof/>
        </w:rPr>
        <w:t xml:space="preserve"> and over 900 </w:t>
      </w:r>
      <w:r w:rsidR="00B15102" w:rsidRPr="005B01FE">
        <w:rPr>
          <w:noProof/>
        </w:rPr>
        <w:t xml:space="preserve">eligible </w:t>
      </w:r>
      <w:r w:rsidR="000211B6" w:rsidRPr="005B01FE">
        <w:rPr>
          <w:noProof/>
        </w:rPr>
        <w:t>channels</w:t>
      </w:r>
      <w:r w:rsidRPr="005B01FE">
        <w:rPr>
          <w:noProof/>
        </w:rPr>
        <w:t>, the</w:t>
      </w:r>
      <w:r w:rsidR="00631688" w:rsidRPr="005B01FE">
        <w:rPr>
          <w:noProof/>
          <w:color w:val="000000"/>
        </w:rPr>
        <w:t xml:space="preserve"> </w:t>
      </w:r>
      <w:r w:rsidR="002136AD" w:rsidRPr="005B01FE">
        <w:rPr>
          <w:noProof/>
          <w:color w:val="000000"/>
        </w:rPr>
        <w:t xml:space="preserve">average </w:t>
      </w:r>
      <w:r w:rsidR="00631688" w:rsidRPr="005B01FE">
        <w:rPr>
          <w:noProof/>
          <w:color w:val="000000"/>
        </w:rPr>
        <w:t xml:space="preserve">share of European works </w:t>
      </w:r>
      <w:r w:rsidR="004F66DD" w:rsidRPr="005B01FE">
        <w:rPr>
          <w:noProof/>
          <w:color w:val="000000"/>
        </w:rPr>
        <w:t xml:space="preserve">as a proportion of </w:t>
      </w:r>
      <w:r w:rsidR="00631688" w:rsidRPr="005B01FE">
        <w:rPr>
          <w:noProof/>
          <w:color w:val="000000"/>
        </w:rPr>
        <w:t>qualifying time was</w:t>
      </w:r>
      <w:r w:rsidR="002136AD" w:rsidRPr="005B01FE">
        <w:rPr>
          <w:noProof/>
          <w:color w:val="000000"/>
        </w:rPr>
        <w:t xml:space="preserve"> </w:t>
      </w:r>
      <w:r w:rsidR="00631688" w:rsidRPr="005B01FE">
        <w:rPr>
          <w:noProof/>
          <w:color w:val="000000"/>
        </w:rPr>
        <w:t>3</w:t>
      </w:r>
      <w:r w:rsidR="000D1F0C" w:rsidRPr="005B01FE">
        <w:rPr>
          <w:noProof/>
          <w:color w:val="000000"/>
        </w:rPr>
        <w:t>8</w:t>
      </w:r>
      <w:r w:rsidR="00631688" w:rsidRPr="005B01FE">
        <w:rPr>
          <w:noProof/>
          <w:color w:val="000000"/>
        </w:rPr>
        <w:t xml:space="preserve">%. </w:t>
      </w:r>
      <w:r w:rsidR="00BC69DD" w:rsidRPr="00BC69DD">
        <w:rPr>
          <w:noProof/>
        </w:rPr>
        <w:t xml:space="preserve"> </w:t>
      </w:r>
      <w:r w:rsidR="00BC69DD" w:rsidRPr="005B01FE">
        <w:rPr>
          <w:noProof/>
        </w:rPr>
        <w:t xml:space="preserve">The data presented in the </w:t>
      </w:r>
      <w:r w:rsidR="00BC69DD">
        <w:rPr>
          <w:noProof/>
        </w:rPr>
        <w:t>s</w:t>
      </w:r>
      <w:r w:rsidR="00BC69DD" w:rsidRPr="005B01FE">
        <w:rPr>
          <w:noProof/>
        </w:rPr>
        <w:t xml:space="preserve">tudy captured the situation </w:t>
      </w:r>
      <w:r w:rsidR="00BC69DD">
        <w:rPr>
          <w:noProof/>
        </w:rPr>
        <w:t>between November</w:t>
      </w:r>
      <w:r w:rsidR="00BC69DD" w:rsidRPr="005B01FE">
        <w:rPr>
          <w:noProof/>
        </w:rPr>
        <w:t xml:space="preserve"> 202</w:t>
      </w:r>
      <w:r w:rsidR="00BC69DD">
        <w:rPr>
          <w:noProof/>
        </w:rPr>
        <w:t>2 and January 2023</w:t>
      </w:r>
      <w:r w:rsidR="00BC69DD" w:rsidRPr="005B01FE">
        <w:rPr>
          <w:noProof/>
        </w:rPr>
        <w:t xml:space="preserve">, as it was not possible to collect catalogue data retrospectively for 2020-2021. </w:t>
      </w:r>
      <w:r w:rsidR="00631688" w:rsidRPr="005B01FE">
        <w:rPr>
          <w:noProof/>
          <w:color w:val="000000"/>
        </w:rPr>
        <w:t>This is substantially below the</w:t>
      </w:r>
      <w:r w:rsidR="008B7EB3" w:rsidRPr="005B01FE">
        <w:rPr>
          <w:noProof/>
          <w:color w:val="000000"/>
        </w:rPr>
        <w:t xml:space="preserve"> average</w:t>
      </w:r>
      <w:r w:rsidR="00631688" w:rsidRPr="005B01FE">
        <w:rPr>
          <w:noProof/>
          <w:color w:val="000000"/>
        </w:rPr>
        <w:t xml:space="preserve"> share of European works reported by </w:t>
      </w:r>
      <w:r w:rsidR="008B7EB3" w:rsidRPr="005B01FE">
        <w:rPr>
          <w:noProof/>
          <w:color w:val="000000"/>
        </w:rPr>
        <w:t xml:space="preserve">the </w:t>
      </w:r>
      <w:r w:rsidR="00CB3B19" w:rsidRPr="007A39CC">
        <w:rPr>
          <w:noProof/>
          <w:color w:val="000000"/>
        </w:rPr>
        <w:t>Member States</w:t>
      </w:r>
      <w:r w:rsidR="001825B0">
        <w:rPr>
          <w:noProof/>
          <w:color w:val="000000"/>
        </w:rPr>
        <w:t xml:space="preserve"> (68% in 2020 and 69% in 2021)</w:t>
      </w:r>
      <w:r w:rsidR="00CB3B19">
        <w:rPr>
          <w:rStyle w:val="FootnoteReference"/>
          <w:noProof/>
          <w:color w:val="000000"/>
        </w:rPr>
        <w:footnoteReference w:id="89"/>
      </w:r>
      <w:r w:rsidR="00CB3B19" w:rsidRPr="007A39CC">
        <w:rPr>
          <w:noProof/>
          <w:color w:val="000000"/>
        </w:rPr>
        <w:t>.</w:t>
      </w:r>
      <w:r w:rsidR="00AC1A0A">
        <w:rPr>
          <w:noProof/>
          <w:color w:val="000000"/>
        </w:rPr>
        <w:t xml:space="preserve"> </w:t>
      </w:r>
      <w:r w:rsidR="00AC1A0A" w:rsidRPr="00AC1A0A">
        <w:rPr>
          <w:noProof/>
          <w:color w:val="000000"/>
        </w:rPr>
        <w:t>According to the 2021 analysis conducted as part of the previous study, the average share of European works was 3</w:t>
      </w:r>
      <w:r w:rsidR="00AC1A0A">
        <w:rPr>
          <w:noProof/>
          <w:color w:val="000000"/>
        </w:rPr>
        <w:t>9</w:t>
      </w:r>
      <w:r w:rsidR="00AC1A0A" w:rsidRPr="00AC1A0A">
        <w:rPr>
          <w:noProof/>
          <w:color w:val="000000"/>
        </w:rPr>
        <w:t>% based on the catalogues of a smaller sample</w:t>
      </w:r>
      <w:r w:rsidR="00854D63">
        <w:rPr>
          <w:noProof/>
          <w:color w:val="000000"/>
        </w:rPr>
        <w:t xml:space="preserve"> of 467</w:t>
      </w:r>
      <w:r w:rsidR="00AC1A0A" w:rsidRPr="00AC1A0A">
        <w:rPr>
          <w:noProof/>
          <w:color w:val="000000"/>
        </w:rPr>
        <w:t xml:space="preserve"> </w:t>
      </w:r>
      <w:r w:rsidR="00854D63">
        <w:rPr>
          <w:noProof/>
          <w:color w:val="000000"/>
        </w:rPr>
        <w:t>eligible channels in 11 Member States</w:t>
      </w:r>
      <w:r w:rsidR="00AC1A0A">
        <w:rPr>
          <w:rStyle w:val="FootnoteReference"/>
          <w:noProof/>
          <w:color w:val="000000"/>
        </w:rPr>
        <w:footnoteReference w:id="90"/>
      </w:r>
      <w:r w:rsidR="00AC1A0A">
        <w:rPr>
          <w:noProof/>
          <w:color w:val="000000"/>
        </w:rPr>
        <w:t>.</w:t>
      </w:r>
    </w:p>
    <w:p w14:paraId="09B6B576" w14:textId="0CEDD17C" w:rsidR="00ED7113" w:rsidRPr="005B01FE" w:rsidRDefault="00ED7113" w:rsidP="00C41B02">
      <w:pPr>
        <w:spacing w:before="240" w:after="0"/>
        <w:contextualSpacing/>
        <w:rPr>
          <w:noProof/>
          <w:color w:val="000000"/>
          <w:highlight w:val="yellow"/>
        </w:rPr>
      </w:pPr>
    </w:p>
    <w:p w14:paraId="175B3B50" w14:textId="6E61C802" w:rsidR="005C7057" w:rsidRPr="005B01FE" w:rsidRDefault="00843A77" w:rsidP="00C41B02">
      <w:pPr>
        <w:spacing w:before="240" w:after="0"/>
        <w:contextualSpacing/>
        <w:rPr>
          <w:noProof/>
          <w:color w:val="000000"/>
        </w:rPr>
      </w:pPr>
      <w:r w:rsidRPr="005B01FE">
        <w:rPr>
          <w:noProof/>
          <w:color w:val="000000"/>
        </w:rPr>
        <w:t xml:space="preserve">Based on the sample, </w:t>
      </w:r>
      <w:r w:rsidR="00CD4051" w:rsidRPr="005B01FE">
        <w:rPr>
          <w:noProof/>
          <w:color w:val="000000"/>
        </w:rPr>
        <w:t>Germany, Belgium, Spain and Poland st</w:t>
      </w:r>
      <w:r w:rsidR="00E00DEB" w:rsidRPr="005B01FE">
        <w:rPr>
          <w:noProof/>
          <w:color w:val="000000"/>
        </w:rPr>
        <w:t>ood</w:t>
      </w:r>
      <w:r w:rsidR="00CD4051" w:rsidRPr="005B01FE">
        <w:rPr>
          <w:noProof/>
          <w:color w:val="000000"/>
        </w:rPr>
        <w:t xml:space="preserve"> out with over 30 channels </w:t>
      </w:r>
      <w:r w:rsidR="00E9772E" w:rsidRPr="005B01FE">
        <w:rPr>
          <w:noProof/>
          <w:color w:val="000000"/>
        </w:rPr>
        <w:t>dedicating</w:t>
      </w:r>
      <w:r w:rsidR="00CD4051" w:rsidRPr="005B01FE">
        <w:rPr>
          <w:noProof/>
          <w:color w:val="000000"/>
        </w:rPr>
        <w:t xml:space="preserve"> more than 50% of</w:t>
      </w:r>
      <w:r w:rsidR="00E9772E" w:rsidRPr="005B01FE">
        <w:rPr>
          <w:noProof/>
          <w:color w:val="000000"/>
        </w:rPr>
        <w:t xml:space="preserve"> </w:t>
      </w:r>
      <w:r w:rsidR="00E9772E" w:rsidRPr="005B01FE">
        <w:rPr>
          <w:noProof/>
        </w:rPr>
        <w:t>their transmission time to</w:t>
      </w:r>
      <w:r w:rsidR="00CD4051" w:rsidRPr="005B01FE">
        <w:rPr>
          <w:noProof/>
          <w:color w:val="000000"/>
        </w:rPr>
        <w:t xml:space="preserve"> European works. Across all Member States included in the sample, </w:t>
      </w:r>
      <w:r w:rsidR="0014732B">
        <w:rPr>
          <w:noProof/>
          <w:color w:val="000000"/>
        </w:rPr>
        <w:t xml:space="preserve">a </w:t>
      </w:r>
      <w:r w:rsidR="00CD4051" w:rsidRPr="005B01FE">
        <w:rPr>
          <w:noProof/>
          <w:color w:val="000000"/>
        </w:rPr>
        <w:t xml:space="preserve">total </w:t>
      </w:r>
      <w:r w:rsidR="0014732B">
        <w:rPr>
          <w:noProof/>
          <w:color w:val="000000"/>
        </w:rPr>
        <w:t xml:space="preserve">of </w:t>
      </w:r>
      <w:r w:rsidR="00CD4051" w:rsidRPr="005B01FE">
        <w:rPr>
          <w:noProof/>
          <w:color w:val="000000"/>
        </w:rPr>
        <w:t xml:space="preserve">263 channels (out of 900) </w:t>
      </w:r>
      <w:r w:rsidR="0014732B">
        <w:rPr>
          <w:noProof/>
          <w:color w:val="000000"/>
        </w:rPr>
        <w:t xml:space="preserve">dedicated </w:t>
      </w:r>
      <w:r w:rsidR="00CD4051" w:rsidRPr="005B01FE">
        <w:rPr>
          <w:noProof/>
          <w:color w:val="000000"/>
        </w:rPr>
        <w:t xml:space="preserve">over 50% </w:t>
      </w:r>
      <w:r w:rsidR="00E9772E" w:rsidRPr="005B01FE">
        <w:rPr>
          <w:noProof/>
          <w:color w:val="000000"/>
        </w:rPr>
        <w:t xml:space="preserve">of </w:t>
      </w:r>
      <w:r w:rsidR="00E9772E" w:rsidRPr="005B01FE">
        <w:rPr>
          <w:noProof/>
        </w:rPr>
        <w:t>their transmission time to</w:t>
      </w:r>
      <w:r w:rsidR="00E9772E" w:rsidRPr="005B01FE">
        <w:rPr>
          <w:noProof/>
          <w:color w:val="000000"/>
        </w:rPr>
        <w:t xml:space="preserve"> </w:t>
      </w:r>
      <w:r w:rsidR="00CD4051" w:rsidRPr="005B01FE">
        <w:rPr>
          <w:noProof/>
          <w:color w:val="000000"/>
        </w:rPr>
        <w:t>European works</w:t>
      </w:r>
      <w:r w:rsidR="00E9772E" w:rsidRPr="005B01FE">
        <w:rPr>
          <w:noProof/>
          <w:color w:val="000000"/>
        </w:rPr>
        <w:t>,</w:t>
      </w:r>
      <w:r w:rsidR="00CD4051" w:rsidRPr="005B01FE">
        <w:rPr>
          <w:noProof/>
          <w:color w:val="000000"/>
        </w:rPr>
        <w:t xml:space="preserve"> </w:t>
      </w:r>
      <w:r w:rsidR="0014732B">
        <w:rPr>
          <w:noProof/>
          <w:color w:val="000000"/>
        </w:rPr>
        <w:t xml:space="preserve">while </w:t>
      </w:r>
      <w:r w:rsidR="00CD4051" w:rsidRPr="005B01FE">
        <w:rPr>
          <w:noProof/>
          <w:color w:val="000000"/>
        </w:rPr>
        <w:t>131</w:t>
      </w:r>
      <w:r w:rsidR="00E9772E" w:rsidRPr="005B01FE">
        <w:rPr>
          <w:noProof/>
          <w:color w:val="000000"/>
        </w:rPr>
        <w:t xml:space="preserve"> </w:t>
      </w:r>
      <w:r w:rsidR="0014732B">
        <w:rPr>
          <w:noProof/>
          <w:color w:val="000000"/>
        </w:rPr>
        <w:t xml:space="preserve">channels dedicated </w:t>
      </w:r>
      <w:r w:rsidR="00CD4051" w:rsidRPr="005B01FE">
        <w:rPr>
          <w:noProof/>
          <w:color w:val="000000"/>
        </w:rPr>
        <w:t>less than 11%. Compared to the previous study</w:t>
      </w:r>
      <w:r w:rsidR="0014732B">
        <w:rPr>
          <w:noProof/>
          <w:color w:val="000000"/>
        </w:rPr>
        <w:t>,</w:t>
      </w:r>
      <w:r w:rsidR="00CD4051" w:rsidRPr="005B01FE">
        <w:rPr>
          <w:noProof/>
          <w:color w:val="000000"/>
        </w:rPr>
        <w:t xml:space="preserve"> conducted by the same </w:t>
      </w:r>
      <w:r w:rsidRPr="005B01FE">
        <w:rPr>
          <w:noProof/>
          <w:color w:val="000000"/>
        </w:rPr>
        <w:t>study team</w:t>
      </w:r>
      <w:r w:rsidR="003C17A3" w:rsidRPr="005B01FE">
        <w:rPr>
          <w:rStyle w:val="FootnoteReference"/>
          <w:noProof/>
          <w:color w:val="000000"/>
        </w:rPr>
        <w:footnoteReference w:id="91"/>
      </w:r>
      <w:r w:rsidR="00CD4051" w:rsidRPr="005B01FE">
        <w:rPr>
          <w:noProof/>
          <w:color w:val="000000"/>
        </w:rPr>
        <w:t xml:space="preserve">, the data from the current study </w:t>
      </w:r>
      <w:r w:rsidR="00AA63CA">
        <w:rPr>
          <w:noProof/>
          <w:color w:val="000000"/>
        </w:rPr>
        <w:t>demonstrate</w:t>
      </w:r>
      <w:r w:rsidR="003A2211" w:rsidRPr="005B01FE">
        <w:rPr>
          <w:noProof/>
          <w:color w:val="000000"/>
        </w:rPr>
        <w:t xml:space="preserve"> </w:t>
      </w:r>
      <w:r w:rsidR="00CD4051" w:rsidRPr="005B01FE">
        <w:rPr>
          <w:noProof/>
          <w:color w:val="000000"/>
        </w:rPr>
        <w:t>progress</w:t>
      </w:r>
      <w:r w:rsidR="00E9772E" w:rsidRPr="005B01FE">
        <w:rPr>
          <w:noProof/>
          <w:color w:val="000000"/>
        </w:rPr>
        <w:t>,</w:t>
      </w:r>
      <w:r w:rsidR="00CD4051" w:rsidRPr="005B01FE">
        <w:rPr>
          <w:noProof/>
          <w:color w:val="000000"/>
        </w:rPr>
        <w:t xml:space="preserve"> and significantly more channels </w:t>
      </w:r>
      <w:r w:rsidR="0014732B">
        <w:rPr>
          <w:noProof/>
          <w:color w:val="000000"/>
        </w:rPr>
        <w:t xml:space="preserve">dedicate </w:t>
      </w:r>
      <w:r w:rsidR="00CD4051" w:rsidRPr="005B01FE">
        <w:rPr>
          <w:noProof/>
          <w:color w:val="000000"/>
        </w:rPr>
        <w:t>over 50%</w:t>
      </w:r>
      <w:r w:rsidR="00E9772E" w:rsidRPr="005B01FE">
        <w:rPr>
          <w:noProof/>
          <w:color w:val="000000"/>
        </w:rPr>
        <w:t xml:space="preserve"> </w:t>
      </w:r>
      <w:r w:rsidR="00E9772E" w:rsidRPr="005B01FE">
        <w:rPr>
          <w:noProof/>
        </w:rPr>
        <w:t>of their transmission time</w:t>
      </w:r>
      <w:r w:rsidR="00CD4051" w:rsidRPr="005B01FE">
        <w:rPr>
          <w:noProof/>
          <w:color w:val="000000"/>
        </w:rPr>
        <w:t xml:space="preserve"> </w:t>
      </w:r>
      <w:r w:rsidR="00E9772E" w:rsidRPr="005B01FE">
        <w:rPr>
          <w:noProof/>
          <w:color w:val="000000"/>
        </w:rPr>
        <w:t>to</w:t>
      </w:r>
      <w:r w:rsidR="00CD4051" w:rsidRPr="005B01FE">
        <w:rPr>
          <w:noProof/>
          <w:color w:val="000000"/>
        </w:rPr>
        <w:t xml:space="preserve"> European works, covering more Member States than before.</w:t>
      </w:r>
      <w:r w:rsidR="005745B7">
        <w:rPr>
          <w:noProof/>
          <w:color w:val="000000"/>
        </w:rPr>
        <w:t xml:space="preserve"> At the same time, the </w:t>
      </w:r>
      <w:r w:rsidR="00505956">
        <w:rPr>
          <w:noProof/>
          <w:color w:val="000000"/>
        </w:rPr>
        <w:t xml:space="preserve">most recent </w:t>
      </w:r>
      <w:r w:rsidR="005745B7">
        <w:rPr>
          <w:noProof/>
          <w:color w:val="000000"/>
        </w:rPr>
        <w:t xml:space="preserve">sample showed that the average share of European works was less than 50% in </w:t>
      </w:r>
      <w:r w:rsidR="00CD1C43">
        <w:rPr>
          <w:noProof/>
          <w:color w:val="000000"/>
        </w:rPr>
        <w:t xml:space="preserve">linear services in </w:t>
      </w:r>
      <w:r w:rsidR="005745B7">
        <w:rPr>
          <w:noProof/>
          <w:color w:val="000000"/>
        </w:rPr>
        <w:t>11 Member States</w:t>
      </w:r>
      <w:r w:rsidR="005745B7">
        <w:rPr>
          <w:rStyle w:val="FootnoteReference"/>
          <w:noProof/>
          <w:color w:val="000000"/>
        </w:rPr>
        <w:footnoteReference w:id="92"/>
      </w:r>
      <w:r w:rsidR="005745B7">
        <w:rPr>
          <w:noProof/>
          <w:color w:val="000000"/>
        </w:rPr>
        <w:t>.</w:t>
      </w:r>
    </w:p>
    <w:p w14:paraId="06C79884" w14:textId="77777777" w:rsidR="002D6642" w:rsidRPr="005B01FE" w:rsidRDefault="002D6642" w:rsidP="00C41B02">
      <w:pPr>
        <w:spacing w:before="240" w:after="0"/>
        <w:contextualSpacing/>
        <w:rPr>
          <w:noProof/>
          <w:highlight w:val="yellow"/>
        </w:rPr>
      </w:pPr>
    </w:p>
    <w:p w14:paraId="3232AEDC" w14:textId="5BAC096E" w:rsidR="002D6642" w:rsidRPr="005B01FE" w:rsidRDefault="008A15BF" w:rsidP="00C41B02">
      <w:pPr>
        <w:spacing w:before="240" w:after="0"/>
        <w:contextualSpacing/>
        <w:rPr>
          <w:noProof/>
          <w:highlight w:val="yellow"/>
        </w:rPr>
      </w:pPr>
      <w:bookmarkStart w:id="32" w:name="_Hlk155266630"/>
      <w:r w:rsidRPr="005B01FE">
        <w:rPr>
          <w:noProof/>
        </w:rPr>
        <w:t>S</w:t>
      </w:r>
      <w:r w:rsidR="00C62153" w:rsidRPr="005B01FE">
        <w:rPr>
          <w:noProof/>
        </w:rPr>
        <w:t xml:space="preserve">everal reasons can partially </w:t>
      </w:r>
      <w:r w:rsidR="00C62153" w:rsidRPr="005B01FE">
        <w:rPr>
          <w:noProof/>
          <w:lang w:eastAsia="en-GB"/>
        </w:rPr>
        <w:t xml:space="preserve">explain the differences between the </w:t>
      </w:r>
      <w:r w:rsidR="008B7EB3" w:rsidRPr="005B01FE">
        <w:rPr>
          <w:noProof/>
          <w:lang w:eastAsia="en-GB"/>
        </w:rPr>
        <w:t xml:space="preserve">findings </w:t>
      </w:r>
      <w:r w:rsidR="00C62153" w:rsidRPr="005B01FE">
        <w:rPr>
          <w:noProof/>
          <w:lang w:eastAsia="en-GB"/>
        </w:rPr>
        <w:t xml:space="preserve">of the </w:t>
      </w:r>
      <w:r w:rsidR="0014732B">
        <w:rPr>
          <w:noProof/>
          <w:lang w:eastAsia="en-GB"/>
        </w:rPr>
        <w:t>s</w:t>
      </w:r>
      <w:r w:rsidR="00C62153" w:rsidRPr="005B01FE">
        <w:rPr>
          <w:noProof/>
          <w:lang w:eastAsia="en-GB"/>
        </w:rPr>
        <w:t xml:space="preserve">tudy and the data provided </w:t>
      </w:r>
      <w:r w:rsidR="008B7EB3" w:rsidRPr="005B01FE">
        <w:rPr>
          <w:noProof/>
          <w:lang w:eastAsia="en-GB"/>
        </w:rPr>
        <w:t xml:space="preserve">in </w:t>
      </w:r>
      <w:r w:rsidR="00C62153" w:rsidRPr="005B01FE">
        <w:rPr>
          <w:noProof/>
          <w:lang w:eastAsia="en-GB"/>
        </w:rPr>
        <w:t>Member States’ reports. First</w:t>
      </w:r>
      <w:r w:rsidR="001A351C">
        <w:rPr>
          <w:noProof/>
          <w:lang w:eastAsia="en-GB"/>
        </w:rPr>
        <w:t>ly</w:t>
      </w:r>
      <w:r w:rsidR="00C62153" w:rsidRPr="005B01FE">
        <w:rPr>
          <w:noProof/>
          <w:lang w:eastAsia="en-GB"/>
        </w:rPr>
        <w:t xml:space="preserve">, </w:t>
      </w:r>
      <w:r w:rsidR="002D6642" w:rsidRPr="005B01FE">
        <w:rPr>
          <w:noProof/>
        </w:rPr>
        <w:t xml:space="preserve">the </w:t>
      </w:r>
      <w:r w:rsidR="008B7EB3" w:rsidRPr="005B01FE">
        <w:rPr>
          <w:noProof/>
        </w:rPr>
        <w:t xml:space="preserve">findings </w:t>
      </w:r>
      <w:r w:rsidR="002D6642" w:rsidRPr="005B01FE">
        <w:rPr>
          <w:noProof/>
        </w:rPr>
        <w:t xml:space="preserve">of the </w:t>
      </w:r>
      <w:r w:rsidR="001A351C">
        <w:rPr>
          <w:noProof/>
        </w:rPr>
        <w:t>s</w:t>
      </w:r>
      <w:r w:rsidR="002D6642" w:rsidRPr="005B01FE">
        <w:rPr>
          <w:noProof/>
        </w:rPr>
        <w:t xml:space="preserve">tudy are based on a </w:t>
      </w:r>
      <w:bookmarkStart w:id="33" w:name="_Ref121903092"/>
      <w:r w:rsidR="00155E45" w:rsidRPr="005B01FE">
        <w:rPr>
          <w:noProof/>
        </w:rPr>
        <w:t xml:space="preserve">limited </w:t>
      </w:r>
      <w:r w:rsidR="00EE03EE" w:rsidRPr="005B01FE">
        <w:rPr>
          <w:noProof/>
        </w:rPr>
        <w:t>sample of 1</w:t>
      </w:r>
      <w:r w:rsidR="000D1F0C" w:rsidRPr="005B01FE">
        <w:rPr>
          <w:noProof/>
        </w:rPr>
        <w:t>5</w:t>
      </w:r>
      <w:r w:rsidR="00EE03EE" w:rsidRPr="005B01FE">
        <w:rPr>
          <w:noProof/>
        </w:rPr>
        <w:t xml:space="preserve"> Member States</w:t>
      </w:r>
      <w:r w:rsidR="00397C56" w:rsidRPr="005B01FE">
        <w:rPr>
          <w:noProof/>
        </w:rPr>
        <w:t xml:space="preserve"> instead of covering all Member States</w:t>
      </w:r>
      <w:r w:rsidR="004509C3" w:rsidRPr="005B01FE">
        <w:rPr>
          <w:rStyle w:val="FootnoteReference"/>
          <w:noProof/>
        </w:rPr>
        <w:footnoteReference w:id="93"/>
      </w:r>
      <w:bookmarkEnd w:id="33"/>
      <w:r w:rsidR="002D6642" w:rsidRPr="005B01FE">
        <w:rPr>
          <w:noProof/>
        </w:rPr>
        <w:t xml:space="preserve">. </w:t>
      </w:r>
      <w:r w:rsidR="00155E45" w:rsidRPr="005B01FE">
        <w:rPr>
          <w:noProof/>
          <w:lang w:eastAsia="en-GB"/>
        </w:rPr>
        <w:t>Secondly</w:t>
      </w:r>
      <w:r w:rsidR="002D6642" w:rsidRPr="005B01FE">
        <w:rPr>
          <w:noProof/>
          <w:lang w:eastAsia="en-GB"/>
        </w:rPr>
        <w:t xml:space="preserve">, there are certain </w:t>
      </w:r>
      <w:r w:rsidR="00E336F2" w:rsidRPr="005B01FE">
        <w:rPr>
          <w:noProof/>
          <w:lang w:eastAsia="en-GB"/>
        </w:rPr>
        <w:t xml:space="preserve">differences between the </w:t>
      </w:r>
      <w:r w:rsidR="00703A4E" w:rsidRPr="005B01FE">
        <w:rPr>
          <w:noProof/>
          <w:lang w:eastAsia="en-GB"/>
        </w:rPr>
        <w:t xml:space="preserve">methodologies </w:t>
      </w:r>
      <w:r w:rsidR="00E336F2" w:rsidRPr="005B01FE">
        <w:rPr>
          <w:noProof/>
          <w:lang w:eastAsia="en-GB"/>
        </w:rPr>
        <w:t xml:space="preserve">used in </w:t>
      </w:r>
      <w:r w:rsidR="007A6A63" w:rsidRPr="005B01FE">
        <w:rPr>
          <w:noProof/>
          <w:lang w:eastAsia="en-GB"/>
        </w:rPr>
        <w:t xml:space="preserve">the </w:t>
      </w:r>
      <w:r w:rsidR="002D6642" w:rsidRPr="005B01FE">
        <w:rPr>
          <w:noProof/>
          <w:lang w:eastAsia="en-GB"/>
        </w:rPr>
        <w:t xml:space="preserve">analysis </w:t>
      </w:r>
      <w:r w:rsidR="001A351C">
        <w:rPr>
          <w:noProof/>
          <w:lang w:eastAsia="en-GB"/>
        </w:rPr>
        <w:t>included in</w:t>
      </w:r>
      <w:r w:rsidR="001A351C" w:rsidRPr="005B01FE">
        <w:rPr>
          <w:noProof/>
          <w:lang w:eastAsia="en-GB"/>
        </w:rPr>
        <w:t xml:space="preserve"> </w:t>
      </w:r>
      <w:r w:rsidR="002D6642" w:rsidRPr="005B01FE">
        <w:rPr>
          <w:noProof/>
          <w:lang w:eastAsia="en-GB"/>
        </w:rPr>
        <w:t xml:space="preserve">the </w:t>
      </w:r>
      <w:r w:rsidR="001A351C">
        <w:rPr>
          <w:noProof/>
          <w:lang w:eastAsia="en-GB"/>
        </w:rPr>
        <w:t>s</w:t>
      </w:r>
      <w:r w:rsidR="002D6642" w:rsidRPr="005B01FE">
        <w:rPr>
          <w:noProof/>
          <w:lang w:eastAsia="en-GB"/>
        </w:rPr>
        <w:t xml:space="preserve">tudy </w:t>
      </w:r>
      <w:r w:rsidR="001A351C">
        <w:rPr>
          <w:noProof/>
          <w:lang w:eastAsia="en-GB"/>
        </w:rPr>
        <w:t xml:space="preserve">and </w:t>
      </w:r>
      <w:r w:rsidR="008B7EB3" w:rsidRPr="005B01FE">
        <w:rPr>
          <w:noProof/>
          <w:lang w:eastAsia="en-GB"/>
        </w:rPr>
        <w:t>those used in</w:t>
      </w:r>
      <w:r w:rsidR="002D6642" w:rsidRPr="005B01FE">
        <w:rPr>
          <w:noProof/>
          <w:lang w:eastAsia="en-GB"/>
        </w:rPr>
        <w:t xml:space="preserve"> </w:t>
      </w:r>
      <w:r w:rsidR="00155E45" w:rsidRPr="005B01FE">
        <w:rPr>
          <w:noProof/>
          <w:lang w:eastAsia="en-GB"/>
        </w:rPr>
        <w:t xml:space="preserve">the </w:t>
      </w:r>
      <w:r w:rsidR="002D6642" w:rsidRPr="005B01FE">
        <w:rPr>
          <w:noProof/>
          <w:lang w:eastAsia="en-GB"/>
        </w:rPr>
        <w:t xml:space="preserve">Member States’ own reports. </w:t>
      </w:r>
      <w:r w:rsidR="00AC5EFF" w:rsidRPr="005B01FE">
        <w:rPr>
          <w:noProof/>
          <w:lang w:eastAsia="en-GB"/>
        </w:rPr>
        <w:t xml:space="preserve">Thirdly, the </w:t>
      </w:r>
      <w:r w:rsidR="001A351C">
        <w:rPr>
          <w:noProof/>
          <w:lang w:eastAsia="en-GB"/>
        </w:rPr>
        <w:t>s</w:t>
      </w:r>
      <w:r w:rsidR="00AC5EFF" w:rsidRPr="005B01FE">
        <w:rPr>
          <w:noProof/>
          <w:lang w:eastAsia="en-GB"/>
        </w:rPr>
        <w:t xml:space="preserve">tudy did not take account of </w:t>
      </w:r>
      <w:r w:rsidR="001825B0">
        <w:rPr>
          <w:noProof/>
          <w:lang w:eastAsia="en-GB"/>
        </w:rPr>
        <w:t>various</w:t>
      </w:r>
      <w:r w:rsidR="001825B0" w:rsidRPr="005B01FE">
        <w:rPr>
          <w:noProof/>
          <w:lang w:eastAsia="en-GB"/>
        </w:rPr>
        <w:t xml:space="preserve"> </w:t>
      </w:r>
      <w:r w:rsidR="00AC5EFF" w:rsidRPr="005B01FE">
        <w:rPr>
          <w:noProof/>
          <w:lang w:eastAsia="en-GB"/>
        </w:rPr>
        <w:t xml:space="preserve">national rules and bilateral agreements on </w:t>
      </w:r>
      <w:r w:rsidR="002F0515" w:rsidRPr="005B01FE">
        <w:rPr>
          <w:noProof/>
          <w:lang w:eastAsia="en-GB"/>
        </w:rPr>
        <w:t xml:space="preserve">co-productions and </w:t>
      </w:r>
      <w:r w:rsidR="00AC5EFF" w:rsidRPr="005B01FE">
        <w:rPr>
          <w:noProof/>
          <w:lang w:eastAsia="en-GB"/>
        </w:rPr>
        <w:t xml:space="preserve">the </w:t>
      </w:r>
      <w:r w:rsidR="002F0515" w:rsidRPr="005B01FE">
        <w:rPr>
          <w:noProof/>
          <w:lang w:eastAsia="en-GB"/>
        </w:rPr>
        <w:t>acquisition of copyright</w:t>
      </w:r>
      <w:r w:rsidR="00AC5EFF" w:rsidRPr="005B01FE">
        <w:rPr>
          <w:noProof/>
          <w:lang w:eastAsia="en-GB"/>
        </w:rPr>
        <w:t>. Fourthly</w:t>
      </w:r>
      <w:r w:rsidR="00397C56" w:rsidRPr="005B01FE">
        <w:rPr>
          <w:noProof/>
          <w:lang w:eastAsia="en-GB"/>
        </w:rPr>
        <w:t xml:space="preserve">, the </w:t>
      </w:r>
      <w:r w:rsidR="006E4E5C">
        <w:rPr>
          <w:noProof/>
          <w:lang w:eastAsia="en-GB"/>
        </w:rPr>
        <w:t>s</w:t>
      </w:r>
      <w:r w:rsidRPr="005B01FE">
        <w:rPr>
          <w:noProof/>
          <w:lang w:eastAsia="en-GB"/>
        </w:rPr>
        <w:t xml:space="preserve">tudy </w:t>
      </w:r>
      <w:r w:rsidR="0072203A" w:rsidRPr="005B01FE">
        <w:rPr>
          <w:noProof/>
          <w:lang w:eastAsia="en-GB"/>
        </w:rPr>
        <w:t xml:space="preserve">analysed compliance </w:t>
      </w:r>
      <w:r w:rsidR="006E4E5C">
        <w:rPr>
          <w:noProof/>
          <w:lang w:eastAsia="en-GB"/>
        </w:rPr>
        <w:t>at the level of</w:t>
      </w:r>
      <w:r w:rsidR="006E4E5C" w:rsidRPr="005B01FE">
        <w:rPr>
          <w:noProof/>
          <w:lang w:eastAsia="en-GB"/>
        </w:rPr>
        <w:t xml:space="preserve"> </w:t>
      </w:r>
      <w:r w:rsidR="0072203A" w:rsidRPr="005B01FE">
        <w:rPr>
          <w:noProof/>
          <w:lang w:eastAsia="en-GB"/>
        </w:rPr>
        <w:t>individual channels and not at group level</w:t>
      </w:r>
      <w:r w:rsidR="006E4E5C">
        <w:rPr>
          <w:noProof/>
          <w:lang w:eastAsia="en-GB"/>
        </w:rPr>
        <w:t xml:space="preserve"> – </w:t>
      </w:r>
      <w:r w:rsidR="00397C56" w:rsidRPr="005B01FE">
        <w:rPr>
          <w:noProof/>
          <w:lang w:eastAsia="en-GB"/>
        </w:rPr>
        <w:t xml:space="preserve">it could be that certain channels broadcast more European works compared to others belonging to the same group. </w:t>
      </w:r>
      <w:r w:rsidR="00CD4051" w:rsidRPr="005B01FE">
        <w:rPr>
          <w:noProof/>
          <w:lang w:eastAsia="en-GB"/>
        </w:rPr>
        <w:t>Finally, a significant caveat associated with this analysis is that the countr</w:t>
      </w:r>
      <w:r w:rsidR="006E4E5C">
        <w:rPr>
          <w:noProof/>
          <w:lang w:eastAsia="en-GB"/>
        </w:rPr>
        <w:t>y</w:t>
      </w:r>
      <w:r w:rsidR="00CD4051" w:rsidRPr="005B01FE">
        <w:rPr>
          <w:noProof/>
          <w:lang w:eastAsia="en-GB"/>
        </w:rPr>
        <w:t xml:space="preserve"> of origin </w:t>
      </w:r>
      <w:r w:rsidR="006E4E5C">
        <w:rPr>
          <w:noProof/>
          <w:lang w:eastAsia="en-GB"/>
        </w:rPr>
        <w:t xml:space="preserve">could only be determined </w:t>
      </w:r>
      <w:r w:rsidR="00CD4051" w:rsidRPr="005B01FE">
        <w:rPr>
          <w:noProof/>
          <w:lang w:eastAsia="en-GB"/>
        </w:rPr>
        <w:t>for approximately 30</w:t>
      </w:r>
      <w:r w:rsidR="00155E45" w:rsidRPr="005B01FE">
        <w:rPr>
          <w:noProof/>
          <w:lang w:eastAsia="en-GB"/>
        </w:rPr>
        <w:t>-</w:t>
      </w:r>
      <w:r w:rsidR="00CD4051" w:rsidRPr="005B01FE">
        <w:rPr>
          <w:noProof/>
          <w:lang w:eastAsia="en-GB"/>
        </w:rPr>
        <w:t>50% of the total number of qualifying works</w:t>
      </w:r>
      <w:r w:rsidR="005C78C4" w:rsidRPr="005B01FE">
        <w:rPr>
          <w:noProof/>
          <w:lang w:eastAsia="en-GB"/>
        </w:rPr>
        <w:t xml:space="preserve"> analysed in the </w:t>
      </w:r>
      <w:r w:rsidR="006E4E5C">
        <w:rPr>
          <w:noProof/>
          <w:lang w:eastAsia="en-GB"/>
        </w:rPr>
        <w:t>s</w:t>
      </w:r>
      <w:r w:rsidR="005C78C4" w:rsidRPr="005B01FE">
        <w:rPr>
          <w:noProof/>
          <w:lang w:eastAsia="en-GB"/>
        </w:rPr>
        <w:t>tudy</w:t>
      </w:r>
      <w:r w:rsidR="00CD4051" w:rsidRPr="005B01FE">
        <w:rPr>
          <w:noProof/>
          <w:lang w:eastAsia="en-GB"/>
        </w:rPr>
        <w:t>.</w:t>
      </w:r>
      <w:r w:rsidR="00155E45" w:rsidRPr="005B01FE">
        <w:rPr>
          <w:noProof/>
          <w:lang w:eastAsia="en-GB"/>
        </w:rPr>
        <w:t xml:space="preserve"> Interestingly, the current figure of 38% remains steady when compared to the previous study</w:t>
      </w:r>
      <w:r w:rsidR="00320784" w:rsidRPr="005B01FE">
        <w:rPr>
          <w:noProof/>
          <w:lang w:eastAsia="en-GB"/>
        </w:rPr>
        <w:t>,</w:t>
      </w:r>
      <w:r w:rsidR="00155E45" w:rsidRPr="005B01FE">
        <w:rPr>
          <w:noProof/>
          <w:lang w:eastAsia="en-GB"/>
        </w:rPr>
        <w:t xml:space="preserve"> whe</w:t>
      </w:r>
      <w:r w:rsidR="00320784" w:rsidRPr="005B01FE">
        <w:rPr>
          <w:noProof/>
          <w:lang w:eastAsia="en-GB"/>
        </w:rPr>
        <w:t>re</w:t>
      </w:r>
      <w:r w:rsidR="00155E45" w:rsidRPr="005B01FE">
        <w:rPr>
          <w:noProof/>
          <w:lang w:eastAsia="en-GB"/>
        </w:rPr>
        <w:t xml:space="preserve"> a sample of 11 Member States </w:t>
      </w:r>
      <w:r w:rsidRPr="005B01FE">
        <w:rPr>
          <w:noProof/>
          <w:lang w:eastAsia="en-GB"/>
        </w:rPr>
        <w:t>was</w:t>
      </w:r>
      <w:r w:rsidR="00155E45" w:rsidRPr="005B01FE">
        <w:rPr>
          <w:noProof/>
          <w:lang w:eastAsia="en-GB"/>
        </w:rPr>
        <w:t xml:space="preserve"> analysed</w:t>
      </w:r>
      <w:r w:rsidR="00155E45" w:rsidRPr="005B01FE">
        <w:rPr>
          <w:rStyle w:val="FootnoteReference"/>
          <w:noProof/>
          <w:lang w:eastAsia="en-GB"/>
        </w:rPr>
        <w:footnoteReference w:id="94"/>
      </w:r>
      <w:r w:rsidR="00155E45" w:rsidRPr="005B01FE">
        <w:rPr>
          <w:noProof/>
          <w:lang w:eastAsia="en-GB"/>
        </w:rPr>
        <w:t>.</w:t>
      </w:r>
      <w:bookmarkEnd w:id="32"/>
    </w:p>
    <w:p w14:paraId="5D6AFC85" w14:textId="77777777" w:rsidR="00ED7113" w:rsidRPr="005B01FE" w:rsidRDefault="00ED7113" w:rsidP="00C41B02">
      <w:pPr>
        <w:spacing w:before="240" w:after="0"/>
        <w:contextualSpacing/>
        <w:rPr>
          <w:noProof/>
        </w:rPr>
      </w:pPr>
    </w:p>
    <w:p w14:paraId="2FD39062" w14:textId="214B5D9B" w:rsidR="00F351C9" w:rsidRPr="003E04DB" w:rsidRDefault="00812B41" w:rsidP="009F2C6C">
      <w:pPr>
        <w:pStyle w:val="Heading2"/>
        <w:rPr>
          <w:noProof/>
        </w:rPr>
      </w:pPr>
      <w:bookmarkStart w:id="34" w:name="_Toc167898095"/>
      <w:r w:rsidRPr="005B01FE">
        <w:rPr>
          <w:noProof/>
        </w:rPr>
        <w:t>Application of Article</w:t>
      </w:r>
      <w:r w:rsidR="006E7D1D" w:rsidRPr="005B01FE">
        <w:rPr>
          <w:noProof/>
        </w:rPr>
        <w:t> </w:t>
      </w:r>
      <w:r w:rsidRPr="005B01FE">
        <w:rPr>
          <w:noProof/>
        </w:rPr>
        <w:t>17</w:t>
      </w:r>
      <w:r w:rsidR="00E9436A" w:rsidRPr="00E9436A">
        <w:rPr>
          <w:noProof/>
        </w:rPr>
        <w:t xml:space="preserve"> </w:t>
      </w:r>
      <w:r w:rsidR="00E9436A" w:rsidRPr="1F11C0E3">
        <w:rPr>
          <w:noProof/>
        </w:rPr>
        <w:t>of the AVMSD</w:t>
      </w:r>
      <w:r w:rsidRPr="005B01FE">
        <w:rPr>
          <w:noProof/>
        </w:rPr>
        <w:t xml:space="preserve"> – European works created by independent producers (independent productions) and recent works</w:t>
      </w:r>
      <w:bookmarkEnd w:id="34"/>
    </w:p>
    <w:p w14:paraId="4C625383" w14:textId="5D9F92F1" w:rsidR="00E15EA7" w:rsidRPr="005B01FE" w:rsidRDefault="00E15EA7" w:rsidP="003E04DB">
      <w:pPr>
        <w:spacing w:before="240" w:after="0"/>
        <w:rPr>
          <w:noProof/>
        </w:rPr>
      </w:pPr>
      <w:r w:rsidRPr="005B01FE">
        <w:rPr>
          <w:noProof/>
        </w:rPr>
        <w:t>Article 17 of the AVMSD requires Member States to ensure, where practicable and by appropriate means, that broadcasters reserve at least 10% of their transmission time, excluding the time allotted to news, sports events, games, advertising, teletext services and teleshopping, or of the</w:t>
      </w:r>
      <w:r w:rsidR="00CA5B97">
        <w:rPr>
          <w:noProof/>
        </w:rPr>
        <w:t>ir</w:t>
      </w:r>
      <w:r w:rsidRPr="005B01FE">
        <w:rPr>
          <w:noProof/>
        </w:rPr>
        <w:t xml:space="preserve"> programming budget, for European works created by producers who are independent of broadcasters. </w:t>
      </w:r>
      <w:r w:rsidR="00CA5B97">
        <w:rPr>
          <w:noProof/>
        </w:rPr>
        <w:t>F</w:t>
      </w:r>
      <w:r w:rsidR="00CA5B97" w:rsidRPr="005B01FE">
        <w:rPr>
          <w:noProof/>
        </w:rPr>
        <w:t>urthermore</w:t>
      </w:r>
      <w:r w:rsidR="00CA5B97">
        <w:rPr>
          <w:noProof/>
        </w:rPr>
        <w:t>,</w:t>
      </w:r>
      <w:r w:rsidR="00CA5B97" w:rsidRPr="005B01FE">
        <w:rPr>
          <w:noProof/>
        </w:rPr>
        <w:t xml:space="preserve"> </w:t>
      </w:r>
      <w:r w:rsidRPr="005B01FE">
        <w:rPr>
          <w:noProof/>
        </w:rPr>
        <w:t>Article 17 requires that th</w:t>
      </w:r>
      <w:r w:rsidR="00CA5B97">
        <w:rPr>
          <w:noProof/>
        </w:rPr>
        <w:t>is</w:t>
      </w:r>
      <w:r w:rsidRPr="005B01FE">
        <w:rPr>
          <w:noProof/>
        </w:rPr>
        <w:t xml:space="preserve"> share is achieved by earmarking an adequate proportion for recent works, namely works that are transmitted within </w:t>
      </w:r>
      <w:r w:rsidR="00CA5B97">
        <w:rPr>
          <w:noProof/>
        </w:rPr>
        <w:t>5 </w:t>
      </w:r>
      <w:r w:rsidRPr="005B01FE">
        <w:rPr>
          <w:noProof/>
        </w:rPr>
        <w:t xml:space="preserve">years of their production. </w:t>
      </w:r>
      <w:r w:rsidR="00E777A0" w:rsidRPr="00E777A0">
        <w:rPr>
          <w:noProof/>
        </w:rPr>
        <w:t>Directive (EU) 2018/1808</w:t>
      </w:r>
      <w:r w:rsidRPr="005B01FE">
        <w:rPr>
          <w:noProof/>
        </w:rPr>
        <w:t xml:space="preserve"> did not introduce any changes </w:t>
      </w:r>
      <w:r w:rsidR="00467DB7">
        <w:rPr>
          <w:noProof/>
        </w:rPr>
        <w:t>to</w:t>
      </w:r>
      <w:r w:rsidR="00467DB7" w:rsidRPr="005B01FE">
        <w:rPr>
          <w:noProof/>
        </w:rPr>
        <w:t xml:space="preserve"> </w:t>
      </w:r>
      <w:r w:rsidRPr="005B01FE">
        <w:rPr>
          <w:noProof/>
        </w:rPr>
        <w:t>this Article.</w:t>
      </w:r>
    </w:p>
    <w:p w14:paraId="133739A5" w14:textId="77777777" w:rsidR="00E15EA7" w:rsidRPr="005B01FE" w:rsidRDefault="00E15EA7" w:rsidP="00AB5E81">
      <w:pPr>
        <w:spacing w:before="240" w:after="0"/>
        <w:contextualSpacing/>
        <w:rPr>
          <w:noProof/>
          <w:highlight w:val="yellow"/>
        </w:rPr>
      </w:pPr>
    </w:p>
    <w:p w14:paraId="32477DB4" w14:textId="77E22085" w:rsidR="00AB5E81" w:rsidRPr="005B01FE" w:rsidRDefault="00CA5B97" w:rsidP="00AB5E81">
      <w:pPr>
        <w:spacing w:before="240" w:after="0"/>
        <w:contextualSpacing/>
        <w:rPr>
          <w:noProof/>
          <w:highlight w:val="yellow"/>
        </w:rPr>
      </w:pPr>
      <w:r>
        <w:rPr>
          <w:noProof/>
        </w:rPr>
        <w:t>D</w:t>
      </w:r>
      <w:r w:rsidRPr="005B01FE">
        <w:rPr>
          <w:noProof/>
        </w:rPr>
        <w:t xml:space="preserve">uring the </w:t>
      </w:r>
      <w:r>
        <w:rPr>
          <w:noProof/>
        </w:rPr>
        <w:t>reference</w:t>
      </w:r>
      <w:r w:rsidRPr="005B01FE">
        <w:rPr>
          <w:noProof/>
        </w:rPr>
        <w:t xml:space="preserve"> period</w:t>
      </w:r>
      <w:r>
        <w:rPr>
          <w:noProof/>
        </w:rPr>
        <w:t>,</w:t>
      </w:r>
      <w:r w:rsidR="00AB5E81" w:rsidRPr="005B01FE">
        <w:rPr>
          <w:noProof/>
        </w:rPr>
        <w:t xml:space="preserve"> legislative changes in relation to Article</w:t>
      </w:r>
      <w:r>
        <w:rPr>
          <w:noProof/>
        </w:rPr>
        <w:t> </w:t>
      </w:r>
      <w:r w:rsidR="00AB5E81" w:rsidRPr="005B01FE">
        <w:rPr>
          <w:noProof/>
        </w:rPr>
        <w:t xml:space="preserve">17 took place in five Member States (Austria, Germany, France, Croatia and Italy). These changes included Italy raising the proportion </w:t>
      </w:r>
      <w:r w:rsidR="005060B5">
        <w:rPr>
          <w:noProof/>
        </w:rPr>
        <w:t xml:space="preserve">of </w:t>
      </w:r>
      <w:r w:rsidR="00AB5E81" w:rsidRPr="005B01FE">
        <w:rPr>
          <w:noProof/>
        </w:rPr>
        <w:t xml:space="preserve">the </w:t>
      </w:r>
      <w:r w:rsidR="005060B5">
        <w:rPr>
          <w:noProof/>
        </w:rPr>
        <w:t xml:space="preserve">programming </w:t>
      </w:r>
      <w:r w:rsidR="00095E23" w:rsidRPr="005B01FE">
        <w:rPr>
          <w:noProof/>
        </w:rPr>
        <w:t>budget</w:t>
      </w:r>
      <w:r w:rsidR="00AB5E81" w:rsidRPr="005B01FE">
        <w:rPr>
          <w:noProof/>
        </w:rPr>
        <w:t xml:space="preserve"> </w:t>
      </w:r>
      <w:r w:rsidR="00334738">
        <w:rPr>
          <w:noProof/>
        </w:rPr>
        <w:t xml:space="preserve">to be </w:t>
      </w:r>
      <w:r w:rsidR="00AB5E81" w:rsidRPr="005B01FE">
        <w:rPr>
          <w:noProof/>
        </w:rPr>
        <w:t xml:space="preserve">reserved for independent productions </w:t>
      </w:r>
      <w:r w:rsidR="008B6B7B" w:rsidRPr="005B01FE">
        <w:rPr>
          <w:noProof/>
        </w:rPr>
        <w:t>from 10% to 12.5%</w:t>
      </w:r>
      <w:r w:rsidR="00095E23" w:rsidRPr="005B01FE">
        <w:rPr>
          <w:noProof/>
        </w:rPr>
        <w:t xml:space="preserve"> for commercial linear services, and from 15% to 17% for public media service providers</w:t>
      </w:r>
      <w:r w:rsidR="008B6B7B" w:rsidRPr="005B01FE">
        <w:rPr>
          <w:noProof/>
        </w:rPr>
        <w:t xml:space="preserve"> as of 2021</w:t>
      </w:r>
      <w:r w:rsidR="00AB5E81" w:rsidRPr="005B01FE">
        <w:rPr>
          <w:noProof/>
        </w:rPr>
        <w:t xml:space="preserve">. </w:t>
      </w:r>
      <w:r w:rsidR="000A4512">
        <w:rPr>
          <w:noProof/>
        </w:rPr>
        <w:t>In</w:t>
      </w:r>
      <w:r w:rsidR="000A4512" w:rsidRPr="005B01FE">
        <w:rPr>
          <w:noProof/>
        </w:rPr>
        <w:t xml:space="preserve"> </w:t>
      </w:r>
      <w:r w:rsidR="00AB5E81" w:rsidRPr="005B01FE">
        <w:rPr>
          <w:noProof/>
        </w:rPr>
        <w:t xml:space="preserve">the EEA </w:t>
      </w:r>
      <w:r w:rsidR="001002D6">
        <w:rPr>
          <w:noProof/>
        </w:rPr>
        <w:t xml:space="preserve">EFTA </w:t>
      </w:r>
      <w:r w:rsidR="00AB5E81" w:rsidRPr="005B01FE">
        <w:rPr>
          <w:noProof/>
        </w:rPr>
        <w:t xml:space="preserve">countries, </w:t>
      </w:r>
      <w:r w:rsidR="003A2211" w:rsidRPr="005B01FE">
        <w:rPr>
          <w:noProof/>
        </w:rPr>
        <w:t xml:space="preserve">there were </w:t>
      </w:r>
      <w:r w:rsidR="00AB5E81" w:rsidRPr="005B01FE">
        <w:rPr>
          <w:noProof/>
        </w:rPr>
        <w:t>no legislative changes related to Article 17 during the reference period.</w:t>
      </w:r>
    </w:p>
    <w:p w14:paraId="1632C4FA" w14:textId="77777777" w:rsidR="007720CD" w:rsidRPr="005B01FE" w:rsidRDefault="007720CD" w:rsidP="00AB5E81">
      <w:pPr>
        <w:spacing w:before="240" w:after="0"/>
        <w:contextualSpacing/>
        <w:rPr>
          <w:noProof/>
          <w:highlight w:val="yellow"/>
        </w:rPr>
      </w:pPr>
    </w:p>
    <w:p w14:paraId="09942D00" w14:textId="15A5C0DA" w:rsidR="007720CD" w:rsidRPr="005B01FE" w:rsidRDefault="005060B5" w:rsidP="00C41B02">
      <w:pPr>
        <w:spacing w:after="0"/>
        <w:contextualSpacing/>
        <w:rPr>
          <w:rFonts w:eastAsia="MS Gothic"/>
          <w:noProof/>
          <w:highlight w:val="yellow"/>
        </w:rPr>
      </w:pPr>
      <w:r>
        <w:rPr>
          <w:rFonts w:eastAsia="MS Gothic"/>
          <w:noProof/>
        </w:rPr>
        <w:t>D</w:t>
      </w:r>
      <w:r w:rsidRPr="005B01FE">
        <w:rPr>
          <w:rFonts w:eastAsia="MS Gothic"/>
          <w:noProof/>
        </w:rPr>
        <w:t>uring the reference period</w:t>
      </w:r>
      <w:r>
        <w:rPr>
          <w:rFonts w:eastAsia="MS Gothic"/>
          <w:noProof/>
        </w:rPr>
        <w:t>,</w:t>
      </w:r>
      <w:r w:rsidRPr="005B01FE" w:rsidDel="005060B5">
        <w:rPr>
          <w:rFonts w:eastAsia="MS Gothic"/>
          <w:noProof/>
        </w:rPr>
        <w:t xml:space="preserve"> </w:t>
      </w:r>
      <w:r w:rsidR="007720CD" w:rsidRPr="005B01FE">
        <w:rPr>
          <w:rFonts w:eastAsia="MS Gothic"/>
          <w:noProof/>
        </w:rPr>
        <w:t>six Member States</w:t>
      </w:r>
      <w:r w:rsidR="007720CD" w:rsidRPr="005B01FE">
        <w:rPr>
          <w:rStyle w:val="FootnoteReference"/>
          <w:rFonts w:eastAsia="MS Gothic"/>
          <w:noProof/>
        </w:rPr>
        <w:footnoteReference w:id="95"/>
      </w:r>
      <w:r w:rsidR="007720CD" w:rsidRPr="005B01FE">
        <w:rPr>
          <w:rFonts w:eastAsia="MS Gothic"/>
          <w:noProof/>
        </w:rPr>
        <w:t xml:space="preserve"> </w:t>
      </w:r>
      <w:r w:rsidR="00FA47EC">
        <w:rPr>
          <w:rFonts w:eastAsia="MS Gothic"/>
          <w:noProof/>
        </w:rPr>
        <w:t xml:space="preserve">had </w:t>
      </w:r>
      <w:r w:rsidR="007720CD" w:rsidRPr="005B01FE">
        <w:rPr>
          <w:rFonts w:eastAsia="MS Gothic"/>
          <w:noProof/>
        </w:rPr>
        <w:t xml:space="preserve">rules </w:t>
      </w:r>
      <w:r w:rsidR="00FA47EC">
        <w:rPr>
          <w:rFonts w:eastAsia="MS Gothic"/>
          <w:noProof/>
        </w:rPr>
        <w:t>in place on</w:t>
      </w:r>
      <w:r w:rsidR="00FA47EC" w:rsidRPr="005B01FE">
        <w:rPr>
          <w:rFonts w:eastAsia="MS Gothic"/>
          <w:noProof/>
        </w:rPr>
        <w:t xml:space="preserve"> </w:t>
      </w:r>
      <w:r w:rsidR="007720CD" w:rsidRPr="005B01FE">
        <w:rPr>
          <w:rFonts w:eastAsia="MS Gothic"/>
          <w:noProof/>
        </w:rPr>
        <w:t xml:space="preserve">the transmission time and/or programming budgets </w:t>
      </w:r>
      <w:r w:rsidR="00FA47EC">
        <w:rPr>
          <w:rFonts w:eastAsia="MS Gothic"/>
          <w:noProof/>
        </w:rPr>
        <w:t xml:space="preserve">that </w:t>
      </w:r>
      <w:r w:rsidR="007720CD" w:rsidRPr="005B01FE">
        <w:rPr>
          <w:rFonts w:eastAsia="MS Gothic"/>
          <w:noProof/>
        </w:rPr>
        <w:t xml:space="preserve">set quotas higher than 10%. </w:t>
      </w:r>
      <w:r w:rsidR="005033B6">
        <w:rPr>
          <w:rFonts w:eastAsia="MS Gothic"/>
          <w:noProof/>
        </w:rPr>
        <w:t>12</w:t>
      </w:r>
      <w:r w:rsidR="005033B6" w:rsidRPr="005B01FE">
        <w:rPr>
          <w:rFonts w:eastAsia="MS Gothic"/>
          <w:noProof/>
        </w:rPr>
        <w:t xml:space="preserve"> </w:t>
      </w:r>
      <w:r w:rsidR="007720CD" w:rsidRPr="005B01FE">
        <w:rPr>
          <w:rFonts w:eastAsia="MS Gothic"/>
          <w:noProof/>
        </w:rPr>
        <w:t>Member States</w:t>
      </w:r>
      <w:r w:rsidR="007720CD" w:rsidRPr="005B01FE">
        <w:rPr>
          <w:rStyle w:val="FootnoteReference"/>
          <w:rFonts w:eastAsia="MS Gothic"/>
          <w:noProof/>
        </w:rPr>
        <w:footnoteReference w:id="96"/>
      </w:r>
      <w:r w:rsidR="007720CD" w:rsidRPr="005B01FE">
        <w:rPr>
          <w:rFonts w:eastAsia="MS Gothic"/>
          <w:noProof/>
        </w:rPr>
        <w:t xml:space="preserve"> ha</w:t>
      </w:r>
      <w:r w:rsidR="008B6B7B" w:rsidRPr="005B01FE">
        <w:rPr>
          <w:rFonts w:eastAsia="MS Gothic"/>
          <w:noProof/>
        </w:rPr>
        <w:t>d</w:t>
      </w:r>
      <w:r w:rsidR="007720CD" w:rsidRPr="005B01FE">
        <w:rPr>
          <w:rFonts w:eastAsia="MS Gothic"/>
          <w:noProof/>
        </w:rPr>
        <w:t xml:space="preserve"> specific sub-quotas for recent works. Three Member States</w:t>
      </w:r>
      <w:r w:rsidR="007720CD" w:rsidRPr="005B01FE">
        <w:rPr>
          <w:rStyle w:val="FootnoteReference"/>
          <w:rFonts w:eastAsia="MS Gothic"/>
          <w:noProof/>
        </w:rPr>
        <w:footnoteReference w:id="97"/>
      </w:r>
      <w:r w:rsidR="007720CD" w:rsidRPr="005B01FE">
        <w:rPr>
          <w:rFonts w:eastAsia="MS Gothic"/>
          <w:noProof/>
        </w:rPr>
        <w:t xml:space="preserve"> ha</w:t>
      </w:r>
      <w:r w:rsidR="008B6B7B" w:rsidRPr="005B01FE">
        <w:rPr>
          <w:rFonts w:eastAsia="MS Gothic"/>
          <w:noProof/>
        </w:rPr>
        <w:t>d</w:t>
      </w:r>
      <w:r w:rsidR="007720CD" w:rsidRPr="005B01FE">
        <w:rPr>
          <w:rFonts w:eastAsia="MS Gothic"/>
          <w:noProof/>
        </w:rPr>
        <w:t xml:space="preserve"> specific rules for national works, </w:t>
      </w:r>
      <w:r>
        <w:rPr>
          <w:rFonts w:eastAsia="MS Gothic"/>
          <w:noProof/>
        </w:rPr>
        <w:t xml:space="preserve">in the form of </w:t>
      </w:r>
      <w:r w:rsidR="007720CD" w:rsidRPr="005B01FE">
        <w:rPr>
          <w:rFonts w:eastAsia="MS Gothic"/>
          <w:noProof/>
        </w:rPr>
        <w:t xml:space="preserve">a sub-quota for works of original expression of independent producers. Two Member States and one EEA </w:t>
      </w:r>
      <w:r w:rsidR="001002D6">
        <w:rPr>
          <w:rFonts w:eastAsia="MS Gothic"/>
          <w:noProof/>
        </w:rPr>
        <w:t xml:space="preserve">EFTA </w:t>
      </w:r>
      <w:r w:rsidR="007720CD" w:rsidRPr="005B01FE">
        <w:rPr>
          <w:rFonts w:eastAsia="MS Gothic"/>
          <w:noProof/>
        </w:rPr>
        <w:t>country</w:t>
      </w:r>
      <w:r w:rsidR="007720CD" w:rsidRPr="005B01FE">
        <w:rPr>
          <w:rStyle w:val="FootnoteReference"/>
          <w:rFonts w:eastAsia="MS Gothic"/>
          <w:noProof/>
        </w:rPr>
        <w:footnoteReference w:id="98"/>
      </w:r>
      <w:r w:rsidR="007720CD" w:rsidRPr="005B01FE">
        <w:rPr>
          <w:rFonts w:eastAsia="MS Gothic"/>
          <w:noProof/>
        </w:rPr>
        <w:t xml:space="preserve"> ha</w:t>
      </w:r>
      <w:r w:rsidR="008B6B7B" w:rsidRPr="005B01FE">
        <w:rPr>
          <w:rFonts w:eastAsia="MS Gothic"/>
          <w:noProof/>
        </w:rPr>
        <w:t>d</w:t>
      </w:r>
      <w:r w:rsidR="007720CD" w:rsidRPr="005B01FE">
        <w:rPr>
          <w:rFonts w:eastAsia="MS Gothic"/>
          <w:noProof/>
        </w:rPr>
        <w:t xml:space="preserve"> language sub-quotas for independent works.</w:t>
      </w:r>
    </w:p>
    <w:p w14:paraId="554C42EE" w14:textId="77777777" w:rsidR="00E15EA7" w:rsidRPr="005B01FE" w:rsidRDefault="00E15EA7" w:rsidP="00C41B02">
      <w:pPr>
        <w:spacing w:after="0"/>
        <w:contextualSpacing/>
        <w:rPr>
          <w:rFonts w:eastAsia="MS Gothic"/>
          <w:noProof/>
          <w:highlight w:val="yellow"/>
        </w:rPr>
      </w:pPr>
    </w:p>
    <w:p w14:paraId="3479C86B" w14:textId="4A22C210" w:rsidR="0033109D" w:rsidRPr="005B01FE" w:rsidRDefault="005060B5" w:rsidP="00C41B02">
      <w:pPr>
        <w:spacing w:after="0"/>
        <w:contextualSpacing/>
        <w:rPr>
          <w:rFonts w:eastAsia="MS Gothic"/>
          <w:noProof/>
          <w:highlight w:val="yellow"/>
        </w:rPr>
      </w:pPr>
      <w:r>
        <w:rPr>
          <w:rFonts w:eastAsia="MS Gothic"/>
          <w:noProof/>
        </w:rPr>
        <w:t>On</w:t>
      </w:r>
      <w:r w:rsidR="005154B9" w:rsidRPr="005B01FE">
        <w:rPr>
          <w:rFonts w:eastAsia="MS Gothic"/>
          <w:noProof/>
        </w:rPr>
        <w:t xml:space="preserve"> compliance in the reference period, b</w:t>
      </w:r>
      <w:r w:rsidR="00E15EA7" w:rsidRPr="005B01FE">
        <w:rPr>
          <w:rFonts w:eastAsia="MS Gothic"/>
          <w:noProof/>
        </w:rPr>
        <w:t xml:space="preserve">ased on data reports from Member States, </w:t>
      </w:r>
      <w:r>
        <w:rPr>
          <w:rFonts w:eastAsia="MS Gothic"/>
          <w:noProof/>
        </w:rPr>
        <w:t xml:space="preserve">most </w:t>
      </w:r>
      <w:r w:rsidR="00E15EA7" w:rsidRPr="005B01FE">
        <w:rPr>
          <w:rFonts w:eastAsia="MS Gothic"/>
          <w:noProof/>
        </w:rPr>
        <w:t>linear audiovisual</w:t>
      </w:r>
      <w:r w:rsidR="004A78B3" w:rsidRPr="005B01FE">
        <w:rPr>
          <w:rFonts w:eastAsia="MS Gothic"/>
          <w:noProof/>
        </w:rPr>
        <w:t xml:space="preserve"> media service providers in all Member States and EEA </w:t>
      </w:r>
      <w:r w:rsidR="001002D6">
        <w:rPr>
          <w:rFonts w:eastAsia="MS Gothic"/>
          <w:noProof/>
        </w:rPr>
        <w:t xml:space="preserve">EFTA </w:t>
      </w:r>
      <w:r w:rsidR="004A78B3" w:rsidRPr="005B01FE">
        <w:rPr>
          <w:rFonts w:eastAsia="MS Gothic"/>
          <w:noProof/>
        </w:rPr>
        <w:t>countries ad</w:t>
      </w:r>
      <w:r w:rsidR="005154B9" w:rsidRPr="005B01FE">
        <w:rPr>
          <w:rFonts w:eastAsia="MS Gothic"/>
          <w:noProof/>
        </w:rPr>
        <w:t>h</w:t>
      </w:r>
      <w:r w:rsidR="004A78B3" w:rsidRPr="005B01FE">
        <w:rPr>
          <w:rFonts w:eastAsia="MS Gothic"/>
          <w:noProof/>
        </w:rPr>
        <w:t>ere</w:t>
      </w:r>
      <w:r w:rsidR="008B6B7B" w:rsidRPr="005B01FE">
        <w:rPr>
          <w:rFonts w:eastAsia="MS Gothic"/>
          <w:noProof/>
        </w:rPr>
        <w:t>d</w:t>
      </w:r>
      <w:r w:rsidR="004A78B3" w:rsidRPr="005B01FE">
        <w:rPr>
          <w:rFonts w:eastAsia="MS Gothic"/>
          <w:noProof/>
        </w:rPr>
        <w:t xml:space="preserve"> to the obligation laid down in Article 17 </w:t>
      </w:r>
      <w:r>
        <w:rPr>
          <w:rFonts w:eastAsia="MS Gothic"/>
          <w:noProof/>
        </w:rPr>
        <w:t xml:space="preserve">on </w:t>
      </w:r>
      <w:r w:rsidR="004A78B3" w:rsidRPr="005B01FE">
        <w:rPr>
          <w:rFonts w:eastAsia="MS Gothic"/>
          <w:noProof/>
        </w:rPr>
        <w:t>independent productions. The ability of broadcasters to reach the target appear</w:t>
      </w:r>
      <w:r w:rsidR="008B6B7B" w:rsidRPr="005B01FE">
        <w:rPr>
          <w:rFonts w:eastAsia="MS Gothic"/>
          <w:noProof/>
        </w:rPr>
        <w:t>ed</w:t>
      </w:r>
      <w:r w:rsidR="004A78B3" w:rsidRPr="005B01FE">
        <w:rPr>
          <w:rFonts w:eastAsia="MS Gothic"/>
          <w:noProof/>
        </w:rPr>
        <w:t xml:space="preserve"> to be particularly high in 15 Member States</w:t>
      </w:r>
      <w:r w:rsidR="004A78B3" w:rsidRPr="005B01FE">
        <w:rPr>
          <w:rStyle w:val="FootnoteReference"/>
          <w:rFonts w:eastAsia="MS Gothic"/>
          <w:noProof/>
        </w:rPr>
        <w:footnoteReference w:id="99"/>
      </w:r>
      <w:r w:rsidR="004A78B3" w:rsidRPr="005B01FE">
        <w:rPr>
          <w:rFonts w:eastAsia="MS Gothic"/>
          <w:noProof/>
        </w:rPr>
        <w:t xml:space="preserve"> and in Norway throughout the reference period.</w:t>
      </w:r>
      <w:r w:rsidR="00571472" w:rsidRPr="005B01FE">
        <w:rPr>
          <w:rFonts w:eastAsia="MS Gothic"/>
          <w:noProof/>
        </w:rPr>
        <w:t xml:space="preserve"> </w:t>
      </w:r>
      <w:r w:rsidR="003A2211" w:rsidRPr="005B01FE">
        <w:rPr>
          <w:rFonts w:eastAsia="MS Gothic"/>
          <w:noProof/>
        </w:rPr>
        <w:t>N</w:t>
      </w:r>
      <w:r w:rsidR="00AA75BC" w:rsidRPr="005B01FE">
        <w:rPr>
          <w:rFonts w:eastAsia="MS Gothic"/>
          <w:noProof/>
        </w:rPr>
        <w:t>evertheless,</w:t>
      </w:r>
      <w:r w:rsidR="00571472" w:rsidRPr="005B01FE">
        <w:rPr>
          <w:rFonts w:eastAsia="MS Gothic"/>
          <w:noProof/>
        </w:rPr>
        <w:t xml:space="preserve"> similarly to the European works quota, </w:t>
      </w:r>
      <w:r w:rsidR="008B6B7B" w:rsidRPr="005B01FE">
        <w:rPr>
          <w:rFonts w:eastAsia="MS Gothic"/>
          <w:noProof/>
        </w:rPr>
        <w:t xml:space="preserve">the </w:t>
      </w:r>
      <w:r w:rsidR="00571472" w:rsidRPr="005B01FE">
        <w:rPr>
          <w:rFonts w:eastAsia="MS Gothic"/>
          <w:noProof/>
        </w:rPr>
        <w:t>data reported on the fulfilment of obligations show</w:t>
      </w:r>
      <w:r w:rsidR="008B6B7B" w:rsidRPr="005B01FE">
        <w:rPr>
          <w:rFonts w:eastAsia="MS Gothic"/>
          <w:noProof/>
        </w:rPr>
        <w:t>ed</w:t>
      </w:r>
      <w:r w:rsidR="00571472" w:rsidRPr="005B01FE">
        <w:rPr>
          <w:rFonts w:eastAsia="MS Gothic"/>
          <w:noProof/>
        </w:rPr>
        <w:t xml:space="preserve"> notable differences between Member States.</w:t>
      </w:r>
    </w:p>
    <w:p w14:paraId="0C17D875" w14:textId="77777777" w:rsidR="00B23CA5" w:rsidRPr="005B01FE" w:rsidRDefault="00B23CA5" w:rsidP="00C41B02">
      <w:pPr>
        <w:spacing w:after="0"/>
        <w:contextualSpacing/>
        <w:rPr>
          <w:rFonts w:eastAsia="MS Gothic"/>
          <w:noProof/>
          <w:highlight w:val="yellow"/>
        </w:rPr>
      </w:pPr>
    </w:p>
    <w:p w14:paraId="24B27319" w14:textId="4056CC15" w:rsidR="00B23CA5" w:rsidRPr="005B01FE" w:rsidRDefault="00B23CA5" w:rsidP="00B23CA5">
      <w:pPr>
        <w:spacing w:before="240" w:after="0"/>
        <w:contextualSpacing/>
        <w:rPr>
          <w:noProof/>
        </w:rPr>
      </w:pPr>
      <w:r w:rsidRPr="005B01FE">
        <w:rPr>
          <w:noProof/>
        </w:rPr>
        <w:t>Based on the national reports, the average proportion of independent productions on linear services</w:t>
      </w:r>
      <w:r w:rsidR="00764C56" w:rsidRPr="005B01FE">
        <w:rPr>
          <w:noProof/>
        </w:rPr>
        <w:t xml:space="preserve"> in the Member States</w:t>
      </w:r>
      <w:r w:rsidRPr="005B01FE">
        <w:rPr>
          <w:noProof/>
        </w:rPr>
        <w:t xml:space="preserve"> </w:t>
      </w:r>
      <w:r w:rsidR="009E5041" w:rsidRPr="005B01FE">
        <w:rPr>
          <w:noProof/>
        </w:rPr>
        <w:t xml:space="preserve">during the reference period </w:t>
      </w:r>
      <w:r w:rsidRPr="005B01FE">
        <w:rPr>
          <w:noProof/>
        </w:rPr>
        <w:t xml:space="preserve">was </w:t>
      </w:r>
      <w:r w:rsidR="009E5041" w:rsidRPr="005B01FE">
        <w:rPr>
          <w:noProof/>
        </w:rPr>
        <w:t xml:space="preserve">well above the threshold: </w:t>
      </w:r>
      <w:r w:rsidR="00305EF2" w:rsidRPr="005B01FE">
        <w:rPr>
          <w:noProof/>
        </w:rPr>
        <w:t>40.6</w:t>
      </w:r>
      <w:r w:rsidRPr="005B01FE">
        <w:rPr>
          <w:noProof/>
        </w:rPr>
        <w:t xml:space="preserve">% in 2020 and </w:t>
      </w:r>
      <w:r w:rsidR="00305EF2" w:rsidRPr="005B01FE">
        <w:rPr>
          <w:noProof/>
        </w:rPr>
        <w:t>41.4</w:t>
      </w:r>
      <w:r w:rsidRPr="005B01FE">
        <w:rPr>
          <w:noProof/>
        </w:rPr>
        <w:t>% in 2021</w:t>
      </w:r>
      <w:r w:rsidRPr="005B01FE">
        <w:rPr>
          <w:rStyle w:val="FootnoteReference"/>
          <w:noProof/>
        </w:rPr>
        <w:footnoteReference w:id="100"/>
      </w:r>
      <w:r w:rsidR="009E5041" w:rsidRPr="005B01FE">
        <w:rPr>
          <w:noProof/>
        </w:rPr>
        <w:t xml:space="preserve">, </w:t>
      </w:r>
      <w:r w:rsidR="00305EF2" w:rsidRPr="005B01FE">
        <w:rPr>
          <w:noProof/>
        </w:rPr>
        <w:t>compared to</w:t>
      </w:r>
      <w:r w:rsidR="009E5041" w:rsidRPr="005B01FE">
        <w:rPr>
          <w:noProof/>
        </w:rPr>
        <w:t xml:space="preserve"> 40.8% reported in 2019</w:t>
      </w:r>
      <w:r w:rsidR="00A60C0F" w:rsidRPr="005B01FE">
        <w:rPr>
          <w:rStyle w:val="FootnoteReference"/>
          <w:noProof/>
        </w:rPr>
        <w:footnoteReference w:id="101"/>
      </w:r>
      <w:r w:rsidRPr="005B01FE">
        <w:rPr>
          <w:noProof/>
        </w:rPr>
        <w:t xml:space="preserve">. </w:t>
      </w:r>
      <w:r w:rsidR="00983783" w:rsidRPr="005B01FE">
        <w:rPr>
          <w:noProof/>
        </w:rPr>
        <w:t>H</w:t>
      </w:r>
      <w:r w:rsidR="009E5041" w:rsidRPr="005B01FE">
        <w:rPr>
          <w:noProof/>
        </w:rPr>
        <w:t>owever</w:t>
      </w:r>
      <w:r w:rsidR="00983783" w:rsidRPr="005B01FE">
        <w:rPr>
          <w:noProof/>
        </w:rPr>
        <w:t>,</w:t>
      </w:r>
      <w:r w:rsidR="009E5041" w:rsidRPr="005B01FE">
        <w:rPr>
          <w:noProof/>
        </w:rPr>
        <w:t xml:space="preserve"> </w:t>
      </w:r>
      <w:r w:rsidR="00983783" w:rsidRPr="005B01FE">
        <w:rPr>
          <w:noProof/>
        </w:rPr>
        <w:t>a</w:t>
      </w:r>
      <w:r w:rsidR="009E5041" w:rsidRPr="005B01FE">
        <w:rPr>
          <w:noProof/>
        </w:rPr>
        <w:t xml:space="preserve">s explained in the previous section, </w:t>
      </w:r>
      <w:r w:rsidRPr="005B01FE">
        <w:rPr>
          <w:noProof/>
        </w:rPr>
        <w:t>the data is based on the linear services included in the national reports</w:t>
      </w:r>
      <w:r w:rsidR="0039360D" w:rsidRPr="005B01FE">
        <w:rPr>
          <w:noProof/>
        </w:rPr>
        <w:t xml:space="preserve">, </w:t>
      </w:r>
      <w:r w:rsidR="00EF0C09">
        <w:rPr>
          <w:noProof/>
        </w:rPr>
        <w:t>and</w:t>
      </w:r>
      <w:r w:rsidR="00EF0C09" w:rsidRPr="005B01FE">
        <w:rPr>
          <w:noProof/>
        </w:rPr>
        <w:t xml:space="preserve"> </w:t>
      </w:r>
      <w:r w:rsidR="0007537F" w:rsidRPr="005B01FE">
        <w:rPr>
          <w:noProof/>
        </w:rPr>
        <w:t>was not complete in some cases</w:t>
      </w:r>
      <w:r w:rsidRPr="005B01FE">
        <w:rPr>
          <w:noProof/>
        </w:rPr>
        <w:t xml:space="preserve">. Lithuania and Malta did not report on the shares of independent productions </w:t>
      </w:r>
      <w:r w:rsidR="00EF0C09">
        <w:rPr>
          <w:noProof/>
        </w:rPr>
        <w:t>o</w:t>
      </w:r>
      <w:r w:rsidRPr="005B01FE">
        <w:rPr>
          <w:noProof/>
        </w:rPr>
        <w:t xml:space="preserve">n linear services at all in the reference period and Ireland did not report in 2021. Furthermore, those </w:t>
      </w:r>
      <w:r w:rsidR="0039360D" w:rsidRPr="005B01FE">
        <w:rPr>
          <w:noProof/>
        </w:rPr>
        <w:t xml:space="preserve">Member States </w:t>
      </w:r>
      <w:r w:rsidRPr="005B01FE">
        <w:rPr>
          <w:noProof/>
        </w:rPr>
        <w:t xml:space="preserve">that did report on the shares of independent productions </w:t>
      </w:r>
      <w:r w:rsidR="00EF0C09">
        <w:rPr>
          <w:noProof/>
        </w:rPr>
        <w:t>o</w:t>
      </w:r>
      <w:r w:rsidRPr="005B01FE">
        <w:rPr>
          <w:noProof/>
        </w:rPr>
        <w:t xml:space="preserve">n linear services did not do so for </w:t>
      </w:r>
      <w:r w:rsidR="00E66FF8" w:rsidRPr="005B01FE">
        <w:rPr>
          <w:noProof/>
        </w:rPr>
        <w:t>all</w:t>
      </w:r>
      <w:r w:rsidRPr="005B01FE">
        <w:rPr>
          <w:noProof/>
        </w:rPr>
        <w:t xml:space="preserve"> services listed. </w:t>
      </w:r>
      <w:r w:rsidR="0039360D" w:rsidRPr="005B01FE">
        <w:rPr>
          <w:noProof/>
        </w:rPr>
        <w:t xml:space="preserve">As a result, </w:t>
      </w:r>
      <w:r w:rsidR="00B729BB" w:rsidRPr="005B01FE">
        <w:rPr>
          <w:rFonts w:eastAsia="SimSun"/>
          <w:noProof/>
          <w:lang w:eastAsia="zh-CN"/>
        </w:rPr>
        <w:t>the robustness of the data is limited</w:t>
      </w:r>
      <w:r w:rsidR="0039360D" w:rsidRPr="005B01FE">
        <w:rPr>
          <w:noProof/>
        </w:rPr>
        <w:t xml:space="preserve">. </w:t>
      </w:r>
      <w:r w:rsidRPr="005B01FE">
        <w:rPr>
          <w:noProof/>
        </w:rPr>
        <w:t xml:space="preserve">For 2020, data on the proportion of </w:t>
      </w:r>
      <w:r w:rsidR="00A40AF9" w:rsidRPr="005B01FE">
        <w:rPr>
          <w:noProof/>
        </w:rPr>
        <w:t>independent productions</w:t>
      </w:r>
      <w:r w:rsidRPr="005B01FE">
        <w:rPr>
          <w:noProof/>
        </w:rPr>
        <w:t xml:space="preserve"> </w:t>
      </w:r>
      <w:r w:rsidR="00EF0C09">
        <w:rPr>
          <w:noProof/>
        </w:rPr>
        <w:t xml:space="preserve">was </w:t>
      </w:r>
      <w:r w:rsidRPr="005B01FE">
        <w:rPr>
          <w:noProof/>
        </w:rPr>
        <w:t xml:space="preserve">provided for </w:t>
      </w:r>
      <w:r w:rsidR="00001AFF" w:rsidRPr="005B01FE">
        <w:rPr>
          <w:noProof/>
        </w:rPr>
        <w:t>1</w:t>
      </w:r>
      <w:r w:rsidR="00EF0C09">
        <w:rPr>
          <w:noProof/>
        </w:rPr>
        <w:t> </w:t>
      </w:r>
      <w:r w:rsidR="00001AFF" w:rsidRPr="005B01FE">
        <w:rPr>
          <w:noProof/>
        </w:rPr>
        <w:t xml:space="preserve">185 </w:t>
      </w:r>
      <w:r w:rsidRPr="005B01FE">
        <w:rPr>
          <w:noProof/>
        </w:rPr>
        <w:t>linear services (</w:t>
      </w:r>
      <w:r w:rsidR="00001AFF" w:rsidRPr="005B01FE">
        <w:rPr>
          <w:noProof/>
        </w:rPr>
        <w:t>55</w:t>
      </w:r>
      <w:r w:rsidRPr="005B01FE">
        <w:rPr>
          <w:noProof/>
        </w:rPr>
        <w:t xml:space="preserve">%) out of a total of </w:t>
      </w:r>
      <w:r w:rsidR="006147E6" w:rsidRPr="005B01FE">
        <w:rPr>
          <w:noProof/>
        </w:rPr>
        <w:t>2</w:t>
      </w:r>
      <w:r w:rsidR="00EF0C09">
        <w:rPr>
          <w:noProof/>
        </w:rPr>
        <w:t> </w:t>
      </w:r>
      <w:r w:rsidR="006147E6" w:rsidRPr="005B01FE">
        <w:rPr>
          <w:noProof/>
        </w:rPr>
        <w:t>161</w:t>
      </w:r>
      <w:r w:rsidRPr="005B01FE">
        <w:rPr>
          <w:noProof/>
        </w:rPr>
        <w:t xml:space="preserve"> services that Member States reported as operating in their territory in 2020 </w:t>
      </w:r>
      <w:r w:rsidR="006147E6" w:rsidRPr="005B01FE">
        <w:rPr>
          <w:noProof/>
        </w:rPr>
        <w:t xml:space="preserve">and not being subject to exemptions during the whole reference period. </w:t>
      </w:r>
      <w:r w:rsidR="00EF0C09">
        <w:rPr>
          <w:noProof/>
        </w:rPr>
        <w:t>I</w:t>
      </w:r>
      <w:r w:rsidR="00EF0C09" w:rsidRPr="005B01FE">
        <w:rPr>
          <w:noProof/>
        </w:rPr>
        <w:t>n 2021</w:t>
      </w:r>
      <w:r w:rsidR="00EF0C09">
        <w:rPr>
          <w:noProof/>
        </w:rPr>
        <w:t>, t</w:t>
      </w:r>
      <w:r w:rsidR="006147E6" w:rsidRPr="005B01FE">
        <w:rPr>
          <w:noProof/>
        </w:rPr>
        <w:t xml:space="preserve">he corresponding figures were </w:t>
      </w:r>
      <w:r w:rsidR="00001AFF" w:rsidRPr="005B01FE">
        <w:rPr>
          <w:noProof/>
        </w:rPr>
        <w:t>1</w:t>
      </w:r>
      <w:r w:rsidR="00EF0C09">
        <w:rPr>
          <w:noProof/>
        </w:rPr>
        <w:t> </w:t>
      </w:r>
      <w:r w:rsidR="00001AFF" w:rsidRPr="005B01FE">
        <w:rPr>
          <w:noProof/>
        </w:rPr>
        <w:t xml:space="preserve">176 </w:t>
      </w:r>
      <w:r w:rsidRPr="005B01FE">
        <w:rPr>
          <w:noProof/>
        </w:rPr>
        <w:t>linear services (</w:t>
      </w:r>
      <w:r w:rsidR="00001AFF" w:rsidRPr="005B01FE">
        <w:rPr>
          <w:noProof/>
        </w:rPr>
        <w:t>52</w:t>
      </w:r>
      <w:r w:rsidRPr="005B01FE">
        <w:rPr>
          <w:noProof/>
        </w:rPr>
        <w:t xml:space="preserve">%) out of a total of </w:t>
      </w:r>
      <w:r w:rsidR="006147E6" w:rsidRPr="005B01FE">
        <w:rPr>
          <w:noProof/>
        </w:rPr>
        <w:t>2</w:t>
      </w:r>
      <w:r w:rsidR="00EF0C09">
        <w:rPr>
          <w:noProof/>
        </w:rPr>
        <w:t> </w:t>
      </w:r>
      <w:r w:rsidR="006147E6" w:rsidRPr="005B01FE">
        <w:rPr>
          <w:noProof/>
        </w:rPr>
        <w:t>247</w:t>
      </w:r>
      <w:r w:rsidRPr="005B01FE">
        <w:rPr>
          <w:noProof/>
        </w:rPr>
        <w:t xml:space="preserve"> services.</w:t>
      </w:r>
    </w:p>
    <w:p w14:paraId="3B1DAA03" w14:textId="77777777" w:rsidR="005C7057" w:rsidRPr="005B01FE" w:rsidRDefault="005C7057" w:rsidP="00C41B02">
      <w:pPr>
        <w:spacing w:after="0"/>
        <w:contextualSpacing/>
        <w:rPr>
          <w:noProof/>
        </w:rPr>
      </w:pPr>
    </w:p>
    <w:p w14:paraId="5A5B192E" w14:textId="1ED7E1C2" w:rsidR="00923757" w:rsidRPr="005B01FE" w:rsidRDefault="005C7057" w:rsidP="00C41B02">
      <w:pPr>
        <w:spacing w:after="0"/>
        <w:contextualSpacing/>
        <w:rPr>
          <w:noProof/>
        </w:rPr>
      </w:pPr>
      <w:r w:rsidRPr="005B01FE">
        <w:rPr>
          <w:noProof/>
        </w:rPr>
        <w:t xml:space="preserve">The </w:t>
      </w:r>
      <w:r w:rsidRPr="0077072D">
        <w:rPr>
          <w:noProof/>
        </w:rPr>
        <w:t xml:space="preserve">average transmission time dedicated to recent European </w:t>
      </w:r>
      <w:r w:rsidR="00DB0BF1" w:rsidRPr="0077072D">
        <w:rPr>
          <w:noProof/>
        </w:rPr>
        <w:t>works as a percentage of total European works made by independent producers</w:t>
      </w:r>
      <w:r w:rsidRPr="0077072D">
        <w:rPr>
          <w:noProof/>
        </w:rPr>
        <w:t xml:space="preserve"> </w:t>
      </w:r>
      <w:r w:rsidR="008B6B7B" w:rsidRPr="0077072D">
        <w:rPr>
          <w:noProof/>
        </w:rPr>
        <w:t xml:space="preserve">was </w:t>
      </w:r>
      <w:r w:rsidR="00305EF2" w:rsidRPr="0077072D">
        <w:rPr>
          <w:noProof/>
        </w:rPr>
        <w:t>56.4</w:t>
      </w:r>
      <w:r w:rsidRPr="0077072D">
        <w:rPr>
          <w:noProof/>
        </w:rPr>
        <w:t xml:space="preserve">% in 2020 and </w:t>
      </w:r>
      <w:r w:rsidR="00305EF2" w:rsidRPr="0077072D">
        <w:rPr>
          <w:noProof/>
        </w:rPr>
        <w:t>59.0</w:t>
      </w:r>
      <w:r w:rsidRPr="0077072D">
        <w:rPr>
          <w:noProof/>
        </w:rPr>
        <w:t xml:space="preserve">% in 2021 </w:t>
      </w:r>
      <w:r w:rsidR="00DB0BF1" w:rsidRPr="0077072D">
        <w:rPr>
          <w:noProof/>
        </w:rPr>
        <w:t>as reported by the Member States</w:t>
      </w:r>
      <w:r w:rsidR="00DB0BF1" w:rsidRPr="0077072D">
        <w:rPr>
          <w:rStyle w:val="FootnoteReference"/>
          <w:noProof/>
        </w:rPr>
        <w:footnoteReference w:id="102"/>
      </w:r>
      <w:r w:rsidR="00EF5A42" w:rsidRPr="00EF5A42">
        <w:rPr>
          <w:noProof/>
        </w:rPr>
        <w:t xml:space="preserve"> </w:t>
      </w:r>
      <w:r w:rsidR="00EF5A42">
        <w:rPr>
          <w:noProof/>
        </w:rPr>
        <w:t>compared to 54.6% in 2019</w:t>
      </w:r>
      <w:r w:rsidR="00EF5A42" w:rsidRPr="005B01FE">
        <w:rPr>
          <w:rStyle w:val="FootnoteReference"/>
          <w:noProof/>
        </w:rPr>
        <w:footnoteReference w:id="103"/>
      </w:r>
      <w:r w:rsidR="00EF5A42" w:rsidRPr="005B01FE">
        <w:rPr>
          <w:noProof/>
        </w:rPr>
        <w:t>.</w:t>
      </w:r>
      <w:r w:rsidR="00DB0BF1" w:rsidRPr="005B01FE">
        <w:rPr>
          <w:noProof/>
        </w:rPr>
        <w:t xml:space="preserve"> </w:t>
      </w:r>
    </w:p>
    <w:p w14:paraId="3D414A04" w14:textId="6C2E1002" w:rsidR="00923757" w:rsidRPr="005B01FE" w:rsidRDefault="00923757" w:rsidP="00C41B02">
      <w:pPr>
        <w:spacing w:after="0"/>
        <w:contextualSpacing/>
        <w:rPr>
          <w:noProof/>
        </w:rPr>
      </w:pPr>
    </w:p>
    <w:p w14:paraId="6D90BEAF" w14:textId="2407BE83" w:rsidR="00923757" w:rsidRPr="005B01FE" w:rsidRDefault="00923757" w:rsidP="00923757">
      <w:pPr>
        <w:pStyle w:val="Caption"/>
        <w:keepNext/>
        <w:spacing w:after="0"/>
        <w:rPr>
          <w:noProof/>
        </w:rPr>
      </w:pPr>
      <w:r w:rsidRPr="005B01FE">
        <w:rPr>
          <w:noProof/>
        </w:rPr>
        <w:t xml:space="preserve">Figure </w:t>
      </w:r>
      <w:r w:rsidRPr="005B01FE">
        <w:rPr>
          <w:noProof/>
        </w:rPr>
        <w:fldChar w:fldCharType="begin"/>
      </w:r>
      <w:r w:rsidRPr="005B01FE">
        <w:rPr>
          <w:noProof/>
        </w:rPr>
        <w:instrText xml:space="preserve"> SEQ Figure \* ARABIC </w:instrText>
      </w:r>
      <w:r w:rsidRPr="005B01FE">
        <w:rPr>
          <w:noProof/>
        </w:rPr>
        <w:fldChar w:fldCharType="separate"/>
      </w:r>
      <w:r w:rsidRPr="005B01FE">
        <w:rPr>
          <w:noProof/>
        </w:rPr>
        <w:t>7</w:t>
      </w:r>
      <w:r w:rsidRPr="005B01FE">
        <w:rPr>
          <w:noProof/>
        </w:rPr>
        <w:fldChar w:fldCharType="end"/>
      </w:r>
      <w:r w:rsidR="00C821E9">
        <w:rPr>
          <w:noProof/>
        </w:rPr>
        <w:t>:</w:t>
      </w:r>
      <w:r w:rsidRPr="005B01FE">
        <w:rPr>
          <w:noProof/>
        </w:rPr>
        <w:t xml:space="preserve"> Average share of independent production</w:t>
      </w:r>
      <w:r w:rsidR="00991E18">
        <w:rPr>
          <w:noProof/>
        </w:rPr>
        <w:t>s</w:t>
      </w:r>
      <w:r w:rsidRPr="005B01FE">
        <w:rPr>
          <w:noProof/>
        </w:rPr>
        <w:t xml:space="preserve"> and </w:t>
      </w:r>
      <w:r w:rsidR="00C4203E">
        <w:rPr>
          <w:noProof/>
        </w:rPr>
        <w:t xml:space="preserve">average transmission time dedicated to </w:t>
      </w:r>
      <w:r w:rsidRPr="005B01FE">
        <w:rPr>
          <w:noProof/>
        </w:rPr>
        <w:t>recent work</w:t>
      </w:r>
      <w:r w:rsidR="00991E18">
        <w:rPr>
          <w:noProof/>
        </w:rPr>
        <w:t>s</w:t>
      </w:r>
      <w:r w:rsidRPr="005B01FE">
        <w:rPr>
          <w:noProof/>
        </w:rPr>
        <w:t xml:space="preserve"> as </w:t>
      </w:r>
      <w:r w:rsidR="00991E18">
        <w:rPr>
          <w:noProof/>
        </w:rPr>
        <w:t xml:space="preserve">a </w:t>
      </w:r>
      <w:r w:rsidRPr="005B01FE">
        <w:rPr>
          <w:noProof/>
        </w:rPr>
        <w:t>percentage of independent production</w:t>
      </w:r>
      <w:r w:rsidR="00991E18">
        <w:rPr>
          <w:noProof/>
        </w:rPr>
        <w:t>s</w:t>
      </w:r>
      <w:r w:rsidR="00C4203E">
        <w:rPr>
          <w:noProof/>
        </w:rPr>
        <w:t xml:space="preserve"> </w:t>
      </w:r>
      <w:r w:rsidR="00C4203E" w:rsidRPr="005B01FE">
        <w:rPr>
          <w:noProof/>
        </w:rPr>
        <w:t>across Member States</w:t>
      </w:r>
      <w:r w:rsidRPr="005B01FE">
        <w:rPr>
          <w:noProof/>
        </w:rPr>
        <w:t>, 2020-2021</w:t>
      </w:r>
    </w:p>
    <w:p w14:paraId="3E290FE4" w14:textId="58247A4F" w:rsidR="00923757" w:rsidRPr="005B01FE" w:rsidRDefault="007138B2" w:rsidP="00923757">
      <w:pPr>
        <w:spacing w:after="0"/>
        <w:contextualSpacing/>
        <w:rPr>
          <w:noProof/>
        </w:rPr>
      </w:pPr>
      <w:r>
        <w:rPr>
          <w:noProof/>
          <w:lang w:eastAsia="en-GB"/>
        </w:rPr>
        <w:drawing>
          <wp:inline distT="0" distB="0" distL="0" distR="0" wp14:anchorId="39940B16" wp14:editId="3DE46523">
            <wp:extent cx="5760085" cy="3215005"/>
            <wp:effectExtent l="0" t="0" r="0" b="4445"/>
            <wp:docPr id="10" name="Chart 10">
              <a:extLst xmlns:a="http://schemas.openxmlformats.org/drawingml/2006/main">
                <a:ext uri="{FF2B5EF4-FFF2-40B4-BE49-F238E27FC236}">
                  <a16:creationId xmlns:a16="http://schemas.microsoft.com/office/drawing/2014/main" id="{DAF738C6-5640-40F9-3BBF-F24425B35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EB9321" w14:textId="71373E42" w:rsidR="00923757" w:rsidRPr="009F2C6C" w:rsidRDefault="00923757" w:rsidP="00923757">
      <w:pPr>
        <w:spacing w:after="0"/>
        <w:contextualSpacing/>
        <w:rPr>
          <w:i/>
          <w:iCs/>
          <w:noProof/>
          <w:sz w:val="20"/>
          <w:szCs w:val="20"/>
        </w:rPr>
      </w:pPr>
      <w:r w:rsidRPr="009F2C6C">
        <w:rPr>
          <w:i/>
          <w:iCs/>
          <w:noProof/>
          <w:sz w:val="20"/>
          <w:szCs w:val="20"/>
        </w:rPr>
        <w:t xml:space="preserve">Source: the </w:t>
      </w:r>
      <w:r w:rsidR="00576015">
        <w:rPr>
          <w:i/>
          <w:iCs/>
          <w:noProof/>
          <w:sz w:val="20"/>
          <w:szCs w:val="20"/>
        </w:rPr>
        <w:t>s</w:t>
      </w:r>
      <w:r w:rsidRPr="009F2C6C">
        <w:rPr>
          <w:i/>
          <w:iCs/>
          <w:noProof/>
          <w:sz w:val="20"/>
          <w:szCs w:val="20"/>
        </w:rPr>
        <w:t>tudy, Member States’ reporting</w:t>
      </w:r>
    </w:p>
    <w:p w14:paraId="48D4BC37" w14:textId="14628F15" w:rsidR="003C17A3" w:rsidRPr="005B01FE" w:rsidRDefault="003C17A3" w:rsidP="00C41B02">
      <w:pPr>
        <w:spacing w:after="0"/>
        <w:contextualSpacing/>
        <w:rPr>
          <w:noProof/>
          <w:highlight w:val="yellow"/>
        </w:rPr>
      </w:pPr>
    </w:p>
    <w:p w14:paraId="60281176" w14:textId="1D09BCED" w:rsidR="003C17A3" w:rsidRPr="005B01FE" w:rsidRDefault="00466BEF" w:rsidP="00C41B02">
      <w:pPr>
        <w:spacing w:after="0"/>
        <w:contextualSpacing/>
        <w:rPr>
          <w:noProof/>
          <w:highlight w:val="yellow"/>
        </w:rPr>
      </w:pPr>
      <w:r w:rsidRPr="005B01FE">
        <w:rPr>
          <w:noProof/>
        </w:rPr>
        <w:t xml:space="preserve">According to the </w:t>
      </w:r>
      <w:r w:rsidR="00991E18">
        <w:rPr>
          <w:noProof/>
        </w:rPr>
        <w:t>s</w:t>
      </w:r>
      <w:r w:rsidRPr="005B01FE">
        <w:rPr>
          <w:noProof/>
        </w:rPr>
        <w:t>tudy, the share of recent European works was the highest in Belgium with 10.5% and the lowest in Hungary with 2.4%</w:t>
      </w:r>
      <w:r w:rsidR="0077072D">
        <w:rPr>
          <w:noProof/>
        </w:rPr>
        <w:t>, whereas the range was much larger from highest 29.1% in Germany to lowest 0.9% the Netherlands in the previous report</w:t>
      </w:r>
      <w:r w:rsidR="0077072D" w:rsidRPr="005B01FE">
        <w:rPr>
          <w:rStyle w:val="FootnoteReference"/>
          <w:noProof/>
        </w:rPr>
        <w:footnoteReference w:id="104"/>
      </w:r>
      <w:r w:rsidRPr="005B01FE">
        <w:rPr>
          <w:noProof/>
        </w:rPr>
        <w:t xml:space="preserve">. </w:t>
      </w:r>
      <w:r w:rsidR="00AA75BC" w:rsidRPr="005B01FE">
        <w:rPr>
          <w:noProof/>
        </w:rPr>
        <w:t>T</w:t>
      </w:r>
      <w:r w:rsidR="003C17A3" w:rsidRPr="005B01FE">
        <w:rPr>
          <w:noProof/>
        </w:rPr>
        <w:t xml:space="preserve">he independent analysis included in the </w:t>
      </w:r>
      <w:r w:rsidR="00E37955">
        <w:rPr>
          <w:noProof/>
        </w:rPr>
        <w:t>s</w:t>
      </w:r>
      <w:r w:rsidR="003C17A3" w:rsidRPr="005B01FE">
        <w:rPr>
          <w:noProof/>
        </w:rPr>
        <w:t xml:space="preserve">tudy </w:t>
      </w:r>
      <w:r w:rsidR="00E37955">
        <w:rPr>
          <w:noProof/>
        </w:rPr>
        <w:t xml:space="preserve">calculated </w:t>
      </w:r>
      <w:r w:rsidR="00AA75BC" w:rsidRPr="005B01FE">
        <w:rPr>
          <w:noProof/>
        </w:rPr>
        <w:t xml:space="preserve">figures based on </w:t>
      </w:r>
      <w:r w:rsidR="00E37955">
        <w:rPr>
          <w:noProof/>
        </w:rPr>
        <w:t xml:space="preserve">an </w:t>
      </w:r>
      <w:r w:rsidR="003C17A3" w:rsidRPr="005B01FE">
        <w:rPr>
          <w:noProof/>
        </w:rPr>
        <w:t>automated matching procedure</w:t>
      </w:r>
      <w:r w:rsidR="001E6E7F" w:rsidRPr="005B01FE">
        <w:rPr>
          <w:noProof/>
        </w:rPr>
        <w:t xml:space="preserve"> </w:t>
      </w:r>
      <w:r w:rsidR="003C17A3" w:rsidRPr="005B01FE">
        <w:rPr>
          <w:noProof/>
        </w:rPr>
        <w:t>with a list of independent European production companies</w:t>
      </w:r>
      <w:r w:rsidR="00620E5B" w:rsidRPr="005B01FE">
        <w:rPr>
          <w:rStyle w:val="FootnoteReference"/>
          <w:noProof/>
        </w:rPr>
        <w:footnoteReference w:id="105"/>
      </w:r>
      <w:r w:rsidR="00AA75BC" w:rsidRPr="005B01FE">
        <w:rPr>
          <w:noProof/>
        </w:rPr>
        <w:t xml:space="preserve">. </w:t>
      </w:r>
      <w:r w:rsidRPr="005B01FE">
        <w:rPr>
          <w:noProof/>
        </w:rPr>
        <w:t>According to i</w:t>
      </w:r>
      <w:r w:rsidR="00AA75BC" w:rsidRPr="005B01FE">
        <w:rPr>
          <w:noProof/>
        </w:rPr>
        <w:t>ts findings</w:t>
      </w:r>
      <w:r w:rsidRPr="005B01FE">
        <w:rPr>
          <w:noProof/>
        </w:rPr>
        <w:t>,</w:t>
      </w:r>
      <w:r w:rsidR="00AA75BC" w:rsidRPr="005B01FE">
        <w:rPr>
          <w:noProof/>
        </w:rPr>
        <w:t xml:space="preserve"> </w:t>
      </w:r>
      <w:r w:rsidR="0089667D" w:rsidRPr="005B01FE">
        <w:rPr>
          <w:noProof/>
        </w:rPr>
        <w:t xml:space="preserve">the average share of time allotted to European independent production ranged from 3% in Belgium and France to 1% in Slovakia. </w:t>
      </w:r>
      <w:r w:rsidR="002D0BA7" w:rsidRPr="005B01FE">
        <w:rPr>
          <w:noProof/>
        </w:rPr>
        <w:t>The overall share of independent European works was fairly low across all Member States (less than 3%) and appear</w:t>
      </w:r>
      <w:r w:rsidR="008B6B7B" w:rsidRPr="005B01FE">
        <w:rPr>
          <w:noProof/>
        </w:rPr>
        <w:t>s</w:t>
      </w:r>
      <w:r w:rsidR="002D0BA7" w:rsidRPr="005B01FE">
        <w:rPr>
          <w:noProof/>
        </w:rPr>
        <w:t xml:space="preserve"> lower than the shares calculated in the previous study. </w:t>
      </w:r>
      <w:r w:rsidR="0089667D" w:rsidRPr="005B01FE">
        <w:rPr>
          <w:noProof/>
        </w:rPr>
        <w:t xml:space="preserve">Nevertheless, noteworthy disparities </w:t>
      </w:r>
      <w:r w:rsidR="00E37955">
        <w:rPr>
          <w:noProof/>
        </w:rPr>
        <w:t>between</w:t>
      </w:r>
      <w:r w:rsidR="00E37955" w:rsidRPr="005B01FE">
        <w:rPr>
          <w:noProof/>
        </w:rPr>
        <w:t xml:space="preserve"> </w:t>
      </w:r>
      <w:r w:rsidR="0089667D" w:rsidRPr="005B01FE">
        <w:rPr>
          <w:noProof/>
        </w:rPr>
        <w:t xml:space="preserve">channels </w:t>
      </w:r>
      <w:r w:rsidR="008B6B7B" w:rsidRPr="005B01FE">
        <w:rPr>
          <w:noProof/>
        </w:rPr>
        <w:t>could be</w:t>
      </w:r>
      <w:r w:rsidR="0089667D" w:rsidRPr="005B01FE">
        <w:rPr>
          <w:noProof/>
        </w:rPr>
        <w:t xml:space="preserve"> observed</w:t>
      </w:r>
      <w:r w:rsidR="001E6E7F" w:rsidRPr="005B01FE">
        <w:rPr>
          <w:noProof/>
        </w:rPr>
        <w:t xml:space="preserve"> and depend</w:t>
      </w:r>
      <w:r w:rsidRPr="005B01FE">
        <w:rPr>
          <w:noProof/>
        </w:rPr>
        <w:t>ed</w:t>
      </w:r>
      <w:r w:rsidR="001E6E7F" w:rsidRPr="005B01FE">
        <w:rPr>
          <w:noProof/>
        </w:rPr>
        <w:t xml:space="preserve"> on how independent productions were defined</w:t>
      </w:r>
      <w:r w:rsidR="001E6E7F" w:rsidRPr="005B01FE">
        <w:rPr>
          <w:rStyle w:val="FootnoteReference"/>
          <w:noProof/>
        </w:rPr>
        <w:footnoteReference w:id="106"/>
      </w:r>
      <w:r w:rsidR="001E6E7F" w:rsidRPr="005B01FE">
        <w:rPr>
          <w:noProof/>
        </w:rPr>
        <w:t>.</w:t>
      </w:r>
    </w:p>
    <w:p w14:paraId="435C7F31" w14:textId="4933C99E" w:rsidR="003C17A3" w:rsidRPr="005B01FE" w:rsidRDefault="003C17A3" w:rsidP="00C41B02">
      <w:pPr>
        <w:spacing w:after="0"/>
        <w:contextualSpacing/>
        <w:rPr>
          <w:noProof/>
        </w:rPr>
      </w:pPr>
    </w:p>
    <w:p w14:paraId="012EA774" w14:textId="46986D0B" w:rsidR="005759BC" w:rsidRPr="005B01FE" w:rsidRDefault="003C17A3" w:rsidP="00D573C1">
      <w:pPr>
        <w:spacing w:before="240" w:after="0"/>
        <w:contextualSpacing/>
        <w:rPr>
          <w:i/>
          <w:noProof/>
          <w:sz w:val="22"/>
          <w:szCs w:val="22"/>
        </w:rPr>
      </w:pPr>
      <w:r w:rsidRPr="005B01FE">
        <w:rPr>
          <w:noProof/>
        </w:rPr>
        <w:t>As with the calculation of the share o</w:t>
      </w:r>
      <w:r w:rsidR="005C7057" w:rsidRPr="005B01FE">
        <w:rPr>
          <w:noProof/>
        </w:rPr>
        <w:t xml:space="preserve">f </w:t>
      </w:r>
      <w:r w:rsidR="00D82696" w:rsidRPr="005B01FE">
        <w:rPr>
          <w:noProof/>
        </w:rPr>
        <w:t>European works</w:t>
      </w:r>
      <w:r w:rsidRPr="005B01FE">
        <w:rPr>
          <w:noProof/>
        </w:rPr>
        <w:t xml:space="preserve"> </w:t>
      </w:r>
      <w:r w:rsidR="00C41529">
        <w:rPr>
          <w:noProof/>
        </w:rPr>
        <w:t>o</w:t>
      </w:r>
      <w:r w:rsidRPr="005B01FE">
        <w:rPr>
          <w:noProof/>
        </w:rPr>
        <w:t xml:space="preserve">n linear channels, there are several reasons that can partially explain the differences </w:t>
      </w:r>
      <w:r w:rsidR="001B1C17" w:rsidRPr="005B01FE">
        <w:rPr>
          <w:noProof/>
        </w:rPr>
        <w:t xml:space="preserve">in the calculation of the share of independent and recent productions </w:t>
      </w:r>
      <w:r w:rsidRPr="005B01FE">
        <w:rPr>
          <w:noProof/>
        </w:rPr>
        <w:t xml:space="preserve">between the findings of the </w:t>
      </w:r>
      <w:r w:rsidR="00E37955">
        <w:rPr>
          <w:noProof/>
        </w:rPr>
        <w:t>s</w:t>
      </w:r>
      <w:r w:rsidRPr="005B01FE">
        <w:rPr>
          <w:noProof/>
        </w:rPr>
        <w:t xml:space="preserve">tudy and the data provided in Member States’ reports. Firstly, the </w:t>
      </w:r>
      <w:r w:rsidR="00E37955">
        <w:rPr>
          <w:noProof/>
        </w:rPr>
        <w:t>s</w:t>
      </w:r>
      <w:r w:rsidRPr="005B01FE">
        <w:rPr>
          <w:noProof/>
        </w:rPr>
        <w:t xml:space="preserve">tudy constructed the list of European independent producers based on </w:t>
      </w:r>
      <w:r w:rsidR="002D0BA7" w:rsidRPr="005B01FE">
        <w:rPr>
          <w:noProof/>
        </w:rPr>
        <w:t xml:space="preserve">previous studies and </w:t>
      </w:r>
      <w:r w:rsidRPr="005B01FE">
        <w:rPr>
          <w:noProof/>
        </w:rPr>
        <w:t xml:space="preserve">desk research </w:t>
      </w:r>
      <w:r w:rsidR="00601856" w:rsidRPr="005B01FE">
        <w:rPr>
          <w:noProof/>
        </w:rPr>
        <w:t>of</w:t>
      </w:r>
      <w:r w:rsidRPr="005B01FE">
        <w:rPr>
          <w:noProof/>
        </w:rPr>
        <w:t xml:space="preserve"> </w:t>
      </w:r>
      <w:r w:rsidR="00B72126" w:rsidRPr="005B01FE">
        <w:rPr>
          <w:noProof/>
        </w:rPr>
        <w:t xml:space="preserve">publicly available information on </w:t>
      </w:r>
      <w:r w:rsidRPr="005B01FE">
        <w:rPr>
          <w:noProof/>
        </w:rPr>
        <w:t xml:space="preserve">membership of </w:t>
      </w:r>
      <w:r w:rsidR="00466BEF" w:rsidRPr="005B01FE">
        <w:rPr>
          <w:noProof/>
        </w:rPr>
        <w:t xml:space="preserve">certain </w:t>
      </w:r>
      <w:r w:rsidRPr="005B01FE">
        <w:rPr>
          <w:noProof/>
        </w:rPr>
        <w:t>European</w:t>
      </w:r>
      <w:r w:rsidR="00C4203E">
        <w:rPr>
          <w:noProof/>
        </w:rPr>
        <w:t>-</w:t>
      </w:r>
      <w:r w:rsidRPr="005B01FE">
        <w:rPr>
          <w:noProof/>
        </w:rPr>
        <w:t xml:space="preserve">level associations, which </w:t>
      </w:r>
      <w:r w:rsidR="002D0BA7" w:rsidRPr="005B01FE">
        <w:rPr>
          <w:noProof/>
        </w:rPr>
        <w:t>may not have</w:t>
      </w:r>
      <w:r w:rsidRPr="005B01FE">
        <w:rPr>
          <w:noProof/>
        </w:rPr>
        <w:t xml:space="preserve"> include</w:t>
      </w:r>
      <w:r w:rsidR="002D0BA7" w:rsidRPr="005B01FE">
        <w:rPr>
          <w:noProof/>
        </w:rPr>
        <w:t>d</w:t>
      </w:r>
      <w:r w:rsidRPr="005B01FE">
        <w:rPr>
          <w:noProof/>
        </w:rPr>
        <w:t xml:space="preserve"> all independent producers. Secondly, </w:t>
      </w:r>
      <w:r w:rsidR="00097822" w:rsidRPr="005B01FE">
        <w:rPr>
          <w:noProof/>
        </w:rPr>
        <w:t xml:space="preserve">the names of some </w:t>
      </w:r>
      <w:r w:rsidRPr="005B01FE">
        <w:rPr>
          <w:noProof/>
        </w:rPr>
        <w:t>European independent production companies might have been spelled</w:t>
      </w:r>
      <w:r w:rsidR="008B6B7B" w:rsidRPr="005B01FE">
        <w:rPr>
          <w:noProof/>
        </w:rPr>
        <w:t xml:space="preserve"> so</w:t>
      </w:r>
      <w:r w:rsidR="00097822" w:rsidRPr="005B01FE">
        <w:rPr>
          <w:noProof/>
        </w:rPr>
        <w:t xml:space="preserve"> </w:t>
      </w:r>
      <w:r w:rsidRPr="005B01FE">
        <w:rPr>
          <w:noProof/>
        </w:rPr>
        <w:t xml:space="preserve">differently </w:t>
      </w:r>
      <w:r w:rsidR="00097822" w:rsidRPr="005B01FE">
        <w:rPr>
          <w:noProof/>
        </w:rPr>
        <w:t xml:space="preserve">in </w:t>
      </w:r>
      <w:r w:rsidRPr="005B01FE">
        <w:rPr>
          <w:noProof/>
        </w:rPr>
        <w:t>the databases</w:t>
      </w:r>
      <w:r w:rsidR="008B6B7B" w:rsidRPr="005B01FE">
        <w:rPr>
          <w:noProof/>
        </w:rPr>
        <w:t xml:space="preserve"> that</w:t>
      </w:r>
      <w:r w:rsidRPr="005B01FE">
        <w:rPr>
          <w:noProof/>
        </w:rPr>
        <w:t xml:space="preserve"> the</w:t>
      </w:r>
      <w:r w:rsidR="001435D8" w:rsidRPr="005B01FE">
        <w:rPr>
          <w:noProof/>
        </w:rPr>
        <w:t xml:space="preserve"> automated</w:t>
      </w:r>
      <w:r w:rsidRPr="005B01FE">
        <w:rPr>
          <w:noProof/>
        </w:rPr>
        <w:t xml:space="preserve"> matching procedure </w:t>
      </w:r>
      <w:r w:rsidR="008B6B7B" w:rsidRPr="005B01FE">
        <w:rPr>
          <w:noProof/>
        </w:rPr>
        <w:t xml:space="preserve">could </w:t>
      </w:r>
      <w:r w:rsidR="00097822" w:rsidRPr="005B01FE">
        <w:rPr>
          <w:noProof/>
        </w:rPr>
        <w:t>not make a connection between them</w:t>
      </w:r>
      <w:r w:rsidRPr="005B01FE">
        <w:rPr>
          <w:noProof/>
        </w:rPr>
        <w:t xml:space="preserve">. </w:t>
      </w:r>
      <w:r w:rsidR="00780365" w:rsidRPr="005B01FE">
        <w:rPr>
          <w:noProof/>
        </w:rPr>
        <w:t xml:space="preserve">Lastly, there is no definition of </w:t>
      </w:r>
      <w:r w:rsidR="002078BF">
        <w:rPr>
          <w:noProof/>
        </w:rPr>
        <w:t>‘independent productions’ in the AVMSD and Member States may have construed the term differently. This could have been reflected in their figures.</w:t>
      </w:r>
    </w:p>
    <w:p w14:paraId="14E910FE" w14:textId="77777777" w:rsidR="00812B41" w:rsidRPr="005B01FE" w:rsidRDefault="00812B41" w:rsidP="00C41B02">
      <w:pPr>
        <w:spacing w:after="0"/>
        <w:contextualSpacing/>
        <w:rPr>
          <w:rFonts w:eastAsia="MS Gothic"/>
          <w:noProof/>
        </w:rPr>
      </w:pPr>
    </w:p>
    <w:bookmarkEnd w:id="1"/>
    <w:p w14:paraId="7F2F7FC5" w14:textId="77777777" w:rsidR="00B53E59" w:rsidRDefault="00B53E59">
      <w:pPr>
        <w:spacing w:before="0" w:after="0"/>
        <w:jc w:val="left"/>
        <w:rPr>
          <w:rFonts w:eastAsia="SimSun"/>
          <w:b/>
          <w:bCs/>
          <w:noProof/>
          <w:lang w:eastAsia="zh-CN"/>
        </w:rPr>
      </w:pPr>
      <w:r>
        <w:rPr>
          <w:rFonts w:eastAsia="SimSun"/>
          <w:b/>
          <w:bCs/>
          <w:noProof/>
          <w:lang w:eastAsia="zh-CN"/>
        </w:rPr>
        <w:br w:type="page"/>
      </w:r>
    </w:p>
    <w:p w14:paraId="5DF73DF7" w14:textId="5E03C2AA" w:rsidR="00AB7BB3" w:rsidRPr="00A87FB0" w:rsidRDefault="00AB7BB3" w:rsidP="009F2C6C">
      <w:pPr>
        <w:pStyle w:val="Heading1"/>
        <w:rPr>
          <w:rFonts w:eastAsia="SimSun"/>
          <w:noProof/>
          <w:lang w:eastAsia="zh-CN"/>
        </w:rPr>
      </w:pPr>
      <w:bookmarkStart w:id="35" w:name="_Toc167898096"/>
      <w:r w:rsidRPr="00A87FB0">
        <w:rPr>
          <w:rFonts w:eastAsia="SimSun"/>
          <w:noProof/>
          <w:lang w:eastAsia="zh-CN"/>
        </w:rPr>
        <w:t>GLOSSARY</w:t>
      </w:r>
      <w:bookmarkEnd w:id="35"/>
    </w:p>
    <w:p w14:paraId="71111F12" w14:textId="77777777" w:rsidR="00AB7BB3" w:rsidRDefault="00AB7BB3" w:rsidP="00AB7BB3">
      <w:pPr>
        <w:spacing w:after="0"/>
        <w:contextualSpacing/>
        <w:rPr>
          <w:noProof/>
        </w:rPr>
      </w:pPr>
    </w:p>
    <w:p w14:paraId="38E1D66C" w14:textId="514FE8CC" w:rsidR="00AB7BB3" w:rsidRDefault="00AB7BB3" w:rsidP="00AB7BB3">
      <w:pPr>
        <w:spacing w:after="0"/>
        <w:contextualSpacing/>
        <w:rPr>
          <w:noProof/>
        </w:rPr>
      </w:pPr>
      <w:r w:rsidRPr="00966A8A">
        <w:rPr>
          <w:b/>
          <w:bCs/>
          <w:noProof/>
        </w:rPr>
        <w:t>AVMSD</w:t>
      </w:r>
      <w:r>
        <w:rPr>
          <w:noProof/>
        </w:rPr>
        <w:t xml:space="preserve"> means</w:t>
      </w:r>
      <w:r w:rsidRPr="00970816">
        <w:rPr>
          <w:noProof/>
        </w:rPr>
        <w:t xml:space="preserve"> Directive 2010/13/EU as amended by Directive (EU) 2018/1808</w:t>
      </w:r>
      <w:r>
        <w:rPr>
          <w:noProof/>
        </w:rPr>
        <w:t>.</w:t>
      </w:r>
    </w:p>
    <w:p w14:paraId="4AEBC1D4" w14:textId="77777777" w:rsidR="00AB7BB3" w:rsidRDefault="00AB7BB3" w:rsidP="00AB7BB3">
      <w:pPr>
        <w:spacing w:after="0"/>
        <w:contextualSpacing/>
        <w:rPr>
          <w:noProof/>
        </w:rPr>
      </w:pPr>
    </w:p>
    <w:p w14:paraId="62A9A513" w14:textId="3D63099D" w:rsidR="0097283A" w:rsidRPr="009F2C6C" w:rsidRDefault="0097283A" w:rsidP="0097283A">
      <w:pPr>
        <w:spacing w:after="0"/>
        <w:contextualSpacing/>
        <w:rPr>
          <w:noProof/>
        </w:rPr>
      </w:pPr>
      <w:r>
        <w:rPr>
          <w:b/>
          <w:bCs/>
          <w:noProof/>
        </w:rPr>
        <w:t>EEA EFTA</w:t>
      </w:r>
      <w:r>
        <w:rPr>
          <w:noProof/>
        </w:rPr>
        <w:t xml:space="preserve"> means </w:t>
      </w:r>
      <w:r w:rsidR="00B768A5" w:rsidRPr="00B768A5">
        <w:rPr>
          <w:noProof/>
        </w:rPr>
        <w:t>the European Free Trade Association (EFTA) countries that are members of the European Economic Area (EEA)</w:t>
      </w:r>
      <w:r w:rsidR="00B768A5">
        <w:rPr>
          <w:noProof/>
        </w:rPr>
        <w:t xml:space="preserve">: </w:t>
      </w:r>
      <w:r w:rsidR="00B768A5" w:rsidRPr="00B768A5">
        <w:rPr>
          <w:noProof/>
        </w:rPr>
        <w:t>Iceland, Liechtenstein and Norway</w:t>
      </w:r>
      <w:r w:rsidR="00B768A5">
        <w:rPr>
          <w:noProof/>
        </w:rPr>
        <w:t>.</w:t>
      </w:r>
    </w:p>
    <w:p w14:paraId="6BF20F13" w14:textId="77777777" w:rsidR="0097283A" w:rsidRDefault="0097283A" w:rsidP="0097283A">
      <w:pPr>
        <w:spacing w:after="0"/>
        <w:contextualSpacing/>
        <w:rPr>
          <w:b/>
          <w:bCs/>
          <w:noProof/>
        </w:rPr>
      </w:pPr>
    </w:p>
    <w:p w14:paraId="517A6AF0" w14:textId="221F80A7" w:rsidR="00D85095" w:rsidRPr="00BF7729" w:rsidRDefault="00D85095" w:rsidP="00D85095">
      <w:pPr>
        <w:spacing w:after="0"/>
        <w:contextualSpacing/>
        <w:rPr>
          <w:noProof/>
        </w:rPr>
      </w:pPr>
      <w:r w:rsidRPr="00D85095">
        <w:rPr>
          <w:b/>
          <w:bCs/>
          <w:noProof/>
        </w:rPr>
        <w:t>Guidelines</w:t>
      </w:r>
      <w:r>
        <w:rPr>
          <w:noProof/>
        </w:rPr>
        <w:t xml:space="preserve"> means</w:t>
      </w:r>
      <w:r w:rsidRPr="00D85095">
        <w:rPr>
          <w:i/>
          <w:iCs/>
          <w:noProof/>
        </w:rPr>
        <w:t xml:space="preserve"> </w:t>
      </w:r>
      <w:r w:rsidRPr="00BF7729">
        <w:rPr>
          <w:i/>
          <w:iCs/>
          <w:noProof/>
        </w:rPr>
        <w:t>Guidelines pursuant to Article 13(7) of the Audiovisual Media Services Directive on the calculation of the share of European works in on-demand catalogues and on the definition of low audience and low turnover</w:t>
      </w:r>
      <w:r>
        <w:rPr>
          <w:noProof/>
        </w:rPr>
        <w:t>, OJ C 223, 7.7.2020.</w:t>
      </w:r>
    </w:p>
    <w:p w14:paraId="5E7534E0" w14:textId="77777777" w:rsidR="00D85095" w:rsidRDefault="00D85095" w:rsidP="0097283A">
      <w:pPr>
        <w:spacing w:after="0"/>
        <w:contextualSpacing/>
        <w:rPr>
          <w:b/>
          <w:bCs/>
          <w:noProof/>
        </w:rPr>
      </w:pPr>
    </w:p>
    <w:p w14:paraId="1CDC8CB2" w14:textId="52D8B3C4" w:rsidR="00D85095" w:rsidRPr="009F2C6C" w:rsidRDefault="00D85095" w:rsidP="0097283A">
      <w:pPr>
        <w:spacing w:after="0"/>
        <w:contextualSpacing/>
        <w:rPr>
          <w:noProof/>
        </w:rPr>
      </w:pPr>
      <w:r w:rsidRPr="00D85095">
        <w:rPr>
          <w:b/>
          <w:bCs/>
          <w:noProof/>
        </w:rPr>
        <w:t>Revised Guidelines</w:t>
      </w:r>
      <w:r>
        <w:rPr>
          <w:noProof/>
        </w:rPr>
        <w:t xml:space="preserve"> means</w:t>
      </w:r>
      <w:r w:rsidRPr="00D85095">
        <w:rPr>
          <w:i/>
          <w:iCs/>
          <w:noProof/>
        </w:rPr>
        <w:t xml:space="preserve"> </w:t>
      </w:r>
      <w:r w:rsidRPr="00BF7729">
        <w:rPr>
          <w:i/>
          <w:iCs/>
          <w:noProof/>
        </w:rPr>
        <w:t xml:space="preserve">Revised Guidelines for Monitoring the Application of Articles 16 and 17 of the </w:t>
      </w:r>
      <w:r w:rsidRPr="00CD625E">
        <w:rPr>
          <w:i/>
          <w:iCs/>
          <w:noProof/>
        </w:rPr>
        <w:t xml:space="preserve">Audiovisual </w:t>
      </w:r>
      <w:r>
        <w:rPr>
          <w:i/>
          <w:iCs/>
          <w:noProof/>
        </w:rPr>
        <w:t xml:space="preserve">and </w:t>
      </w:r>
      <w:r w:rsidRPr="00CD625E">
        <w:rPr>
          <w:i/>
          <w:iCs/>
          <w:noProof/>
        </w:rPr>
        <w:t>Media Services</w:t>
      </w:r>
      <w:r>
        <w:rPr>
          <w:i/>
          <w:iCs/>
          <w:noProof/>
        </w:rPr>
        <w:t xml:space="preserve"> (</w:t>
      </w:r>
      <w:r w:rsidRPr="00BF7729">
        <w:rPr>
          <w:i/>
          <w:iCs/>
          <w:noProof/>
        </w:rPr>
        <w:t>AVMS</w:t>
      </w:r>
      <w:r>
        <w:rPr>
          <w:i/>
          <w:iCs/>
          <w:noProof/>
        </w:rPr>
        <w:t>) Directive</w:t>
      </w:r>
      <w:r w:rsidRPr="005B01FE">
        <w:rPr>
          <w:noProof/>
        </w:rPr>
        <w:t xml:space="preserve"> of July 2011</w:t>
      </w:r>
      <w:r>
        <w:rPr>
          <w:noProof/>
        </w:rPr>
        <w:t>.</w:t>
      </w:r>
    </w:p>
    <w:p w14:paraId="7C38568C" w14:textId="77777777" w:rsidR="00D85095" w:rsidRDefault="00D85095" w:rsidP="0097283A">
      <w:pPr>
        <w:spacing w:after="0"/>
        <w:contextualSpacing/>
        <w:rPr>
          <w:b/>
          <w:bCs/>
          <w:noProof/>
        </w:rPr>
      </w:pPr>
    </w:p>
    <w:p w14:paraId="082E5B64" w14:textId="43B549C9" w:rsidR="0097283A" w:rsidRDefault="0097283A" w:rsidP="0097283A">
      <w:pPr>
        <w:spacing w:after="0"/>
        <w:contextualSpacing/>
        <w:rPr>
          <w:noProof/>
        </w:rPr>
      </w:pPr>
      <w:r w:rsidRPr="00970816">
        <w:rPr>
          <w:b/>
          <w:bCs/>
          <w:noProof/>
        </w:rPr>
        <w:t>VOD</w:t>
      </w:r>
      <w:r>
        <w:rPr>
          <w:b/>
          <w:bCs/>
          <w:noProof/>
        </w:rPr>
        <w:t xml:space="preserve"> service</w:t>
      </w:r>
      <w:r w:rsidRPr="00CE496A">
        <w:rPr>
          <w:noProof/>
        </w:rPr>
        <w:t xml:space="preserve"> </w:t>
      </w:r>
      <w:r>
        <w:rPr>
          <w:noProof/>
        </w:rPr>
        <w:t xml:space="preserve">means a video-on-demand service (a non-linear audiovisual media service), i.e., an audiovisual media service provided by a media service provider for the viewing of programmes at the moment chosen by the user and at his individual request on the basis of a </w:t>
      </w:r>
    </w:p>
    <w:p w14:paraId="7574B00A" w14:textId="77777777" w:rsidR="0097283A" w:rsidRDefault="0097283A" w:rsidP="0097283A">
      <w:pPr>
        <w:spacing w:after="0"/>
        <w:contextualSpacing/>
        <w:rPr>
          <w:noProof/>
        </w:rPr>
      </w:pPr>
      <w:r>
        <w:rPr>
          <w:noProof/>
        </w:rPr>
        <w:t xml:space="preserve">catalogue of programmes selected by the media service provider, as defined in Article 1(1)(g) of the AVMSD. </w:t>
      </w:r>
    </w:p>
    <w:p w14:paraId="44DEF63B" w14:textId="77777777" w:rsidR="0097283A" w:rsidRPr="00966A8A" w:rsidRDefault="0097283A" w:rsidP="0097283A">
      <w:pPr>
        <w:spacing w:after="0"/>
        <w:contextualSpacing/>
        <w:rPr>
          <w:noProof/>
        </w:rPr>
      </w:pPr>
    </w:p>
    <w:p w14:paraId="5177BEA0" w14:textId="77777777" w:rsidR="00AB7BB3" w:rsidRDefault="00AB7BB3" w:rsidP="00AB7BB3">
      <w:pPr>
        <w:spacing w:after="0"/>
        <w:contextualSpacing/>
        <w:rPr>
          <w:noProof/>
        </w:rPr>
      </w:pPr>
      <w:r>
        <w:rPr>
          <w:b/>
          <w:bCs/>
          <w:noProof/>
        </w:rPr>
        <w:t xml:space="preserve">AVOD service </w:t>
      </w:r>
      <w:r>
        <w:rPr>
          <w:noProof/>
        </w:rPr>
        <w:t>means a</w:t>
      </w:r>
      <w:r w:rsidRPr="00970816">
        <w:rPr>
          <w:noProof/>
        </w:rPr>
        <w:t>dvertising-based</w:t>
      </w:r>
      <w:r>
        <w:rPr>
          <w:noProof/>
        </w:rPr>
        <w:t xml:space="preserve"> video-on-demand service.</w:t>
      </w:r>
    </w:p>
    <w:p w14:paraId="79D8ED71" w14:textId="77777777" w:rsidR="00AB7BB3" w:rsidRPr="00970816" w:rsidRDefault="00AB7BB3" w:rsidP="00AB7BB3">
      <w:pPr>
        <w:spacing w:after="0"/>
        <w:contextualSpacing/>
        <w:rPr>
          <w:noProof/>
        </w:rPr>
      </w:pPr>
    </w:p>
    <w:p w14:paraId="121A08C8" w14:textId="77777777" w:rsidR="00AB7BB3" w:rsidRDefault="00AB7BB3" w:rsidP="00AB7BB3">
      <w:pPr>
        <w:spacing w:after="0"/>
        <w:contextualSpacing/>
        <w:rPr>
          <w:noProof/>
        </w:rPr>
      </w:pPr>
      <w:r w:rsidRPr="00970816">
        <w:rPr>
          <w:b/>
          <w:bCs/>
          <w:noProof/>
        </w:rPr>
        <w:t xml:space="preserve">SVOD </w:t>
      </w:r>
      <w:r>
        <w:rPr>
          <w:b/>
          <w:bCs/>
          <w:noProof/>
        </w:rPr>
        <w:t>service</w:t>
      </w:r>
      <w:r>
        <w:rPr>
          <w:noProof/>
        </w:rPr>
        <w:t xml:space="preserve"> means</w:t>
      </w:r>
      <w:r w:rsidRPr="00970816">
        <w:rPr>
          <w:noProof/>
        </w:rPr>
        <w:t xml:space="preserve"> subscription-based</w:t>
      </w:r>
      <w:r>
        <w:rPr>
          <w:noProof/>
        </w:rPr>
        <w:t xml:space="preserve"> video-on-demand service.</w:t>
      </w:r>
    </w:p>
    <w:p w14:paraId="0BCF9689" w14:textId="77777777" w:rsidR="00AB7BB3" w:rsidRDefault="00AB7BB3" w:rsidP="00AB7BB3">
      <w:pPr>
        <w:spacing w:after="0"/>
        <w:contextualSpacing/>
        <w:rPr>
          <w:noProof/>
        </w:rPr>
      </w:pPr>
    </w:p>
    <w:p w14:paraId="35CEA9E3" w14:textId="77777777" w:rsidR="00AB7BB3" w:rsidRDefault="00AB7BB3" w:rsidP="00AB7BB3">
      <w:pPr>
        <w:spacing w:after="0"/>
        <w:contextualSpacing/>
        <w:rPr>
          <w:noProof/>
        </w:rPr>
      </w:pPr>
      <w:r w:rsidRPr="00970816">
        <w:rPr>
          <w:b/>
          <w:bCs/>
          <w:noProof/>
        </w:rPr>
        <w:t>TVOD</w:t>
      </w:r>
      <w:r w:rsidRPr="00CE496A">
        <w:rPr>
          <w:noProof/>
        </w:rPr>
        <w:t xml:space="preserve"> </w:t>
      </w:r>
      <w:r>
        <w:rPr>
          <w:b/>
          <w:bCs/>
          <w:noProof/>
        </w:rPr>
        <w:t xml:space="preserve">service </w:t>
      </w:r>
      <w:r>
        <w:rPr>
          <w:noProof/>
        </w:rPr>
        <w:t xml:space="preserve">means </w:t>
      </w:r>
      <w:r w:rsidRPr="00970816">
        <w:rPr>
          <w:noProof/>
        </w:rPr>
        <w:t>transaction-based</w:t>
      </w:r>
      <w:r>
        <w:rPr>
          <w:noProof/>
        </w:rPr>
        <w:t xml:space="preserve"> video-on-demand service.</w:t>
      </w:r>
    </w:p>
    <w:p w14:paraId="54583212" w14:textId="77777777" w:rsidR="00AB7BB3" w:rsidRDefault="00AB7BB3" w:rsidP="00AB7BB3">
      <w:pPr>
        <w:spacing w:after="0"/>
        <w:contextualSpacing/>
        <w:rPr>
          <w:noProof/>
        </w:rPr>
      </w:pPr>
    </w:p>
    <w:p w14:paraId="7949C06D" w14:textId="264FC9A3" w:rsidR="00CE496A" w:rsidRPr="009F2C6C" w:rsidRDefault="00CE496A" w:rsidP="00AB7BB3">
      <w:pPr>
        <w:autoSpaceDE w:val="0"/>
        <w:autoSpaceDN w:val="0"/>
        <w:adjustRightInd w:val="0"/>
        <w:spacing w:before="240" w:after="0"/>
        <w:contextualSpacing/>
        <w:rPr>
          <w:noProof/>
        </w:rPr>
      </w:pPr>
    </w:p>
    <w:sectPr w:rsidR="00CE496A" w:rsidRPr="009F2C6C" w:rsidSect="00D93213">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F1C5" w14:textId="77777777" w:rsidR="00FB73EA" w:rsidRPr="00197140" w:rsidRDefault="00FB73EA" w:rsidP="00812B41">
      <w:pPr>
        <w:spacing w:before="0" w:after="0"/>
      </w:pPr>
      <w:r w:rsidRPr="00197140">
        <w:separator/>
      </w:r>
    </w:p>
  </w:endnote>
  <w:endnote w:type="continuationSeparator" w:id="0">
    <w:p w14:paraId="14962DFD" w14:textId="77777777" w:rsidR="00FB73EA" w:rsidRPr="00197140" w:rsidRDefault="00FB73EA" w:rsidP="00812B41">
      <w:pPr>
        <w:spacing w:before="0" w:after="0"/>
      </w:pPr>
      <w:r w:rsidRPr="00197140">
        <w:continuationSeparator/>
      </w:r>
    </w:p>
  </w:endnote>
  <w:endnote w:type="continuationNotice" w:id="1">
    <w:p w14:paraId="1FF13778" w14:textId="77777777" w:rsidR="00FB73EA" w:rsidRDefault="00FB73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9DBD" w14:textId="712CF982" w:rsidR="006A76D4" w:rsidRPr="006A76D4" w:rsidRDefault="006A76D4" w:rsidP="006A76D4">
    <w:pPr>
      <w:pStyle w:val="FooterCoverPage"/>
      <w:rPr>
        <w:rFonts w:ascii="Arial" w:hAnsi="Arial" w:cs="Arial"/>
        <w:b/>
        <w:sz w:val="48"/>
      </w:rPr>
    </w:pPr>
    <w:r w:rsidRPr="006A76D4">
      <w:rPr>
        <w:rFonts w:ascii="Arial" w:hAnsi="Arial" w:cs="Arial"/>
        <w:b/>
        <w:sz w:val="48"/>
      </w:rPr>
      <w:t>EN</w:t>
    </w:r>
    <w:r w:rsidRPr="006A76D4">
      <w:rPr>
        <w:rFonts w:ascii="Arial" w:hAnsi="Arial" w:cs="Arial"/>
        <w:b/>
        <w:sz w:val="48"/>
      </w:rPr>
      <w:tab/>
    </w:r>
    <w:r w:rsidRPr="006A76D4">
      <w:rPr>
        <w:rFonts w:ascii="Arial" w:hAnsi="Arial" w:cs="Arial"/>
        <w:b/>
        <w:sz w:val="48"/>
      </w:rPr>
      <w:tab/>
    </w:r>
    <w:r w:rsidRPr="006A76D4">
      <w:tab/>
    </w:r>
    <w:proofErr w:type="spellStart"/>
    <w:r w:rsidRPr="006A76D4">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8583" w14:textId="650C343E" w:rsidR="006A76D4" w:rsidRPr="006A76D4" w:rsidRDefault="006A76D4" w:rsidP="006A76D4">
    <w:pPr>
      <w:pStyle w:val="FooterCoverPage"/>
      <w:rPr>
        <w:rFonts w:ascii="Arial" w:hAnsi="Arial" w:cs="Arial"/>
        <w:b/>
        <w:sz w:val="48"/>
      </w:rPr>
    </w:pPr>
    <w:r w:rsidRPr="006A76D4">
      <w:rPr>
        <w:rFonts w:ascii="Arial" w:hAnsi="Arial" w:cs="Arial"/>
        <w:b/>
        <w:sz w:val="48"/>
      </w:rPr>
      <w:t>EN</w:t>
    </w:r>
    <w:r w:rsidRPr="006A76D4">
      <w:rPr>
        <w:rFonts w:ascii="Arial" w:hAnsi="Arial" w:cs="Arial"/>
        <w:b/>
        <w:sz w:val="48"/>
      </w:rPr>
      <w:tab/>
    </w:r>
    <w:r w:rsidRPr="006A76D4">
      <w:rPr>
        <w:rFonts w:ascii="Arial" w:hAnsi="Arial" w:cs="Arial"/>
        <w:b/>
        <w:sz w:val="48"/>
      </w:rPr>
      <w:tab/>
    </w:r>
    <w:r w:rsidRPr="006A76D4">
      <w:tab/>
    </w:r>
    <w:proofErr w:type="spellStart"/>
    <w:r w:rsidRPr="006A76D4">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EBBD" w14:textId="77777777" w:rsidR="006A76D4" w:rsidRPr="006A76D4" w:rsidRDefault="006A76D4" w:rsidP="006A76D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E546" w14:textId="77777777" w:rsidR="00985769" w:rsidRPr="00197140" w:rsidRDefault="009857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A14B" w14:textId="33EE39A8" w:rsidR="00985769" w:rsidRPr="00197140" w:rsidRDefault="00985769" w:rsidP="00C65F27">
    <w:pPr>
      <w:pStyle w:val="Footer"/>
      <w:rPr>
        <w:rFonts w:ascii="Arial" w:hAnsi="Arial" w:cs="Arial"/>
        <w:b/>
        <w:sz w:val="48"/>
      </w:rPr>
    </w:pPr>
    <w:r w:rsidRPr="00197140">
      <w:rPr>
        <w:rFonts w:ascii="Arial" w:hAnsi="Arial" w:cs="Arial"/>
        <w:b/>
        <w:sz w:val="48"/>
      </w:rPr>
      <w:tab/>
    </w:r>
    <w:r w:rsidRPr="00197140">
      <w:fldChar w:fldCharType="begin"/>
    </w:r>
    <w:r w:rsidRPr="00197140">
      <w:instrText xml:space="preserve"> PAGE  \* MERGEFORMAT </w:instrText>
    </w:r>
    <w:r w:rsidRPr="00197140">
      <w:fldChar w:fldCharType="separate"/>
    </w:r>
    <w:r w:rsidR="006A76D4">
      <w:rPr>
        <w:noProof/>
      </w:rPr>
      <w:t>7</w:t>
    </w:r>
    <w:r w:rsidRPr="00197140">
      <w:fldChar w:fldCharType="end"/>
    </w:r>
    <w:r w:rsidRPr="00197140">
      <w:tab/>
    </w:r>
    <w:r w:rsidRPr="00197140">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F543" w14:textId="77777777" w:rsidR="00985769" w:rsidRPr="00197140" w:rsidRDefault="0098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6D3B" w14:textId="77777777" w:rsidR="00FB73EA" w:rsidRPr="00197140" w:rsidRDefault="00FB73EA" w:rsidP="00812B41">
      <w:pPr>
        <w:spacing w:before="0" w:after="0"/>
      </w:pPr>
      <w:r w:rsidRPr="00197140">
        <w:separator/>
      </w:r>
    </w:p>
  </w:footnote>
  <w:footnote w:type="continuationSeparator" w:id="0">
    <w:p w14:paraId="44EC49EF" w14:textId="77777777" w:rsidR="00FB73EA" w:rsidRPr="00197140" w:rsidRDefault="00FB73EA" w:rsidP="00812B41">
      <w:pPr>
        <w:spacing w:before="0" w:after="0"/>
      </w:pPr>
      <w:r w:rsidRPr="00197140">
        <w:continuationSeparator/>
      </w:r>
    </w:p>
  </w:footnote>
  <w:footnote w:type="continuationNotice" w:id="1">
    <w:p w14:paraId="39413809" w14:textId="77777777" w:rsidR="00FB73EA" w:rsidRDefault="00FB73EA">
      <w:pPr>
        <w:spacing w:before="0" w:after="0"/>
      </w:pPr>
    </w:p>
  </w:footnote>
  <w:footnote w:id="2">
    <w:p w14:paraId="41015A5D" w14:textId="7CFDB9D3" w:rsidR="0031458D" w:rsidRPr="006C58F7" w:rsidRDefault="0031458D" w:rsidP="0031458D">
      <w:pPr>
        <w:pStyle w:val="FootnoteText"/>
      </w:pPr>
      <w:r>
        <w:rPr>
          <w:rStyle w:val="FootnoteReference"/>
        </w:rPr>
        <w:footnoteRef/>
      </w:r>
      <w:r>
        <w:t xml:space="preserve"> </w:t>
      </w:r>
      <w:r w:rsidR="004A4BA1" w:rsidRPr="00161D47">
        <w:rPr>
          <w:lang w:val="en-IE"/>
        </w:rPr>
        <w:t xml:space="preserve">Commission staff working document, </w:t>
      </w:r>
      <w:r w:rsidR="004A4BA1" w:rsidRPr="00161D47">
        <w:rPr>
          <w:i/>
          <w:iCs/>
          <w:lang w:val="en-IE"/>
        </w:rPr>
        <w:t>European Media Industry Outlook</w:t>
      </w:r>
      <w:r w:rsidR="004A4BA1" w:rsidRPr="00161D47">
        <w:rPr>
          <w:lang w:val="en-IE"/>
        </w:rPr>
        <w:t xml:space="preserve">, </w:t>
      </w:r>
      <w:proofErr w:type="gramStart"/>
      <w:r w:rsidR="004A4BA1" w:rsidRPr="00161D47">
        <w:rPr>
          <w:lang w:val="en-IE"/>
        </w:rPr>
        <w:t>SWD(</w:t>
      </w:r>
      <w:proofErr w:type="gramEnd"/>
      <w:r w:rsidR="004A4BA1" w:rsidRPr="00161D47">
        <w:rPr>
          <w:lang w:val="en-IE"/>
        </w:rPr>
        <w:t>2023) 150 final, 17.5.2023.</w:t>
      </w:r>
      <w:r w:rsidR="004A4BA1" w:rsidRPr="00161D47">
        <w:t xml:space="preserve"> </w:t>
      </w:r>
      <w:r w:rsidR="004A4BA1" w:rsidRPr="00161D47">
        <w:rPr>
          <w:lang w:val="en-IE"/>
        </w:rPr>
        <w:t>While technically outside the reference period, it offers historical data and general findings applicable to this report</w:t>
      </w:r>
      <w:r>
        <w:t>, p. 18.</w:t>
      </w:r>
    </w:p>
  </w:footnote>
  <w:footnote w:id="3">
    <w:p w14:paraId="565D3BB9" w14:textId="5ACCFCCC" w:rsidR="000656AF" w:rsidRPr="000656AF" w:rsidRDefault="000656AF">
      <w:pPr>
        <w:pStyle w:val="FootnoteText"/>
      </w:pPr>
      <w:r>
        <w:rPr>
          <w:rStyle w:val="FootnoteReference"/>
        </w:rPr>
        <w:footnoteRef/>
      </w:r>
      <w:r>
        <w:t xml:space="preserve"> </w:t>
      </w:r>
      <w:r w:rsidR="006B1B2C">
        <w:t>Ibid,</w:t>
      </w:r>
      <w:r>
        <w:t xml:space="preserve"> p. </w:t>
      </w:r>
      <w:r w:rsidR="00137ADF">
        <w:t>13-</w:t>
      </w:r>
      <w:r>
        <w:t>14.</w:t>
      </w:r>
      <w:r w:rsidR="00166294">
        <w:t xml:space="preserve"> </w:t>
      </w:r>
    </w:p>
  </w:footnote>
  <w:footnote w:id="4">
    <w:p w14:paraId="1609B05C" w14:textId="15BF0904" w:rsidR="00A2168D" w:rsidRPr="00254EE0" w:rsidRDefault="00A2168D">
      <w:pPr>
        <w:pStyle w:val="FootnoteText"/>
        <w:rPr>
          <w:lang w:val="en-IE"/>
        </w:rPr>
      </w:pPr>
      <w:r>
        <w:rPr>
          <w:rStyle w:val="FootnoteReference"/>
        </w:rPr>
        <w:footnoteRef/>
      </w:r>
      <w:r>
        <w:t xml:space="preserve"> </w:t>
      </w:r>
      <w:r w:rsidRPr="00254EE0">
        <w:rPr>
          <w:lang w:val="en-IE"/>
        </w:rPr>
        <w:t>For instance</w:t>
      </w:r>
      <w:r w:rsidR="000627E2">
        <w:rPr>
          <w:lang w:val="en-IE"/>
        </w:rPr>
        <w:t>,</w:t>
      </w:r>
      <w:r w:rsidRPr="00254EE0">
        <w:rPr>
          <w:lang w:val="en-IE"/>
        </w:rPr>
        <w:t xml:space="preserve"> Netflix’s </w:t>
      </w:r>
      <w:r w:rsidR="000627E2">
        <w:rPr>
          <w:lang w:val="en-IE"/>
        </w:rPr>
        <w:t>a</w:t>
      </w:r>
      <w:r w:rsidRPr="00254EE0">
        <w:rPr>
          <w:lang w:val="en-IE"/>
        </w:rPr>
        <w:t>d</w:t>
      </w:r>
      <w:r w:rsidR="000627E2">
        <w:rPr>
          <w:lang w:val="en-IE"/>
        </w:rPr>
        <w:t>-</w:t>
      </w:r>
      <w:r w:rsidR="00127709">
        <w:rPr>
          <w:lang w:val="en-IE"/>
        </w:rPr>
        <w:t>s</w:t>
      </w:r>
      <w:r w:rsidRPr="00254EE0">
        <w:rPr>
          <w:lang w:val="en-IE"/>
        </w:rPr>
        <w:t xml:space="preserve">upported </w:t>
      </w:r>
      <w:r w:rsidR="00127709">
        <w:rPr>
          <w:lang w:val="en-IE"/>
        </w:rPr>
        <w:t>s</w:t>
      </w:r>
      <w:r w:rsidRPr="00254EE0">
        <w:rPr>
          <w:lang w:val="en-IE"/>
        </w:rPr>
        <w:t xml:space="preserve">ubscription </w:t>
      </w:r>
      <w:r w:rsidR="00127709">
        <w:rPr>
          <w:lang w:val="en-IE"/>
        </w:rPr>
        <w:t>p</w:t>
      </w:r>
      <w:r w:rsidRPr="00254EE0">
        <w:rPr>
          <w:lang w:val="en-IE"/>
        </w:rPr>
        <w:t>lan</w:t>
      </w:r>
      <w:r w:rsidR="008B2F6E">
        <w:rPr>
          <w:lang w:val="en-IE"/>
        </w:rPr>
        <w:t>, or Rakuten TV, which combines SVOD, TVOD and AVOD</w:t>
      </w:r>
      <w:r>
        <w:rPr>
          <w:lang w:val="en-IE"/>
        </w:rPr>
        <w:t>.</w:t>
      </w:r>
    </w:p>
  </w:footnote>
  <w:footnote w:id="5">
    <w:p w14:paraId="1BDC9E40" w14:textId="7F53CE3C" w:rsidR="001E0556" w:rsidRPr="001E0556" w:rsidRDefault="001E0556">
      <w:pPr>
        <w:pStyle w:val="FootnoteText"/>
      </w:pPr>
      <w:r>
        <w:rPr>
          <w:rStyle w:val="FootnoteReference"/>
        </w:rPr>
        <w:footnoteRef/>
      </w:r>
      <w:r>
        <w:t xml:space="preserve"> Ibid, p. 13</w:t>
      </w:r>
      <w:r w:rsidR="00B12808">
        <w:t>-14</w:t>
      </w:r>
      <w:r>
        <w:t>.</w:t>
      </w:r>
    </w:p>
  </w:footnote>
  <w:footnote w:id="6">
    <w:p w14:paraId="4E083D46" w14:textId="37833C38" w:rsidR="003C47B7" w:rsidRPr="003C47B7" w:rsidRDefault="003C47B7">
      <w:pPr>
        <w:pStyle w:val="FootnoteText"/>
      </w:pPr>
      <w:r>
        <w:rPr>
          <w:rStyle w:val="FootnoteReference"/>
        </w:rPr>
        <w:footnoteRef/>
      </w:r>
      <w:r>
        <w:t xml:space="preserve"> Data was provided by all the Member States and Iceland.</w:t>
      </w:r>
    </w:p>
  </w:footnote>
  <w:footnote w:id="7">
    <w:p w14:paraId="4BF07B4F" w14:textId="13765733" w:rsidR="007D57B8" w:rsidRPr="007D57B8" w:rsidRDefault="007D57B8">
      <w:pPr>
        <w:pStyle w:val="FootnoteText"/>
        <w:rPr>
          <w:lang w:val="en-IE"/>
        </w:rPr>
      </w:pPr>
      <w:r>
        <w:rPr>
          <w:rStyle w:val="FootnoteReference"/>
        </w:rPr>
        <w:footnoteRef/>
      </w:r>
      <w:r>
        <w:t xml:space="preserve"> </w:t>
      </w:r>
      <w:r w:rsidR="000627E2">
        <w:t>T</w:t>
      </w:r>
      <w:r w:rsidR="001E76D0">
        <w:t xml:space="preserve">hese figures include different national catalogues of cross-border VOD services. </w:t>
      </w:r>
      <w:r w:rsidR="000627E2">
        <w:t xml:space="preserve">When excluding </w:t>
      </w:r>
      <w:r>
        <w:t xml:space="preserve">VOD services exempted from obligations </w:t>
      </w:r>
      <w:r w:rsidR="000627E2">
        <w:t xml:space="preserve">under </w:t>
      </w:r>
      <w:r>
        <w:t xml:space="preserve">Article 13(1) </w:t>
      </w:r>
      <w:r w:rsidR="00D16E7F">
        <w:t xml:space="preserve">of the </w:t>
      </w:r>
      <w:r>
        <w:t xml:space="preserve">AVMSD for the whole </w:t>
      </w:r>
      <w:r w:rsidR="001C21BB">
        <w:t xml:space="preserve">reference </w:t>
      </w:r>
      <w:r>
        <w:t xml:space="preserve">period (2020-2021), as reported by Member States, </w:t>
      </w:r>
      <w:r w:rsidR="003E2B85">
        <w:t>the numbers were slightly lower: 1</w:t>
      </w:r>
      <w:r w:rsidR="000627E2">
        <w:t> </w:t>
      </w:r>
      <w:r w:rsidR="003E2B85">
        <w:t>410 and 1</w:t>
      </w:r>
      <w:r w:rsidR="000627E2">
        <w:t> </w:t>
      </w:r>
      <w:r w:rsidR="003E2B85">
        <w:t>444, respectively.</w:t>
      </w:r>
      <w:r w:rsidR="001E76D0">
        <w:t xml:space="preserve"> </w:t>
      </w:r>
    </w:p>
  </w:footnote>
  <w:footnote w:id="8">
    <w:p w14:paraId="65220B0F" w14:textId="1C24125D" w:rsidR="003E2B85" w:rsidRPr="003E2B85" w:rsidRDefault="003E2B85">
      <w:pPr>
        <w:pStyle w:val="FootnoteText"/>
        <w:rPr>
          <w:lang w:val="en-IE"/>
        </w:rPr>
      </w:pPr>
      <w:r>
        <w:rPr>
          <w:rStyle w:val="FootnoteReference"/>
        </w:rPr>
        <w:footnoteRef/>
      </w:r>
      <w:r>
        <w:t xml:space="preserve"> </w:t>
      </w:r>
      <w:r w:rsidR="006914D9" w:rsidRPr="009F2C6C">
        <w:rPr>
          <w:i/>
          <w:iCs/>
        </w:rPr>
        <w:t>Reporting on the application of Articles 13, 16 and 17 of Directive 2010/13/EU for the period 2015-2019 as regards non-linear services (Article 13) and linear services (Articles 16 and 17)</w:t>
      </w:r>
      <w:r w:rsidR="006914D9" w:rsidRPr="005C142B">
        <w:t>, SWD(2023) 152 final, 17.5.2023</w:t>
      </w:r>
      <w:r w:rsidR="006914D9">
        <w:t>, p.</w:t>
      </w:r>
      <w:r w:rsidR="000627E2">
        <w:t> </w:t>
      </w:r>
      <w:r w:rsidR="006914D9">
        <w:t>2</w:t>
      </w:r>
      <w:r w:rsidR="00DF4ABA">
        <w:t xml:space="preserve">, available at: </w:t>
      </w:r>
      <w:hyperlink r:id="rId1" w:history="1">
        <w:r w:rsidR="00DF4ABA">
          <w:rPr>
            <w:rStyle w:val="Hyperlink"/>
          </w:rPr>
          <w:t>Commission reports on the promotion of European works by audiovisual media services | Shaping Europe’s digital future (europa.eu)</w:t>
        </w:r>
      </w:hyperlink>
      <w:r w:rsidR="00B25294">
        <w:rPr>
          <w:rStyle w:val="Hyperlink"/>
        </w:rPr>
        <w:t>.</w:t>
      </w:r>
      <w:r w:rsidR="003C47B7">
        <w:rPr>
          <w:rStyle w:val="Hyperlink"/>
        </w:rPr>
        <w:t xml:space="preserve"> </w:t>
      </w:r>
      <w:r w:rsidR="00B25294">
        <w:rPr>
          <w:rStyle w:val="Hyperlink"/>
        </w:rPr>
        <w:t>D</w:t>
      </w:r>
      <w:r w:rsidR="003C47B7">
        <w:rPr>
          <w:rStyle w:val="Hyperlink"/>
        </w:rPr>
        <w:t xml:space="preserve">ata for Germany, Ireland and the EEA EFTA countries was not </w:t>
      </w:r>
      <w:r w:rsidR="00B25294">
        <w:rPr>
          <w:rStyle w:val="Hyperlink"/>
        </w:rPr>
        <w:t>reported</w:t>
      </w:r>
      <w:r w:rsidR="006914D9" w:rsidRPr="005C142B">
        <w:t>.</w:t>
      </w:r>
    </w:p>
  </w:footnote>
  <w:footnote w:id="9">
    <w:p w14:paraId="1CC613F3" w14:textId="3C641EBD" w:rsidR="008B262B" w:rsidRPr="008B262B" w:rsidRDefault="008B262B">
      <w:pPr>
        <w:pStyle w:val="FootnoteText"/>
      </w:pPr>
      <w:r>
        <w:rPr>
          <w:rStyle w:val="FootnoteReference"/>
        </w:rPr>
        <w:footnoteRef/>
      </w:r>
      <w:r>
        <w:t xml:space="preserve"> </w:t>
      </w:r>
      <w:r w:rsidR="006914D9">
        <w:rPr>
          <w:lang w:val="en-IE"/>
        </w:rPr>
        <w:t xml:space="preserve">Commission </w:t>
      </w:r>
      <w:r w:rsidR="00F9268A">
        <w:rPr>
          <w:lang w:val="en-IE"/>
        </w:rPr>
        <w:t>s</w:t>
      </w:r>
      <w:r w:rsidR="006914D9">
        <w:rPr>
          <w:lang w:val="en-IE"/>
        </w:rPr>
        <w:t xml:space="preserve">taff </w:t>
      </w:r>
      <w:r w:rsidR="00F9268A">
        <w:rPr>
          <w:lang w:val="en-IE"/>
        </w:rPr>
        <w:t>w</w:t>
      </w:r>
      <w:r w:rsidR="006914D9">
        <w:rPr>
          <w:lang w:val="en-IE"/>
        </w:rPr>
        <w:t xml:space="preserve">orking </w:t>
      </w:r>
      <w:r w:rsidR="00F9268A">
        <w:rPr>
          <w:lang w:val="en-IE"/>
        </w:rPr>
        <w:t>d</w:t>
      </w:r>
      <w:r w:rsidR="006914D9">
        <w:rPr>
          <w:lang w:val="en-IE"/>
        </w:rPr>
        <w:t xml:space="preserve">ocument, </w:t>
      </w:r>
      <w:r w:rsidR="006914D9" w:rsidRPr="009F2C6C">
        <w:rPr>
          <w:i/>
          <w:iCs/>
          <w:lang w:val="en-IE"/>
        </w:rPr>
        <w:t>European Media Industry Outlook</w:t>
      </w:r>
      <w:r w:rsidR="006914D9">
        <w:rPr>
          <w:lang w:val="en-IE"/>
        </w:rPr>
        <w:t xml:space="preserve">, </w:t>
      </w:r>
      <w:proofErr w:type="gramStart"/>
      <w:r w:rsidR="006914D9">
        <w:rPr>
          <w:lang w:val="en-IE"/>
        </w:rPr>
        <w:t>SWD(</w:t>
      </w:r>
      <w:proofErr w:type="gramEnd"/>
      <w:r w:rsidR="006914D9">
        <w:rPr>
          <w:lang w:val="en-IE"/>
        </w:rPr>
        <w:t>2023) 150 final,</w:t>
      </w:r>
      <w:r w:rsidR="006914D9">
        <w:t xml:space="preserve"> </w:t>
      </w:r>
      <w:r w:rsidR="00F9268A">
        <w:rPr>
          <w:lang w:val="en-IE"/>
        </w:rPr>
        <w:t xml:space="preserve">17.5.2023, </w:t>
      </w:r>
      <w:r w:rsidR="006914D9">
        <w:t>p.</w:t>
      </w:r>
      <w:r w:rsidR="00F9268A">
        <w:t> </w:t>
      </w:r>
      <w:r>
        <w:t>18.</w:t>
      </w:r>
    </w:p>
  </w:footnote>
  <w:footnote w:id="10">
    <w:p w14:paraId="14B8C2D7" w14:textId="77777777" w:rsidR="00762673" w:rsidRPr="004F1931" w:rsidRDefault="00762673" w:rsidP="00762673">
      <w:pPr>
        <w:pStyle w:val="FootnoteText"/>
      </w:pPr>
      <w:r>
        <w:rPr>
          <w:rStyle w:val="FootnoteReference"/>
        </w:rPr>
        <w:footnoteRef/>
      </w:r>
      <w:r>
        <w:t xml:space="preserve"> </w:t>
      </w:r>
      <w:r w:rsidRPr="009F2C6C">
        <w:rPr>
          <w:i/>
          <w:iCs/>
        </w:rPr>
        <w:t>Guidelines pursuant to Article 13(7) of the Audiovisual Media Services Directive on the calculation of the share of European works in on-demand catalogues and on the definition of low audience and low turnover</w:t>
      </w:r>
      <w:r>
        <w:t>, OJ C 223, 7.7.2020.</w:t>
      </w:r>
    </w:p>
  </w:footnote>
  <w:footnote w:id="11">
    <w:p w14:paraId="4E92D63C" w14:textId="6B5C00E2" w:rsidR="00D749E5" w:rsidRPr="00197140" w:rsidRDefault="00D749E5" w:rsidP="00D749E5">
      <w:pPr>
        <w:pStyle w:val="FootnoteText"/>
        <w:rPr>
          <w:sz w:val="16"/>
          <w:szCs w:val="16"/>
        </w:rPr>
      </w:pPr>
      <w:r w:rsidRPr="00197140">
        <w:rPr>
          <w:rStyle w:val="FootnoteReference"/>
        </w:rPr>
        <w:footnoteRef/>
      </w:r>
      <w:r w:rsidRPr="00197140">
        <w:t xml:space="preserve"> </w:t>
      </w:r>
      <w:r w:rsidR="005D0528">
        <w:t>The</w:t>
      </w:r>
      <w:r w:rsidRPr="00A47470">
        <w:t xml:space="preserve"> independent study covered </w:t>
      </w:r>
      <w:r>
        <w:t xml:space="preserve">the </w:t>
      </w:r>
      <w:r w:rsidRPr="00A47470">
        <w:t>EU</w:t>
      </w:r>
      <w:r w:rsidRPr="0005791F">
        <w:t>-</w:t>
      </w:r>
      <w:r w:rsidRPr="00A47470">
        <w:t>27</w:t>
      </w:r>
      <w:r>
        <w:t xml:space="preserve"> and </w:t>
      </w:r>
      <w:r w:rsidR="00663860">
        <w:t xml:space="preserve">the </w:t>
      </w:r>
      <w:r w:rsidR="00C821E9">
        <w:t xml:space="preserve">EEA </w:t>
      </w:r>
      <w:r>
        <w:t>EFTA</w:t>
      </w:r>
      <w:r w:rsidR="00C821E9">
        <w:t xml:space="preserve"> </w:t>
      </w:r>
      <w:r>
        <w:t>countries</w:t>
      </w:r>
      <w:r w:rsidRPr="00A47470">
        <w:t xml:space="preserve"> </w:t>
      </w:r>
      <w:r w:rsidR="00C821E9">
        <w:t>(</w:t>
      </w:r>
      <w:r w:rsidRPr="00A47470">
        <w:t>Norway</w:t>
      </w:r>
      <w:r>
        <w:t xml:space="preserve">, </w:t>
      </w:r>
      <w:proofErr w:type="gramStart"/>
      <w:r>
        <w:t>Liech</w:t>
      </w:r>
      <w:r w:rsidR="00431097">
        <w:t>t</w:t>
      </w:r>
      <w:r>
        <w:t>enstein</w:t>
      </w:r>
      <w:proofErr w:type="gramEnd"/>
      <w:r w:rsidRPr="00A47470">
        <w:t xml:space="preserve"> and I</w:t>
      </w:r>
      <w:r>
        <w:t>ce</w:t>
      </w:r>
      <w:r w:rsidRPr="00A47470">
        <w:t>land</w:t>
      </w:r>
      <w:r w:rsidR="00C821E9">
        <w:t>)</w:t>
      </w:r>
      <w:r w:rsidRPr="00197140">
        <w:t xml:space="preserve">. </w:t>
      </w:r>
      <w:r w:rsidR="005D0528">
        <w:t>Please note that</w:t>
      </w:r>
      <w:r w:rsidRPr="00197140">
        <w:t xml:space="preserve"> in Belgium</w:t>
      </w:r>
      <w:r w:rsidR="00E00DEB">
        <w:t>,</w:t>
      </w:r>
      <w:r w:rsidRPr="00197140">
        <w:t xml:space="preserve"> there are different measures in the French and Flemish Communities transposing </w:t>
      </w:r>
      <w:r w:rsidR="00B077EC">
        <w:t xml:space="preserve">the new rules in </w:t>
      </w:r>
      <w:r w:rsidRPr="00197140">
        <w:t>Article 13.</w:t>
      </w:r>
    </w:p>
  </w:footnote>
  <w:footnote w:id="12">
    <w:p w14:paraId="62A15A94" w14:textId="2725A8D2" w:rsidR="003C11B6" w:rsidRPr="006C5F72" w:rsidRDefault="003C11B6" w:rsidP="003C11B6">
      <w:pPr>
        <w:pStyle w:val="FootnoteText"/>
      </w:pPr>
      <w:r>
        <w:rPr>
          <w:rStyle w:val="FootnoteReference"/>
        </w:rPr>
        <w:footnoteRef/>
      </w:r>
      <w:r>
        <w:t xml:space="preserve"> Austria, Belgium (Flemish and French Communities), Bulgaria, Germany, Denmark, Greece, Finland, France, Croatia, Hungary, Italy, Lithuania, Latvia, Luxembourg, Malta, </w:t>
      </w:r>
      <w:r w:rsidR="00BF23F9">
        <w:t xml:space="preserve">the </w:t>
      </w:r>
      <w:proofErr w:type="gramStart"/>
      <w:r>
        <w:t>Netherlands</w:t>
      </w:r>
      <w:proofErr w:type="gramEnd"/>
      <w:r>
        <w:t xml:space="preserve"> and Portugal.</w:t>
      </w:r>
    </w:p>
  </w:footnote>
  <w:footnote w:id="13">
    <w:p w14:paraId="3431F420" w14:textId="439AD311" w:rsidR="00FD4DC7" w:rsidRPr="00FD4DC7" w:rsidRDefault="00FD4DC7">
      <w:pPr>
        <w:pStyle w:val="FootnoteText"/>
      </w:pPr>
      <w:r>
        <w:rPr>
          <w:rStyle w:val="FootnoteReference"/>
        </w:rPr>
        <w:footnoteRef/>
      </w:r>
      <w:r>
        <w:t xml:space="preserve"> Austria, Belgium (French Community), Bulgaria, Cyprus, Czechia, Germany, Denmark, Estonia, France, Croatia, Malta, </w:t>
      </w:r>
      <w:r w:rsidR="00BF23F9">
        <w:t xml:space="preserve">the </w:t>
      </w:r>
      <w:r>
        <w:t xml:space="preserve">Netherlands, Portugal, Romania, </w:t>
      </w:r>
      <w:proofErr w:type="gramStart"/>
      <w:r>
        <w:t>Slovakia</w:t>
      </w:r>
      <w:proofErr w:type="gramEnd"/>
      <w:r>
        <w:t xml:space="preserve"> and Sweden.</w:t>
      </w:r>
    </w:p>
  </w:footnote>
  <w:footnote w:id="14">
    <w:p w14:paraId="75702920" w14:textId="259FFB7C" w:rsidR="003F5C0B" w:rsidRPr="00D573C1" w:rsidRDefault="003F5C0B" w:rsidP="003F5C0B">
      <w:pPr>
        <w:pStyle w:val="FootnoteText"/>
        <w:rPr>
          <w:lang w:val="en-IE"/>
        </w:rPr>
      </w:pPr>
      <w:r>
        <w:rPr>
          <w:rStyle w:val="FootnoteReference"/>
        </w:rPr>
        <w:footnoteRef/>
      </w:r>
      <w:r>
        <w:t xml:space="preserve"> Belgium (</w:t>
      </w:r>
      <w:r>
        <w:rPr>
          <w:lang w:val="en-IE"/>
        </w:rPr>
        <w:t>French Community) and France.</w:t>
      </w:r>
    </w:p>
  </w:footnote>
  <w:footnote w:id="15">
    <w:p w14:paraId="2761CBA2" w14:textId="057F8264" w:rsidR="000B586E" w:rsidRPr="00D573C1" w:rsidRDefault="000B586E">
      <w:pPr>
        <w:pStyle w:val="FootnoteText"/>
        <w:rPr>
          <w:lang w:val="en-IE"/>
        </w:rPr>
      </w:pPr>
      <w:r>
        <w:rPr>
          <w:rStyle w:val="FootnoteReference"/>
        </w:rPr>
        <w:footnoteRef/>
      </w:r>
      <w:r>
        <w:t xml:space="preserve"> French and Flemish Communities of </w:t>
      </w:r>
      <w:r>
        <w:rPr>
          <w:lang w:val="en-IE"/>
        </w:rPr>
        <w:t xml:space="preserve">Belgium, Spain, France, Hungary, Italy, </w:t>
      </w:r>
      <w:proofErr w:type="gramStart"/>
      <w:r>
        <w:rPr>
          <w:lang w:val="en-IE"/>
        </w:rPr>
        <w:t>Portugal</w:t>
      </w:r>
      <w:proofErr w:type="gramEnd"/>
      <w:r w:rsidR="00BF23F9">
        <w:rPr>
          <w:lang w:val="en-IE"/>
        </w:rPr>
        <w:t xml:space="preserve"> and</w:t>
      </w:r>
      <w:r>
        <w:rPr>
          <w:lang w:val="en-IE"/>
        </w:rPr>
        <w:t xml:space="preserve"> Slovenia.</w:t>
      </w:r>
    </w:p>
  </w:footnote>
  <w:footnote w:id="16">
    <w:p w14:paraId="7289F98F" w14:textId="03034D3C" w:rsidR="006660F2" w:rsidRPr="00197140" w:rsidRDefault="006660F2">
      <w:pPr>
        <w:pStyle w:val="FootnoteText"/>
      </w:pPr>
      <w:r w:rsidRPr="00197140">
        <w:rPr>
          <w:rStyle w:val="FootnoteReference"/>
        </w:rPr>
        <w:footnoteRef/>
      </w:r>
      <w:r w:rsidRPr="00197140">
        <w:t xml:space="preserve"> </w:t>
      </w:r>
      <w:r w:rsidR="00246392">
        <w:t>Member States were asked to report the share a</w:t>
      </w:r>
      <w:r w:rsidRPr="00197140">
        <w:t>s a percentage of total titles for a given year.</w:t>
      </w:r>
      <w:r w:rsidR="00246392">
        <w:t xml:space="preserve"> </w:t>
      </w:r>
      <w:r w:rsidR="00246392" w:rsidRPr="00246392">
        <w:t xml:space="preserve">Note that Belgium was counted twice since the Flemish and French </w:t>
      </w:r>
      <w:r w:rsidR="00BF23F9">
        <w:t>C</w:t>
      </w:r>
      <w:r w:rsidR="00246392" w:rsidRPr="00246392">
        <w:t>ommunities reported data separately.</w:t>
      </w:r>
    </w:p>
  </w:footnote>
  <w:footnote w:id="17">
    <w:p w14:paraId="0D53BD73" w14:textId="22FD28AE" w:rsidR="005A4A25" w:rsidRPr="005A4A25" w:rsidRDefault="005A4A25">
      <w:pPr>
        <w:pStyle w:val="FootnoteText"/>
      </w:pPr>
      <w:r>
        <w:rPr>
          <w:rStyle w:val="FootnoteReference"/>
        </w:rPr>
        <w:footnoteRef/>
      </w:r>
      <w:r>
        <w:t xml:space="preserve"> </w:t>
      </w:r>
      <w:r w:rsidRPr="00310C44">
        <w:rPr>
          <w:i/>
          <w:iCs/>
        </w:rPr>
        <w:t>Reporting on the application of Articles 13, 16 and 17 of Directive 2010/13/EU for the period 2015-2019 as regards non-linear services (Article 13) and linear services (Articles 16 and 17)</w:t>
      </w:r>
      <w:r w:rsidRPr="005C142B">
        <w:t xml:space="preserve">, </w:t>
      </w:r>
      <w:proofErr w:type="gramStart"/>
      <w:r w:rsidRPr="005C142B">
        <w:t>SWD(</w:t>
      </w:r>
      <w:proofErr w:type="gramEnd"/>
      <w:r w:rsidRPr="005C142B">
        <w:t>2023) 152 final, 17.5.2023</w:t>
      </w:r>
      <w:r>
        <w:t>, p. </w:t>
      </w:r>
      <w:r w:rsidR="00F21B38">
        <w:t>4.</w:t>
      </w:r>
      <w:r w:rsidR="0077683E">
        <w:t xml:space="preserve"> The lowest figure (42%) was reported in 2017 and the highest (63%) in 2016.</w:t>
      </w:r>
    </w:p>
  </w:footnote>
  <w:footnote w:id="18">
    <w:p w14:paraId="55BCB871" w14:textId="5524007F" w:rsidR="00D21625" w:rsidRPr="00E83887" w:rsidRDefault="00D21625" w:rsidP="00D21625">
      <w:pPr>
        <w:pStyle w:val="FootnoteText"/>
      </w:pPr>
      <w:r>
        <w:rPr>
          <w:rStyle w:val="FootnoteReference"/>
        </w:rPr>
        <w:footnoteRef/>
      </w:r>
      <w:r>
        <w:t xml:space="preserve"> The share of European works in the different national catalogues of the cross-border VOD services is included in the figures for the Member State which has the jurisdiction over them. For example, the average share of European works in the Netherlands as seen in Figure 2 includes the share of European works in the different national catalogues of Netflix. In the Annex of the accompanying study, the respective shares can be seen for each national catalogue.</w:t>
      </w:r>
    </w:p>
  </w:footnote>
  <w:footnote w:id="19">
    <w:p w14:paraId="4BE9AF54" w14:textId="6133E32C" w:rsidR="00BD68E8" w:rsidRPr="00D573C1" w:rsidRDefault="00BD68E8">
      <w:pPr>
        <w:pStyle w:val="FootnoteText"/>
        <w:rPr>
          <w:lang w:val="en-IE"/>
        </w:rPr>
      </w:pPr>
      <w:r>
        <w:rPr>
          <w:rStyle w:val="FootnoteReference"/>
        </w:rPr>
        <w:footnoteRef/>
      </w:r>
      <w:r>
        <w:t xml:space="preserve"> </w:t>
      </w:r>
      <w:r>
        <w:rPr>
          <w:lang w:val="en-IE"/>
        </w:rPr>
        <w:t xml:space="preserve">European productions </w:t>
      </w:r>
      <w:r w:rsidR="006D5E2E">
        <w:rPr>
          <w:lang w:val="en-IE"/>
        </w:rPr>
        <w:t>and</w:t>
      </w:r>
      <w:r>
        <w:rPr>
          <w:lang w:val="en-IE"/>
        </w:rPr>
        <w:t xml:space="preserve"> European co-productions</w:t>
      </w:r>
      <w:r w:rsidR="006D5E2E">
        <w:rPr>
          <w:lang w:val="en-IE"/>
        </w:rPr>
        <w:t>,</w:t>
      </w:r>
      <w:r>
        <w:rPr>
          <w:lang w:val="en-IE"/>
        </w:rPr>
        <w:t xml:space="preserve"> where European co-productions were defined as any production where there are at least two production companies and at least one of them is European.</w:t>
      </w:r>
    </w:p>
  </w:footnote>
  <w:footnote w:id="20">
    <w:p w14:paraId="446C29F1" w14:textId="396052B0" w:rsidR="00160EE8" w:rsidRPr="00D573C1" w:rsidRDefault="00160EE8" w:rsidP="00160EE8">
      <w:pPr>
        <w:pStyle w:val="FootnoteText"/>
        <w:rPr>
          <w:lang w:val="en-IE"/>
        </w:rPr>
      </w:pPr>
      <w:r>
        <w:rPr>
          <w:rStyle w:val="FootnoteReference"/>
        </w:rPr>
        <w:footnoteRef/>
      </w:r>
      <w:r>
        <w:t xml:space="preserve"> Austria, Belgium, Bulgaria, Czechia, Germany, Denmark, Estonia, Spain, Finland, France, Greece, Hungary, Ireland, Italy, Latvia, </w:t>
      </w:r>
      <w:r w:rsidR="00BF23F9">
        <w:t xml:space="preserve">the </w:t>
      </w:r>
      <w:r>
        <w:t xml:space="preserve">Netherlands, Poland, Portugal, </w:t>
      </w:r>
      <w:proofErr w:type="gramStart"/>
      <w:r>
        <w:t>Romania</w:t>
      </w:r>
      <w:proofErr w:type="gramEnd"/>
      <w:r>
        <w:t xml:space="preserve"> and Sweden.</w:t>
      </w:r>
    </w:p>
  </w:footnote>
  <w:footnote w:id="21">
    <w:p w14:paraId="05A74BD8" w14:textId="6C486B16" w:rsidR="009D4028" w:rsidRPr="00197140" w:rsidRDefault="009D4028" w:rsidP="009D4028">
      <w:pPr>
        <w:pStyle w:val="FootnoteText"/>
      </w:pPr>
      <w:r w:rsidRPr="00197140">
        <w:rPr>
          <w:rStyle w:val="FootnoteReference"/>
        </w:rPr>
        <w:footnoteRef/>
      </w:r>
      <w:r w:rsidRPr="00197140">
        <w:t xml:space="preserve"> The 22 countries selected </w:t>
      </w:r>
      <w:r>
        <w:t>were</w:t>
      </w:r>
      <w:r w:rsidRPr="00197140">
        <w:t xml:space="preserve"> those available in the </w:t>
      </w:r>
      <w:proofErr w:type="spellStart"/>
      <w:r w:rsidRPr="00197140">
        <w:t>JustWatch</w:t>
      </w:r>
      <w:proofErr w:type="spellEnd"/>
      <w:r w:rsidRPr="00197140">
        <w:t xml:space="preserve"> dataset</w:t>
      </w:r>
      <w:r w:rsidR="00F212FE">
        <w:t xml:space="preserve">. The aim was to keep in the analysis those countries that were analysed in the previous study </w:t>
      </w:r>
      <w:proofErr w:type="gramStart"/>
      <w:r w:rsidR="00F212FE">
        <w:t>in order to</w:t>
      </w:r>
      <w:proofErr w:type="gramEnd"/>
      <w:r w:rsidR="00F212FE">
        <w:t xml:space="preserve"> enable comparison.</w:t>
      </w:r>
    </w:p>
  </w:footnote>
  <w:footnote w:id="22">
    <w:p w14:paraId="55F98C70" w14:textId="1E9F036D" w:rsidR="00F30726" w:rsidRPr="00D5110F" w:rsidRDefault="00F30726">
      <w:pPr>
        <w:pStyle w:val="FootnoteText"/>
        <w:rPr>
          <w:lang w:val="en-IE"/>
        </w:rPr>
      </w:pPr>
      <w:r>
        <w:rPr>
          <w:rStyle w:val="FootnoteReference"/>
        </w:rPr>
        <w:footnoteRef/>
      </w:r>
      <w:r>
        <w:t xml:space="preserve"> </w:t>
      </w:r>
      <w:r>
        <w:rPr>
          <w:lang w:val="en-IE"/>
        </w:rPr>
        <w:t xml:space="preserve">In parallel, another recent study conducted by the European Audiovisual Observatory has found that there was an average share of 32% of European works in VOD catalogues in September 2022 </w:t>
      </w:r>
      <w:r w:rsidR="00B8726A">
        <w:rPr>
          <w:lang w:val="en-IE"/>
        </w:rPr>
        <w:t>(</w:t>
      </w:r>
      <w:r w:rsidRPr="00F30726">
        <w:rPr>
          <w:lang w:val="en-IE"/>
        </w:rPr>
        <w:t>https://rm.coe.int/avmsdigest-the-promotion-of-european-works/1680ad9231</w:t>
      </w:r>
      <w:r w:rsidR="00B8726A">
        <w:rPr>
          <w:lang w:val="en-IE"/>
        </w:rPr>
        <w:t>)</w:t>
      </w:r>
      <w:r>
        <w:rPr>
          <w:lang w:val="en-IE"/>
        </w:rPr>
        <w:t>.</w:t>
      </w:r>
    </w:p>
  </w:footnote>
  <w:footnote w:id="23">
    <w:p w14:paraId="17A352FE" w14:textId="5B8E2E85" w:rsidR="00D134BC" w:rsidRPr="00D134BC" w:rsidRDefault="00D134BC" w:rsidP="00D134BC">
      <w:pPr>
        <w:pStyle w:val="FootnoteText"/>
      </w:pPr>
      <w:r>
        <w:rPr>
          <w:rStyle w:val="FootnoteReference"/>
        </w:rPr>
        <w:footnoteRef/>
      </w:r>
      <w:r>
        <w:t xml:space="preserve"> </w:t>
      </w:r>
      <w:r w:rsidRPr="00966A8A">
        <w:rPr>
          <w:i/>
          <w:iCs/>
        </w:rPr>
        <w:t>Reporting on the application of Articles 13, 16 and 17 of Directive 2010/13/EU for the period 2015-2019 as regards non-linear services (Article 13) and linear services (Articles 16 and 17)</w:t>
      </w:r>
      <w:r w:rsidRPr="00686FB3">
        <w:t>, SWD(2023) 152 final, 17.5.2023</w:t>
      </w:r>
      <w:r>
        <w:t xml:space="preserve">, p. 6, available at: </w:t>
      </w:r>
      <w:hyperlink r:id="rId2" w:history="1">
        <w:r>
          <w:rPr>
            <w:rStyle w:val="Hyperlink"/>
          </w:rPr>
          <w:t>Commission reports on the promotion of European works by audiovisual media services | Shaping Europe’s digital future (europa.eu)</w:t>
        </w:r>
      </w:hyperlink>
    </w:p>
  </w:footnote>
  <w:footnote w:id="24">
    <w:p w14:paraId="58B6EAAF" w14:textId="77777777" w:rsidR="00990393" w:rsidRPr="0064547D" w:rsidRDefault="00990393" w:rsidP="00990393">
      <w:pPr>
        <w:pStyle w:val="FootnoteText"/>
        <w:rPr>
          <w:lang w:val="en-IE"/>
        </w:rPr>
      </w:pPr>
      <w:r>
        <w:rPr>
          <w:rStyle w:val="FootnoteReference"/>
        </w:rPr>
        <w:footnoteRef/>
      </w:r>
      <w:r>
        <w:t xml:space="preserve"> </w:t>
      </w:r>
      <w:r>
        <w:rPr>
          <w:lang w:val="en-IE"/>
        </w:rPr>
        <w:t xml:space="preserve">All Member States in the sample except for Hungary, Greece, </w:t>
      </w:r>
      <w:proofErr w:type="gramStart"/>
      <w:r>
        <w:rPr>
          <w:lang w:val="en-IE"/>
        </w:rPr>
        <w:t>Estonia</w:t>
      </w:r>
      <w:proofErr w:type="gramEnd"/>
      <w:r>
        <w:rPr>
          <w:lang w:val="en-IE"/>
        </w:rPr>
        <w:t xml:space="preserve"> and Bulgaria measured at 30% or higher.</w:t>
      </w:r>
    </w:p>
  </w:footnote>
  <w:footnote w:id="25">
    <w:p w14:paraId="55CFA12C" w14:textId="77777777" w:rsidR="00D70CB3" w:rsidRPr="00966A8A" w:rsidRDefault="00D70CB3" w:rsidP="00D70CB3">
      <w:pPr>
        <w:pStyle w:val="FootnoteText"/>
        <w:rPr>
          <w:lang w:val="en-IE"/>
        </w:rPr>
      </w:pPr>
      <w:r>
        <w:rPr>
          <w:rStyle w:val="FootnoteReference"/>
        </w:rPr>
        <w:footnoteRef/>
      </w:r>
      <w:r>
        <w:t xml:space="preserve"> </w:t>
      </w:r>
      <w:r w:rsidRPr="00966A8A">
        <w:rPr>
          <w:i/>
          <w:iCs/>
        </w:rPr>
        <w:t>Reporting on the application of Articles 13, 16 and 17 of Directive 2010/13/EU for the period 2015-2019 as regards non-linear services (Article 13) and linear services (Articles 16 and 17)</w:t>
      </w:r>
      <w:r w:rsidRPr="00686FB3">
        <w:t>, SWD(2023) 152 final, 17.5.2023</w:t>
      </w:r>
      <w:r>
        <w:t xml:space="preserve">, p. 6, available at: </w:t>
      </w:r>
      <w:hyperlink r:id="rId3" w:history="1">
        <w:r>
          <w:rPr>
            <w:rStyle w:val="Hyperlink"/>
          </w:rPr>
          <w:t>Commission reports on the promotion of European works by audiovisual media services | Shaping Europe’s digital future (europa.eu)</w:t>
        </w:r>
      </w:hyperlink>
    </w:p>
  </w:footnote>
  <w:footnote w:id="26">
    <w:p w14:paraId="46607BBF" w14:textId="0CA7F008" w:rsidR="00AD2B89" w:rsidRPr="00AD2B89" w:rsidRDefault="00AD2B89">
      <w:pPr>
        <w:pStyle w:val="FootnoteText"/>
      </w:pPr>
      <w:r>
        <w:rPr>
          <w:rStyle w:val="FootnoteReference"/>
        </w:rPr>
        <w:footnoteRef/>
      </w:r>
      <w:r>
        <w:t xml:space="preserve"> </w:t>
      </w:r>
      <w:r w:rsidR="00A33AA2" w:rsidRPr="00A33AA2">
        <w:t xml:space="preserve">European Commission, Directorate-General for Communications Networks, Content and Technology, </w:t>
      </w:r>
      <w:proofErr w:type="spellStart"/>
      <w:r w:rsidR="00A33AA2" w:rsidRPr="00A33AA2">
        <w:t>Mosoreanu</w:t>
      </w:r>
      <w:proofErr w:type="spellEnd"/>
      <w:r w:rsidR="00A33AA2" w:rsidRPr="00A33AA2">
        <w:t xml:space="preserve">, M., </w:t>
      </w:r>
      <w:proofErr w:type="spellStart"/>
      <w:r w:rsidR="00A33AA2" w:rsidRPr="00A33AA2">
        <w:t>Podobea</w:t>
      </w:r>
      <w:proofErr w:type="spellEnd"/>
      <w:r w:rsidR="00A33AA2" w:rsidRPr="00A33AA2">
        <w:t xml:space="preserve">, V., </w:t>
      </w:r>
      <w:proofErr w:type="spellStart"/>
      <w:r w:rsidR="00A33AA2" w:rsidRPr="00A33AA2">
        <w:t>Ulicna</w:t>
      </w:r>
      <w:proofErr w:type="spellEnd"/>
      <w:r w:rsidR="00A33AA2" w:rsidRPr="00A33AA2">
        <w:t xml:space="preserve">, D., et al., </w:t>
      </w:r>
      <w:r w:rsidR="00A33AA2" w:rsidRPr="009F2C6C">
        <w:rPr>
          <w:i/>
          <w:iCs/>
        </w:rPr>
        <w:t>Study on the practical implementation of the provisions of the audiovisual media services directive concerning the promotion of European works in audiovisual media services</w:t>
      </w:r>
      <w:r w:rsidR="00930179">
        <w:t xml:space="preserve"> </w:t>
      </w:r>
      <w:r w:rsidR="00930179" w:rsidRPr="009F2C6C">
        <w:rPr>
          <w:i/>
          <w:iCs/>
        </w:rPr>
        <w:t>–</w:t>
      </w:r>
      <w:r w:rsidR="00A33AA2" w:rsidRPr="009F2C6C">
        <w:rPr>
          <w:i/>
          <w:iCs/>
        </w:rPr>
        <w:t xml:space="preserve"> </w:t>
      </w:r>
      <w:r w:rsidR="00930179" w:rsidRPr="009F2C6C">
        <w:rPr>
          <w:i/>
          <w:iCs/>
        </w:rPr>
        <w:t>F</w:t>
      </w:r>
      <w:r w:rsidR="00A33AA2" w:rsidRPr="009F2C6C">
        <w:rPr>
          <w:i/>
          <w:iCs/>
        </w:rPr>
        <w:t>inal report</w:t>
      </w:r>
      <w:r w:rsidR="00A33AA2" w:rsidRPr="00A33AA2">
        <w:t xml:space="preserve">, Publications Office of the European Union, 2023 </w:t>
      </w:r>
      <w:r w:rsidR="00930179">
        <w:t>(</w:t>
      </w:r>
      <w:hyperlink r:id="rId4" w:history="1">
        <w:r w:rsidR="00930179" w:rsidRPr="00930179">
          <w:rPr>
            <w:rStyle w:val="Hyperlink"/>
          </w:rPr>
          <w:t>https://data.europa.eu/doi/10.2759/211481</w:t>
        </w:r>
      </w:hyperlink>
      <w:r w:rsidR="00930179">
        <w:t>)</w:t>
      </w:r>
      <w:r w:rsidR="00A33AA2">
        <w:t>.</w:t>
      </w:r>
    </w:p>
  </w:footnote>
  <w:footnote w:id="27">
    <w:p w14:paraId="69EBB297" w14:textId="7C31F571" w:rsidR="002D0949" w:rsidRPr="002D0949" w:rsidRDefault="002D0949">
      <w:pPr>
        <w:pStyle w:val="FootnoteText"/>
        <w:rPr>
          <w:lang w:val="en-IE"/>
        </w:rPr>
      </w:pPr>
      <w:r>
        <w:rPr>
          <w:rStyle w:val="FootnoteReference"/>
        </w:rPr>
        <w:footnoteRef/>
      </w:r>
      <w:r>
        <w:t xml:space="preserve"> </w:t>
      </w:r>
      <w:r>
        <w:rPr>
          <w:lang w:val="en-IE"/>
        </w:rPr>
        <w:t xml:space="preserve">Austria, Belgium (French and Flemish Communities), Czechia, Germany, Denmark, Estonia, Spain, Finland, France, Greece, Hungary, Ireland, Italy, Lithuania, Latvia, the Netherlands, Norway, Poland, Portugal, </w:t>
      </w:r>
      <w:proofErr w:type="gramStart"/>
      <w:r>
        <w:rPr>
          <w:lang w:val="en-IE"/>
        </w:rPr>
        <w:t>Romania</w:t>
      </w:r>
      <w:proofErr w:type="gramEnd"/>
      <w:r>
        <w:rPr>
          <w:lang w:val="en-IE"/>
        </w:rPr>
        <w:t xml:space="preserve"> and Sweden.</w:t>
      </w:r>
    </w:p>
  </w:footnote>
  <w:footnote w:id="28">
    <w:p w14:paraId="2BAAC90A" w14:textId="5AB80399" w:rsidR="00B12808" w:rsidRPr="003F552A" w:rsidRDefault="00B12808" w:rsidP="00B12808">
      <w:pPr>
        <w:pStyle w:val="FootnoteText"/>
      </w:pPr>
      <w:r>
        <w:rPr>
          <w:rStyle w:val="FootnoteReference"/>
        </w:rPr>
        <w:footnoteRef/>
      </w:r>
      <w:r w:rsidR="00717AD6">
        <w:t xml:space="preserve"> </w:t>
      </w:r>
      <w:r w:rsidRPr="003F552A">
        <w:t>European Commission</w:t>
      </w:r>
      <w:r w:rsidR="00930179" w:rsidRPr="00A33AA2">
        <w:t xml:space="preserve">, Directorate-General for Communications Networks, Content and Technology, </w:t>
      </w:r>
      <w:proofErr w:type="spellStart"/>
      <w:r w:rsidR="00930179" w:rsidRPr="00A33AA2">
        <w:t>Mosoreanu</w:t>
      </w:r>
      <w:proofErr w:type="spellEnd"/>
      <w:r w:rsidR="00930179" w:rsidRPr="00A33AA2">
        <w:t xml:space="preserve">, M., </w:t>
      </w:r>
      <w:proofErr w:type="spellStart"/>
      <w:r w:rsidR="00930179" w:rsidRPr="00A33AA2">
        <w:t>Podobea</w:t>
      </w:r>
      <w:proofErr w:type="spellEnd"/>
      <w:r w:rsidR="00930179" w:rsidRPr="00A33AA2">
        <w:t xml:space="preserve">, V., </w:t>
      </w:r>
      <w:proofErr w:type="spellStart"/>
      <w:r w:rsidR="00930179" w:rsidRPr="00A33AA2">
        <w:t>Ulicna</w:t>
      </w:r>
      <w:proofErr w:type="spellEnd"/>
      <w:r w:rsidR="00930179" w:rsidRPr="00A33AA2">
        <w:t>, D., et al</w:t>
      </w:r>
      <w:r w:rsidR="00A3618C">
        <w:t>.,</w:t>
      </w:r>
      <w:r w:rsidRPr="003F552A">
        <w:t xml:space="preserve"> </w:t>
      </w:r>
      <w:r w:rsidRPr="009F2C6C">
        <w:rPr>
          <w:i/>
          <w:iCs/>
        </w:rPr>
        <w:t>Study on the practical implementation of the provisions of the audiovisual media services directive concerning the promotion of European works in audiovisual media services</w:t>
      </w:r>
      <w:r w:rsidR="00930179">
        <w:rPr>
          <w:i/>
          <w:iCs/>
        </w:rPr>
        <w:t xml:space="preserve"> </w:t>
      </w:r>
      <w:r w:rsidR="00930179" w:rsidRPr="0054557A">
        <w:rPr>
          <w:i/>
          <w:iCs/>
        </w:rPr>
        <w:t>– Final report</w:t>
      </w:r>
      <w:r w:rsidR="00930179" w:rsidRPr="00A33AA2">
        <w:t>, Publications Office of the European Union, 2023</w:t>
      </w:r>
      <w:r w:rsidR="00930179">
        <w:t xml:space="preserve"> (</w:t>
      </w:r>
      <w:hyperlink r:id="rId5" w:history="1">
        <w:r w:rsidRPr="00837191">
          <w:rPr>
            <w:rStyle w:val="Hyperlink"/>
          </w:rPr>
          <w:t>https://op.europa.eu/en/publication-detail/-/publication/41f4a695-f465-11ed-a05c-01aa75ed71a1/language-en/format-PDF/source-287430951</w:t>
        </w:r>
      </w:hyperlink>
      <w:r w:rsidR="00930179">
        <w:t>)</w:t>
      </w:r>
      <w:r w:rsidR="00717AD6">
        <w:t>.</w:t>
      </w:r>
    </w:p>
  </w:footnote>
  <w:footnote w:id="29">
    <w:p w14:paraId="6C585988" w14:textId="00339234" w:rsidR="00CF0C60" w:rsidRPr="00CF0C60" w:rsidRDefault="00CF0C60">
      <w:pPr>
        <w:pStyle w:val="FootnoteText"/>
      </w:pPr>
      <w:r>
        <w:rPr>
          <w:rStyle w:val="FootnoteReference"/>
        </w:rPr>
        <w:footnoteRef/>
      </w:r>
      <w:r>
        <w:t xml:space="preserve"> </w:t>
      </w:r>
      <w:r w:rsidRPr="00CF0C60">
        <w:t xml:space="preserve">Commission </w:t>
      </w:r>
      <w:r w:rsidR="00F9268A">
        <w:t>s</w:t>
      </w:r>
      <w:r w:rsidRPr="00CF0C60">
        <w:t xml:space="preserve">taff </w:t>
      </w:r>
      <w:r w:rsidR="00F9268A">
        <w:t>w</w:t>
      </w:r>
      <w:r w:rsidRPr="00CF0C60">
        <w:t xml:space="preserve">orking </w:t>
      </w:r>
      <w:r w:rsidR="00F9268A">
        <w:t>d</w:t>
      </w:r>
      <w:r w:rsidRPr="00CF0C60">
        <w:t xml:space="preserve">ocument, </w:t>
      </w:r>
      <w:r w:rsidRPr="009F2C6C">
        <w:rPr>
          <w:i/>
          <w:iCs/>
        </w:rPr>
        <w:t>European Media Industry Outlook</w:t>
      </w:r>
      <w:r w:rsidRPr="00CF0C60">
        <w:t xml:space="preserve">, </w:t>
      </w:r>
      <w:proofErr w:type="gramStart"/>
      <w:r w:rsidRPr="00CF0C60">
        <w:t>SWD(</w:t>
      </w:r>
      <w:proofErr w:type="gramEnd"/>
      <w:r w:rsidRPr="00CF0C60">
        <w:t>2023) 150 final</w:t>
      </w:r>
      <w:r w:rsidR="00F9268A" w:rsidRPr="00CF0C60">
        <w:t>, 17.5.2023</w:t>
      </w:r>
      <w:r>
        <w:t>, p.</w:t>
      </w:r>
      <w:r w:rsidR="00F9268A">
        <w:t> </w:t>
      </w:r>
      <w:r>
        <w:t>14.</w:t>
      </w:r>
    </w:p>
  </w:footnote>
  <w:footnote w:id="30">
    <w:p w14:paraId="5884E4C8" w14:textId="68EDEFA9" w:rsidR="003C11B6" w:rsidRPr="006C5F72" w:rsidRDefault="003C11B6" w:rsidP="003C11B6">
      <w:pPr>
        <w:pStyle w:val="FootnoteText"/>
      </w:pPr>
      <w:r>
        <w:rPr>
          <w:rStyle w:val="FootnoteReference"/>
        </w:rPr>
        <w:footnoteRef/>
      </w:r>
      <w:r>
        <w:t xml:space="preserve"> Austria, Belgium (Flemish and French Communities), Bulgaria, Germany, Denmark, Greece, Finland, France, Croatia, Hungary, Italy, Latvia, Lithuania, Luxembourg, Malta, </w:t>
      </w:r>
      <w:r w:rsidR="00BF23F9">
        <w:t xml:space="preserve">the </w:t>
      </w:r>
      <w:proofErr w:type="gramStart"/>
      <w:r>
        <w:t>Netherlands</w:t>
      </w:r>
      <w:proofErr w:type="gramEnd"/>
      <w:r>
        <w:t xml:space="preserve"> and Portugal. Lithuania adopted legislation to this end on 15</w:t>
      </w:r>
      <w:r w:rsidR="00E86B1D">
        <w:t> </w:t>
      </w:r>
      <w:r>
        <w:t>December</w:t>
      </w:r>
      <w:r w:rsidR="00E86B1D">
        <w:t> </w:t>
      </w:r>
      <w:r w:rsidR="003A2211">
        <w:t>2021,</w:t>
      </w:r>
      <w:r>
        <w:t xml:space="preserve"> but it only entered into force in January</w:t>
      </w:r>
      <w:r w:rsidR="00E86B1D">
        <w:t> </w:t>
      </w:r>
      <w:r>
        <w:t>2022.</w:t>
      </w:r>
    </w:p>
  </w:footnote>
  <w:footnote w:id="31">
    <w:p w14:paraId="5DEEF307" w14:textId="77777777" w:rsidR="004841A1" w:rsidRPr="00F84454" w:rsidRDefault="004841A1" w:rsidP="004841A1">
      <w:pPr>
        <w:pStyle w:val="FootnoteText"/>
        <w:rPr>
          <w:rFonts w:cs="Arial"/>
          <w:szCs w:val="16"/>
        </w:rPr>
      </w:pPr>
      <w:r w:rsidRPr="00F84454">
        <w:rPr>
          <w:rStyle w:val="FootnoteReference"/>
          <w:rFonts w:cs="Arial"/>
          <w:szCs w:val="16"/>
        </w:rPr>
        <w:footnoteRef/>
      </w:r>
      <w:r w:rsidRPr="00F84454">
        <w:rPr>
          <w:rFonts w:cs="Arial"/>
          <w:szCs w:val="16"/>
        </w:rPr>
        <w:t xml:space="preserve"> Section 40(1) of the Audiovisual Media Services Act.</w:t>
      </w:r>
    </w:p>
  </w:footnote>
  <w:footnote w:id="32">
    <w:p w14:paraId="32EE41C3" w14:textId="77777777" w:rsidR="004841A1" w:rsidRPr="00F84454" w:rsidRDefault="004841A1" w:rsidP="004841A1">
      <w:pPr>
        <w:pStyle w:val="FootnoteText"/>
        <w:rPr>
          <w:rFonts w:cs="Arial"/>
          <w:szCs w:val="16"/>
        </w:rPr>
      </w:pPr>
      <w:r w:rsidRPr="00F84454">
        <w:rPr>
          <w:rStyle w:val="FootnoteReference"/>
          <w:rFonts w:cs="Arial"/>
          <w:szCs w:val="16"/>
        </w:rPr>
        <w:footnoteRef/>
      </w:r>
      <w:r w:rsidRPr="00F84454">
        <w:rPr>
          <w:rFonts w:cs="Arial"/>
          <w:szCs w:val="16"/>
        </w:rPr>
        <w:t xml:space="preserve"> Law amending the Act on Electronic Communications Services 917/2014.</w:t>
      </w:r>
    </w:p>
  </w:footnote>
  <w:footnote w:id="33">
    <w:p w14:paraId="795DB718" w14:textId="13A28304" w:rsidR="004841A1" w:rsidRPr="00F84454" w:rsidRDefault="004841A1" w:rsidP="004841A1">
      <w:pPr>
        <w:pStyle w:val="FootnoteText"/>
        <w:rPr>
          <w:rFonts w:cs="Arial"/>
          <w:szCs w:val="16"/>
        </w:rPr>
      </w:pPr>
      <w:r w:rsidRPr="00F84454">
        <w:rPr>
          <w:rStyle w:val="FootnoteReference"/>
          <w:rFonts w:cs="Arial"/>
          <w:szCs w:val="16"/>
        </w:rPr>
        <w:footnoteRef/>
      </w:r>
      <w:r w:rsidRPr="00F84454">
        <w:rPr>
          <w:rFonts w:cs="Arial"/>
          <w:szCs w:val="16"/>
        </w:rPr>
        <w:t xml:space="preserve"> Article 2.115 of </w:t>
      </w:r>
      <w:r w:rsidR="00E86B1D">
        <w:rPr>
          <w:rFonts w:cs="Arial"/>
          <w:szCs w:val="16"/>
        </w:rPr>
        <w:t xml:space="preserve">the </w:t>
      </w:r>
      <w:r w:rsidRPr="00F84454">
        <w:rPr>
          <w:rFonts w:cs="Arial"/>
          <w:szCs w:val="16"/>
        </w:rPr>
        <w:t>Media Act 2008.</w:t>
      </w:r>
    </w:p>
  </w:footnote>
  <w:footnote w:id="34">
    <w:p w14:paraId="1B460B15" w14:textId="77777777" w:rsidR="004841A1" w:rsidRPr="00F84454" w:rsidRDefault="004841A1" w:rsidP="004841A1">
      <w:pPr>
        <w:pStyle w:val="FootnoteText"/>
        <w:rPr>
          <w:rFonts w:cs="Arial"/>
          <w:szCs w:val="16"/>
        </w:rPr>
      </w:pPr>
      <w:r w:rsidRPr="00F84454">
        <w:rPr>
          <w:rStyle w:val="FootnoteReference"/>
          <w:rFonts w:cs="Arial"/>
          <w:szCs w:val="16"/>
        </w:rPr>
        <w:footnoteRef/>
      </w:r>
      <w:r w:rsidRPr="00F84454">
        <w:rPr>
          <w:rFonts w:cs="Arial"/>
          <w:szCs w:val="16"/>
        </w:rPr>
        <w:t xml:space="preserve"> Article 19 of the Radio and Television Act.</w:t>
      </w:r>
    </w:p>
  </w:footnote>
  <w:footnote w:id="35">
    <w:p w14:paraId="6923E5BD" w14:textId="77777777" w:rsidR="004841A1" w:rsidRPr="00F84454" w:rsidRDefault="004841A1" w:rsidP="004841A1">
      <w:pPr>
        <w:pStyle w:val="FootnoteText"/>
        <w:rPr>
          <w:rFonts w:cs="Arial"/>
          <w:szCs w:val="16"/>
        </w:rPr>
      </w:pPr>
      <w:r w:rsidRPr="00F84454">
        <w:rPr>
          <w:rStyle w:val="FootnoteReference"/>
          <w:rFonts w:cs="Arial"/>
          <w:szCs w:val="16"/>
        </w:rPr>
        <w:footnoteRef/>
      </w:r>
      <w:r w:rsidRPr="00F84454">
        <w:rPr>
          <w:rFonts w:cs="Arial"/>
          <w:szCs w:val="16"/>
        </w:rPr>
        <w:t xml:space="preserve"> Article 77 of the Interstate Media Treaty.</w:t>
      </w:r>
    </w:p>
  </w:footnote>
  <w:footnote w:id="36">
    <w:p w14:paraId="42CB8B8F" w14:textId="0B1020C2" w:rsidR="008151DA" w:rsidRPr="00197140" w:rsidRDefault="008151DA" w:rsidP="008151DA">
      <w:pPr>
        <w:pStyle w:val="FootnoteText"/>
      </w:pPr>
      <w:r w:rsidRPr="002B4941">
        <w:rPr>
          <w:rStyle w:val="FootnoteReference"/>
        </w:rPr>
        <w:footnoteRef/>
      </w:r>
      <w:r w:rsidRPr="002B4941">
        <w:t xml:space="preserve"> </w:t>
      </w:r>
      <w:r w:rsidR="003C1508">
        <w:t>Austria, Belgium (</w:t>
      </w:r>
      <w:r w:rsidRPr="002B4941">
        <w:t xml:space="preserve">French </w:t>
      </w:r>
      <w:r w:rsidR="003C1508">
        <w:t xml:space="preserve">and Flemish </w:t>
      </w:r>
      <w:r w:rsidRPr="002B4941">
        <w:t>Communit</w:t>
      </w:r>
      <w:r w:rsidR="003C1508">
        <w:t xml:space="preserve">ies), Germany, Estonia, Greece, Spain, Finland, Croatia, Hungary, Italy, Lithuania, Luxembourg, </w:t>
      </w:r>
      <w:r w:rsidR="00BF23F9">
        <w:t xml:space="preserve">the </w:t>
      </w:r>
      <w:r w:rsidR="003C1508">
        <w:t xml:space="preserve">Netherlands, </w:t>
      </w:r>
      <w:r w:rsidR="0070311C">
        <w:t xml:space="preserve">Poland, </w:t>
      </w:r>
      <w:r w:rsidR="003C1508">
        <w:t xml:space="preserve">Portugal, </w:t>
      </w:r>
      <w:proofErr w:type="gramStart"/>
      <w:r w:rsidR="003C1508">
        <w:t>Sweden</w:t>
      </w:r>
      <w:proofErr w:type="gramEnd"/>
      <w:r w:rsidR="003C1508">
        <w:t xml:space="preserve"> and Slovakia.</w:t>
      </w:r>
    </w:p>
  </w:footnote>
  <w:footnote w:id="37">
    <w:p w14:paraId="77E6C104" w14:textId="268014C6" w:rsidR="00E11ADE" w:rsidRPr="00D573C1" w:rsidRDefault="00E11ADE" w:rsidP="00E11ADE">
      <w:pPr>
        <w:pStyle w:val="FootnoteText"/>
        <w:rPr>
          <w:lang w:val="en-IE"/>
        </w:rPr>
      </w:pPr>
      <w:r>
        <w:rPr>
          <w:rStyle w:val="FootnoteReference"/>
        </w:rPr>
        <w:footnoteRef/>
      </w:r>
      <w:r>
        <w:t xml:space="preserve"> </w:t>
      </w:r>
      <w:r w:rsidRPr="003A7D23">
        <w:t xml:space="preserve">Mentioned regarding </w:t>
      </w:r>
      <w:r w:rsidR="003A7D23" w:rsidRPr="009F2C6C">
        <w:t xml:space="preserve">111 and </w:t>
      </w:r>
      <w:proofErr w:type="gramStart"/>
      <w:r w:rsidRPr="003A7D23">
        <w:t>9</w:t>
      </w:r>
      <w:r w:rsidR="003A7D23" w:rsidRPr="009F2C6C">
        <w:t>5</w:t>
      </w:r>
      <w:r w:rsidRPr="003A7D23">
        <w:t xml:space="preserve">  non</w:t>
      </w:r>
      <w:proofErr w:type="gramEnd"/>
      <w:r w:rsidRPr="003A7D23">
        <w:t>-linear services, respectively, by Member States.</w:t>
      </w:r>
    </w:p>
  </w:footnote>
  <w:footnote w:id="38">
    <w:p w14:paraId="4495AABF" w14:textId="1AA9C1D4" w:rsidR="00C12203" w:rsidRPr="00D573C1" w:rsidRDefault="00C12203">
      <w:pPr>
        <w:pStyle w:val="FootnoteText"/>
        <w:rPr>
          <w:lang w:val="en-IE"/>
        </w:rPr>
      </w:pPr>
      <w:r>
        <w:rPr>
          <w:rStyle w:val="FootnoteReference"/>
        </w:rPr>
        <w:footnoteRef/>
      </w:r>
      <w:r>
        <w:t xml:space="preserve"> </w:t>
      </w:r>
      <w:r>
        <w:rPr>
          <w:lang w:val="en-IE"/>
        </w:rPr>
        <w:t>The most popular four or five S</w:t>
      </w:r>
      <w:r w:rsidR="00E00DEB">
        <w:rPr>
          <w:lang w:val="en-IE"/>
        </w:rPr>
        <w:t>VO</w:t>
      </w:r>
      <w:r>
        <w:rPr>
          <w:lang w:val="en-IE"/>
        </w:rPr>
        <w:t xml:space="preserve">Ds were selected for 15 Member States (Austria, Czechia, Germany, Spain, France, Hungary, Italy, </w:t>
      </w:r>
      <w:r w:rsidR="00BF23F9">
        <w:rPr>
          <w:lang w:val="en-IE"/>
        </w:rPr>
        <w:t xml:space="preserve">the </w:t>
      </w:r>
      <w:r w:rsidR="003A2211">
        <w:rPr>
          <w:lang w:val="en-IE"/>
        </w:rPr>
        <w:t>Netherlands</w:t>
      </w:r>
      <w:r>
        <w:rPr>
          <w:lang w:val="en-IE"/>
        </w:rPr>
        <w:t xml:space="preserve">, Poland, Sweden, Romania, Belgium (French and Flemish Communities), Slovakia, </w:t>
      </w:r>
      <w:proofErr w:type="gramStart"/>
      <w:r>
        <w:rPr>
          <w:lang w:val="en-IE"/>
        </w:rPr>
        <w:t>Denmark</w:t>
      </w:r>
      <w:proofErr w:type="gramEnd"/>
      <w:r>
        <w:rPr>
          <w:lang w:val="en-IE"/>
        </w:rPr>
        <w:t xml:space="preserve"> and Estonia</w:t>
      </w:r>
      <w:r w:rsidR="00527C46">
        <w:rPr>
          <w:lang w:val="en-IE"/>
        </w:rPr>
        <w:t>)</w:t>
      </w:r>
      <w:r>
        <w:rPr>
          <w:lang w:val="en-IE"/>
        </w:rPr>
        <w:t>.</w:t>
      </w:r>
    </w:p>
  </w:footnote>
  <w:footnote w:id="39">
    <w:p w14:paraId="332B9A74" w14:textId="77777777" w:rsidR="00D21625" w:rsidRPr="00597E52" w:rsidRDefault="00D21625" w:rsidP="00D21625">
      <w:pPr>
        <w:pStyle w:val="FootnoteText"/>
      </w:pPr>
      <w:r>
        <w:rPr>
          <w:rStyle w:val="FootnoteReference"/>
        </w:rPr>
        <w:footnoteRef/>
      </w:r>
      <w:r>
        <w:t xml:space="preserve"> For example, 0% of the services analysed in Hungary included dedicated sections on the homepage for European works or Hungarian works, whereas the figure was 75% for Austria. At VOD level, </w:t>
      </w:r>
      <w:r w:rsidRPr="0055065A">
        <w:t xml:space="preserve">90% of the Amazon Prime and 86% of Netflix home pages included a European section whereas this was never present for </w:t>
      </w:r>
      <w:proofErr w:type="spellStart"/>
      <w:r w:rsidRPr="0055065A">
        <w:t>Voyo</w:t>
      </w:r>
      <w:proofErr w:type="spellEnd"/>
      <w:r w:rsidRPr="0055065A">
        <w:t>, Disney+, or Mubi.</w:t>
      </w:r>
    </w:p>
  </w:footnote>
  <w:footnote w:id="40">
    <w:p w14:paraId="271D1E5D" w14:textId="749506CD" w:rsidR="005C1E16" w:rsidRPr="00197140" w:rsidRDefault="005C1E16" w:rsidP="005C1E16">
      <w:pPr>
        <w:pStyle w:val="FootnoteText"/>
      </w:pPr>
      <w:r w:rsidRPr="00197140">
        <w:rPr>
          <w:rStyle w:val="FootnoteReference"/>
        </w:rPr>
        <w:footnoteRef/>
      </w:r>
      <w:r w:rsidRPr="00197140">
        <w:t xml:space="preserve"> </w:t>
      </w:r>
      <w:r>
        <w:t xml:space="preserve">Belgium, </w:t>
      </w:r>
      <w:r w:rsidR="00C5560D">
        <w:t xml:space="preserve">Croatia, France, </w:t>
      </w:r>
      <w:r>
        <w:t xml:space="preserve">Germany, Greece, Italy, </w:t>
      </w:r>
      <w:r w:rsidR="00F75C04">
        <w:t>and Poland</w:t>
      </w:r>
      <w:r w:rsidR="00F75C04" w:rsidRPr="00197140">
        <w:t>.</w:t>
      </w:r>
      <w:r w:rsidR="00F75C04">
        <w:t xml:space="preserve"> Portugal adopted measures for cross-border VOD service providers in 2020 but they only entered into force in 2022.</w:t>
      </w:r>
    </w:p>
  </w:footnote>
  <w:footnote w:id="41">
    <w:p w14:paraId="1763033A" w14:textId="16658C51" w:rsidR="005C1E16" w:rsidRPr="005C1E16" w:rsidRDefault="005C1E16">
      <w:pPr>
        <w:pStyle w:val="FootnoteText"/>
      </w:pPr>
      <w:r>
        <w:rPr>
          <w:rStyle w:val="FootnoteReference"/>
        </w:rPr>
        <w:footnoteRef/>
      </w:r>
      <w:r>
        <w:t xml:space="preserve"> Belgium (French Community)</w:t>
      </w:r>
      <w:r w:rsidR="00D803A8">
        <w:t xml:space="preserve"> and</w:t>
      </w:r>
      <w:r>
        <w:t xml:space="preserve"> France.</w:t>
      </w:r>
      <w:r w:rsidR="00CB284A">
        <w:t xml:space="preserve"> Poland </w:t>
      </w:r>
      <w:r w:rsidR="00D803A8">
        <w:t xml:space="preserve">and Portugal </w:t>
      </w:r>
      <w:r w:rsidR="00CB284A">
        <w:t xml:space="preserve">adopted measures for cross-border linear services </w:t>
      </w:r>
      <w:r w:rsidR="00D803A8">
        <w:t xml:space="preserve">during the reference </w:t>
      </w:r>
      <w:proofErr w:type="gramStart"/>
      <w:r w:rsidR="00D803A8">
        <w:t>period</w:t>
      </w:r>
      <w:proofErr w:type="gramEnd"/>
      <w:r w:rsidR="00CB284A">
        <w:t xml:space="preserve"> but they only entered into force in 2022.</w:t>
      </w:r>
    </w:p>
  </w:footnote>
  <w:footnote w:id="42">
    <w:p w14:paraId="08B02818" w14:textId="77777777" w:rsidR="00A64F65" w:rsidRPr="009F2C6C" w:rsidRDefault="00A64F65" w:rsidP="00A64F65">
      <w:pPr>
        <w:pStyle w:val="FootnoteText"/>
        <w:rPr>
          <w:lang w:val="en-IE"/>
        </w:rPr>
      </w:pPr>
      <w:r>
        <w:rPr>
          <w:rStyle w:val="FootnoteReference"/>
        </w:rPr>
        <w:footnoteRef/>
      </w:r>
      <w:r>
        <w:t xml:space="preserve"> </w:t>
      </w:r>
      <w:r w:rsidRPr="00966A8A">
        <w:rPr>
          <w:i/>
          <w:iCs/>
        </w:rPr>
        <w:t>Reporting on the application of Articles 13, 16 and 17 of Directive 2010/13/EU for the period 2015-2019 as regards non-linear services (Article 13) and linear services (Articles 16 and 17)</w:t>
      </w:r>
      <w:r w:rsidRPr="00686FB3">
        <w:t>, SWD(2023) 152 final, 17.5.2023</w:t>
      </w:r>
      <w:r>
        <w:t xml:space="preserve">, p. 5, available at: </w:t>
      </w:r>
      <w:hyperlink r:id="rId6" w:history="1">
        <w:r>
          <w:rPr>
            <w:rStyle w:val="Hyperlink"/>
          </w:rPr>
          <w:t>Commission reports on the promotion of European works by audiovisual media services | Shaping Europe’s digital future (europa.eu)</w:t>
        </w:r>
      </w:hyperlink>
      <w:r>
        <w:rPr>
          <w:rStyle w:val="Hyperlink"/>
        </w:rPr>
        <w:t>.</w:t>
      </w:r>
    </w:p>
  </w:footnote>
  <w:footnote w:id="43">
    <w:p w14:paraId="630A285C" w14:textId="277CFDA8" w:rsidR="00FA676E" w:rsidRPr="00FA676E" w:rsidRDefault="00FA676E">
      <w:pPr>
        <w:pStyle w:val="FootnoteText"/>
      </w:pPr>
      <w:r>
        <w:rPr>
          <w:rStyle w:val="FootnoteReference"/>
        </w:rPr>
        <w:footnoteRef/>
      </w:r>
      <w:r>
        <w:t xml:space="preserve"> The national law entered into force on 25</w:t>
      </w:r>
      <w:r w:rsidR="00EB7123">
        <w:t> </w:t>
      </w:r>
      <w:r>
        <w:t>December</w:t>
      </w:r>
      <w:r w:rsidR="00EB7123">
        <w:t> </w:t>
      </w:r>
      <w:r>
        <w:t>2021.</w:t>
      </w:r>
    </w:p>
  </w:footnote>
  <w:footnote w:id="44">
    <w:p w14:paraId="71BFE9A4" w14:textId="77777777" w:rsidR="00C71395" w:rsidRPr="004F1931" w:rsidRDefault="00C71395" w:rsidP="00C71395">
      <w:pPr>
        <w:pStyle w:val="FootnoteText"/>
      </w:pPr>
      <w:r>
        <w:rPr>
          <w:rStyle w:val="FootnoteReference"/>
        </w:rPr>
        <w:footnoteRef/>
      </w:r>
      <w:r>
        <w:t xml:space="preserve"> </w:t>
      </w:r>
      <w:r w:rsidRPr="009F2C6C">
        <w:rPr>
          <w:i/>
          <w:iCs/>
        </w:rPr>
        <w:t>Guidelines pursuant to Article 13(7) of the Audiovisual Media Services Directive on the calculation of the share of European works in on-demand catalogues and on the definition of low audience and low turnover</w:t>
      </w:r>
      <w:r>
        <w:t>, OJ C 223, 7.7.2020.</w:t>
      </w:r>
    </w:p>
  </w:footnote>
  <w:footnote w:id="45">
    <w:p w14:paraId="68E3258A" w14:textId="4EAA8022" w:rsidR="002C2AA5" w:rsidRPr="002C2AA5" w:rsidRDefault="002C2AA5">
      <w:pPr>
        <w:pStyle w:val="FootnoteText"/>
      </w:pPr>
      <w:r>
        <w:rPr>
          <w:rStyle w:val="FootnoteReference"/>
        </w:rPr>
        <w:footnoteRef/>
      </w:r>
      <w:r>
        <w:t xml:space="preserve"> </w:t>
      </w:r>
      <w:r w:rsidRPr="002C2AA5">
        <w:t xml:space="preserve">Commission Recommendation 2003/361/EC of 6 May 2003 concerning the definition of micro, small and medium-sized enterprises (notified under document number </w:t>
      </w:r>
      <w:proofErr w:type="gramStart"/>
      <w:r w:rsidRPr="002C2AA5">
        <w:t>C(</w:t>
      </w:r>
      <w:proofErr w:type="gramEnd"/>
      <w:r w:rsidRPr="002C2AA5">
        <w:t>2003) 1422) (OJ L 124, 20.5.2003, p. 36).</w:t>
      </w:r>
    </w:p>
  </w:footnote>
  <w:footnote w:id="46">
    <w:p w14:paraId="20B7B57D" w14:textId="79367F22" w:rsidR="00F517AF" w:rsidRPr="00100B5B" w:rsidRDefault="00F517AF" w:rsidP="00F517AF">
      <w:pPr>
        <w:pStyle w:val="FootnoteText"/>
        <w:rPr>
          <w:lang w:val="en-IE"/>
        </w:rPr>
      </w:pPr>
      <w:r>
        <w:rPr>
          <w:rStyle w:val="FootnoteReference"/>
        </w:rPr>
        <w:footnoteRef/>
      </w:r>
      <w:r>
        <w:t xml:space="preserve"> </w:t>
      </w:r>
      <w:r>
        <w:rPr>
          <w:lang w:val="en-IE"/>
        </w:rPr>
        <w:t xml:space="preserve">Austria, Belgium (Flemish Community), Bulgaria, </w:t>
      </w:r>
      <w:r w:rsidR="00F92B1E">
        <w:rPr>
          <w:lang w:val="en-IE"/>
        </w:rPr>
        <w:t>Cyprus</w:t>
      </w:r>
      <w:r>
        <w:rPr>
          <w:lang w:val="en-IE"/>
        </w:rPr>
        <w:t>, Denmark, Estonia, Finland, France, Croatia, Hungary, Italy, Lithuania, Luxembourg, Poland, Portugal, Slovenia</w:t>
      </w:r>
      <w:r w:rsidR="00F92B1E">
        <w:rPr>
          <w:lang w:val="en-IE"/>
        </w:rPr>
        <w:t>,</w:t>
      </w:r>
      <w:r>
        <w:rPr>
          <w:lang w:val="en-IE"/>
        </w:rPr>
        <w:t xml:space="preserve"> </w:t>
      </w:r>
      <w:proofErr w:type="gramStart"/>
      <w:r>
        <w:rPr>
          <w:lang w:val="en-IE"/>
        </w:rPr>
        <w:t>Slovakia</w:t>
      </w:r>
      <w:proofErr w:type="gramEnd"/>
      <w:r w:rsidR="00F92B1E">
        <w:rPr>
          <w:lang w:val="en-IE"/>
        </w:rPr>
        <w:t xml:space="preserve"> and Sweden</w:t>
      </w:r>
      <w:r>
        <w:rPr>
          <w:lang w:val="en-IE"/>
        </w:rPr>
        <w:t>.</w:t>
      </w:r>
    </w:p>
  </w:footnote>
  <w:footnote w:id="47">
    <w:p w14:paraId="1D8C1311" w14:textId="44FB05FE" w:rsidR="005832FB" w:rsidRPr="00D573C1" w:rsidRDefault="005832FB">
      <w:pPr>
        <w:pStyle w:val="FootnoteText"/>
        <w:rPr>
          <w:lang w:val="en-IE"/>
        </w:rPr>
      </w:pPr>
      <w:r>
        <w:rPr>
          <w:rStyle w:val="FootnoteReference"/>
        </w:rPr>
        <w:footnoteRef/>
      </w:r>
      <w:r>
        <w:t xml:space="preserve"> </w:t>
      </w:r>
      <w:r>
        <w:rPr>
          <w:lang w:val="en-IE"/>
        </w:rPr>
        <w:t xml:space="preserve">Belgium (French Community), Germany, Spain, </w:t>
      </w:r>
      <w:r w:rsidR="00BF23F9">
        <w:rPr>
          <w:lang w:val="en-IE"/>
        </w:rPr>
        <w:t xml:space="preserve">the </w:t>
      </w:r>
      <w:proofErr w:type="gramStart"/>
      <w:r>
        <w:rPr>
          <w:lang w:val="en-IE"/>
        </w:rPr>
        <w:t>Netherlands</w:t>
      </w:r>
      <w:proofErr w:type="gramEnd"/>
      <w:r w:rsidR="00D803A8">
        <w:rPr>
          <w:lang w:val="en-IE"/>
        </w:rPr>
        <w:t xml:space="preserve"> and</w:t>
      </w:r>
      <w:r>
        <w:rPr>
          <w:lang w:val="en-IE"/>
        </w:rPr>
        <w:t xml:space="preserve"> Romania.</w:t>
      </w:r>
    </w:p>
  </w:footnote>
  <w:footnote w:id="48">
    <w:p w14:paraId="0511C1BD" w14:textId="77777777" w:rsidR="00CB3B19" w:rsidRPr="00D573C1" w:rsidRDefault="00CB3B19" w:rsidP="00CB3B19">
      <w:pPr>
        <w:pStyle w:val="FootnoteText"/>
        <w:rPr>
          <w:lang w:val="en-IE"/>
        </w:rPr>
      </w:pPr>
      <w:r>
        <w:rPr>
          <w:rStyle w:val="FootnoteReference"/>
        </w:rPr>
        <w:footnoteRef/>
      </w:r>
      <w:r>
        <w:t xml:space="preserve"> </w:t>
      </w:r>
      <w:r>
        <w:rPr>
          <w:lang w:val="en-IE"/>
        </w:rPr>
        <w:t xml:space="preserve">Greece, Ireland, </w:t>
      </w:r>
      <w:proofErr w:type="gramStart"/>
      <w:r>
        <w:rPr>
          <w:lang w:val="en-IE"/>
        </w:rPr>
        <w:t>Latvia</w:t>
      </w:r>
      <w:proofErr w:type="gramEnd"/>
      <w:r>
        <w:rPr>
          <w:lang w:val="en-IE"/>
        </w:rPr>
        <w:t xml:space="preserve"> and Malta.</w:t>
      </w:r>
    </w:p>
  </w:footnote>
  <w:footnote w:id="49">
    <w:p w14:paraId="7E972619" w14:textId="6D21B826" w:rsidR="00337294" w:rsidRPr="00337294" w:rsidRDefault="00337294">
      <w:pPr>
        <w:pStyle w:val="FootnoteText"/>
      </w:pPr>
      <w:r>
        <w:rPr>
          <w:rStyle w:val="FootnoteReference"/>
        </w:rPr>
        <w:footnoteRef/>
      </w:r>
      <w:r>
        <w:t xml:space="preserve"> </w:t>
      </w:r>
      <w:r w:rsidR="00D83C71">
        <w:t>Bulgaria</w:t>
      </w:r>
      <w:r>
        <w:t xml:space="preserve">, Czechia, Estonia, Malta, the </w:t>
      </w:r>
      <w:proofErr w:type="gramStart"/>
      <w:r>
        <w:t>Netherlands</w:t>
      </w:r>
      <w:proofErr w:type="gramEnd"/>
      <w:r>
        <w:t xml:space="preserve"> and Slovakia</w:t>
      </w:r>
      <w:r w:rsidR="009F2F9A">
        <w:t>.</w:t>
      </w:r>
    </w:p>
  </w:footnote>
  <w:footnote w:id="50">
    <w:p w14:paraId="4959ED2A" w14:textId="77777777" w:rsidR="00CB3B19" w:rsidRPr="0096335E" w:rsidRDefault="00CB3B19" w:rsidP="00CB3B19">
      <w:pPr>
        <w:pStyle w:val="FootnoteText"/>
      </w:pPr>
      <w:r>
        <w:rPr>
          <w:rStyle w:val="FootnoteReference"/>
        </w:rPr>
        <w:footnoteRef/>
      </w:r>
      <w:r>
        <w:t xml:space="preserve"> Czechia had a maximum EUR 200 000 fine for broadcasters and EUR 40 000 for VOD service providers. Malta had a maximum EUR 300 000 fine for broadcasters and EUR 34 940 for VOD service providers. </w:t>
      </w:r>
    </w:p>
  </w:footnote>
  <w:footnote w:id="51">
    <w:p w14:paraId="05145433" w14:textId="069DBC71" w:rsidR="0096335E" w:rsidRPr="0096335E" w:rsidRDefault="0096335E">
      <w:pPr>
        <w:pStyle w:val="FootnoteText"/>
      </w:pPr>
      <w:r>
        <w:rPr>
          <w:rStyle w:val="FootnoteReference"/>
        </w:rPr>
        <w:footnoteRef/>
      </w:r>
      <w:r>
        <w:t xml:space="preserve"> Slovakia had a maximum </w:t>
      </w:r>
      <w:r w:rsidR="00191975">
        <w:t xml:space="preserve">fine of </w:t>
      </w:r>
      <w:r>
        <w:t>EUR</w:t>
      </w:r>
      <w:r w:rsidR="00191975">
        <w:t> </w:t>
      </w:r>
      <w:r>
        <w:t>6</w:t>
      </w:r>
      <w:r w:rsidR="00191975">
        <w:t> </w:t>
      </w:r>
      <w:r>
        <w:t xml:space="preserve">638 for broadcasters and </w:t>
      </w:r>
      <w:r w:rsidR="00191975">
        <w:t xml:space="preserve">of </w:t>
      </w:r>
      <w:r>
        <w:t>EUR</w:t>
      </w:r>
      <w:r w:rsidR="00191975">
        <w:t> </w:t>
      </w:r>
      <w:r w:rsidR="0006078E">
        <w:t>10</w:t>
      </w:r>
      <w:r w:rsidR="00191975">
        <w:t> </w:t>
      </w:r>
      <w:r w:rsidR="0006078E">
        <w:t>000 for VOD service providers.</w:t>
      </w:r>
    </w:p>
  </w:footnote>
  <w:footnote w:id="52">
    <w:p w14:paraId="622E8FBF" w14:textId="77777777" w:rsidR="00B97663" w:rsidRPr="0086337F" w:rsidRDefault="00B97663" w:rsidP="00B97663">
      <w:pPr>
        <w:pStyle w:val="FootnoteText"/>
      </w:pPr>
      <w:r>
        <w:rPr>
          <w:rStyle w:val="FootnoteReference"/>
        </w:rPr>
        <w:footnoteRef/>
      </w:r>
      <w:r>
        <w:t xml:space="preserve"> For more information about monitoring and control procedures of prominence of European works in national laws, please see: </w:t>
      </w:r>
      <w:r>
        <w:rPr>
          <w:lang w:val="en-IE"/>
        </w:rPr>
        <w:t xml:space="preserve">ERGA Subgroup 1 Consistent implementation and enforcement of the new Audiovisual Media Services Directive framework, Workstream 2 Technical expertise: Interpreting and providing guidance on the most complex new provisions, Report: Transposition and implementation of Article 13(1) of the new AVMSD – Ensuring prominence of European works in the catalogues of on-demand audiovisual media services (2021), </w:t>
      </w:r>
      <w:r w:rsidRPr="002408DE">
        <w:rPr>
          <w:lang w:val="en-IE"/>
        </w:rPr>
        <w:t>https://erga-online.eu/wp-content/uploads/2021/12/ERGA-SG1-2021-Report-Article-13_1.pdf</w:t>
      </w:r>
      <w:r>
        <w:rPr>
          <w:lang w:val="en-IE"/>
        </w:rPr>
        <w:t>.</w:t>
      </w:r>
    </w:p>
  </w:footnote>
  <w:footnote w:id="53">
    <w:p w14:paraId="16083375" w14:textId="6C52F664" w:rsidR="00EB538D" w:rsidRPr="00EB538D" w:rsidRDefault="00EB538D" w:rsidP="00EB538D">
      <w:pPr>
        <w:pStyle w:val="FootnoteText"/>
      </w:pPr>
      <w:r>
        <w:rPr>
          <w:rStyle w:val="FootnoteReference"/>
        </w:rPr>
        <w:footnoteRef/>
      </w:r>
      <w:r>
        <w:t xml:space="preserve"> European Audiovisual Observatory, </w:t>
      </w:r>
      <w:r w:rsidRPr="009F2C6C">
        <w:rPr>
          <w:i/>
          <w:iCs/>
        </w:rPr>
        <w:t>Yearbook 2022/2023</w:t>
      </w:r>
      <w:r w:rsidR="0099198C" w:rsidRPr="009F2C6C">
        <w:rPr>
          <w:i/>
          <w:iCs/>
        </w:rPr>
        <w:t xml:space="preserve"> </w:t>
      </w:r>
      <w:r w:rsidR="00810FA9" w:rsidRPr="009F2C6C">
        <w:rPr>
          <w:i/>
          <w:iCs/>
        </w:rPr>
        <w:t>–</w:t>
      </w:r>
      <w:r w:rsidRPr="009F2C6C">
        <w:rPr>
          <w:i/>
          <w:iCs/>
        </w:rPr>
        <w:t xml:space="preserve"> Key trends</w:t>
      </w:r>
      <w:r>
        <w:t>, available at</w:t>
      </w:r>
      <w:r w:rsidR="00810FA9">
        <w:t>:</w:t>
      </w:r>
      <w:r>
        <w:t xml:space="preserve"> </w:t>
      </w:r>
      <w:hyperlink r:id="rId7" w:history="1">
        <w:r w:rsidRPr="00622678">
          <w:rPr>
            <w:rStyle w:val="Hyperlink"/>
          </w:rPr>
          <w:t>https://rm.coe.int/yearbook-key-trends-2022-2023-en/1680aa9f02</w:t>
        </w:r>
      </w:hyperlink>
      <w:r>
        <w:t>, p. 30</w:t>
      </w:r>
      <w:r w:rsidR="007E1BE2">
        <w:t>, 47</w:t>
      </w:r>
      <w:r>
        <w:t>.</w:t>
      </w:r>
    </w:p>
  </w:footnote>
  <w:footnote w:id="54">
    <w:p w14:paraId="3B3FB772" w14:textId="29536D1B" w:rsidR="00B02DD1" w:rsidRPr="00B02DD1" w:rsidRDefault="00B02DD1" w:rsidP="00B02DD1">
      <w:pPr>
        <w:pStyle w:val="FootnoteText"/>
      </w:pPr>
      <w:r>
        <w:rPr>
          <w:rStyle w:val="FootnoteReference"/>
        </w:rPr>
        <w:footnoteRef/>
      </w:r>
      <w:r>
        <w:t xml:space="preserve"> Commission </w:t>
      </w:r>
      <w:r w:rsidR="00F9268A">
        <w:t>s</w:t>
      </w:r>
      <w:r>
        <w:t xml:space="preserve">taff </w:t>
      </w:r>
      <w:r w:rsidR="00F9268A">
        <w:t>w</w:t>
      </w:r>
      <w:r>
        <w:t xml:space="preserve">orking </w:t>
      </w:r>
      <w:r w:rsidR="00F9268A">
        <w:t>d</w:t>
      </w:r>
      <w:r>
        <w:t xml:space="preserve">ocument, </w:t>
      </w:r>
      <w:r w:rsidRPr="009F2C6C">
        <w:rPr>
          <w:i/>
          <w:iCs/>
        </w:rPr>
        <w:t>European Media Industry Outlook</w:t>
      </w:r>
      <w:r>
        <w:t xml:space="preserve">, </w:t>
      </w:r>
      <w:proofErr w:type="gramStart"/>
      <w:r>
        <w:t>SWD(</w:t>
      </w:r>
      <w:proofErr w:type="gramEnd"/>
      <w:r>
        <w:t xml:space="preserve">2023) 150 final, </w:t>
      </w:r>
      <w:r w:rsidR="00F9268A">
        <w:t xml:space="preserve">17.5.2023, </w:t>
      </w:r>
      <w:r>
        <w:t>p.</w:t>
      </w:r>
      <w:r w:rsidR="00F9268A">
        <w:t> </w:t>
      </w:r>
      <w:r>
        <w:t>13.</w:t>
      </w:r>
    </w:p>
  </w:footnote>
  <w:footnote w:id="55">
    <w:p w14:paraId="1738ABE1" w14:textId="338EB5CA" w:rsidR="00B02DD1" w:rsidRPr="00F367AB" w:rsidRDefault="00B02DD1" w:rsidP="00B02DD1">
      <w:pPr>
        <w:pStyle w:val="FootnoteText"/>
      </w:pPr>
      <w:r>
        <w:rPr>
          <w:rStyle w:val="FootnoteReference"/>
        </w:rPr>
        <w:footnoteRef/>
      </w:r>
      <w:r>
        <w:t xml:space="preserve"> </w:t>
      </w:r>
      <w:proofErr w:type="spellStart"/>
      <w:r w:rsidR="004373EA">
        <w:t>Ene</w:t>
      </w:r>
      <w:proofErr w:type="spellEnd"/>
      <w:r w:rsidR="004373EA">
        <w:t>, Laura</w:t>
      </w:r>
      <w:r w:rsidR="00810FA9">
        <w:t>,</w:t>
      </w:r>
      <w:r w:rsidR="004373EA">
        <w:t xml:space="preserve"> </w:t>
      </w:r>
      <w:r w:rsidR="004373EA" w:rsidRPr="004373EA">
        <w:t xml:space="preserve">European Audiovisual Observatory, </w:t>
      </w:r>
      <w:r w:rsidR="004373EA" w:rsidRPr="009F2C6C">
        <w:rPr>
          <w:i/>
          <w:iCs/>
        </w:rPr>
        <w:t xml:space="preserve">Top </w:t>
      </w:r>
      <w:r w:rsidR="00810FA9" w:rsidRPr="009F2C6C">
        <w:rPr>
          <w:i/>
          <w:iCs/>
        </w:rPr>
        <w:t>p</w:t>
      </w:r>
      <w:r w:rsidR="004373EA" w:rsidRPr="009F2C6C">
        <w:rPr>
          <w:i/>
          <w:iCs/>
        </w:rPr>
        <w:t xml:space="preserve">layers in the European AV industry – </w:t>
      </w:r>
      <w:r w:rsidR="00810FA9">
        <w:rPr>
          <w:i/>
          <w:iCs/>
        </w:rPr>
        <w:t>O</w:t>
      </w:r>
      <w:r w:rsidR="004373EA" w:rsidRPr="009F2C6C">
        <w:rPr>
          <w:i/>
          <w:iCs/>
        </w:rPr>
        <w:t>wnership and concentration</w:t>
      </w:r>
      <w:r w:rsidR="00810FA9">
        <w:rPr>
          <w:i/>
          <w:iCs/>
        </w:rPr>
        <w:t xml:space="preserve"> –</w:t>
      </w:r>
      <w:r w:rsidR="004373EA" w:rsidRPr="009F2C6C">
        <w:rPr>
          <w:i/>
          <w:iCs/>
        </w:rPr>
        <w:t xml:space="preserve"> 2022 Edition</w:t>
      </w:r>
      <w:r w:rsidR="00810FA9">
        <w:rPr>
          <w:i/>
          <w:iCs/>
        </w:rPr>
        <w:t>,</w:t>
      </w:r>
      <w:r w:rsidR="004373EA">
        <w:t xml:space="preserve"> slide 16,</w:t>
      </w:r>
      <w:r w:rsidR="004373EA" w:rsidRPr="004373EA">
        <w:t xml:space="preserve"> </w:t>
      </w:r>
      <w:r w:rsidR="00810FA9">
        <w:t xml:space="preserve">January 2023, </w:t>
      </w:r>
      <w:r w:rsidR="004373EA" w:rsidRPr="004373EA">
        <w:t>available at</w:t>
      </w:r>
      <w:r w:rsidR="00810FA9">
        <w:t>:</w:t>
      </w:r>
      <w:r w:rsidR="004373EA" w:rsidRPr="004373EA">
        <w:t xml:space="preserve"> </w:t>
      </w:r>
      <w:hyperlink r:id="rId8" w:history="1">
        <w:r w:rsidR="004373EA" w:rsidRPr="00484F17">
          <w:rPr>
            <w:rStyle w:val="Hyperlink"/>
          </w:rPr>
          <w:t>https://rm.coe.int/top-players-in-the-european-av-industry-2022-edition-l-ene/1680a9cb32</w:t>
        </w:r>
      </w:hyperlink>
      <w:r>
        <w:t>.</w:t>
      </w:r>
    </w:p>
  </w:footnote>
  <w:footnote w:id="56">
    <w:p w14:paraId="593C2A2C" w14:textId="312DCEB7" w:rsidR="00B02DD1" w:rsidRPr="00B02DD1" w:rsidRDefault="00B02DD1">
      <w:pPr>
        <w:pStyle w:val="FootnoteText"/>
      </w:pPr>
      <w:r>
        <w:rPr>
          <w:rStyle w:val="FootnoteReference"/>
        </w:rPr>
        <w:footnoteRef/>
      </w:r>
      <w:r>
        <w:t xml:space="preserve"> </w:t>
      </w:r>
      <w:proofErr w:type="spellStart"/>
      <w:r w:rsidR="000327B8">
        <w:t>Schneeberger</w:t>
      </w:r>
      <w:proofErr w:type="spellEnd"/>
      <w:r w:rsidR="000327B8">
        <w:t>, Agnes</w:t>
      </w:r>
      <w:r w:rsidR="00810FA9">
        <w:t>,</w:t>
      </w:r>
      <w:r w:rsidR="000327B8">
        <w:t xml:space="preserve"> European Audiovisual Observatory, </w:t>
      </w:r>
      <w:r w:rsidR="000327B8" w:rsidRPr="009F2C6C">
        <w:rPr>
          <w:i/>
          <w:iCs/>
        </w:rPr>
        <w:t xml:space="preserve">Audiovisual </w:t>
      </w:r>
      <w:r w:rsidR="00810FA9" w:rsidRPr="009F2C6C">
        <w:rPr>
          <w:i/>
          <w:iCs/>
        </w:rPr>
        <w:t>m</w:t>
      </w:r>
      <w:r w:rsidR="000327B8" w:rsidRPr="009F2C6C">
        <w:rPr>
          <w:i/>
          <w:iCs/>
        </w:rPr>
        <w:t xml:space="preserve">edia </w:t>
      </w:r>
      <w:r w:rsidR="00810FA9" w:rsidRPr="009F2C6C">
        <w:rPr>
          <w:i/>
          <w:iCs/>
        </w:rPr>
        <w:t>s</w:t>
      </w:r>
      <w:r w:rsidR="000327B8" w:rsidRPr="009F2C6C">
        <w:rPr>
          <w:i/>
          <w:iCs/>
        </w:rPr>
        <w:t>ervices in Europe – 2022 edition</w:t>
      </w:r>
      <w:r w:rsidR="000327B8">
        <w:t xml:space="preserve">, January 2023, available at: </w:t>
      </w:r>
      <w:hyperlink r:id="rId9" w:history="1">
        <w:r w:rsidR="000327B8" w:rsidRPr="00622678">
          <w:rPr>
            <w:rStyle w:val="Hyperlink"/>
          </w:rPr>
          <w:t>https://rm.coe.int/audiovisual-media-services-in-europe-2022-edition-a-schneeberger/1680a99e7d</w:t>
        </w:r>
      </w:hyperlink>
      <w:r w:rsidR="000327B8">
        <w:t>.</w:t>
      </w:r>
    </w:p>
  </w:footnote>
  <w:footnote w:id="57">
    <w:p w14:paraId="2A5F5249" w14:textId="5B17B2B7" w:rsidR="00855A25" w:rsidRPr="00855A25" w:rsidRDefault="00855A25">
      <w:pPr>
        <w:pStyle w:val="FootnoteText"/>
        <w:rPr>
          <w:lang w:val="en-IE"/>
        </w:rPr>
      </w:pPr>
      <w:r>
        <w:rPr>
          <w:rStyle w:val="FootnoteReference"/>
        </w:rPr>
        <w:footnoteRef/>
      </w:r>
      <w:r>
        <w:t xml:space="preserve"> </w:t>
      </w:r>
      <w:r w:rsidR="00956275">
        <w:t xml:space="preserve">European Audiovisual Observatory, </w:t>
      </w:r>
      <w:r w:rsidR="00956275" w:rsidRPr="009F2C6C">
        <w:rPr>
          <w:i/>
          <w:iCs/>
        </w:rPr>
        <w:t>Yearbook 2020/2021</w:t>
      </w:r>
      <w:r w:rsidR="0099198C" w:rsidRPr="009F2C6C">
        <w:rPr>
          <w:i/>
          <w:iCs/>
        </w:rPr>
        <w:t xml:space="preserve"> – Key trends</w:t>
      </w:r>
      <w:r w:rsidR="00956275">
        <w:t xml:space="preserve">, </w:t>
      </w:r>
      <w:r w:rsidR="0099198C">
        <w:t>available at</w:t>
      </w:r>
      <w:r w:rsidR="00810FA9">
        <w:t>:</w:t>
      </w:r>
      <w:r w:rsidR="0099198C">
        <w:t xml:space="preserve"> </w:t>
      </w:r>
      <w:hyperlink r:id="rId10" w:history="1">
        <w:r w:rsidR="0099198C" w:rsidRPr="007A5DF8">
          <w:rPr>
            <w:rStyle w:val="Hyperlink"/>
          </w:rPr>
          <w:t>https://rm.coe.int/yearbook-key-trends-2020-2021-en/1680a26056</w:t>
        </w:r>
      </w:hyperlink>
      <w:r w:rsidR="00956275">
        <w:t>, p. 26.</w:t>
      </w:r>
    </w:p>
  </w:footnote>
  <w:footnote w:id="58">
    <w:p w14:paraId="3A0E97CE" w14:textId="77777777" w:rsidR="003C21C4" w:rsidRPr="00197140" w:rsidRDefault="003C21C4" w:rsidP="003C21C4">
      <w:pPr>
        <w:pStyle w:val="FootnoteText"/>
      </w:pPr>
      <w:r w:rsidRPr="00197140">
        <w:rPr>
          <w:rStyle w:val="FootnoteReference"/>
        </w:rPr>
        <w:footnoteRef/>
      </w:r>
      <w:r w:rsidRPr="00197140">
        <w:t xml:space="preserve"> </w:t>
      </w:r>
      <w:hyperlink r:id="rId11" w:history="1">
        <w:r w:rsidRPr="00197140">
          <w:rPr>
            <w:rStyle w:val="Hyperlink"/>
          </w:rPr>
          <w:t>https://digital-strategy.ec.europa.eu/en/library/revised-guidelines-monitoring-application-articles-16-and-17-audiovisual-media-services-avms</w:t>
        </w:r>
      </w:hyperlink>
    </w:p>
  </w:footnote>
  <w:footnote w:id="59">
    <w:p w14:paraId="29016584" w14:textId="456015A7" w:rsidR="00E70A9A" w:rsidRPr="00D573C1" w:rsidRDefault="00E70A9A">
      <w:pPr>
        <w:pStyle w:val="FootnoteText"/>
        <w:rPr>
          <w:lang w:val="en-IE"/>
        </w:rPr>
      </w:pPr>
      <w:r>
        <w:rPr>
          <w:rStyle w:val="FootnoteReference"/>
        </w:rPr>
        <w:footnoteRef/>
      </w:r>
      <w:r>
        <w:t xml:space="preserve"> </w:t>
      </w:r>
      <w:proofErr w:type="gramStart"/>
      <w:r w:rsidR="003A2211">
        <w:t>E</w:t>
      </w:r>
      <w:r w:rsidR="003A2211" w:rsidRPr="00E70A9A">
        <w:t>.g.</w:t>
      </w:r>
      <w:proofErr w:type="gramEnd"/>
      <w:r w:rsidRPr="00E70A9A">
        <w:t xml:space="preserve"> </w:t>
      </w:r>
      <w:r w:rsidRPr="009136CE">
        <w:t xml:space="preserve">Germany, Greece, </w:t>
      </w:r>
      <w:r w:rsidR="003D5019" w:rsidRPr="009136CE">
        <w:t>Spain</w:t>
      </w:r>
      <w:r w:rsidR="003D5019">
        <w:t>,</w:t>
      </w:r>
      <w:r w:rsidR="003D5019" w:rsidRPr="009136CE">
        <w:t xml:space="preserve"> </w:t>
      </w:r>
      <w:r w:rsidRPr="009136CE">
        <w:t xml:space="preserve">Finland, Croatia, Italy, Lithuania, Luxembourg, </w:t>
      </w:r>
      <w:r w:rsidR="00BF23F9">
        <w:t xml:space="preserve">the </w:t>
      </w:r>
      <w:r w:rsidRPr="009136CE">
        <w:t xml:space="preserve">Netherlands, Poland, </w:t>
      </w:r>
      <w:r w:rsidRPr="00E70A9A">
        <w:t>Sweden</w:t>
      </w:r>
      <w:r w:rsidR="003D5019">
        <w:t xml:space="preserve"> and</w:t>
      </w:r>
      <w:r w:rsidRPr="009136CE">
        <w:t xml:space="preserve"> Slovenia</w:t>
      </w:r>
      <w:r w:rsidR="001A5760">
        <w:t>.</w:t>
      </w:r>
    </w:p>
  </w:footnote>
  <w:footnote w:id="60">
    <w:p w14:paraId="1E554A22" w14:textId="77777777" w:rsidR="00DA11F2" w:rsidRPr="00D573C1" w:rsidRDefault="00DA11F2" w:rsidP="00DA11F2">
      <w:pPr>
        <w:pStyle w:val="FootnoteText"/>
        <w:rPr>
          <w:lang w:val="en-IE"/>
        </w:rPr>
      </w:pPr>
      <w:r w:rsidRPr="001A5760">
        <w:rPr>
          <w:rStyle w:val="FootnoteReference"/>
        </w:rPr>
        <w:footnoteRef/>
      </w:r>
      <w:r w:rsidRPr="001A5760">
        <w:t xml:space="preserve"> </w:t>
      </w:r>
      <w:proofErr w:type="gramStart"/>
      <w:r>
        <w:t>E.g.</w:t>
      </w:r>
      <w:proofErr w:type="gramEnd"/>
      <w:r>
        <w:t xml:space="preserve"> </w:t>
      </w:r>
      <w:r w:rsidRPr="00D573C1">
        <w:t>Austria, Denmark, Greece, Hungary, Luxembourg, Slovakia and Slovenia</w:t>
      </w:r>
      <w:r w:rsidRPr="001A5760">
        <w:t>.</w:t>
      </w:r>
    </w:p>
  </w:footnote>
  <w:footnote w:id="61">
    <w:p w14:paraId="3F4ACE29" w14:textId="77777777" w:rsidR="00DA11F2" w:rsidRPr="00D573C1" w:rsidRDefault="00DA11F2" w:rsidP="00DA11F2">
      <w:pPr>
        <w:pStyle w:val="FootnoteText"/>
        <w:rPr>
          <w:lang w:val="en-IE"/>
        </w:rPr>
      </w:pPr>
      <w:r w:rsidRPr="001A5760">
        <w:rPr>
          <w:rStyle w:val="FootnoteReference"/>
        </w:rPr>
        <w:footnoteRef/>
      </w:r>
      <w:r w:rsidRPr="001A5760">
        <w:t xml:space="preserve"> </w:t>
      </w:r>
      <w:proofErr w:type="gramStart"/>
      <w:r>
        <w:t>E</w:t>
      </w:r>
      <w:r w:rsidRPr="00D573C1">
        <w:t>.g.</w:t>
      </w:r>
      <w:proofErr w:type="gramEnd"/>
      <w:r w:rsidRPr="00D573C1">
        <w:t xml:space="preserve"> Belgium (French and Flemish Communities), Bulgaria, Cyprus, Czechia, Germany, Denmark, Greece, Finland, France, Croatia, Ireland, Poland, Romania, Sweden</w:t>
      </w:r>
      <w:r>
        <w:t xml:space="preserve"> and</w:t>
      </w:r>
      <w:r w:rsidRPr="00D573C1">
        <w:t xml:space="preserve"> Slovenia</w:t>
      </w:r>
      <w:r w:rsidRPr="001A5760">
        <w:t>.</w:t>
      </w:r>
    </w:p>
  </w:footnote>
  <w:footnote w:id="62">
    <w:p w14:paraId="344325AF" w14:textId="77777777" w:rsidR="00DA11F2" w:rsidRPr="00D573C1" w:rsidRDefault="00DA11F2" w:rsidP="00DA11F2">
      <w:pPr>
        <w:pStyle w:val="FootnoteText"/>
        <w:rPr>
          <w:lang w:val="en-IE"/>
        </w:rPr>
      </w:pPr>
      <w:r w:rsidRPr="001A5760">
        <w:rPr>
          <w:rStyle w:val="FootnoteReference"/>
        </w:rPr>
        <w:footnoteRef/>
      </w:r>
      <w:r w:rsidRPr="001A5760">
        <w:t xml:space="preserve"> </w:t>
      </w:r>
      <w:proofErr w:type="gramStart"/>
      <w:r>
        <w:t>E.g.</w:t>
      </w:r>
      <w:proofErr w:type="gramEnd"/>
      <w:r>
        <w:t xml:space="preserve"> </w:t>
      </w:r>
      <w:r w:rsidRPr="00D573C1">
        <w:t>Czechia, Germany, Poland, Romania, Sweden and Slovenia</w:t>
      </w:r>
      <w:r w:rsidRPr="001A5760">
        <w:t>.</w:t>
      </w:r>
    </w:p>
  </w:footnote>
  <w:footnote w:id="63">
    <w:p w14:paraId="75E987F9" w14:textId="77777777" w:rsidR="00DA11F2" w:rsidRPr="00D573C1" w:rsidRDefault="00DA11F2" w:rsidP="00DA11F2">
      <w:pPr>
        <w:pStyle w:val="FootnoteText"/>
        <w:rPr>
          <w:lang w:val="en-IE"/>
        </w:rPr>
      </w:pPr>
      <w:r>
        <w:rPr>
          <w:rStyle w:val="FootnoteReference"/>
        </w:rPr>
        <w:footnoteRef/>
      </w:r>
      <w:r>
        <w:t xml:space="preserve"> </w:t>
      </w:r>
      <w:proofErr w:type="gramStart"/>
      <w:r>
        <w:rPr>
          <w:lang w:val="en-IE"/>
        </w:rPr>
        <w:t>E.g.</w:t>
      </w:r>
      <w:proofErr w:type="gramEnd"/>
      <w:r>
        <w:rPr>
          <w:lang w:val="en-IE"/>
        </w:rPr>
        <w:t xml:space="preserve"> Hungary and Slovakia.</w:t>
      </w:r>
    </w:p>
  </w:footnote>
  <w:footnote w:id="64">
    <w:p w14:paraId="1B1251C5" w14:textId="77777777" w:rsidR="00DA11F2" w:rsidRPr="00D573C1" w:rsidRDefault="00DA11F2" w:rsidP="00DA11F2">
      <w:pPr>
        <w:pStyle w:val="FootnoteText"/>
        <w:rPr>
          <w:lang w:val="en-IE"/>
        </w:rPr>
      </w:pPr>
      <w:r>
        <w:rPr>
          <w:rStyle w:val="FootnoteReference"/>
        </w:rPr>
        <w:footnoteRef/>
      </w:r>
      <w:r>
        <w:t xml:space="preserve"> </w:t>
      </w:r>
      <w:r>
        <w:rPr>
          <w:lang w:val="en-IE"/>
        </w:rPr>
        <w:t>Ireland.</w:t>
      </w:r>
    </w:p>
  </w:footnote>
  <w:footnote w:id="65">
    <w:p w14:paraId="28D7C537" w14:textId="77777777" w:rsidR="00DA11F2" w:rsidRPr="00D573C1" w:rsidRDefault="00DA11F2" w:rsidP="00DA11F2">
      <w:pPr>
        <w:pStyle w:val="FootnoteText"/>
        <w:rPr>
          <w:lang w:val="en-IE"/>
        </w:rPr>
      </w:pPr>
      <w:r>
        <w:rPr>
          <w:rStyle w:val="FootnoteReference"/>
        </w:rPr>
        <w:footnoteRef/>
      </w:r>
      <w:r>
        <w:t xml:space="preserve"> </w:t>
      </w:r>
      <w:r>
        <w:rPr>
          <w:lang w:val="en-IE"/>
        </w:rPr>
        <w:t>France.</w:t>
      </w:r>
    </w:p>
  </w:footnote>
  <w:footnote w:id="66">
    <w:p w14:paraId="78B58FDE" w14:textId="77777777" w:rsidR="00DA11F2" w:rsidRPr="00D573C1" w:rsidRDefault="00DA11F2" w:rsidP="00DA11F2">
      <w:pPr>
        <w:pStyle w:val="FootnoteText"/>
        <w:rPr>
          <w:lang w:val="en-IE"/>
        </w:rPr>
      </w:pPr>
      <w:r>
        <w:rPr>
          <w:rStyle w:val="FootnoteReference"/>
        </w:rPr>
        <w:footnoteRef/>
      </w:r>
      <w:r>
        <w:t xml:space="preserve"> </w:t>
      </w:r>
      <w:r>
        <w:rPr>
          <w:lang w:val="en-IE"/>
        </w:rPr>
        <w:t>Greece.</w:t>
      </w:r>
    </w:p>
  </w:footnote>
  <w:footnote w:id="67">
    <w:p w14:paraId="734E108D" w14:textId="7BE8811E" w:rsidR="00DA11F2" w:rsidRPr="00A87FB0" w:rsidRDefault="00DA11F2">
      <w:pPr>
        <w:pStyle w:val="FootnoteText"/>
        <w:rPr>
          <w:lang w:val="en-IE"/>
        </w:rPr>
      </w:pPr>
      <w:r>
        <w:rPr>
          <w:rStyle w:val="FootnoteReference"/>
        </w:rPr>
        <w:footnoteRef/>
      </w:r>
      <w:r>
        <w:t xml:space="preserve"> </w:t>
      </w:r>
      <w:r>
        <w:rPr>
          <w:lang w:val="en-IE"/>
        </w:rPr>
        <w:t>Sweden.</w:t>
      </w:r>
    </w:p>
  </w:footnote>
  <w:footnote w:id="68">
    <w:p w14:paraId="52025DC5" w14:textId="122B72F9" w:rsidR="009347F5" w:rsidRPr="009347F5" w:rsidRDefault="009347F5">
      <w:pPr>
        <w:pStyle w:val="FootnoteText"/>
        <w:rPr>
          <w:lang w:val="en-IE"/>
        </w:rPr>
      </w:pPr>
      <w:r>
        <w:rPr>
          <w:rStyle w:val="FootnoteReference"/>
        </w:rPr>
        <w:footnoteRef/>
      </w:r>
      <w:r>
        <w:t xml:space="preserve"> </w:t>
      </w:r>
      <w:r w:rsidRPr="009F2C6C">
        <w:rPr>
          <w:i/>
          <w:iCs/>
        </w:rPr>
        <w:t>Reporting on the application of Articles 13, 16 and 17 of Directive 2010/13/EU for the period 2015-2019 as regards non-linear services (Article 13) and linear services (Articles 16 and 17)</w:t>
      </w:r>
      <w:r w:rsidRPr="009347F5">
        <w:t>, SWD(2023) 152 final, 17.5.2023</w:t>
      </w:r>
      <w:r w:rsidR="00E00DEB">
        <w:t>, p.</w:t>
      </w:r>
      <w:r w:rsidR="000627E2">
        <w:t> </w:t>
      </w:r>
      <w:r w:rsidR="00E00DEB">
        <w:t>10</w:t>
      </w:r>
      <w:r w:rsidR="00DF4ABA">
        <w:t xml:space="preserve">, available at: </w:t>
      </w:r>
      <w:hyperlink r:id="rId12" w:history="1">
        <w:r w:rsidR="00DF4ABA">
          <w:rPr>
            <w:rStyle w:val="Hyperlink"/>
          </w:rPr>
          <w:t>Commission reports on the promotion of European works by audiovisual media services | Shaping Europe’s digital future (europa.eu)</w:t>
        </w:r>
      </w:hyperlink>
      <w:r w:rsidRPr="009347F5">
        <w:t>.</w:t>
      </w:r>
    </w:p>
  </w:footnote>
  <w:footnote w:id="69">
    <w:p w14:paraId="40B3DE73" w14:textId="27E682FD" w:rsidR="00AA57CC" w:rsidRPr="00197140" w:rsidRDefault="00AA57CC" w:rsidP="00AA57CC">
      <w:pPr>
        <w:pStyle w:val="FootnoteText"/>
      </w:pPr>
      <w:r w:rsidRPr="00197140">
        <w:rPr>
          <w:rStyle w:val="FootnoteReference"/>
        </w:rPr>
        <w:footnoteRef/>
      </w:r>
      <w:r w:rsidRPr="00197140">
        <w:t xml:space="preserve"> Flemish Community.</w:t>
      </w:r>
    </w:p>
  </w:footnote>
  <w:footnote w:id="70">
    <w:p w14:paraId="68529F5C" w14:textId="5A46D12F" w:rsidR="00A36C70" w:rsidRPr="00A36C70" w:rsidRDefault="00A36C70">
      <w:pPr>
        <w:pStyle w:val="FootnoteText"/>
      </w:pPr>
      <w:r>
        <w:rPr>
          <w:rStyle w:val="FootnoteReference"/>
        </w:rPr>
        <w:footnoteRef/>
      </w:r>
      <w:r>
        <w:t xml:space="preserve"> Austria, Cyprus, Greece, </w:t>
      </w:r>
      <w:proofErr w:type="gramStart"/>
      <w:r>
        <w:t>Croatia</w:t>
      </w:r>
      <w:proofErr w:type="gramEnd"/>
      <w:r>
        <w:t xml:space="preserve"> and Sweden.</w:t>
      </w:r>
    </w:p>
  </w:footnote>
  <w:footnote w:id="71">
    <w:p w14:paraId="73630D2F" w14:textId="052FEF9D" w:rsidR="00FE2B27" w:rsidRPr="00FE2B27" w:rsidRDefault="00FE2B27">
      <w:pPr>
        <w:pStyle w:val="FootnoteText"/>
      </w:pPr>
      <w:r>
        <w:rPr>
          <w:rStyle w:val="FootnoteReference"/>
        </w:rPr>
        <w:footnoteRef/>
      </w:r>
      <w:r>
        <w:t xml:space="preserve"> Lithuania, </w:t>
      </w:r>
      <w:proofErr w:type="gramStart"/>
      <w:r>
        <w:t>Poland</w:t>
      </w:r>
      <w:proofErr w:type="gramEnd"/>
      <w:r>
        <w:t xml:space="preserve"> and Portugal.</w:t>
      </w:r>
    </w:p>
  </w:footnote>
  <w:footnote w:id="72">
    <w:p w14:paraId="4C6A77D4" w14:textId="513BF728" w:rsidR="00FE2B27" w:rsidRPr="00FE2B27" w:rsidRDefault="00FE2B27">
      <w:pPr>
        <w:pStyle w:val="FootnoteText"/>
      </w:pPr>
      <w:r>
        <w:rPr>
          <w:rStyle w:val="FootnoteReference"/>
        </w:rPr>
        <w:footnoteRef/>
      </w:r>
      <w:r>
        <w:t xml:space="preserve"> Austria, Belgium, Cyprus, Czechia, Estonia, Greece, Spain, France, Croatia, Ireland, Italy, Lithuania, Luxembourg, Latvia, Malta, </w:t>
      </w:r>
      <w:r w:rsidR="00BF23F9">
        <w:t xml:space="preserve">the </w:t>
      </w:r>
      <w:r>
        <w:t xml:space="preserve">Netherlands (for public broadcasters), Poland, </w:t>
      </w:r>
      <w:proofErr w:type="gramStart"/>
      <w:r>
        <w:t>Sweden</w:t>
      </w:r>
      <w:proofErr w:type="gramEnd"/>
      <w:r>
        <w:t xml:space="preserve"> and Slovenia.</w:t>
      </w:r>
    </w:p>
  </w:footnote>
  <w:footnote w:id="73">
    <w:p w14:paraId="07B846D1" w14:textId="77CD3E6C" w:rsidR="00FE2B27" w:rsidRPr="00FE2B27" w:rsidRDefault="00FE2B27">
      <w:pPr>
        <w:pStyle w:val="FootnoteText"/>
      </w:pPr>
      <w:r>
        <w:rPr>
          <w:rStyle w:val="FootnoteReference"/>
        </w:rPr>
        <w:footnoteRef/>
      </w:r>
      <w:r>
        <w:t xml:space="preserve"> Belgium, Croatia, Italy, </w:t>
      </w:r>
      <w:proofErr w:type="gramStart"/>
      <w:r>
        <w:t>Latvia</w:t>
      </w:r>
      <w:proofErr w:type="gramEnd"/>
      <w:r>
        <w:t xml:space="preserve"> and Poland.</w:t>
      </w:r>
    </w:p>
  </w:footnote>
  <w:footnote w:id="74">
    <w:p w14:paraId="5EE3BC50" w14:textId="5A494B45" w:rsidR="00FE2B27" w:rsidRPr="00FE2B27" w:rsidRDefault="00FE2B27">
      <w:pPr>
        <w:pStyle w:val="FootnoteText"/>
      </w:pPr>
      <w:r>
        <w:rPr>
          <w:rStyle w:val="FootnoteReference"/>
        </w:rPr>
        <w:footnoteRef/>
      </w:r>
      <w:r>
        <w:t xml:space="preserve"> Germany (for public broadcasters), Denmark, </w:t>
      </w:r>
      <w:proofErr w:type="gramStart"/>
      <w:r>
        <w:t>Finland</w:t>
      </w:r>
      <w:proofErr w:type="gramEnd"/>
      <w:r>
        <w:t xml:space="preserve"> and the Netherlands (for commercial broadcasters).</w:t>
      </w:r>
    </w:p>
  </w:footnote>
  <w:footnote w:id="75">
    <w:p w14:paraId="53874D9A" w14:textId="645DE7DB" w:rsidR="00FE2B27" w:rsidRPr="00FE2B27" w:rsidRDefault="00FE2B27">
      <w:pPr>
        <w:pStyle w:val="FootnoteText"/>
      </w:pPr>
      <w:r>
        <w:rPr>
          <w:rStyle w:val="FootnoteReference"/>
        </w:rPr>
        <w:footnoteRef/>
      </w:r>
      <w:r>
        <w:t xml:space="preserve"> Bulgaria, Germany (for commercial broadcasters) and Slovakia.</w:t>
      </w:r>
    </w:p>
  </w:footnote>
  <w:footnote w:id="76">
    <w:p w14:paraId="6C817487" w14:textId="3E034256" w:rsidR="00FE2B27" w:rsidRPr="00FE2B27" w:rsidRDefault="00FE2B27">
      <w:pPr>
        <w:pStyle w:val="FootnoteText"/>
      </w:pPr>
      <w:r>
        <w:rPr>
          <w:rStyle w:val="FootnoteReference"/>
        </w:rPr>
        <w:footnoteRef/>
      </w:r>
      <w:r w:rsidRPr="00FE2B27">
        <w:t xml:space="preserve"> </w:t>
      </w:r>
      <w:r w:rsidRPr="00D573C1">
        <w:t>A</w:t>
      </w:r>
      <w:r w:rsidRPr="00FE2B27">
        <w:t xml:space="preserve">ustria, </w:t>
      </w:r>
      <w:r w:rsidRPr="00D573C1">
        <w:t>Bulgaria, Germany, Denmark</w:t>
      </w:r>
      <w:r>
        <w:t xml:space="preserve">, Estonia, Greece, Spain, Finland, Croatia, Hungary, Lithuania, Luxembourg, Malta, the Netherlands, Poland, Portugal, Romania, Sweden, </w:t>
      </w:r>
      <w:proofErr w:type="gramStart"/>
      <w:r>
        <w:t>Slovenia</w:t>
      </w:r>
      <w:proofErr w:type="gramEnd"/>
      <w:r>
        <w:t xml:space="preserve"> and Slovakia.</w:t>
      </w:r>
    </w:p>
  </w:footnote>
  <w:footnote w:id="77">
    <w:p w14:paraId="3F6562FD" w14:textId="67B34B0B" w:rsidR="00FE2B27" w:rsidRPr="00FE2B27" w:rsidRDefault="00FE2B27">
      <w:pPr>
        <w:pStyle w:val="FootnoteText"/>
      </w:pPr>
      <w:r>
        <w:rPr>
          <w:rStyle w:val="FootnoteReference"/>
        </w:rPr>
        <w:footnoteRef/>
      </w:r>
      <w:r>
        <w:t xml:space="preserve"> Cyprus, Czechia, </w:t>
      </w:r>
      <w:proofErr w:type="gramStart"/>
      <w:r>
        <w:t>Ireland</w:t>
      </w:r>
      <w:proofErr w:type="gramEnd"/>
      <w:r>
        <w:t xml:space="preserve"> and Latvia.</w:t>
      </w:r>
    </w:p>
  </w:footnote>
  <w:footnote w:id="78">
    <w:p w14:paraId="79F043DD" w14:textId="6F8A5224" w:rsidR="00FE2B27" w:rsidRPr="00FE2B27" w:rsidRDefault="00FE2B27">
      <w:pPr>
        <w:pStyle w:val="FootnoteText"/>
      </w:pPr>
      <w:r>
        <w:rPr>
          <w:rStyle w:val="FootnoteReference"/>
        </w:rPr>
        <w:footnoteRef/>
      </w:r>
      <w:r>
        <w:t xml:space="preserve"> Spain, </w:t>
      </w:r>
      <w:proofErr w:type="gramStart"/>
      <w:r>
        <w:t>France</w:t>
      </w:r>
      <w:proofErr w:type="gramEnd"/>
      <w:r>
        <w:t xml:space="preserve"> and Italy.</w:t>
      </w:r>
    </w:p>
  </w:footnote>
  <w:footnote w:id="79">
    <w:p w14:paraId="518DDC82" w14:textId="1C26B43E" w:rsidR="009F0299" w:rsidRPr="009F0299" w:rsidRDefault="009F0299">
      <w:pPr>
        <w:pStyle w:val="FootnoteText"/>
      </w:pPr>
      <w:r>
        <w:rPr>
          <w:rStyle w:val="FootnoteReference"/>
        </w:rPr>
        <w:footnoteRef/>
      </w:r>
      <w:r>
        <w:t xml:space="preserve"> Austria, Belgium, Bulgaria, Cyprus, Germany, Denmark, Greece, Finland, Hungary, Ireland, Lithuania, Luxembourg, Latvia, Malta, the Netherlands, </w:t>
      </w:r>
      <w:proofErr w:type="gramStart"/>
      <w:r>
        <w:t>Slovenia</w:t>
      </w:r>
      <w:proofErr w:type="gramEnd"/>
      <w:r>
        <w:t xml:space="preserve"> and Slovakia.</w:t>
      </w:r>
    </w:p>
  </w:footnote>
  <w:footnote w:id="80">
    <w:p w14:paraId="43E488FA" w14:textId="363F6320" w:rsidR="009F0299" w:rsidRPr="009F0299" w:rsidRDefault="009F0299">
      <w:pPr>
        <w:pStyle w:val="FootnoteText"/>
      </w:pPr>
      <w:r>
        <w:rPr>
          <w:rStyle w:val="FootnoteReference"/>
        </w:rPr>
        <w:footnoteRef/>
      </w:r>
      <w:r>
        <w:t xml:space="preserve"> Czechia, </w:t>
      </w:r>
      <w:proofErr w:type="gramStart"/>
      <w:r>
        <w:t>Poland</w:t>
      </w:r>
      <w:proofErr w:type="gramEnd"/>
      <w:r>
        <w:t xml:space="preserve"> and Portugal.</w:t>
      </w:r>
    </w:p>
  </w:footnote>
  <w:footnote w:id="81">
    <w:p w14:paraId="582682F9" w14:textId="323F391D" w:rsidR="009F0299" w:rsidRPr="009F0299" w:rsidRDefault="009F0299">
      <w:pPr>
        <w:pStyle w:val="FootnoteText"/>
      </w:pPr>
      <w:r>
        <w:rPr>
          <w:rStyle w:val="FootnoteReference"/>
        </w:rPr>
        <w:footnoteRef/>
      </w:r>
      <w:r>
        <w:t xml:space="preserve"> Estonia, Spain, France, Croatia, Italy, </w:t>
      </w:r>
      <w:proofErr w:type="gramStart"/>
      <w:r>
        <w:t>Romania</w:t>
      </w:r>
      <w:proofErr w:type="gramEnd"/>
      <w:r>
        <w:t xml:space="preserve"> and Sweden.</w:t>
      </w:r>
    </w:p>
  </w:footnote>
  <w:footnote w:id="82">
    <w:p w14:paraId="23538318" w14:textId="4D9B9E82" w:rsidR="008E07A0" w:rsidRPr="008E07A0" w:rsidRDefault="008E07A0">
      <w:pPr>
        <w:pStyle w:val="FootnoteText"/>
      </w:pPr>
      <w:r>
        <w:rPr>
          <w:rStyle w:val="FootnoteReference"/>
        </w:rPr>
        <w:footnoteRef/>
      </w:r>
      <w:r>
        <w:t xml:space="preserve"> </w:t>
      </w:r>
      <w:r w:rsidRPr="008E07A0">
        <w:t xml:space="preserve">This is referred to as </w:t>
      </w:r>
      <w:r w:rsidR="008B260A">
        <w:t>‘</w:t>
      </w:r>
      <w:r w:rsidRPr="008E07A0">
        <w:t>qualifying</w:t>
      </w:r>
      <w:r w:rsidR="000E09CA">
        <w:t xml:space="preserve"> </w:t>
      </w:r>
      <w:r w:rsidRPr="008E07A0">
        <w:t>time</w:t>
      </w:r>
      <w:r w:rsidR="008B260A">
        <w:t>’</w:t>
      </w:r>
      <w:r w:rsidRPr="008E07A0">
        <w:t xml:space="preserve"> in this report.</w:t>
      </w:r>
    </w:p>
  </w:footnote>
  <w:footnote w:id="83">
    <w:p w14:paraId="25B43540" w14:textId="661CAFF9" w:rsidR="00E57AB9" w:rsidRPr="00D573C1" w:rsidRDefault="00E57AB9">
      <w:pPr>
        <w:pStyle w:val="FootnoteText"/>
        <w:rPr>
          <w:lang w:val="en-IE"/>
        </w:rPr>
      </w:pPr>
      <w:r>
        <w:rPr>
          <w:rStyle w:val="FootnoteReference"/>
        </w:rPr>
        <w:footnoteRef/>
      </w:r>
      <w:r>
        <w:t xml:space="preserve"> </w:t>
      </w:r>
      <w:r>
        <w:rPr>
          <w:lang w:val="en-IE"/>
        </w:rPr>
        <w:t>French and Flemish Communities.</w:t>
      </w:r>
    </w:p>
  </w:footnote>
  <w:footnote w:id="84">
    <w:p w14:paraId="7B1A7DE9" w14:textId="3B1B911E" w:rsidR="00E57AB9" w:rsidRPr="00D573C1" w:rsidRDefault="00E57AB9">
      <w:pPr>
        <w:pStyle w:val="FootnoteText"/>
        <w:rPr>
          <w:lang w:val="en-IE"/>
        </w:rPr>
      </w:pPr>
      <w:r>
        <w:rPr>
          <w:rStyle w:val="FootnoteReference"/>
        </w:rPr>
        <w:footnoteRef/>
      </w:r>
      <w:r>
        <w:t xml:space="preserve"> </w:t>
      </w:r>
      <w:r>
        <w:rPr>
          <w:lang w:val="en-IE"/>
        </w:rPr>
        <w:t xml:space="preserve">Greece, Spain, France, Croatia, Hungary, Italy, Latvia, </w:t>
      </w:r>
      <w:proofErr w:type="gramStart"/>
      <w:r>
        <w:rPr>
          <w:lang w:val="en-IE"/>
        </w:rPr>
        <w:t>Poland</w:t>
      </w:r>
      <w:proofErr w:type="gramEnd"/>
      <w:r>
        <w:rPr>
          <w:lang w:val="en-IE"/>
        </w:rPr>
        <w:t xml:space="preserve"> and Portugal.</w:t>
      </w:r>
    </w:p>
  </w:footnote>
  <w:footnote w:id="85">
    <w:p w14:paraId="22783CE9" w14:textId="77777777" w:rsidR="00CB3B19" w:rsidRPr="001B1C17" w:rsidRDefault="00CB3B19" w:rsidP="00CB3B19">
      <w:pPr>
        <w:pStyle w:val="FootnoteText"/>
      </w:pPr>
      <w:r>
        <w:rPr>
          <w:rStyle w:val="FootnoteReference"/>
        </w:rPr>
        <w:footnoteRef/>
      </w:r>
      <w:r>
        <w:t xml:space="preserve"> This is </w:t>
      </w:r>
      <w:proofErr w:type="gramStart"/>
      <w:r>
        <w:t>due to the fact that</w:t>
      </w:r>
      <w:proofErr w:type="gramEnd"/>
      <w:r>
        <w:t xml:space="preserve"> there are different reporting obligations in the Netherlands depending on the type of provider. Public broadcasters are required to report annually, while commercial broadcasters should report biennial.</w:t>
      </w:r>
    </w:p>
  </w:footnote>
  <w:footnote w:id="86">
    <w:p w14:paraId="3376DE44" w14:textId="5E78C267" w:rsidR="00686FB3" w:rsidRPr="00197140" w:rsidRDefault="00686FB3" w:rsidP="00686FB3">
      <w:pPr>
        <w:pStyle w:val="FootnoteText"/>
      </w:pPr>
      <w:r w:rsidRPr="00197140">
        <w:rPr>
          <w:rStyle w:val="FootnoteReference"/>
        </w:rPr>
        <w:footnoteRef/>
      </w:r>
      <w:r w:rsidRPr="00197140">
        <w:t xml:space="preserve"> </w:t>
      </w:r>
      <w:r>
        <w:t>Member States were asked to report the share a</w:t>
      </w:r>
      <w:r w:rsidRPr="00197140">
        <w:t xml:space="preserve">s a percentage of </w:t>
      </w:r>
      <w:r>
        <w:t>total qualifying time</w:t>
      </w:r>
      <w:r w:rsidRPr="00197140">
        <w:t xml:space="preserve"> for a given year.</w:t>
      </w:r>
      <w:r>
        <w:t xml:space="preserve"> </w:t>
      </w:r>
      <w:r w:rsidRPr="00246392">
        <w:t xml:space="preserve">Note that Belgium was counted twice since the Flemish and French </w:t>
      </w:r>
      <w:r w:rsidR="000E09CA">
        <w:t>C</w:t>
      </w:r>
      <w:r w:rsidRPr="00246392">
        <w:t>ommunities reported data separately.</w:t>
      </w:r>
    </w:p>
  </w:footnote>
  <w:footnote w:id="87">
    <w:p w14:paraId="0A1653D9" w14:textId="4EEB0157" w:rsidR="00686FB3" w:rsidRPr="00686FB3" w:rsidRDefault="00686FB3">
      <w:pPr>
        <w:pStyle w:val="FootnoteText"/>
      </w:pPr>
      <w:r>
        <w:rPr>
          <w:rStyle w:val="FootnoteReference"/>
        </w:rPr>
        <w:footnoteRef/>
      </w:r>
      <w:r>
        <w:t xml:space="preserve"> </w:t>
      </w:r>
      <w:r w:rsidRPr="009F2C6C">
        <w:rPr>
          <w:i/>
          <w:iCs/>
        </w:rPr>
        <w:t>Reporting on the application of Articles 13, 16 and 17 of Directive 2010/13/EU for the period 2015-2019 as regards non-linear services (Article 13) and linear services (Articles 16 and 17)</w:t>
      </w:r>
      <w:r w:rsidRPr="00686FB3">
        <w:t>, SWD(2023) 152 final, 17.5.2023</w:t>
      </w:r>
      <w:r w:rsidR="00E00DEB">
        <w:t>, p.</w:t>
      </w:r>
      <w:r w:rsidR="000627E2">
        <w:t> </w:t>
      </w:r>
      <w:r w:rsidR="00E00DEB">
        <w:t>11</w:t>
      </w:r>
      <w:r w:rsidR="00DF4ABA">
        <w:t xml:space="preserve">, available at: </w:t>
      </w:r>
      <w:hyperlink r:id="rId13" w:history="1">
        <w:r w:rsidR="00DF4ABA">
          <w:rPr>
            <w:rStyle w:val="Hyperlink"/>
          </w:rPr>
          <w:t>Commission reports on the promotion of European works by audiovisual media services | Shaping Europe’s digital future (europa.eu)</w:t>
        </w:r>
      </w:hyperlink>
      <w:r w:rsidR="007C64DA">
        <w:rPr>
          <w:rStyle w:val="Hyperlink"/>
        </w:rPr>
        <w:t xml:space="preserve">, where it was further noted that </w:t>
      </w:r>
      <w:r w:rsidR="007C64DA" w:rsidRPr="007C64DA">
        <w:rPr>
          <w:rStyle w:val="Hyperlink"/>
        </w:rPr>
        <w:t>the EU average transmission time dedicated to European works by all reported channels in the EU was 70.3% in 2015, 70.5% in 2016, 71.4% in 2017, 70.9% in 2018</w:t>
      </w:r>
      <w:r w:rsidR="007C64DA">
        <w:rPr>
          <w:rStyle w:val="Hyperlink"/>
        </w:rPr>
        <w:t>, thus consistently varying slightly above 70%</w:t>
      </w:r>
      <w:r w:rsidR="009F2F9A">
        <w:t>.</w:t>
      </w:r>
    </w:p>
  </w:footnote>
  <w:footnote w:id="88">
    <w:p w14:paraId="3F613808" w14:textId="13C15640" w:rsidR="000D1F0C" w:rsidRPr="000D1F0C" w:rsidRDefault="000D1F0C">
      <w:pPr>
        <w:pStyle w:val="FootnoteText"/>
      </w:pPr>
      <w:r>
        <w:rPr>
          <w:rStyle w:val="FootnoteReference"/>
        </w:rPr>
        <w:footnoteRef/>
      </w:r>
      <w:r>
        <w:t xml:space="preserve"> The independent analysis of </w:t>
      </w:r>
      <w:r w:rsidR="00C2749A">
        <w:t>e</w:t>
      </w:r>
      <w:r>
        <w:t xml:space="preserve">lectronic </w:t>
      </w:r>
      <w:r w:rsidR="00C2749A">
        <w:t>p</w:t>
      </w:r>
      <w:r>
        <w:t>rogram</w:t>
      </w:r>
      <w:r w:rsidR="00C2749A">
        <w:t>me</w:t>
      </w:r>
      <w:r>
        <w:t xml:space="preserve"> </w:t>
      </w:r>
      <w:r w:rsidR="00C2749A">
        <w:t>g</w:t>
      </w:r>
      <w:r>
        <w:t xml:space="preserve">uide data included the following Member States: Austria, Belgium, Czechia, Germany, Denmark, Estonia, Spain, France, Hungary, Italy, the Netherlands, Poland, Romania, </w:t>
      </w:r>
      <w:proofErr w:type="gramStart"/>
      <w:r>
        <w:t>Sweden</w:t>
      </w:r>
      <w:proofErr w:type="gramEnd"/>
      <w:r>
        <w:t xml:space="preserve"> and Slovakia.</w:t>
      </w:r>
    </w:p>
  </w:footnote>
  <w:footnote w:id="89">
    <w:p w14:paraId="32937B2B" w14:textId="77777777" w:rsidR="00CB3B19" w:rsidRPr="0092141D" w:rsidRDefault="00CB3B19" w:rsidP="00CB3B19">
      <w:pPr>
        <w:pStyle w:val="FootnoteText"/>
      </w:pPr>
      <w:r>
        <w:rPr>
          <w:rStyle w:val="FootnoteReference"/>
        </w:rPr>
        <w:footnoteRef/>
      </w:r>
      <w:r>
        <w:t xml:space="preserve"> While not directly comparable due to different definitions, scopes and calculation methods, a recent study conducted by the European Audiovisual Observatory has found that European works accounted for 43% of first-run works broadcast in the EU in 2022 on European TV channels. </w:t>
      </w:r>
      <w:r w:rsidRPr="008676A6">
        <w:t>The study specifies that it does not intend to measure the quotas foreseen in the AVMS directive. Notably, the calculation of shares has been done on the basis of the number of titles and not their duration and therefore do not match the AVMSD criteria for assessment of quotas for linear services</w:t>
      </w:r>
      <w:r>
        <w:t xml:space="preserve">: </w:t>
      </w:r>
      <w:proofErr w:type="gramStart"/>
      <w:r w:rsidRPr="00811313">
        <w:t>https://rm.coe.int/works-on-television-in-europe-2023-edition-july-2023-g-fontaine/1680ae68d3</w:t>
      </w:r>
      <w:proofErr w:type="gramEnd"/>
    </w:p>
  </w:footnote>
  <w:footnote w:id="90">
    <w:p w14:paraId="6D9559C9" w14:textId="23EEF84F" w:rsidR="00AC1A0A" w:rsidRPr="00AC1A0A" w:rsidRDefault="00AC1A0A">
      <w:pPr>
        <w:pStyle w:val="FootnoteText"/>
      </w:pPr>
      <w:r>
        <w:rPr>
          <w:rStyle w:val="FootnoteReference"/>
        </w:rPr>
        <w:footnoteRef/>
      </w:r>
      <w:r>
        <w:t xml:space="preserve"> </w:t>
      </w:r>
      <w:r w:rsidRPr="0064547D">
        <w:rPr>
          <w:i/>
          <w:iCs/>
        </w:rPr>
        <w:t>Reporting on the application of Articles 13, 16 and 17 of Directive 2010/13/EU for the period 2015-2019 as regards non-linear services (Article 13) and linear services (Articles 16 and 17)</w:t>
      </w:r>
      <w:r w:rsidRPr="009347F5">
        <w:t>, SWD(2023) 152 final, 17.5.2023</w:t>
      </w:r>
      <w:r>
        <w:t xml:space="preserve">, p. 12, available at: </w:t>
      </w:r>
      <w:hyperlink r:id="rId14" w:history="1">
        <w:r>
          <w:rPr>
            <w:rStyle w:val="Hyperlink"/>
          </w:rPr>
          <w:t>Commission reports on the promotion of European works by audiovisual media services | Shaping Europe’s digital future (europa.eu)</w:t>
        </w:r>
      </w:hyperlink>
      <w:r w:rsidRPr="009347F5">
        <w:t>.</w:t>
      </w:r>
    </w:p>
  </w:footnote>
  <w:footnote w:id="91">
    <w:p w14:paraId="211D5232" w14:textId="78B54DC4" w:rsidR="003C17A3" w:rsidRPr="003C17A3" w:rsidRDefault="003C17A3">
      <w:pPr>
        <w:pStyle w:val="FootnoteText"/>
      </w:pPr>
      <w:r>
        <w:rPr>
          <w:rStyle w:val="FootnoteReference"/>
        </w:rPr>
        <w:footnoteRef/>
      </w:r>
      <w:r>
        <w:t xml:space="preserve"> </w:t>
      </w:r>
      <w:r w:rsidR="00843A77" w:rsidRPr="00843A77">
        <w:t xml:space="preserve">European Commission, Directorate-General for Communications Networks, Content and Technology, </w:t>
      </w:r>
      <w:proofErr w:type="spellStart"/>
      <w:r w:rsidR="00843A77" w:rsidRPr="00843A77">
        <w:t>Mosoreanu</w:t>
      </w:r>
      <w:proofErr w:type="spellEnd"/>
      <w:r w:rsidR="00843A77" w:rsidRPr="00843A77">
        <w:t xml:space="preserve">, M., </w:t>
      </w:r>
      <w:proofErr w:type="spellStart"/>
      <w:r w:rsidR="00843A77" w:rsidRPr="00843A77">
        <w:t>Podobea</w:t>
      </w:r>
      <w:proofErr w:type="spellEnd"/>
      <w:r w:rsidR="00843A77" w:rsidRPr="00843A77">
        <w:t xml:space="preserve">, V., </w:t>
      </w:r>
      <w:proofErr w:type="spellStart"/>
      <w:r w:rsidR="00843A77" w:rsidRPr="00843A77">
        <w:t>Ulicna</w:t>
      </w:r>
      <w:proofErr w:type="spellEnd"/>
      <w:r w:rsidR="00843A77" w:rsidRPr="00843A77">
        <w:t xml:space="preserve">, D., et al., </w:t>
      </w:r>
      <w:r w:rsidR="00843A77" w:rsidRPr="009F2C6C">
        <w:rPr>
          <w:i/>
          <w:iCs/>
        </w:rPr>
        <w:t xml:space="preserve">Study on the practical implementation of the provisions of the audiovisual media services directive concerning the promotion of European works in audiovisual media services </w:t>
      </w:r>
      <w:r w:rsidR="008502CC">
        <w:rPr>
          <w:i/>
          <w:iCs/>
        </w:rPr>
        <w:t>–</w:t>
      </w:r>
      <w:r w:rsidR="00843A77" w:rsidRPr="009F2C6C">
        <w:rPr>
          <w:i/>
          <w:iCs/>
        </w:rPr>
        <w:t xml:space="preserve"> </w:t>
      </w:r>
      <w:r w:rsidR="008502CC">
        <w:rPr>
          <w:i/>
          <w:iCs/>
        </w:rPr>
        <w:t>F</w:t>
      </w:r>
      <w:r w:rsidR="00843A77" w:rsidRPr="009F2C6C">
        <w:rPr>
          <w:i/>
          <w:iCs/>
        </w:rPr>
        <w:t>inal report</w:t>
      </w:r>
      <w:r w:rsidR="00843A77" w:rsidRPr="00843A77">
        <w:t xml:space="preserve">, Publications Office of the European Union, 2023 </w:t>
      </w:r>
      <w:r w:rsidR="008502CC">
        <w:t>(</w:t>
      </w:r>
      <w:hyperlink r:id="rId15" w:history="1">
        <w:r w:rsidR="008502CC" w:rsidRPr="008502CC">
          <w:rPr>
            <w:rStyle w:val="Hyperlink"/>
          </w:rPr>
          <w:t>https://data.europa.eu/doi/10.2759/211481</w:t>
        </w:r>
      </w:hyperlink>
      <w:r w:rsidR="008502CC">
        <w:t>)</w:t>
      </w:r>
      <w:r w:rsidR="00843A77" w:rsidRPr="00843A77">
        <w:t>.</w:t>
      </w:r>
    </w:p>
  </w:footnote>
  <w:footnote w:id="92">
    <w:p w14:paraId="736F2E8C" w14:textId="5D7DD1D6" w:rsidR="005745B7" w:rsidRPr="005745B7" w:rsidRDefault="005745B7">
      <w:pPr>
        <w:pStyle w:val="FootnoteText"/>
      </w:pPr>
      <w:r>
        <w:rPr>
          <w:rStyle w:val="FootnoteReference"/>
        </w:rPr>
        <w:footnoteRef/>
      </w:r>
      <w:r>
        <w:t xml:space="preserve">  Sweden, Belgium, France, Austria, Slovakia, Hungary, the Netherlands, Czechia, Denmark, </w:t>
      </w:r>
      <w:proofErr w:type="gramStart"/>
      <w:r>
        <w:t>Estonia</w:t>
      </w:r>
      <w:proofErr w:type="gramEnd"/>
      <w:r>
        <w:t xml:space="preserve"> and Romania.</w:t>
      </w:r>
    </w:p>
  </w:footnote>
  <w:footnote w:id="93">
    <w:p w14:paraId="79BC95AB" w14:textId="5E755FD2" w:rsidR="00985769" w:rsidRPr="00197140" w:rsidRDefault="00985769" w:rsidP="00C41B02">
      <w:pPr>
        <w:pStyle w:val="FootnoteText"/>
      </w:pPr>
      <w:r w:rsidRPr="00B23CA5">
        <w:rPr>
          <w:rStyle w:val="FootnoteReference"/>
        </w:rPr>
        <w:footnoteRef/>
      </w:r>
      <w:r w:rsidRPr="00B23CA5">
        <w:t xml:space="preserve"> These Member States were selected as representing: (1) </w:t>
      </w:r>
      <w:r w:rsidR="00A71B19" w:rsidRPr="00B23CA5">
        <w:t>t</w:t>
      </w:r>
      <w:r w:rsidRPr="00B23CA5">
        <w:t>he largest audiovisual markets in the EU while also covering diversity between medium-sized and large markets</w:t>
      </w:r>
      <w:r w:rsidR="00A71B19" w:rsidRPr="00B23CA5">
        <w:t>;</w:t>
      </w:r>
      <w:r w:rsidRPr="00B23CA5">
        <w:t xml:space="preserve"> (2) diversity in terms of regions of the EU</w:t>
      </w:r>
      <w:r w:rsidR="00A71B19" w:rsidRPr="00B23CA5">
        <w:t>;</w:t>
      </w:r>
      <w:r w:rsidRPr="00B23CA5">
        <w:t xml:space="preserve"> and (3) diversity in terms of market fragmentation.</w:t>
      </w:r>
      <w:r w:rsidR="00AE1736">
        <w:t xml:space="preserve"> They consist of 11 Member States covered in the previous study </w:t>
      </w:r>
      <w:r w:rsidR="008502CC">
        <w:t xml:space="preserve">and </w:t>
      </w:r>
      <w:r w:rsidR="00AE1736">
        <w:t>four new Member States.</w:t>
      </w:r>
    </w:p>
  </w:footnote>
  <w:footnote w:id="94">
    <w:p w14:paraId="4309FCF3" w14:textId="0C7F3D8B" w:rsidR="00155E45" w:rsidRPr="00CD4051" w:rsidRDefault="00155E45" w:rsidP="00155E45">
      <w:pPr>
        <w:pStyle w:val="FootnoteText"/>
      </w:pPr>
      <w:r>
        <w:rPr>
          <w:rStyle w:val="FootnoteReference"/>
        </w:rPr>
        <w:footnoteRef/>
      </w:r>
      <w:r>
        <w:t xml:space="preserve"> </w:t>
      </w:r>
      <w:r w:rsidRPr="00843A77">
        <w:t xml:space="preserve">European Commission, Directorate-General for Communications Networks, Content and Technology, </w:t>
      </w:r>
      <w:proofErr w:type="spellStart"/>
      <w:r w:rsidRPr="00843A77">
        <w:t>Mosoreanu</w:t>
      </w:r>
      <w:proofErr w:type="spellEnd"/>
      <w:r w:rsidRPr="00843A77">
        <w:t xml:space="preserve">, M., </w:t>
      </w:r>
      <w:proofErr w:type="spellStart"/>
      <w:r w:rsidRPr="00843A77">
        <w:t>Podobea</w:t>
      </w:r>
      <w:proofErr w:type="spellEnd"/>
      <w:r w:rsidRPr="00843A77">
        <w:t xml:space="preserve">, V., </w:t>
      </w:r>
      <w:proofErr w:type="spellStart"/>
      <w:r w:rsidRPr="00843A77">
        <w:t>Ulicna</w:t>
      </w:r>
      <w:proofErr w:type="spellEnd"/>
      <w:r w:rsidRPr="00843A77">
        <w:t xml:space="preserve">, D., et al., </w:t>
      </w:r>
      <w:r w:rsidRPr="009F2C6C">
        <w:rPr>
          <w:i/>
          <w:iCs/>
        </w:rPr>
        <w:t>Study on the practical implementation of the provisions of the audiovisual media services directive concerning the promotion of European works in audiovisual media services</w:t>
      </w:r>
      <w:r w:rsidR="008502CC">
        <w:rPr>
          <w:i/>
          <w:iCs/>
        </w:rPr>
        <w:t xml:space="preserve"> –</w:t>
      </w:r>
      <w:r w:rsidRPr="009F2C6C">
        <w:rPr>
          <w:i/>
          <w:iCs/>
        </w:rPr>
        <w:t xml:space="preserve"> </w:t>
      </w:r>
      <w:r w:rsidR="008502CC">
        <w:rPr>
          <w:i/>
          <w:iCs/>
        </w:rPr>
        <w:t>F</w:t>
      </w:r>
      <w:r w:rsidRPr="009F2C6C">
        <w:rPr>
          <w:i/>
          <w:iCs/>
        </w:rPr>
        <w:t>inal report</w:t>
      </w:r>
      <w:r w:rsidRPr="00843A77">
        <w:t xml:space="preserve">, Publications Office of the European Union, 2023 </w:t>
      </w:r>
      <w:r w:rsidR="008502CC">
        <w:t>(</w:t>
      </w:r>
      <w:hyperlink r:id="rId16" w:history="1">
        <w:r w:rsidR="008502CC" w:rsidRPr="008502CC">
          <w:rPr>
            <w:rStyle w:val="Hyperlink"/>
          </w:rPr>
          <w:t>https://data.europa.eu/doi/10.2759/211481</w:t>
        </w:r>
      </w:hyperlink>
      <w:r w:rsidR="008502CC">
        <w:t>)</w:t>
      </w:r>
      <w:r w:rsidRPr="00843A77">
        <w:t>.</w:t>
      </w:r>
    </w:p>
  </w:footnote>
  <w:footnote w:id="95">
    <w:p w14:paraId="28E97734" w14:textId="47792132" w:rsidR="007720CD" w:rsidRPr="00D573C1" w:rsidRDefault="007720CD">
      <w:pPr>
        <w:pStyle w:val="FootnoteText"/>
        <w:rPr>
          <w:lang w:val="en-IE"/>
        </w:rPr>
      </w:pPr>
      <w:r>
        <w:rPr>
          <w:rStyle w:val="FootnoteReference"/>
        </w:rPr>
        <w:footnoteRef/>
      </w:r>
      <w:r>
        <w:t xml:space="preserve"> </w:t>
      </w:r>
      <w:r>
        <w:rPr>
          <w:lang w:val="en-IE"/>
        </w:rPr>
        <w:t xml:space="preserve">Bulgaria, Finland, Croatia, Hungary, </w:t>
      </w:r>
      <w:proofErr w:type="gramStart"/>
      <w:r>
        <w:rPr>
          <w:lang w:val="en-IE"/>
        </w:rPr>
        <w:t>Italy</w:t>
      </w:r>
      <w:proofErr w:type="gramEnd"/>
      <w:r>
        <w:rPr>
          <w:lang w:val="en-IE"/>
        </w:rPr>
        <w:t xml:space="preserve"> and Slovakia.</w:t>
      </w:r>
    </w:p>
  </w:footnote>
  <w:footnote w:id="96">
    <w:p w14:paraId="5D25673F" w14:textId="00F7C768" w:rsidR="007720CD" w:rsidRPr="007720CD" w:rsidRDefault="007720CD">
      <w:pPr>
        <w:pStyle w:val="FootnoteText"/>
      </w:pPr>
      <w:r>
        <w:rPr>
          <w:rStyle w:val="FootnoteReference"/>
        </w:rPr>
        <w:footnoteRef/>
      </w:r>
      <w:r>
        <w:t xml:space="preserve"> </w:t>
      </w:r>
      <w:r w:rsidR="005033B6">
        <w:t xml:space="preserve">Belgium (French Community), </w:t>
      </w:r>
      <w:r>
        <w:t xml:space="preserve">Czechia, Spain, Finland, Croatia, </w:t>
      </w:r>
      <w:r w:rsidR="005033B6">
        <w:t xml:space="preserve">Hungary, Italy (although implementing legislation was adopted after the reference period in 2022), the Netherlands, </w:t>
      </w:r>
      <w:r>
        <w:t xml:space="preserve">Poland, Portugal, </w:t>
      </w:r>
      <w:proofErr w:type="gramStart"/>
      <w:r>
        <w:t>Slovenia</w:t>
      </w:r>
      <w:proofErr w:type="gramEnd"/>
      <w:r>
        <w:t xml:space="preserve"> and Slovakia.</w:t>
      </w:r>
    </w:p>
  </w:footnote>
  <w:footnote w:id="97">
    <w:p w14:paraId="46729A26" w14:textId="4B791EA0" w:rsidR="007720CD" w:rsidRPr="007720CD" w:rsidRDefault="007720CD">
      <w:pPr>
        <w:pStyle w:val="FootnoteText"/>
      </w:pPr>
      <w:r>
        <w:rPr>
          <w:rStyle w:val="FootnoteReference"/>
        </w:rPr>
        <w:footnoteRef/>
      </w:r>
      <w:r>
        <w:t xml:space="preserve"> Estonia, </w:t>
      </w:r>
      <w:proofErr w:type="gramStart"/>
      <w:r>
        <w:t>Croatia</w:t>
      </w:r>
      <w:proofErr w:type="gramEnd"/>
      <w:r>
        <w:t xml:space="preserve"> and Hungary.</w:t>
      </w:r>
    </w:p>
  </w:footnote>
  <w:footnote w:id="98">
    <w:p w14:paraId="11A10E28" w14:textId="0868BBC4" w:rsidR="007720CD" w:rsidRPr="007720CD" w:rsidRDefault="007720CD">
      <w:pPr>
        <w:pStyle w:val="FootnoteText"/>
      </w:pPr>
      <w:r>
        <w:rPr>
          <w:rStyle w:val="FootnoteReference"/>
        </w:rPr>
        <w:footnoteRef/>
      </w:r>
      <w:r>
        <w:t xml:space="preserve"> Belgium (French Community), the Netherlands and Norway.</w:t>
      </w:r>
    </w:p>
  </w:footnote>
  <w:footnote w:id="99">
    <w:p w14:paraId="0305D0CE" w14:textId="2911E5A3" w:rsidR="004A78B3" w:rsidRPr="004A78B3" w:rsidRDefault="004A78B3">
      <w:pPr>
        <w:pStyle w:val="FootnoteText"/>
      </w:pPr>
      <w:r>
        <w:rPr>
          <w:rStyle w:val="FootnoteReference"/>
        </w:rPr>
        <w:footnoteRef/>
      </w:r>
      <w:r>
        <w:t xml:space="preserve"> Austria, Belgium (French and Flemish Communities), Cyprus, Germany, Estonia, Greece, Spain, Finland, Croatia, Hungary, Italy, Malta, Poland, </w:t>
      </w:r>
      <w:proofErr w:type="gramStart"/>
      <w:r>
        <w:t>Romania</w:t>
      </w:r>
      <w:proofErr w:type="gramEnd"/>
      <w:r>
        <w:t xml:space="preserve"> and Slovenia.</w:t>
      </w:r>
    </w:p>
  </w:footnote>
  <w:footnote w:id="100">
    <w:p w14:paraId="3F441B04" w14:textId="4B1A1E1E" w:rsidR="00B23CA5" w:rsidRPr="00197140" w:rsidRDefault="00B23CA5" w:rsidP="00B23CA5">
      <w:pPr>
        <w:pStyle w:val="FootnoteText"/>
      </w:pPr>
      <w:r w:rsidRPr="00197140">
        <w:rPr>
          <w:rStyle w:val="FootnoteReference"/>
        </w:rPr>
        <w:footnoteRef/>
      </w:r>
      <w:r w:rsidRPr="00197140">
        <w:t xml:space="preserve"> </w:t>
      </w:r>
      <w:r>
        <w:t>Member States were asked to report the share a</w:t>
      </w:r>
      <w:r w:rsidRPr="00197140">
        <w:t xml:space="preserve">s a percentage of </w:t>
      </w:r>
      <w:r>
        <w:t>total qualifying time</w:t>
      </w:r>
      <w:r w:rsidRPr="00197140">
        <w:t xml:space="preserve"> for a given year.</w:t>
      </w:r>
      <w:r>
        <w:t xml:space="preserve"> </w:t>
      </w:r>
      <w:r w:rsidRPr="00246392">
        <w:t xml:space="preserve">Note that Belgium was counted twice since the Flemish and French </w:t>
      </w:r>
      <w:r w:rsidR="000E09CA">
        <w:t>C</w:t>
      </w:r>
      <w:r w:rsidRPr="00246392">
        <w:t>ommunities reported data separately.</w:t>
      </w:r>
    </w:p>
  </w:footnote>
  <w:footnote w:id="101">
    <w:p w14:paraId="07DD0F87" w14:textId="44024A0D" w:rsidR="00A60C0F" w:rsidRPr="00A60C0F" w:rsidRDefault="00A60C0F">
      <w:pPr>
        <w:pStyle w:val="FootnoteText"/>
        <w:rPr>
          <w:lang w:val="en-IE"/>
        </w:rPr>
      </w:pPr>
      <w:r>
        <w:rPr>
          <w:rStyle w:val="FootnoteReference"/>
        </w:rPr>
        <w:footnoteRef/>
      </w:r>
      <w:r>
        <w:t xml:space="preserve"> </w:t>
      </w:r>
      <w:r w:rsidRPr="009F2C6C">
        <w:rPr>
          <w:i/>
          <w:iCs/>
        </w:rPr>
        <w:t>Reporting on the application of Articles 13, 16 and 17 of Directive 2010/13/EU for the period 2015-2019 as regards non-linear services (Article 13) and linear services (Articles 16 and 17)</w:t>
      </w:r>
      <w:r w:rsidRPr="00A60C0F">
        <w:t>, SWD(2023) 152 final, 17.5.2023</w:t>
      </w:r>
      <w:r w:rsidR="0077072D">
        <w:t xml:space="preserve">, p. 13, available at: </w:t>
      </w:r>
      <w:hyperlink r:id="rId17" w:history="1">
        <w:r w:rsidR="0077072D">
          <w:rPr>
            <w:rStyle w:val="Hyperlink"/>
          </w:rPr>
          <w:t>Commission reports on the promotion of European works by audiovisual media services | Shaping Europe’s digital future (europa.eu)</w:t>
        </w:r>
      </w:hyperlink>
      <w:r w:rsidR="0077072D">
        <w:rPr>
          <w:rStyle w:val="Hyperlink"/>
        </w:rPr>
        <w:t>.</w:t>
      </w:r>
    </w:p>
  </w:footnote>
  <w:footnote w:id="102">
    <w:p w14:paraId="4DCA576D" w14:textId="77777777" w:rsidR="00DB0BF1" w:rsidRPr="00D573C1" w:rsidRDefault="00DB0BF1" w:rsidP="00DB0BF1">
      <w:pPr>
        <w:pStyle w:val="FootnoteText"/>
        <w:rPr>
          <w:lang w:val="en-IE"/>
        </w:rPr>
      </w:pPr>
      <w:r>
        <w:rPr>
          <w:rStyle w:val="FootnoteReference"/>
        </w:rPr>
        <w:footnoteRef/>
      </w:r>
      <w:r>
        <w:t xml:space="preserve"> Ibid.</w:t>
      </w:r>
    </w:p>
  </w:footnote>
  <w:footnote w:id="103">
    <w:p w14:paraId="053CBA66" w14:textId="11070F8F" w:rsidR="00EF5A42" w:rsidRPr="00A60C0F" w:rsidRDefault="00EF5A42" w:rsidP="00EF5A42">
      <w:pPr>
        <w:pStyle w:val="FootnoteText"/>
        <w:rPr>
          <w:lang w:val="en-IE"/>
        </w:rPr>
      </w:pPr>
      <w:r>
        <w:rPr>
          <w:rStyle w:val="FootnoteReference"/>
        </w:rPr>
        <w:footnoteRef/>
      </w:r>
      <w:r>
        <w:t xml:space="preserve"> </w:t>
      </w:r>
      <w:r w:rsidRPr="00966A8A">
        <w:rPr>
          <w:i/>
          <w:iCs/>
        </w:rPr>
        <w:t>Reporting on the application of Articles 13, 16 and 17 of Directive 2010/13/EU for the period 2015-2019 as regards non-linear services (Article 13) and linear services (Articles 16 and 17)</w:t>
      </w:r>
      <w:r w:rsidRPr="00A60C0F">
        <w:t>, SWD(2023) 152 final, 17.5.2023</w:t>
      </w:r>
      <w:r>
        <w:t xml:space="preserve">, p. 13, available at: </w:t>
      </w:r>
      <w:hyperlink r:id="rId18" w:history="1">
        <w:r>
          <w:rPr>
            <w:rStyle w:val="Hyperlink"/>
          </w:rPr>
          <w:t>Commission reports on the promotion of European works by audiovisual media services | Shaping Europe’s digital future (europa.eu)</w:t>
        </w:r>
      </w:hyperlink>
      <w:r>
        <w:rPr>
          <w:rStyle w:val="Hyperlink"/>
        </w:rPr>
        <w:t>.</w:t>
      </w:r>
    </w:p>
  </w:footnote>
  <w:footnote w:id="104">
    <w:p w14:paraId="19C9EBC0" w14:textId="552F2E4E" w:rsidR="0077072D" w:rsidRPr="00A60C0F" w:rsidRDefault="0077072D" w:rsidP="0077072D">
      <w:pPr>
        <w:pStyle w:val="FootnoteText"/>
        <w:rPr>
          <w:lang w:val="en-IE"/>
        </w:rPr>
      </w:pPr>
      <w:r>
        <w:rPr>
          <w:rStyle w:val="FootnoteReference"/>
        </w:rPr>
        <w:footnoteRef/>
      </w:r>
      <w:r>
        <w:t xml:space="preserve"> </w:t>
      </w:r>
      <w:r w:rsidRPr="00966A8A">
        <w:rPr>
          <w:i/>
          <w:iCs/>
        </w:rPr>
        <w:t>Reporting on the application of Articles 13, 16 and 17 of Directive 2010/13/EU for the period 2015-2019 as regards non-linear services (Article 13) and linear services (Articles 16 and 17)</w:t>
      </w:r>
      <w:r w:rsidRPr="00A60C0F">
        <w:t>, SWD(2023) 152 final, 17.5.2023</w:t>
      </w:r>
      <w:r>
        <w:t xml:space="preserve">, p. 14, available at: </w:t>
      </w:r>
      <w:hyperlink r:id="rId19" w:history="1">
        <w:r>
          <w:rPr>
            <w:rStyle w:val="Hyperlink"/>
          </w:rPr>
          <w:t>Commission reports on the promotion of European works by audiovisual media services | Shaping Europe’s digital future (europa.eu)</w:t>
        </w:r>
      </w:hyperlink>
      <w:r>
        <w:rPr>
          <w:rStyle w:val="Hyperlink"/>
        </w:rPr>
        <w:t>.</w:t>
      </w:r>
    </w:p>
  </w:footnote>
  <w:footnote w:id="105">
    <w:p w14:paraId="4F983C8E" w14:textId="6F74CDC2" w:rsidR="00620E5B" w:rsidRPr="00620E5B" w:rsidRDefault="00620E5B">
      <w:pPr>
        <w:pStyle w:val="FootnoteText"/>
      </w:pPr>
      <w:r>
        <w:rPr>
          <w:rStyle w:val="FootnoteReference"/>
        </w:rPr>
        <w:footnoteRef/>
      </w:r>
      <w:r>
        <w:t xml:space="preserve"> The </w:t>
      </w:r>
      <w:r w:rsidR="00991E18">
        <w:t>s</w:t>
      </w:r>
      <w:r>
        <w:t xml:space="preserve">tudy team used existing and </w:t>
      </w:r>
      <w:r w:rsidR="003A2211">
        <w:t>third-party</w:t>
      </w:r>
      <w:r>
        <w:t xml:space="preserve"> lists to identify independen</w:t>
      </w:r>
      <w:r w:rsidR="00E37955">
        <w:t>t</w:t>
      </w:r>
      <w:r>
        <w:t xml:space="preserve"> productions as a proxy.</w:t>
      </w:r>
    </w:p>
  </w:footnote>
  <w:footnote w:id="106">
    <w:p w14:paraId="00598620" w14:textId="6F066BE8" w:rsidR="001E6E7F" w:rsidRPr="00D573C1" w:rsidRDefault="001E6E7F">
      <w:pPr>
        <w:pStyle w:val="FootnoteText"/>
        <w:rPr>
          <w:lang w:val="en-IE"/>
        </w:rPr>
      </w:pPr>
      <w:r>
        <w:rPr>
          <w:rStyle w:val="FootnoteReference"/>
        </w:rPr>
        <w:footnoteRef/>
      </w:r>
      <w:r>
        <w:t xml:space="preserve"> The </w:t>
      </w:r>
      <w:r w:rsidR="00E116EF">
        <w:t>s</w:t>
      </w:r>
      <w:r>
        <w:t>tudy team applied the definition of a ‘quasi-independent’ production, meaning that if at least one of the production companies involved in a co-production could be categorised as independent, the work was classified as an independent co-production.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ABB1" w14:textId="77777777" w:rsidR="006A76D4" w:rsidRPr="006A76D4" w:rsidRDefault="006A76D4" w:rsidP="006A76D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1444" w14:textId="77777777" w:rsidR="006A76D4" w:rsidRPr="006A76D4" w:rsidRDefault="006A76D4" w:rsidP="006A76D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3E1F" w14:textId="77777777" w:rsidR="006A76D4" w:rsidRPr="006A76D4" w:rsidRDefault="006A76D4" w:rsidP="006A76D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305B" w14:textId="77777777" w:rsidR="00985769" w:rsidRPr="00197140" w:rsidRDefault="009857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0C2" w14:textId="77777777" w:rsidR="00985769" w:rsidRPr="00197140" w:rsidRDefault="00985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72BD" w14:textId="77777777" w:rsidR="00985769" w:rsidRPr="00197140" w:rsidRDefault="00985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09826A"/>
    <w:multiLevelType w:val="hybridMultilevel"/>
    <w:tmpl w:val="B45DA3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C00BF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4A56249"/>
    <w:multiLevelType w:val="hybridMultilevel"/>
    <w:tmpl w:val="A532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51F6"/>
    <w:multiLevelType w:val="hybridMultilevel"/>
    <w:tmpl w:val="0DBEB19A"/>
    <w:lvl w:ilvl="0" w:tplc="516AB22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5FA7738"/>
    <w:multiLevelType w:val="hybridMultilevel"/>
    <w:tmpl w:val="B60A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63B6F"/>
    <w:multiLevelType w:val="hybridMultilevel"/>
    <w:tmpl w:val="A3F21A02"/>
    <w:lvl w:ilvl="0" w:tplc="A274A6E8">
      <w:start w:val="1"/>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4F4C07"/>
    <w:multiLevelType w:val="hybridMultilevel"/>
    <w:tmpl w:val="EB8CFBDE"/>
    <w:lvl w:ilvl="0" w:tplc="516AB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E2D42"/>
    <w:multiLevelType w:val="multilevel"/>
    <w:tmpl w:val="7AFCB7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780583"/>
    <w:multiLevelType w:val="hybridMultilevel"/>
    <w:tmpl w:val="EED4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397C0A93"/>
    <w:multiLevelType w:val="hybridMultilevel"/>
    <w:tmpl w:val="C24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3A6A260E"/>
    <w:multiLevelType w:val="hybridMultilevel"/>
    <w:tmpl w:val="60C60718"/>
    <w:lvl w:ilvl="0" w:tplc="516AB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F903C50"/>
    <w:multiLevelType w:val="hybridMultilevel"/>
    <w:tmpl w:val="2B62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84DBF"/>
    <w:multiLevelType w:val="hybridMultilevel"/>
    <w:tmpl w:val="1BAA98AA"/>
    <w:lvl w:ilvl="0" w:tplc="516AB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06CC7"/>
    <w:multiLevelType w:val="multilevel"/>
    <w:tmpl w:val="C852AE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D200234"/>
    <w:multiLevelType w:val="multilevel"/>
    <w:tmpl w:val="8306157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589E69B5"/>
    <w:multiLevelType w:val="hybridMultilevel"/>
    <w:tmpl w:val="3940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9482FB9"/>
    <w:multiLevelType w:val="hybridMultilevel"/>
    <w:tmpl w:val="FB54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8" w15:restartNumberingAfterBreak="0">
    <w:nsid w:val="6BFB3F92"/>
    <w:multiLevelType w:val="hybridMultilevel"/>
    <w:tmpl w:val="2C8A1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485C57"/>
    <w:multiLevelType w:val="multilevel"/>
    <w:tmpl w:val="7AFCB7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FE7EB1"/>
    <w:multiLevelType w:val="hybridMultilevel"/>
    <w:tmpl w:val="738060C8"/>
    <w:lvl w:ilvl="0" w:tplc="504870DE">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0D389524"/>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i w:val="0"/>
        <w:iCs w:val="0"/>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15:restartNumberingAfterBreak="0">
    <w:nsid w:val="7F3613EC"/>
    <w:multiLevelType w:val="hybridMultilevel"/>
    <w:tmpl w:val="C830601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B47258"/>
    <w:multiLevelType w:val="hybridMultilevel"/>
    <w:tmpl w:val="DAA6C89C"/>
    <w:lvl w:ilvl="0" w:tplc="9D54413E">
      <w:start w:val="1"/>
      <w:numFmt w:val="bullet"/>
      <w:lvlText w:val=""/>
      <w:lvlJc w:val="left"/>
      <w:pPr>
        <w:ind w:left="720" w:hanging="360"/>
      </w:pPr>
      <w:rPr>
        <w:rFonts w:ascii="Symbol" w:hAnsi="Symbol"/>
      </w:rPr>
    </w:lvl>
    <w:lvl w:ilvl="1" w:tplc="41B66EB8">
      <w:start w:val="1"/>
      <w:numFmt w:val="bullet"/>
      <w:lvlText w:val=""/>
      <w:lvlJc w:val="left"/>
      <w:pPr>
        <w:ind w:left="720" w:hanging="360"/>
      </w:pPr>
      <w:rPr>
        <w:rFonts w:ascii="Symbol" w:hAnsi="Symbol"/>
      </w:rPr>
    </w:lvl>
    <w:lvl w:ilvl="2" w:tplc="10CE266C">
      <w:start w:val="1"/>
      <w:numFmt w:val="bullet"/>
      <w:lvlText w:val=""/>
      <w:lvlJc w:val="left"/>
      <w:pPr>
        <w:ind w:left="720" w:hanging="360"/>
      </w:pPr>
      <w:rPr>
        <w:rFonts w:ascii="Symbol" w:hAnsi="Symbol"/>
      </w:rPr>
    </w:lvl>
    <w:lvl w:ilvl="3" w:tplc="66068E60">
      <w:start w:val="1"/>
      <w:numFmt w:val="bullet"/>
      <w:lvlText w:val=""/>
      <w:lvlJc w:val="left"/>
      <w:pPr>
        <w:ind w:left="720" w:hanging="360"/>
      </w:pPr>
      <w:rPr>
        <w:rFonts w:ascii="Symbol" w:hAnsi="Symbol"/>
      </w:rPr>
    </w:lvl>
    <w:lvl w:ilvl="4" w:tplc="96D0155E">
      <w:start w:val="1"/>
      <w:numFmt w:val="bullet"/>
      <w:lvlText w:val=""/>
      <w:lvlJc w:val="left"/>
      <w:pPr>
        <w:ind w:left="720" w:hanging="360"/>
      </w:pPr>
      <w:rPr>
        <w:rFonts w:ascii="Symbol" w:hAnsi="Symbol"/>
      </w:rPr>
    </w:lvl>
    <w:lvl w:ilvl="5" w:tplc="FCAAA732">
      <w:start w:val="1"/>
      <w:numFmt w:val="bullet"/>
      <w:lvlText w:val=""/>
      <w:lvlJc w:val="left"/>
      <w:pPr>
        <w:ind w:left="720" w:hanging="360"/>
      </w:pPr>
      <w:rPr>
        <w:rFonts w:ascii="Symbol" w:hAnsi="Symbol"/>
      </w:rPr>
    </w:lvl>
    <w:lvl w:ilvl="6" w:tplc="D6E6ACA0">
      <w:start w:val="1"/>
      <w:numFmt w:val="bullet"/>
      <w:lvlText w:val=""/>
      <w:lvlJc w:val="left"/>
      <w:pPr>
        <w:ind w:left="720" w:hanging="360"/>
      </w:pPr>
      <w:rPr>
        <w:rFonts w:ascii="Symbol" w:hAnsi="Symbol"/>
      </w:rPr>
    </w:lvl>
    <w:lvl w:ilvl="7" w:tplc="1E260B2C">
      <w:start w:val="1"/>
      <w:numFmt w:val="bullet"/>
      <w:lvlText w:val=""/>
      <w:lvlJc w:val="left"/>
      <w:pPr>
        <w:ind w:left="720" w:hanging="360"/>
      </w:pPr>
      <w:rPr>
        <w:rFonts w:ascii="Symbol" w:hAnsi="Symbol"/>
      </w:rPr>
    </w:lvl>
    <w:lvl w:ilvl="8" w:tplc="083A0134">
      <w:start w:val="1"/>
      <w:numFmt w:val="bullet"/>
      <w:lvlText w:val=""/>
      <w:lvlJc w:val="left"/>
      <w:pPr>
        <w:ind w:left="720" w:hanging="360"/>
      </w:pPr>
      <w:rPr>
        <w:rFonts w:ascii="Symbol" w:hAnsi="Symbol"/>
      </w:rPr>
    </w:lvl>
  </w:abstractNum>
  <w:num w:numId="1" w16cid:durableId="1399012779">
    <w:abstractNumId w:val="20"/>
  </w:num>
  <w:num w:numId="2" w16cid:durableId="1903641911">
    <w:abstractNumId w:val="9"/>
  </w:num>
  <w:num w:numId="3" w16cid:durableId="1932198408">
    <w:abstractNumId w:val="24"/>
  </w:num>
  <w:num w:numId="4" w16cid:durableId="899092665">
    <w:abstractNumId w:val="23"/>
  </w:num>
  <w:num w:numId="5" w16cid:durableId="377359298">
    <w:abstractNumId w:val="18"/>
  </w:num>
  <w:num w:numId="6" w16cid:durableId="1605771907">
    <w:abstractNumId w:val="27"/>
  </w:num>
  <w:num w:numId="7" w16cid:durableId="709034388">
    <w:abstractNumId w:val="32"/>
  </w:num>
  <w:num w:numId="8" w16cid:durableId="909850970">
    <w:abstractNumId w:val="32"/>
  </w:num>
  <w:num w:numId="9" w16cid:durableId="71858393">
    <w:abstractNumId w:val="32"/>
  </w:num>
  <w:num w:numId="10" w16cid:durableId="1061363740">
    <w:abstractNumId w:val="32"/>
  </w:num>
  <w:num w:numId="11" w16cid:durableId="1569684163">
    <w:abstractNumId w:val="31"/>
  </w:num>
  <w:num w:numId="12" w16cid:durableId="738132708">
    <w:abstractNumId w:val="31"/>
  </w:num>
  <w:num w:numId="13" w16cid:durableId="539972200">
    <w:abstractNumId w:val="31"/>
  </w:num>
  <w:num w:numId="14" w16cid:durableId="876241853">
    <w:abstractNumId w:val="31"/>
  </w:num>
  <w:num w:numId="15" w16cid:durableId="1664508780">
    <w:abstractNumId w:val="33"/>
  </w:num>
  <w:num w:numId="16" w16cid:durableId="2104573408">
    <w:abstractNumId w:val="33"/>
  </w:num>
  <w:num w:numId="17" w16cid:durableId="495265569">
    <w:abstractNumId w:val="33"/>
  </w:num>
  <w:num w:numId="18" w16cid:durableId="719861187">
    <w:abstractNumId w:val="33"/>
  </w:num>
  <w:num w:numId="19" w16cid:durableId="493030295">
    <w:abstractNumId w:val="33"/>
  </w:num>
  <w:num w:numId="20" w16cid:durableId="424811987">
    <w:abstractNumId w:val="33"/>
  </w:num>
  <w:num w:numId="21" w16cid:durableId="2129086114">
    <w:abstractNumId w:val="33"/>
  </w:num>
  <w:num w:numId="22" w16cid:durableId="1342660739">
    <w:abstractNumId w:val="33"/>
  </w:num>
  <w:num w:numId="23" w16cid:durableId="14118471">
    <w:abstractNumId w:val="33"/>
  </w:num>
  <w:num w:numId="24" w16cid:durableId="1184397113">
    <w:abstractNumId w:val="13"/>
  </w:num>
  <w:num w:numId="25" w16cid:durableId="1458066496">
    <w:abstractNumId w:val="11"/>
  </w:num>
  <w:num w:numId="26" w16cid:durableId="976835866">
    <w:abstractNumId w:val="25"/>
  </w:num>
  <w:num w:numId="27" w16cid:durableId="296180305">
    <w:abstractNumId w:val="14"/>
  </w:num>
  <w:num w:numId="28" w16cid:durableId="1588727385">
    <w:abstractNumId w:val="21"/>
  </w:num>
  <w:num w:numId="29" w16cid:durableId="2044749407">
    <w:abstractNumId w:val="1"/>
  </w:num>
  <w:num w:numId="30" w16cid:durableId="1887988738">
    <w:abstractNumId w:val="2"/>
  </w:num>
  <w:num w:numId="31" w16cid:durableId="887424355">
    <w:abstractNumId w:val="8"/>
  </w:num>
  <w:num w:numId="32" w16cid:durableId="1046955405">
    <w:abstractNumId w:val="10"/>
  </w:num>
  <w:num w:numId="33" w16cid:durableId="743378621">
    <w:abstractNumId w:val="16"/>
  </w:num>
  <w:num w:numId="34" w16cid:durableId="1689453802">
    <w:abstractNumId w:val="4"/>
  </w:num>
  <w:num w:numId="35" w16cid:durableId="1926377500">
    <w:abstractNumId w:val="26"/>
  </w:num>
  <w:num w:numId="36" w16cid:durableId="982655989">
    <w:abstractNumId w:val="12"/>
  </w:num>
  <w:num w:numId="37" w16cid:durableId="947665527">
    <w:abstractNumId w:val="3"/>
  </w:num>
  <w:num w:numId="38" w16cid:durableId="1149829488">
    <w:abstractNumId w:val="6"/>
  </w:num>
  <w:num w:numId="39" w16cid:durableId="228732875">
    <w:abstractNumId w:val="17"/>
  </w:num>
  <w:num w:numId="40" w16cid:durableId="17200103">
    <w:abstractNumId w:val="15"/>
  </w:num>
  <w:num w:numId="41" w16cid:durableId="359011531">
    <w:abstractNumId w:val="0"/>
  </w:num>
  <w:num w:numId="42" w16cid:durableId="1174420169">
    <w:abstractNumId w:val="19"/>
  </w:num>
  <w:num w:numId="43" w16cid:durableId="645359169">
    <w:abstractNumId w:val="22"/>
  </w:num>
  <w:num w:numId="44" w16cid:durableId="1065645504">
    <w:abstractNumId w:val="30"/>
  </w:num>
  <w:num w:numId="45" w16cid:durableId="1106119643">
    <w:abstractNumId w:val="29"/>
  </w:num>
  <w:num w:numId="46" w16cid:durableId="1750351453">
    <w:abstractNumId w:val="34"/>
  </w:num>
  <w:num w:numId="47" w16cid:durableId="64836571">
    <w:abstractNumId w:val="5"/>
  </w:num>
  <w:num w:numId="48" w16cid:durableId="893731798">
    <w:abstractNumId w:val="35"/>
  </w:num>
  <w:num w:numId="49" w16cid:durableId="1371801255">
    <w:abstractNumId w:val="7"/>
  </w:num>
  <w:num w:numId="50" w16cid:durableId="4164823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hideSpellingErrors/>
  <w:hideGrammaticalErrors/>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Accompanying the document"/>
    <w:docVar w:name="LW_CORRIGENDUM" w:val="&lt;UNUSED&gt;"/>
    <w:docVar w:name="LW_COVERPAGE_EXISTS" w:val="True"/>
    <w:docVar w:name="LW_COVERPAGE_GUID" w:val="6CED2475-D963-4277-8D3B-3C0D864186BC"/>
    <w:docVar w:name="LW_COVERPAGE_TYPE" w:val="1"/>
    <w:docVar w:name="LW_CROSSREFERENCE" w:val="{COM(2024) 261 final}"/>
    <w:docVar w:name="LW_DocType" w:val="NORMAL"/>
    <w:docVar w:name="LW_EMISSION" w:val="27.6.2024"/>
    <w:docVar w:name="LW_EMISSION_ISODATE" w:val="2024-06-27"/>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lt;FMT:Bold&gt;on the application of Articles 13, 16 and 17 of Directive 2010/13/EU as amended by Directive (EU) 2018/1808 for 2020-2021 &lt;/FMT&gt;_x000d__x000d__x000d__x000b_"/>
    <w:docVar w:name="LW_PART_NBR" w:val="1"/>
    <w:docVar w:name="LW_PART_NBR_TOTAL" w:val="1"/>
    <w:docVar w:name="LW_REF.INST.NEW" w:val="SWD"/>
    <w:docVar w:name="LW_REF.INST.NEW_ADOPTED" w:val="final"/>
    <w:docVar w:name="LW_REF.INST.NEW_TEXT" w:val="(2024) 1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Detailed reporting on the application of Articles 13, 16 and 17 of Directive 2010/13/EU as amended by Directive (EU) 2018/1808 for 2020-2021&lt;/FMT&gt;"/>
    <w:docVar w:name="LW_TYPE.DOC.CP" w:val="COMMISSION STAFF WORKING DOCUMENT"/>
    <w:docVar w:name="LW_TYPEACTEPRINCIPAL.CP" w:val="Report from the Commission to the European Parliament and the Council"/>
    <w:docVar w:name="LwApiVersions" w:val="LW4CoDe 1.24.5.0; LW 9.0, Build 20240221"/>
    <w:docVar w:name="Stamp" w:val="\\dossiers.dgt.cec.eu.int\dossiers\CNECT\CNECT-2023-00225\CNECT-2023-00225-00-00-EN-EDT-00.20230420153628476618.DOCX"/>
  </w:docVars>
  <w:rsids>
    <w:rsidRoot w:val="005643CD"/>
    <w:rsid w:val="00000BCF"/>
    <w:rsid w:val="00001188"/>
    <w:rsid w:val="00001AFF"/>
    <w:rsid w:val="00002A52"/>
    <w:rsid w:val="00004847"/>
    <w:rsid w:val="00004A70"/>
    <w:rsid w:val="0000554A"/>
    <w:rsid w:val="00006680"/>
    <w:rsid w:val="00007F8A"/>
    <w:rsid w:val="000109ED"/>
    <w:rsid w:val="00010C9B"/>
    <w:rsid w:val="00011349"/>
    <w:rsid w:val="000129FB"/>
    <w:rsid w:val="00012AD5"/>
    <w:rsid w:val="00012D29"/>
    <w:rsid w:val="00012D65"/>
    <w:rsid w:val="00014F7D"/>
    <w:rsid w:val="000201D4"/>
    <w:rsid w:val="000204D5"/>
    <w:rsid w:val="000208D6"/>
    <w:rsid w:val="00020B8E"/>
    <w:rsid w:val="00020EE0"/>
    <w:rsid w:val="000211B6"/>
    <w:rsid w:val="00021820"/>
    <w:rsid w:val="0002225C"/>
    <w:rsid w:val="0002299A"/>
    <w:rsid w:val="00023DDE"/>
    <w:rsid w:val="000249E3"/>
    <w:rsid w:val="0002549B"/>
    <w:rsid w:val="0002640E"/>
    <w:rsid w:val="00027508"/>
    <w:rsid w:val="0003043D"/>
    <w:rsid w:val="000327B8"/>
    <w:rsid w:val="00032B79"/>
    <w:rsid w:val="00035791"/>
    <w:rsid w:val="00036322"/>
    <w:rsid w:val="00036452"/>
    <w:rsid w:val="000365D3"/>
    <w:rsid w:val="0003718B"/>
    <w:rsid w:val="000372FE"/>
    <w:rsid w:val="000379EA"/>
    <w:rsid w:val="00041602"/>
    <w:rsid w:val="00041E81"/>
    <w:rsid w:val="00043C97"/>
    <w:rsid w:val="00044CFA"/>
    <w:rsid w:val="00044D06"/>
    <w:rsid w:val="00046FD5"/>
    <w:rsid w:val="00053428"/>
    <w:rsid w:val="000534AC"/>
    <w:rsid w:val="0005402D"/>
    <w:rsid w:val="0005439A"/>
    <w:rsid w:val="00054EBC"/>
    <w:rsid w:val="0006078E"/>
    <w:rsid w:val="00060C5D"/>
    <w:rsid w:val="00060F2D"/>
    <w:rsid w:val="000627E2"/>
    <w:rsid w:val="000656AF"/>
    <w:rsid w:val="00066998"/>
    <w:rsid w:val="000669D9"/>
    <w:rsid w:val="00066FD9"/>
    <w:rsid w:val="000673B1"/>
    <w:rsid w:val="00070BDF"/>
    <w:rsid w:val="00071227"/>
    <w:rsid w:val="00073D36"/>
    <w:rsid w:val="0007537F"/>
    <w:rsid w:val="00076ACC"/>
    <w:rsid w:val="0007748A"/>
    <w:rsid w:val="00080B31"/>
    <w:rsid w:val="000836F4"/>
    <w:rsid w:val="000908FF"/>
    <w:rsid w:val="00092695"/>
    <w:rsid w:val="00094173"/>
    <w:rsid w:val="000942F1"/>
    <w:rsid w:val="00094851"/>
    <w:rsid w:val="00095E23"/>
    <w:rsid w:val="000964E7"/>
    <w:rsid w:val="00096B3D"/>
    <w:rsid w:val="00096CA1"/>
    <w:rsid w:val="000972C0"/>
    <w:rsid w:val="00097822"/>
    <w:rsid w:val="000A273D"/>
    <w:rsid w:val="000A34A6"/>
    <w:rsid w:val="000A378A"/>
    <w:rsid w:val="000A3B64"/>
    <w:rsid w:val="000A3E9D"/>
    <w:rsid w:val="000A4264"/>
    <w:rsid w:val="000A4512"/>
    <w:rsid w:val="000B0482"/>
    <w:rsid w:val="000B1E37"/>
    <w:rsid w:val="000B2045"/>
    <w:rsid w:val="000B3627"/>
    <w:rsid w:val="000B4DEF"/>
    <w:rsid w:val="000B54FC"/>
    <w:rsid w:val="000B586E"/>
    <w:rsid w:val="000B5D53"/>
    <w:rsid w:val="000B7F32"/>
    <w:rsid w:val="000B7F37"/>
    <w:rsid w:val="000C0F86"/>
    <w:rsid w:val="000C1887"/>
    <w:rsid w:val="000C18E9"/>
    <w:rsid w:val="000C2444"/>
    <w:rsid w:val="000C3D63"/>
    <w:rsid w:val="000C4AE0"/>
    <w:rsid w:val="000C5285"/>
    <w:rsid w:val="000C61E8"/>
    <w:rsid w:val="000C6CAB"/>
    <w:rsid w:val="000C7976"/>
    <w:rsid w:val="000D0658"/>
    <w:rsid w:val="000D0760"/>
    <w:rsid w:val="000D0925"/>
    <w:rsid w:val="000D0CC2"/>
    <w:rsid w:val="000D1E0B"/>
    <w:rsid w:val="000D1F0C"/>
    <w:rsid w:val="000D4AED"/>
    <w:rsid w:val="000D5EAF"/>
    <w:rsid w:val="000D6702"/>
    <w:rsid w:val="000E09CA"/>
    <w:rsid w:val="000E2ED0"/>
    <w:rsid w:val="000E552C"/>
    <w:rsid w:val="000E5A8D"/>
    <w:rsid w:val="000E5EE6"/>
    <w:rsid w:val="000E7C90"/>
    <w:rsid w:val="000F1F0F"/>
    <w:rsid w:val="000F2E0C"/>
    <w:rsid w:val="000F3503"/>
    <w:rsid w:val="000F3B6F"/>
    <w:rsid w:val="000F41A2"/>
    <w:rsid w:val="000F6A32"/>
    <w:rsid w:val="000F7EA1"/>
    <w:rsid w:val="001002D6"/>
    <w:rsid w:val="00100348"/>
    <w:rsid w:val="00100EF9"/>
    <w:rsid w:val="00105704"/>
    <w:rsid w:val="0010796C"/>
    <w:rsid w:val="001107ED"/>
    <w:rsid w:val="00110908"/>
    <w:rsid w:val="001111FC"/>
    <w:rsid w:val="0011143C"/>
    <w:rsid w:val="00111B0B"/>
    <w:rsid w:val="00112270"/>
    <w:rsid w:val="0011281B"/>
    <w:rsid w:val="00112851"/>
    <w:rsid w:val="00112857"/>
    <w:rsid w:val="00116BDE"/>
    <w:rsid w:val="001200F7"/>
    <w:rsid w:val="001209FF"/>
    <w:rsid w:val="00120CA5"/>
    <w:rsid w:val="001213DC"/>
    <w:rsid w:val="00121FB1"/>
    <w:rsid w:val="00122336"/>
    <w:rsid w:val="00122F86"/>
    <w:rsid w:val="00123D4C"/>
    <w:rsid w:val="00124AA7"/>
    <w:rsid w:val="00126F8B"/>
    <w:rsid w:val="00127709"/>
    <w:rsid w:val="001277FE"/>
    <w:rsid w:val="00130304"/>
    <w:rsid w:val="00130872"/>
    <w:rsid w:val="00130E2A"/>
    <w:rsid w:val="00130FC7"/>
    <w:rsid w:val="0013163A"/>
    <w:rsid w:val="00131725"/>
    <w:rsid w:val="00131AEE"/>
    <w:rsid w:val="00137ADF"/>
    <w:rsid w:val="00137D23"/>
    <w:rsid w:val="00140A51"/>
    <w:rsid w:val="001429AC"/>
    <w:rsid w:val="00142F14"/>
    <w:rsid w:val="001430CD"/>
    <w:rsid w:val="001435D8"/>
    <w:rsid w:val="0014365E"/>
    <w:rsid w:val="0014405F"/>
    <w:rsid w:val="00144159"/>
    <w:rsid w:val="00144C67"/>
    <w:rsid w:val="00146E07"/>
    <w:rsid w:val="00146E3C"/>
    <w:rsid w:val="00146EBF"/>
    <w:rsid w:val="0014732B"/>
    <w:rsid w:val="00150B16"/>
    <w:rsid w:val="00150BB3"/>
    <w:rsid w:val="00151D4E"/>
    <w:rsid w:val="0015215A"/>
    <w:rsid w:val="001537A8"/>
    <w:rsid w:val="001548F6"/>
    <w:rsid w:val="00154BBC"/>
    <w:rsid w:val="00154F4D"/>
    <w:rsid w:val="00155B7C"/>
    <w:rsid w:val="00155D1E"/>
    <w:rsid w:val="00155E45"/>
    <w:rsid w:val="00160EE8"/>
    <w:rsid w:val="001647A5"/>
    <w:rsid w:val="00164978"/>
    <w:rsid w:val="00164C47"/>
    <w:rsid w:val="00164C67"/>
    <w:rsid w:val="00166294"/>
    <w:rsid w:val="00167C7F"/>
    <w:rsid w:val="00172AC2"/>
    <w:rsid w:val="001739BB"/>
    <w:rsid w:val="001739E5"/>
    <w:rsid w:val="00174270"/>
    <w:rsid w:val="00174982"/>
    <w:rsid w:val="001757A5"/>
    <w:rsid w:val="00176C82"/>
    <w:rsid w:val="001771D4"/>
    <w:rsid w:val="001775D4"/>
    <w:rsid w:val="001776BA"/>
    <w:rsid w:val="00177B81"/>
    <w:rsid w:val="0018072C"/>
    <w:rsid w:val="00181676"/>
    <w:rsid w:val="00181C44"/>
    <w:rsid w:val="001825B0"/>
    <w:rsid w:val="00182906"/>
    <w:rsid w:val="00182C15"/>
    <w:rsid w:val="00183475"/>
    <w:rsid w:val="0018406B"/>
    <w:rsid w:val="001860A6"/>
    <w:rsid w:val="0018654E"/>
    <w:rsid w:val="00190CF3"/>
    <w:rsid w:val="00191975"/>
    <w:rsid w:val="00193542"/>
    <w:rsid w:val="00193940"/>
    <w:rsid w:val="00193EC7"/>
    <w:rsid w:val="00194404"/>
    <w:rsid w:val="00194D50"/>
    <w:rsid w:val="00196703"/>
    <w:rsid w:val="00197140"/>
    <w:rsid w:val="001A0B9E"/>
    <w:rsid w:val="001A12C5"/>
    <w:rsid w:val="001A1327"/>
    <w:rsid w:val="001A1EB4"/>
    <w:rsid w:val="001A31FF"/>
    <w:rsid w:val="001A32ED"/>
    <w:rsid w:val="001A351C"/>
    <w:rsid w:val="001A4FC3"/>
    <w:rsid w:val="001A5760"/>
    <w:rsid w:val="001A6DFB"/>
    <w:rsid w:val="001B1C17"/>
    <w:rsid w:val="001B1DF1"/>
    <w:rsid w:val="001B2097"/>
    <w:rsid w:val="001B42AA"/>
    <w:rsid w:val="001C0C7D"/>
    <w:rsid w:val="001C12CD"/>
    <w:rsid w:val="001C21BB"/>
    <w:rsid w:val="001C4FE2"/>
    <w:rsid w:val="001C57FC"/>
    <w:rsid w:val="001C588F"/>
    <w:rsid w:val="001C6F3F"/>
    <w:rsid w:val="001D1A96"/>
    <w:rsid w:val="001D2CC9"/>
    <w:rsid w:val="001D350C"/>
    <w:rsid w:val="001D40EC"/>
    <w:rsid w:val="001D48A6"/>
    <w:rsid w:val="001D60F5"/>
    <w:rsid w:val="001D6B51"/>
    <w:rsid w:val="001E02A9"/>
    <w:rsid w:val="001E0556"/>
    <w:rsid w:val="001E137B"/>
    <w:rsid w:val="001E1FD8"/>
    <w:rsid w:val="001E2135"/>
    <w:rsid w:val="001E2825"/>
    <w:rsid w:val="001E32BF"/>
    <w:rsid w:val="001E6E7F"/>
    <w:rsid w:val="001E7367"/>
    <w:rsid w:val="001E76D0"/>
    <w:rsid w:val="001E7F13"/>
    <w:rsid w:val="001F0A12"/>
    <w:rsid w:val="001F15CD"/>
    <w:rsid w:val="001F22C9"/>
    <w:rsid w:val="001F2416"/>
    <w:rsid w:val="001F26F2"/>
    <w:rsid w:val="001F3374"/>
    <w:rsid w:val="001F3AC2"/>
    <w:rsid w:val="001F4DD5"/>
    <w:rsid w:val="00200689"/>
    <w:rsid w:val="0020147E"/>
    <w:rsid w:val="0020318C"/>
    <w:rsid w:val="002078BF"/>
    <w:rsid w:val="00207FCE"/>
    <w:rsid w:val="00210CB1"/>
    <w:rsid w:val="00211838"/>
    <w:rsid w:val="002129B3"/>
    <w:rsid w:val="00212E79"/>
    <w:rsid w:val="002136AD"/>
    <w:rsid w:val="002154E5"/>
    <w:rsid w:val="002164BE"/>
    <w:rsid w:val="00216696"/>
    <w:rsid w:val="002167A5"/>
    <w:rsid w:val="00217C5C"/>
    <w:rsid w:val="002200B8"/>
    <w:rsid w:val="00222001"/>
    <w:rsid w:val="002226E9"/>
    <w:rsid w:val="00223099"/>
    <w:rsid w:val="00223803"/>
    <w:rsid w:val="0022748E"/>
    <w:rsid w:val="00227742"/>
    <w:rsid w:val="00227A63"/>
    <w:rsid w:val="00230DBB"/>
    <w:rsid w:val="00231DAC"/>
    <w:rsid w:val="00231DE9"/>
    <w:rsid w:val="0023207A"/>
    <w:rsid w:val="0023319D"/>
    <w:rsid w:val="0023404B"/>
    <w:rsid w:val="00235FB7"/>
    <w:rsid w:val="002364B3"/>
    <w:rsid w:val="00237885"/>
    <w:rsid w:val="002409A0"/>
    <w:rsid w:val="00240A42"/>
    <w:rsid w:val="002427EB"/>
    <w:rsid w:val="002435DD"/>
    <w:rsid w:val="00245579"/>
    <w:rsid w:val="00245C36"/>
    <w:rsid w:val="00246392"/>
    <w:rsid w:val="002465B9"/>
    <w:rsid w:val="00250E39"/>
    <w:rsid w:val="002520E8"/>
    <w:rsid w:val="00253169"/>
    <w:rsid w:val="00253DE1"/>
    <w:rsid w:val="00254EE0"/>
    <w:rsid w:val="00255078"/>
    <w:rsid w:val="00257538"/>
    <w:rsid w:val="00260A91"/>
    <w:rsid w:val="00260FDD"/>
    <w:rsid w:val="002616EE"/>
    <w:rsid w:val="0026228B"/>
    <w:rsid w:val="00262FCD"/>
    <w:rsid w:val="002637AD"/>
    <w:rsid w:val="00264960"/>
    <w:rsid w:val="002667B4"/>
    <w:rsid w:val="00266B05"/>
    <w:rsid w:val="00266BE4"/>
    <w:rsid w:val="00267AD9"/>
    <w:rsid w:val="00267BF8"/>
    <w:rsid w:val="00270AC3"/>
    <w:rsid w:val="00273388"/>
    <w:rsid w:val="002740DC"/>
    <w:rsid w:val="002748D0"/>
    <w:rsid w:val="00275011"/>
    <w:rsid w:val="00276520"/>
    <w:rsid w:val="00280B3A"/>
    <w:rsid w:val="002812D3"/>
    <w:rsid w:val="0028193B"/>
    <w:rsid w:val="00282BAA"/>
    <w:rsid w:val="002830C5"/>
    <w:rsid w:val="00283A8F"/>
    <w:rsid w:val="00283ECE"/>
    <w:rsid w:val="00285C7D"/>
    <w:rsid w:val="0028628A"/>
    <w:rsid w:val="00286F6F"/>
    <w:rsid w:val="002870D6"/>
    <w:rsid w:val="0028766D"/>
    <w:rsid w:val="00290442"/>
    <w:rsid w:val="002918A2"/>
    <w:rsid w:val="0029395A"/>
    <w:rsid w:val="00295081"/>
    <w:rsid w:val="00296D3E"/>
    <w:rsid w:val="002A0A6E"/>
    <w:rsid w:val="002A24A5"/>
    <w:rsid w:val="002A2C2B"/>
    <w:rsid w:val="002A3916"/>
    <w:rsid w:val="002A46C8"/>
    <w:rsid w:val="002A57F2"/>
    <w:rsid w:val="002A7A1C"/>
    <w:rsid w:val="002B00F9"/>
    <w:rsid w:val="002B01BC"/>
    <w:rsid w:val="002B12E6"/>
    <w:rsid w:val="002B220D"/>
    <w:rsid w:val="002B3B8F"/>
    <w:rsid w:val="002B4243"/>
    <w:rsid w:val="002B46C8"/>
    <w:rsid w:val="002B48D2"/>
    <w:rsid w:val="002B4941"/>
    <w:rsid w:val="002B5DCE"/>
    <w:rsid w:val="002C1367"/>
    <w:rsid w:val="002C2AA5"/>
    <w:rsid w:val="002C2F89"/>
    <w:rsid w:val="002C488D"/>
    <w:rsid w:val="002C513A"/>
    <w:rsid w:val="002C5EA1"/>
    <w:rsid w:val="002C6531"/>
    <w:rsid w:val="002D0949"/>
    <w:rsid w:val="002D0BA7"/>
    <w:rsid w:val="002D17FF"/>
    <w:rsid w:val="002D4D11"/>
    <w:rsid w:val="002D65B3"/>
    <w:rsid w:val="002D6642"/>
    <w:rsid w:val="002D6C1E"/>
    <w:rsid w:val="002D7582"/>
    <w:rsid w:val="002D7A9E"/>
    <w:rsid w:val="002E2DEC"/>
    <w:rsid w:val="002E5397"/>
    <w:rsid w:val="002E71CC"/>
    <w:rsid w:val="002E77F3"/>
    <w:rsid w:val="002F0515"/>
    <w:rsid w:val="002F1F06"/>
    <w:rsid w:val="002F293D"/>
    <w:rsid w:val="002F2A86"/>
    <w:rsid w:val="002F3DB0"/>
    <w:rsid w:val="002F6044"/>
    <w:rsid w:val="002F76BA"/>
    <w:rsid w:val="002F7F95"/>
    <w:rsid w:val="003017C1"/>
    <w:rsid w:val="00303E72"/>
    <w:rsid w:val="00304664"/>
    <w:rsid w:val="00305EF2"/>
    <w:rsid w:val="003063B4"/>
    <w:rsid w:val="00306544"/>
    <w:rsid w:val="00307C09"/>
    <w:rsid w:val="00310484"/>
    <w:rsid w:val="0031049A"/>
    <w:rsid w:val="0031059B"/>
    <w:rsid w:val="003126C5"/>
    <w:rsid w:val="003142C4"/>
    <w:rsid w:val="0031458D"/>
    <w:rsid w:val="00314A8C"/>
    <w:rsid w:val="003152AC"/>
    <w:rsid w:val="0031631F"/>
    <w:rsid w:val="0031785E"/>
    <w:rsid w:val="003200FA"/>
    <w:rsid w:val="0032011C"/>
    <w:rsid w:val="003202DC"/>
    <w:rsid w:val="00320670"/>
    <w:rsid w:val="00320784"/>
    <w:rsid w:val="003237EA"/>
    <w:rsid w:val="0032469C"/>
    <w:rsid w:val="00326849"/>
    <w:rsid w:val="00326E76"/>
    <w:rsid w:val="0032740B"/>
    <w:rsid w:val="003300C5"/>
    <w:rsid w:val="00330486"/>
    <w:rsid w:val="0033109D"/>
    <w:rsid w:val="00331A05"/>
    <w:rsid w:val="00332633"/>
    <w:rsid w:val="00332E0D"/>
    <w:rsid w:val="0033334C"/>
    <w:rsid w:val="003339A0"/>
    <w:rsid w:val="00334159"/>
    <w:rsid w:val="0033445E"/>
    <w:rsid w:val="00334738"/>
    <w:rsid w:val="00335B70"/>
    <w:rsid w:val="00335F73"/>
    <w:rsid w:val="00337294"/>
    <w:rsid w:val="0033738F"/>
    <w:rsid w:val="00340658"/>
    <w:rsid w:val="003432D9"/>
    <w:rsid w:val="003445F5"/>
    <w:rsid w:val="00345578"/>
    <w:rsid w:val="00345E7B"/>
    <w:rsid w:val="003473B6"/>
    <w:rsid w:val="00350302"/>
    <w:rsid w:val="00350A5E"/>
    <w:rsid w:val="00350DF1"/>
    <w:rsid w:val="0035309D"/>
    <w:rsid w:val="003538E4"/>
    <w:rsid w:val="00354965"/>
    <w:rsid w:val="00357636"/>
    <w:rsid w:val="00357722"/>
    <w:rsid w:val="00360ABC"/>
    <w:rsid w:val="00360C47"/>
    <w:rsid w:val="00364E02"/>
    <w:rsid w:val="0036575A"/>
    <w:rsid w:val="0036737E"/>
    <w:rsid w:val="003679F2"/>
    <w:rsid w:val="00371C11"/>
    <w:rsid w:val="00371C37"/>
    <w:rsid w:val="003722D1"/>
    <w:rsid w:val="00376D91"/>
    <w:rsid w:val="00376EBF"/>
    <w:rsid w:val="0037702C"/>
    <w:rsid w:val="0037777D"/>
    <w:rsid w:val="00377D7A"/>
    <w:rsid w:val="003801B0"/>
    <w:rsid w:val="00380DA5"/>
    <w:rsid w:val="0038283D"/>
    <w:rsid w:val="00384433"/>
    <w:rsid w:val="00384F1E"/>
    <w:rsid w:val="003865B2"/>
    <w:rsid w:val="00386AB2"/>
    <w:rsid w:val="0039096E"/>
    <w:rsid w:val="003913F2"/>
    <w:rsid w:val="0039360D"/>
    <w:rsid w:val="00393AEF"/>
    <w:rsid w:val="00393BCD"/>
    <w:rsid w:val="00393CE6"/>
    <w:rsid w:val="0039507D"/>
    <w:rsid w:val="00397C56"/>
    <w:rsid w:val="003A0AF3"/>
    <w:rsid w:val="003A0C49"/>
    <w:rsid w:val="003A1965"/>
    <w:rsid w:val="003A2211"/>
    <w:rsid w:val="003A26B1"/>
    <w:rsid w:val="003A4113"/>
    <w:rsid w:val="003A7D23"/>
    <w:rsid w:val="003B1067"/>
    <w:rsid w:val="003B1417"/>
    <w:rsid w:val="003B15D2"/>
    <w:rsid w:val="003B1A87"/>
    <w:rsid w:val="003B2E07"/>
    <w:rsid w:val="003B3630"/>
    <w:rsid w:val="003B4E36"/>
    <w:rsid w:val="003B5546"/>
    <w:rsid w:val="003B565C"/>
    <w:rsid w:val="003B6874"/>
    <w:rsid w:val="003B6A8C"/>
    <w:rsid w:val="003B6E22"/>
    <w:rsid w:val="003C06B9"/>
    <w:rsid w:val="003C0AA9"/>
    <w:rsid w:val="003C11B6"/>
    <w:rsid w:val="003C1428"/>
    <w:rsid w:val="003C1508"/>
    <w:rsid w:val="003C1684"/>
    <w:rsid w:val="003C17A3"/>
    <w:rsid w:val="003C21C4"/>
    <w:rsid w:val="003C2A08"/>
    <w:rsid w:val="003C3C2E"/>
    <w:rsid w:val="003C3D90"/>
    <w:rsid w:val="003C47B7"/>
    <w:rsid w:val="003C53D0"/>
    <w:rsid w:val="003C619F"/>
    <w:rsid w:val="003C61F6"/>
    <w:rsid w:val="003C6FA4"/>
    <w:rsid w:val="003D24A8"/>
    <w:rsid w:val="003D4080"/>
    <w:rsid w:val="003D5019"/>
    <w:rsid w:val="003D593A"/>
    <w:rsid w:val="003D69F3"/>
    <w:rsid w:val="003E03B7"/>
    <w:rsid w:val="003E0458"/>
    <w:rsid w:val="003E04DB"/>
    <w:rsid w:val="003E0697"/>
    <w:rsid w:val="003E19C6"/>
    <w:rsid w:val="003E2579"/>
    <w:rsid w:val="003E2B85"/>
    <w:rsid w:val="003E3C5F"/>
    <w:rsid w:val="003E47F6"/>
    <w:rsid w:val="003E51A3"/>
    <w:rsid w:val="003E5B19"/>
    <w:rsid w:val="003E5D32"/>
    <w:rsid w:val="003F096B"/>
    <w:rsid w:val="003F1C9E"/>
    <w:rsid w:val="003F2807"/>
    <w:rsid w:val="003F3775"/>
    <w:rsid w:val="003F3E33"/>
    <w:rsid w:val="003F552A"/>
    <w:rsid w:val="003F5C0B"/>
    <w:rsid w:val="003F6C97"/>
    <w:rsid w:val="004005D2"/>
    <w:rsid w:val="00401E97"/>
    <w:rsid w:val="00401ED3"/>
    <w:rsid w:val="00402489"/>
    <w:rsid w:val="00402751"/>
    <w:rsid w:val="00402D6D"/>
    <w:rsid w:val="004030CD"/>
    <w:rsid w:val="00403A5E"/>
    <w:rsid w:val="0040693C"/>
    <w:rsid w:val="00410057"/>
    <w:rsid w:val="0041012B"/>
    <w:rsid w:val="0041238B"/>
    <w:rsid w:val="004123DA"/>
    <w:rsid w:val="00413AFB"/>
    <w:rsid w:val="00416E3A"/>
    <w:rsid w:val="00417635"/>
    <w:rsid w:val="004201F1"/>
    <w:rsid w:val="004205B0"/>
    <w:rsid w:val="00420978"/>
    <w:rsid w:val="00420B62"/>
    <w:rsid w:val="00421DC1"/>
    <w:rsid w:val="00422A09"/>
    <w:rsid w:val="0042388C"/>
    <w:rsid w:val="0042771D"/>
    <w:rsid w:val="00427985"/>
    <w:rsid w:val="00430498"/>
    <w:rsid w:val="00430DB6"/>
    <w:rsid w:val="00431097"/>
    <w:rsid w:val="0043162A"/>
    <w:rsid w:val="00431715"/>
    <w:rsid w:val="00432687"/>
    <w:rsid w:val="004347D8"/>
    <w:rsid w:val="004355CD"/>
    <w:rsid w:val="00436060"/>
    <w:rsid w:val="00436D84"/>
    <w:rsid w:val="004373EA"/>
    <w:rsid w:val="0043775F"/>
    <w:rsid w:val="00440438"/>
    <w:rsid w:val="00440C0F"/>
    <w:rsid w:val="00441E22"/>
    <w:rsid w:val="00442CC2"/>
    <w:rsid w:val="00442E06"/>
    <w:rsid w:val="00444F9D"/>
    <w:rsid w:val="00445D4F"/>
    <w:rsid w:val="004507B1"/>
    <w:rsid w:val="004509C3"/>
    <w:rsid w:val="004517B2"/>
    <w:rsid w:val="0045233A"/>
    <w:rsid w:val="00452A9E"/>
    <w:rsid w:val="00452EE4"/>
    <w:rsid w:val="0045329C"/>
    <w:rsid w:val="00454801"/>
    <w:rsid w:val="00460540"/>
    <w:rsid w:val="004612F6"/>
    <w:rsid w:val="0046286B"/>
    <w:rsid w:val="00462FFE"/>
    <w:rsid w:val="00465081"/>
    <w:rsid w:val="00465BC8"/>
    <w:rsid w:val="00465C6F"/>
    <w:rsid w:val="00465D38"/>
    <w:rsid w:val="00466B16"/>
    <w:rsid w:val="00466BEF"/>
    <w:rsid w:val="00466CD6"/>
    <w:rsid w:val="00466E71"/>
    <w:rsid w:val="00467057"/>
    <w:rsid w:val="004678FC"/>
    <w:rsid w:val="00467DB7"/>
    <w:rsid w:val="0047200A"/>
    <w:rsid w:val="0047286A"/>
    <w:rsid w:val="00474023"/>
    <w:rsid w:val="00476E1D"/>
    <w:rsid w:val="00477D2A"/>
    <w:rsid w:val="004809DB"/>
    <w:rsid w:val="00480A33"/>
    <w:rsid w:val="00481524"/>
    <w:rsid w:val="00483CBA"/>
    <w:rsid w:val="004841A1"/>
    <w:rsid w:val="00485C3E"/>
    <w:rsid w:val="0048745D"/>
    <w:rsid w:val="0048771C"/>
    <w:rsid w:val="00487827"/>
    <w:rsid w:val="00487AB4"/>
    <w:rsid w:val="00490CD1"/>
    <w:rsid w:val="00491784"/>
    <w:rsid w:val="00491854"/>
    <w:rsid w:val="00491D4B"/>
    <w:rsid w:val="00492826"/>
    <w:rsid w:val="004935E0"/>
    <w:rsid w:val="004936E1"/>
    <w:rsid w:val="00493F8C"/>
    <w:rsid w:val="00495446"/>
    <w:rsid w:val="004961F6"/>
    <w:rsid w:val="00497714"/>
    <w:rsid w:val="004A067B"/>
    <w:rsid w:val="004A1437"/>
    <w:rsid w:val="004A197E"/>
    <w:rsid w:val="004A1A93"/>
    <w:rsid w:val="004A1C00"/>
    <w:rsid w:val="004A20C2"/>
    <w:rsid w:val="004A4BA1"/>
    <w:rsid w:val="004A4CC3"/>
    <w:rsid w:val="004A5E21"/>
    <w:rsid w:val="004A6703"/>
    <w:rsid w:val="004A70B4"/>
    <w:rsid w:val="004A72CA"/>
    <w:rsid w:val="004A78B3"/>
    <w:rsid w:val="004B1578"/>
    <w:rsid w:val="004B27BC"/>
    <w:rsid w:val="004B2BE9"/>
    <w:rsid w:val="004B3B0B"/>
    <w:rsid w:val="004B701F"/>
    <w:rsid w:val="004C07B9"/>
    <w:rsid w:val="004C0AD0"/>
    <w:rsid w:val="004C141A"/>
    <w:rsid w:val="004C42D0"/>
    <w:rsid w:val="004C4418"/>
    <w:rsid w:val="004C45B7"/>
    <w:rsid w:val="004C5391"/>
    <w:rsid w:val="004C7223"/>
    <w:rsid w:val="004C7AC4"/>
    <w:rsid w:val="004C7C83"/>
    <w:rsid w:val="004D065A"/>
    <w:rsid w:val="004D30C7"/>
    <w:rsid w:val="004D5C1B"/>
    <w:rsid w:val="004D66F8"/>
    <w:rsid w:val="004D6968"/>
    <w:rsid w:val="004E05B7"/>
    <w:rsid w:val="004E0DE7"/>
    <w:rsid w:val="004E137E"/>
    <w:rsid w:val="004E19DC"/>
    <w:rsid w:val="004E3957"/>
    <w:rsid w:val="004E4224"/>
    <w:rsid w:val="004E457E"/>
    <w:rsid w:val="004E6105"/>
    <w:rsid w:val="004E78DF"/>
    <w:rsid w:val="004E7B93"/>
    <w:rsid w:val="004E7CF1"/>
    <w:rsid w:val="004F14E8"/>
    <w:rsid w:val="004F1931"/>
    <w:rsid w:val="004F2D79"/>
    <w:rsid w:val="004F3F36"/>
    <w:rsid w:val="004F54D9"/>
    <w:rsid w:val="004F66DD"/>
    <w:rsid w:val="004F671D"/>
    <w:rsid w:val="004F6F63"/>
    <w:rsid w:val="004F73D2"/>
    <w:rsid w:val="004F75B1"/>
    <w:rsid w:val="005028E6"/>
    <w:rsid w:val="005033B6"/>
    <w:rsid w:val="00505956"/>
    <w:rsid w:val="005060B5"/>
    <w:rsid w:val="00506F50"/>
    <w:rsid w:val="005077CF"/>
    <w:rsid w:val="00510D7D"/>
    <w:rsid w:val="00510E6F"/>
    <w:rsid w:val="00511E87"/>
    <w:rsid w:val="005140F4"/>
    <w:rsid w:val="005154B9"/>
    <w:rsid w:val="00516D80"/>
    <w:rsid w:val="00521842"/>
    <w:rsid w:val="00522796"/>
    <w:rsid w:val="00523ECA"/>
    <w:rsid w:val="005240AC"/>
    <w:rsid w:val="005251E5"/>
    <w:rsid w:val="0052634E"/>
    <w:rsid w:val="005268B8"/>
    <w:rsid w:val="005269EC"/>
    <w:rsid w:val="00526EA0"/>
    <w:rsid w:val="005272E4"/>
    <w:rsid w:val="00527400"/>
    <w:rsid w:val="00527C46"/>
    <w:rsid w:val="00531ADF"/>
    <w:rsid w:val="00532B83"/>
    <w:rsid w:val="00532EC9"/>
    <w:rsid w:val="005330CB"/>
    <w:rsid w:val="00534021"/>
    <w:rsid w:val="00534553"/>
    <w:rsid w:val="00536DEB"/>
    <w:rsid w:val="00536F7E"/>
    <w:rsid w:val="00537A4D"/>
    <w:rsid w:val="00540BEA"/>
    <w:rsid w:val="005415C5"/>
    <w:rsid w:val="005415F2"/>
    <w:rsid w:val="00542A6F"/>
    <w:rsid w:val="00542C9B"/>
    <w:rsid w:val="0054535C"/>
    <w:rsid w:val="00545791"/>
    <w:rsid w:val="005461B8"/>
    <w:rsid w:val="00547F11"/>
    <w:rsid w:val="00550798"/>
    <w:rsid w:val="005530D6"/>
    <w:rsid w:val="00557732"/>
    <w:rsid w:val="00560C57"/>
    <w:rsid w:val="00563007"/>
    <w:rsid w:val="00563DAE"/>
    <w:rsid w:val="005643CD"/>
    <w:rsid w:val="00564D52"/>
    <w:rsid w:val="005656F8"/>
    <w:rsid w:val="00565AC0"/>
    <w:rsid w:val="00570DC6"/>
    <w:rsid w:val="00571097"/>
    <w:rsid w:val="00571472"/>
    <w:rsid w:val="00571AFF"/>
    <w:rsid w:val="00571DAB"/>
    <w:rsid w:val="005725E3"/>
    <w:rsid w:val="005733CB"/>
    <w:rsid w:val="00573531"/>
    <w:rsid w:val="005745B7"/>
    <w:rsid w:val="00574A0F"/>
    <w:rsid w:val="005759BC"/>
    <w:rsid w:val="00576015"/>
    <w:rsid w:val="00576852"/>
    <w:rsid w:val="00576CFC"/>
    <w:rsid w:val="00576DAF"/>
    <w:rsid w:val="00577041"/>
    <w:rsid w:val="0057765B"/>
    <w:rsid w:val="00580403"/>
    <w:rsid w:val="00582029"/>
    <w:rsid w:val="0058271B"/>
    <w:rsid w:val="005830A0"/>
    <w:rsid w:val="0058327B"/>
    <w:rsid w:val="005832FB"/>
    <w:rsid w:val="00584060"/>
    <w:rsid w:val="00586C91"/>
    <w:rsid w:val="0058739E"/>
    <w:rsid w:val="005906C1"/>
    <w:rsid w:val="00591205"/>
    <w:rsid w:val="0059152D"/>
    <w:rsid w:val="005924CD"/>
    <w:rsid w:val="005929CB"/>
    <w:rsid w:val="00593C68"/>
    <w:rsid w:val="00594B8A"/>
    <w:rsid w:val="00594EE3"/>
    <w:rsid w:val="005956C6"/>
    <w:rsid w:val="00595BB5"/>
    <w:rsid w:val="0059610D"/>
    <w:rsid w:val="00596430"/>
    <w:rsid w:val="00596626"/>
    <w:rsid w:val="0059734B"/>
    <w:rsid w:val="005A0500"/>
    <w:rsid w:val="005A12ED"/>
    <w:rsid w:val="005A24EA"/>
    <w:rsid w:val="005A2923"/>
    <w:rsid w:val="005A4143"/>
    <w:rsid w:val="005A4815"/>
    <w:rsid w:val="005A4A25"/>
    <w:rsid w:val="005A5143"/>
    <w:rsid w:val="005A54D6"/>
    <w:rsid w:val="005A5787"/>
    <w:rsid w:val="005A6EF8"/>
    <w:rsid w:val="005B01FE"/>
    <w:rsid w:val="005B0E72"/>
    <w:rsid w:val="005B0FF2"/>
    <w:rsid w:val="005B138E"/>
    <w:rsid w:val="005B18D5"/>
    <w:rsid w:val="005B3F0C"/>
    <w:rsid w:val="005B4135"/>
    <w:rsid w:val="005B50E2"/>
    <w:rsid w:val="005B5A35"/>
    <w:rsid w:val="005B5E4D"/>
    <w:rsid w:val="005B61FD"/>
    <w:rsid w:val="005C0AE1"/>
    <w:rsid w:val="005C0E50"/>
    <w:rsid w:val="005C1129"/>
    <w:rsid w:val="005C142B"/>
    <w:rsid w:val="005C1E16"/>
    <w:rsid w:val="005C2AC1"/>
    <w:rsid w:val="005C4161"/>
    <w:rsid w:val="005C4F77"/>
    <w:rsid w:val="005C6F4B"/>
    <w:rsid w:val="005C7057"/>
    <w:rsid w:val="005C78C4"/>
    <w:rsid w:val="005D03E2"/>
    <w:rsid w:val="005D0528"/>
    <w:rsid w:val="005D3576"/>
    <w:rsid w:val="005D4D54"/>
    <w:rsid w:val="005D510D"/>
    <w:rsid w:val="005D6808"/>
    <w:rsid w:val="005E1406"/>
    <w:rsid w:val="005E1D00"/>
    <w:rsid w:val="005E430B"/>
    <w:rsid w:val="005E6D52"/>
    <w:rsid w:val="005E7990"/>
    <w:rsid w:val="005E7FE1"/>
    <w:rsid w:val="005F03D0"/>
    <w:rsid w:val="005F3884"/>
    <w:rsid w:val="005F4437"/>
    <w:rsid w:val="005F4C97"/>
    <w:rsid w:val="005F70BF"/>
    <w:rsid w:val="005F7AC6"/>
    <w:rsid w:val="006009CF"/>
    <w:rsid w:val="006013B3"/>
    <w:rsid w:val="00601856"/>
    <w:rsid w:val="0060579D"/>
    <w:rsid w:val="00606271"/>
    <w:rsid w:val="0060677D"/>
    <w:rsid w:val="006073AE"/>
    <w:rsid w:val="00610531"/>
    <w:rsid w:val="006123E7"/>
    <w:rsid w:val="00612EE2"/>
    <w:rsid w:val="00613843"/>
    <w:rsid w:val="00613B1C"/>
    <w:rsid w:val="00613EB2"/>
    <w:rsid w:val="006147E6"/>
    <w:rsid w:val="00615304"/>
    <w:rsid w:val="006156B0"/>
    <w:rsid w:val="00615DF4"/>
    <w:rsid w:val="00616682"/>
    <w:rsid w:val="006167B5"/>
    <w:rsid w:val="00616ED8"/>
    <w:rsid w:val="00617617"/>
    <w:rsid w:val="00620E5B"/>
    <w:rsid w:val="00626C29"/>
    <w:rsid w:val="0063092F"/>
    <w:rsid w:val="00631086"/>
    <w:rsid w:val="00631688"/>
    <w:rsid w:val="00632CEB"/>
    <w:rsid w:val="0063672E"/>
    <w:rsid w:val="00636C33"/>
    <w:rsid w:val="006375A2"/>
    <w:rsid w:val="00637B51"/>
    <w:rsid w:val="00640BEF"/>
    <w:rsid w:val="006418C8"/>
    <w:rsid w:val="00642099"/>
    <w:rsid w:val="00642B0E"/>
    <w:rsid w:val="00643751"/>
    <w:rsid w:val="00643BC1"/>
    <w:rsid w:val="00644923"/>
    <w:rsid w:val="0064507F"/>
    <w:rsid w:val="00645606"/>
    <w:rsid w:val="0064574F"/>
    <w:rsid w:val="006460D2"/>
    <w:rsid w:val="00646C2F"/>
    <w:rsid w:val="00647556"/>
    <w:rsid w:val="00647749"/>
    <w:rsid w:val="0064790F"/>
    <w:rsid w:val="006504A3"/>
    <w:rsid w:val="00650890"/>
    <w:rsid w:val="00651E83"/>
    <w:rsid w:val="00653025"/>
    <w:rsid w:val="00653562"/>
    <w:rsid w:val="006542E9"/>
    <w:rsid w:val="0065471A"/>
    <w:rsid w:val="006547EB"/>
    <w:rsid w:val="00655DCF"/>
    <w:rsid w:val="00656874"/>
    <w:rsid w:val="006570D1"/>
    <w:rsid w:val="0065750E"/>
    <w:rsid w:val="00657DEA"/>
    <w:rsid w:val="006618FB"/>
    <w:rsid w:val="00662714"/>
    <w:rsid w:val="0066340C"/>
    <w:rsid w:val="00663413"/>
    <w:rsid w:val="00663860"/>
    <w:rsid w:val="00663A49"/>
    <w:rsid w:val="006660F2"/>
    <w:rsid w:val="00666B8F"/>
    <w:rsid w:val="00667FC4"/>
    <w:rsid w:val="00671048"/>
    <w:rsid w:val="00671C10"/>
    <w:rsid w:val="00673819"/>
    <w:rsid w:val="00675346"/>
    <w:rsid w:val="0067581A"/>
    <w:rsid w:val="00675B5C"/>
    <w:rsid w:val="00676EE3"/>
    <w:rsid w:val="0068005F"/>
    <w:rsid w:val="00680130"/>
    <w:rsid w:val="00680823"/>
    <w:rsid w:val="00681123"/>
    <w:rsid w:val="00681414"/>
    <w:rsid w:val="0068155F"/>
    <w:rsid w:val="00682111"/>
    <w:rsid w:val="00684091"/>
    <w:rsid w:val="0068464A"/>
    <w:rsid w:val="00684E76"/>
    <w:rsid w:val="00685015"/>
    <w:rsid w:val="0068545B"/>
    <w:rsid w:val="00685677"/>
    <w:rsid w:val="006862B2"/>
    <w:rsid w:val="00686FB3"/>
    <w:rsid w:val="00690CA3"/>
    <w:rsid w:val="006914D9"/>
    <w:rsid w:val="006927A9"/>
    <w:rsid w:val="006931C0"/>
    <w:rsid w:val="00693244"/>
    <w:rsid w:val="00693CAB"/>
    <w:rsid w:val="006940E0"/>
    <w:rsid w:val="0069651A"/>
    <w:rsid w:val="0069758A"/>
    <w:rsid w:val="0069775F"/>
    <w:rsid w:val="00697DDF"/>
    <w:rsid w:val="00697ED9"/>
    <w:rsid w:val="006A046D"/>
    <w:rsid w:val="006A1B6F"/>
    <w:rsid w:val="006A2145"/>
    <w:rsid w:val="006A41FC"/>
    <w:rsid w:val="006A425A"/>
    <w:rsid w:val="006A62AB"/>
    <w:rsid w:val="006A76D4"/>
    <w:rsid w:val="006B1364"/>
    <w:rsid w:val="006B1A14"/>
    <w:rsid w:val="006B1A59"/>
    <w:rsid w:val="006B1B2C"/>
    <w:rsid w:val="006B1EC1"/>
    <w:rsid w:val="006B312E"/>
    <w:rsid w:val="006B6BC7"/>
    <w:rsid w:val="006B7292"/>
    <w:rsid w:val="006C1A10"/>
    <w:rsid w:val="006C1E5B"/>
    <w:rsid w:val="006C1FB0"/>
    <w:rsid w:val="006C1FE8"/>
    <w:rsid w:val="006C2109"/>
    <w:rsid w:val="006C39C9"/>
    <w:rsid w:val="006C4AB1"/>
    <w:rsid w:val="006C5890"/>
    <w:rsid w:val="006C58F7"/>
    <w:rsid w:val="006C5F72"/>
    <w:rsid w:val="006D0044"/>
    <w:rsid w:val="006D21AA"/>
    <w:rsid w:val="006D3C1E"/>
    <w:rsid w:val="006D3D59"/>
    <w:rsid w:val="006D467B"/>
    <w:rsid w:val="006D5E2E"/>
    <w:rsid w:val="006D633F"/>
    <w:rsid w:val="006E0714"/>
    <w:rsid w:val="006E1F74"/>
    <w:rsid w:val="006E2B79"/>
    <w:rsid w:val="006E2CDD"/>
    <w:rsid w:val="006E357E"/>
    <w:rsid w:val="006E3E53"/>
    <w:rsid w:val="006E418A"/>
    <w:rsid w:val="006E44F0"/>
    <w:rsid w:val="006E4E5C"/>
    <w:rsid w:val="006E55F1"/>
    <w:rsid w:val="006E605C"/>
    <w:rsid w:val="006E608E"/>
    <w:rsid w:val="006E6C08"/>
    <w:rsid w:val="006E7D1D"/>
    <w:rsid w:val="006F167B"/>
    <w:rsid w:val="006F3F37"/>
    <w:rsid w:val="006F4136"/>
    <w:rsid w:val="006F67B2"/>
    <w:rsid w:val="006F6835"/>
    <w:rsid w:val="00700E90"/>
    <w:rsid w:val="00701ACB"/>
    <w:rsid w:val="00701ADB"/>
    <w:rsid w:val="0070311C"/>
    <w:rsid w:val="007035A6"/>
    <w:rsid w:val="007035B3"/>
    <w:rsid w:val="00703A4E"/>
    <w:rsid w:val="00703BA2"/>
    <w:rsid w:val="00703EDA"/>
    <w:rsid w:val="00705BE4"/>
    <w:rsid w:val="00707673"/>
    <w:rsid w:val="00710F49"/>
    <w:rsid w:val="00710FBA"/>
    <w:rsid w:val="0071116E"/>
    <w:rsid w:val="00711A00"/>
    <w:rsid w:val="00711C83"/>
    <w:rsid w:val="007138B2"/>
    <w:rsid w:val="007158D7"/>
    <w:rsid w:val="00717AD6"/>
    <w:rsid w:val="00720BEC"/>
    <w:rsid w:val="0072134A"/>
    <w:rsid w:val="00721D3C"/>
    <w:rsid w:val="0072203A"/>
    <w:rsid w:val="00722C86"/>
    <w:rsid w:val="007238F9"/>
    <w:rsid w:val="007243C5"/>
    <w:rsid w:val="00725D49"/>
    <w:rsid w:val="00727D99"/>
    <w:rsid w:val="0073134E"/>
    <w:rsid w:val="007315BB"/>
    <w:rsid w:val="00731681"/>
    <w:rsid w:val="00731BA3"/>
    <w:rsid w:val="00732A2D"/>
    <w:rsid w:val="007334C9"/>
    <w:rsid w:val="00734368"/>
    <w:rsid w:val="007377EB"/>
    <w:rsid w:val="0073796E"/>
    <w:rsid w:val="00740E81"/>
    <w:rsid w:val="0074197B"/>
    <w:rsid w:val="00741F6C"/>
    <w:rsid w:val="0074302A"/>
    <w:rsid w:val="00745062"/>
    <w:rsid w:val="007464A8"/>
    <w:rsid w:val="00746DF3"/>
    <w:rsid w:val="00746F38"/>
    <w:rsid w:val="00747DAC"/>
    <w:rsid w:val="007504F7"/>
    <w:rsid w:val="0075148D"/>
    <w:rsid w:val="00751B83"/>
    <w:rsid w:val="00751C02"/>
    <w:rsid w:val="00751EA0"/>
    <w:rsid w:val="007522F8"/>
    <w:rsid w:val="00752489"/>
    <w:rsid w:val="007532CB"/>
    <w:rsid w:val="007537EA"/>
    <w:rsid w:val="00754186"/>
    <w:rsid w:val="0075466D"/>
    <w:rsid w:val="0075480B"/>
    <w:rsid w:val="007559B5"/>
    <w:rsid w:val="00755D93"/>
    <w:rsid w:val="00755FC8"/>
    <w:rsid w:val="00762673"/>
    <w:rsid w:val="00763720"/>
    <w:rsid w:val="00763B74"/>
    <w:rsid w:val="00763F6C"/>
    <w:rsid w:val="00764C56"/>
    <w:rsid w:val="007659AA"/>
    <w:rsid w:val="00767D29"/>
    <w:rsid w:val="0077072D"/>
    <w:rsid w:val="00770BD4"/>
    <w:rsid w:val="007720CD"/>
    <w:rsid w:val="00772930"/>
    <w:rsid w:val="00774971"/>
    <w:rsid w:val="0077683E"/>
    <w:rsid w:val="00777DA0"/>
    <w:rsid w:val="00780365"/>
    <w:rsid w:val="007817BA"/>
    <w:rsid w:val="0078189D"/>
    <w:rsid w:val="007831F8"/>
    <w:rsid w:val="00783DF2"/>
    <w:rsid w:val="007849DD"/>
    <w:rsid w:val="00784B0E"/>
    <w:rsid w:val="00787121"/>
    <w:rsid w:val="00787E4A"/>
    <w:rsid w:val="007904E0"/>
    <w:rsid w:val="00791F62"/>
    <w:rsid w:val="0079273A"/>
    <w:rsid w:val="007937B3"/>
    <w:rsid w:val="00793D53"/>
    <w:rsid w:val="00793E63"/>
    <w:rsid w:val="00794046"/>
    <w:rsid w:val="00797988"/>
    <w:rsid w:val="007A299B"/>
    <w:rsid w:val="007A2C3F"/>
    <w:rsid w:val="007A39CC"/>
    <w:rsid w:val="007A39EC"/>
    <w:rsid w:val="007A4024"/>
    <w:rsid w:val="007A4232"/>
    <w:rsid w:val="007A4861"/>
    <w:rsid w:val="007A5E6E"/>
    <w:rsid w:val="007A6A63"/>
    <w:rsid w:val="007A7445"/>
    <w:rsid w:val="007A772B"/>
    <w:rsid w:val="007A7784"/>
    <w:rsid w:val="007A786E"/>
    <w:rsid w:val="007B1056"/>
    <w:rsid w:val="007B118E"/>
    <w:rsid w:val="007B1B20"/>
    <w:rsid w:val="007B30D1"/>
    <w:rsid w:val="007B3DE5"/>
    <w:rsid w:val="007B5756"/>
    <w:rsid w:val="007B57C4"/>
    <w:rsid w:val="007B652F"/>
    <w:rsid w:val="007B6B4B"/>
    <w:rsid w:val="007B6E13"/>
    <w:rsid w:val="007B7A8D"/>
    <w:rsid w:val="007C03D1"/>
    <w:rsid w:val="007C0622"/>
    <w:rsid w:val="007C0976"/>
    <w:rsid w:val="007C0F47"/>
    <w:rsid w:val="007C16CF"/>
    <w:rsid w:val="007C417D"/>
    <w:rsid w:val="007C5046"/>
    <w:rsid w:val="007C51D0"/>
    <w:rsid w:val="007C64DA"/>
    <w:rsid w:val="007C6DDC"/>
    <w:rsid w:val="007C79EC"/>
    <w:rsid w:val="007D077F"/>
    <w:rsid w:val="007D2811"/>
    <w:rsid w:val="007D2D02"/>
    <w:rsid w:val="007D3DEB"/>
    <w:rsid w:val="007D4BCD"/>
    <w:rsid w:val="007D57B8"/>
    <w:rsid w:val="007D7324"/>
    <w:rsid w:val="007E0557"/>
    <w:rsid w:val="007E1BE2"/>
    <w:rsid w:val="007E1DE2"/>
    <w:rsid w:val="007E1F73"/>
    <w:rsid w:val="007E2235"/>
    <w:rsid w:val="007E22F6"/>
    <w:rsid w:val="007E3F5B"/>
    <w:rsid w:val="007E432E"/>
    <w:rsid w:val="007E443D"/>
    <w:rsid w:val="007E4470"/>
    <w:rsid w:val="007E44E1"/>
    <w:rsid w:val="007E50D4"/>
    <w:rsid w:val="007E633B"/>
    <w:rsid w:val="007F0491"/>
    <w:rsid w:val="007F1662"/>
    <w:rsid w:val="007F1F95"/>
    <w:rsid w:val="007F368E"/>
    <w:rsid w:val="007F413B"/>
    <w:rsid w:val="007F4771"/>
    <w:rsid w:val="007F4979"/>
    <w:rsid w:val="007F55A7"/>
    <w:rsid w:val="007F5B1B"/>
    <w:rsid w:val="007F7681"/>
    <w:rsid w:val="00800526"/>
    <w:rsid w:val="0080092D"/>
    <w:rsid w:val="0080176F"/>
    <w:rsid w:val="008019ED"/>
    <w:rsid w:val="008039CA"/>
    <w:rsid w:val="00806794"/>
    <w:rsid w:val="00806EC0"/>
    <w:rsid w:val="00810FA9"/>
    <w:rsid w:val="00811313"/>
    <w:rsid w:val="00812B41"/>
    <w:rsid w:val="00813B2B"/>
    <w:rsid w:val="00813D41"/>
    <w:rsid w:val="00814A6E"/>
    <w:rsid w:val="00814F16"/>
    <w:rsid w:val="008151DA"/>
    <w:rsid w:val="00817FEE"/>
    <w:rsid w:val="00821127"/>
    <w:rsid w:val="0082117F"/>
    <w:rsid w:val="00821D8A"/>
    <w:rsid w:val="0082234B"/>
    <w:rsid w:val="008223ED"/>
    <w:rsid w:val="00822EC3"/>
    <w:rsid w:val="00822FF8"/>
    <w:rsid w:val="008243B2"/>
    <w:rsid w:val="00824E03"/>
    <w:rsid w:val="00825140"/>
    <w:rsid w:val="00825614"/>
    <w:rsid w:val="00826EC7"/>
    <w:rsid w:val="00827AD3"/>
    <w:rsid w:val="00827FBD"/>
    <w:rsid w:val="00830C35"/>
    <w:rsid w:val="00831553"/>
    <w:rsid w:val="00832742"/>
    <w:rsid w:val="00835B5E"/>
    <w:rsid w:val="00835EBA"/>
    <w:rsid w:val="0083605A"/>
    <w:rsid w:val="008374DD"/>
    <w:rsid w:val="00840AAB"/>
    <w:rsid w:val="0084128D"/>
    <w:rsid w:val="00841DA2"/>
    <w:rsid w:val="00842BB4"/>
    <w:rsid w:val="0084386D"/>
    <w:rsid w:val="00843A77"/>
    <w:rsid w:val="0084569E"/>
    <w:rsid w:val="008456D5"/>
    <w:rsid w:val="008459A4"/>
    <w:rsid w:val="00845A16"/>
    <w:rsid w:val="0084625A"/>
    <w:rsid w:val="008475FD"/>
    <w:rsid w:val="00850175"/>
    <w:rsid w:val="008502CC"/>
    <w:rsid w:val="008504FC"/>
    <w:rsid w:val="008511FB"/>
    <w:rsid w:val="00851517"/>
    <w:rsid w:val="008516DB"/>
    <w:rsid w:val="00851E64"/>
    <w:rsid w:val="00853C28"/>
    <w:rsid w:val="00853D37"/>
    <w:rsid w:val="00854D63"/>
    <w:rsid w:val="0085585D"/>
    <w:rsid w:val="00855A25"/>
    <w:rsid w:val="00861B9B"/>
    <w:rsid w:val="00861F1D"/>
    <w:rsid w:val="00862FAD"/>
    <w:rsid w:val="008632BB"/>
    <w:rsid w:val="008638AD"/>
    <w:rsid w:val="00864F8A"/>
    <w:rsid w:val="008659E9"/>
    <w:rsid w:val="00866CC3"/>
    <w:rsid w:val="008676A6"/>
    <w:rsid w:val="0087057A"/>
    <w:rsid w:val="00871BC9"/>
    <w:rsid w:val="0087245F"/>
    <w:rsid w:val="0087371B"/>
    <w:rsid w:val="008740BF"/>
    <w:rsid w:val="0087625C"/>
    <w:rsid w:val="008818E4"/>
    <w:rsid w:val="00881B34"/>
    <w:rsid w:val="00885601"/>
    <w:rsid w:val="00886795"/>
    <w:rsid w:val="0088756E"/>
    <w:rsid w:val="008877FE"/>
    <w:rsid w:val="008910E7"/>
    <w:rsid w:val="0089180C"/>
    <w:rsid w:val="008928C9"/>
    <w:rsid w:val="00895A6C"/>
    <w:rsid w:val="0089667D"/>
    <w:rsid w:val="00896B39"/>
    <w:rsid w:val="00897E5C"/>
    <w:rsid w:val="008A15BF"/>
    <w:rsid w:val="008A264A"/>
    <w:rsid w:val="008A3914"/>
    <w:rsid w:val="008A3DAA"/>
    <w:rsid w:val="008A3E56"/>
    <w:rsid w:val="008A6A76"/>
    <w:rsid w:val="008A6B83"/>
    <w:rsid w:val="008A793D"/>
    <w:rsid w:val="008B1ABD"/>
    <w:rsid w:val="008B260A"/>
    <w:rsid w:val="008B262B"/>
    <w:rsid w:val="008B2F6E"/>
    <w:rsid w:val="008B65F0"/>
    <w:rsid w:val="008B694C"/>
    <w:rsid w:val="008B6B7B"/>
    <w:rsid w:val="008B7690"/>
    <w:rsid w:val="008B7883"/>
    <w:rsid w:val="008B7EB3"/>
    <w:rsid w:val="008C0A20"/>
    <w:rsid w:val="008C1931"/>
    <w:rsid w:val="008C1CF6"/>
    <w:rsid w:val="008C1D2E"/>
    <w:rsid w:val="008C604C"/>
    <w:rsid w:val="008C6F6C"/>
    <w:rsid w:val="008C7C4B"/>
    <w:rsid w:val="008D0623"/>
    <w:rsid w:val="008D06EA"/>
    <w:rsid w:val="008D1A50"/>
    <w:rsid w:val="008D27C9"/>
    <w:rsid w:val="008D2A60"/>
    <w:rsid w:val="008D2A94"/>
    <w:rsid w:val="008D2EDF"/>
    <w:rsid w:val="008D3747"/>
    <w:rsid w:val="008D382F"/>
    <w:rsid w:val="008D496F"/>
    <w:rsid w:val="008D56E4"/>
    <w:rsid w:val="008D6081"/>
    <w:rsid w:val="008D61FE"/>
    <w:rsid w:val="008E07A0"/>
    <w:rsid w:val="008E10A9"/>
    <w:rsid w:val="008E1327"/>
    <w:rsid w:val="008E170B"/>
    <w:rsid w:val="008E1CD0"/>
    <w:rsid w:val="008E3CC4"/>
    <w:rsid w:val="008E597E"/>
    <w:rsid w:val="008E5D73"/>
    <w:rsid w:val="008E7675"/>
    <w:rsid w:val="008E7A95"/>
    <w:rsid w:val="008E7BB6"/>
    <w:rsid w:val="008F0D3D"/>
    <w:rsid w:val="008F1BCA"/>
    <w:rsid w:val="008F2655"/>
    <w:rsid w:val="008F3919"/>
    <w:rsid w:val="008F531E"/>
    <w:rsid w:val="008F58BA"/>
    <w:rsid w:val="008F5A90"/>
    <w:rsid w:val="008F5B41"/>
    <w:rsid w:val="008F5C7C"/>
    <w:rsid w:val="008F68CF"/>
    <w:rsid w:val="008F69ED"/>
    <w:rsid w:val="008F6C55"/>
    <w:rsid w:val="008F7CDC"/>
    <w:rsid w:val="009006DE"/>
    <w:rsid w:val="00900BE5"/>
    <w:rsid w:val="0090303F"/>
    <w:rsid w:val="00904260"/>
    <w:rsid w:val="009109A4"/>
    <w:rsid w:val="00911367"/>
    <w:rsid w:val="009122DC"/>
    <w:rsid w:val="009131BF"/>
    <w:rsid w:val="009131F0"/>
    <w:rsid w:val="009138D4"/>
    <w:rsid w:val="00915518"/>
    <w:rsid w:val="00916976"/>
    <w:rsid w:val="0092041C"/>
    <w:rsid w:val="009205FB"/>
    <w:rsid w:val="009206B9"/>
    <w:rsid w:val="0092089D"/>
    <w:rsid w:val="00920F78"/>
    <w:rsid w:val="0092141D"/>
    <w:rsid w:val="00921BA7"/>
    <w:rsid w:val="00921E13"/>
    <w:rsid w:val="00923757"/>
    <w:rsid w:val="00924EA4"/>
    <w:rsid w:val="009255AD"/>
    <w:rsid w:val="0092596B"/>
    <w:rsid w:val="009262DD"/>
    <w:rsid w:val="00926659"/>
    <w:rsid w:val="00930179"/>
    <w:rsid w:val="009308B1"/>
    <w:rsid w:val="009311AF"/>
    <w:rsid w:val="00931745"/>
    <w:rsid w:val="00931F73"/>
    <w:rsid w:val="00933197"/>
    <w:rsid w:val="00933FF9"/>
    <w:rsid w:val="009347F5"/>
    <w:rsid w:val="0093553E"/>
    <w:rsid w:val="00935975"/>
    <w:rsid w:val="00936D0D"/>
    <w:rsid w:val="0093741E"/>
    <w:rsid w:val="009375B5"/>
    <w:rsid w:val="009375BB"/>
    <w:rsid w:val="0094005E"/>
    <w:rsid w:val="00941A1B"/>
    <w:rsid w:val="00941AE0"/>
    <w:rsid w:val="00941CB6"/>
    <w:rsid w:val="00941EF8"/>
    <w:rsid w:val="00942660"/>
    <w:rsid w:val="0094738C"/>
    <w:rsid w:val="00950F71"/>
    <w:rsid w:val="009515E6"/>
    <w:rsid w:val="00951D7E"/>
    <w:rsid w:val="00952146"/>
    <w:rsid w:val="00952687"/>
    <w:rsid w:val="00952779"/>
    <w:rsid w:val="009530C2"/>
    <w:rsid w:val="009558F6"/>
    <w:rsid w:val="00956275"/>
    <w:rsid w:val="009563CD"/>
    <w:rsid w:val="00956A44"/>
    <w:rsid w:val="009623BC"/>
    <w:rsid w:val="00962821"/>
    <w:rsid w:val="00962876"/>
    <w:rsid w:val="00962A22"/>
    <w:rsid w:val="0096335E"/>
    <w:rsid w:val="00963485"/>
    <w:rsid w:val="009639D7"/>
    <w:rsid w:val="00963A59"/>
    <w:rsid w:val="00963F2A"/>
    <w:rsid w:val="00964A3D"/>
    <w:rsid w:val="009656A3"/>
    <w:rsid w:val="00970CAC"/>
    <w:rsid w:val="009720B0"/>
    <w:rsid w:val="0097283A"/>
    <w:rsid w:val="00972E0F"/>
    <w:rsid w:val="00975128"/>
    <w:rsid w:val="00976E8E"/>
    <w:rsid w:val="00977F41"/>
    <w:rsid w:val="00980AE7"/>
    <w:rsid w:val="00980BCC"/>
    <w:rsid w:val="00981245"/>
    <w:rsid w:val="00983783"/>
    <w:rsid w:val="0098472F"/>
    <w:rsid w:val="009853C5"/>
    <w:rsid w:val="00985769"/>
    <w:rsid w:val="00985990"/>
    <w:rsid w:val="00990393"/>
    <w:rsid w:val="0099198C"/>
    <w:rsid w:val="00991E18"/>
    <w:rsid w:val="00992070"/>
    <w:rsid w:val="00992DA9"/>
    <w:rsid w:val="00992F64"/>
    <w:rsid w:val="0099386A"/>
    <w:rsid w:val="009942EA"/>
    <w:rsid w:val="009944C8"/>
    <w:rsid w:val="0099632A"/>
    <w:rsid w:val="009966A3"/>
    <w:rsid w:val="009979C1"/>
    <w:rsid w:val="009A0AE7"/>
    <w:rsid w:val="009A1F57"/>
    <w:rsid w:val="009A22CE"/>
    <w:rsid w:val="009A2A5D"/>
    <w:rsid w:val="009A5487"/>
    <w:rsid w:val="009A632A"/>
    <w:rsid w:val="009A6CA0"/>
    <w:rsid w:val="009A74F0"/>
    <w:rsid w:val="009B0215"/>
    <w:rsid w:val="009B0D47"/>
    <w:rsid w:val="009B1220"/>
    <w:rsid w:val="009B34A4"/>
    <w:rsid w:val="009B3A5C"/>
    <w:rsid w:val="009B44BF"/>
    <w:rsid w:val="009B4A79"/>
    <w:rsid w:val="009B59FE"/>
    <w:rsid w:val="009B5A0E"/>
    <w:rsid w:val="009B639F"/>
    <w:rsid w:val="009B6C8F"/>
    <w:rsid w:val="009B7E75"/>
    <w:rsid w:val="009C0D36"/>
    <w:rsid w:val="009C1148"/>
    <w:rsid w:val="009C14EE"/>
    <w:rsid w:val="009C2454"/>
    <w:rsid w:val="009C2BA6"/>
    <w:rsid w:val="009C2CC7"/>
    <w:rsid w:val="009C4F1C"/>
    <w:rsid w:val="009C5E01"/>
    <w:rsid w:val="009C6318"/>
    <w:rsid w:val="009C6EFE"/>
    <w:rsid w:val="009C72C5"/>
    <w:rsid w:val="009C77C0"/>
    <w:rsid w:val="009D0DEE"/>
    <w:rsid w:val="009D2286"/>
    <w:rsid w:val="009D2BBE"/>
    <w:rsid w:val="009D37CE"/>
    <w:rsid w:val="009D3AA9"/>
    <w:rsid w:val="009D4028"/>
    <w:rsid w:val="009D4107"/>
    <w:rsid w:val="009D44F7"/>
    <w:rsid w:val="009D49D6"/>
    <w:rsid w:val="009D5510"/>
    <w:rsid w:val="009E01DE"/>
    <w:rsid w:val="009E1A8D"/>
    <w:rsid w:val="009E1EF4"/>
    <w:rsid w:val="009E2857"/>
    <w:rsid w:val="009E2B64"/>
    <w:rsid w:val="009E3EE4"/>
    <w:rsid w:val="009E4572"/>
    <w:rsid w:val="009E4684"/>
    <w:rsid w:val="009E5041"/>
    <w:rsid w:val="009E5061"/>
    <w:rsid w:val="009E5185"/>
    <w:rsid w:val="009E5458"/>
    <w:rsid w:val="009E5E48"/>
    <w:rsid w:val="009F00EB"/>
    <w:rsid w:val="009F0299"/>
    <w:rsid w:val="009F0826"/>
    <w:rsid w:val="009F0922"/>
    <w:rsid w:val="009F2C6C"/>
    <w:rsid w:val="009F2F9A"/>
    <w:rsid w:val="009F30DD"/>
    <w:rsid w:val="009F31BA"/>
    <w:rsid w:val="009F368A"/>
    <w:rsid w:val="009F3DB8"/>
    <w:rsid w:val="009F40B7"/>
    <w:rsid w:val="009F54CD"/>
    <w:rsid w:val="009F575A"/>
    <w:rsid w:val="00A01A57"/>
    <w:rsid w:val="00A01E61"/>
    <w:rsid w:val="00A02657"/>
    <w:rsid w:val="00A034C7"/>
    <w:rsid w:val="00A044F7"/>
    <w:rsid w:val="00A04721"/>
    <w:rsid w:val="00A04C50"/>
    <w:rsid w:val="00A059EE"/>
    <w:rsid w:val="00A05F6A"/>
    <w:rsid w:val="00A123DE"/>
    <w:rsid w:val="00A12A62"/>
    <w:rsid w:val="00A137F8"/>
    <w:rsid w:val="00A14A0B"/>
    <w:rsid w:val="00A15AE1"/>
    <w:rsid w:val="00A17247"/>
    <w:rsid w:val="00A2168D"/>
    <w:rsid w:val="00A2269F"/>
    <w:rsid w:val="00A22CE8"/>
    <w:rsid w:val="00A2386A"/>
    <w:rsid w:val="00A23992"/>
    <w:rsid w:val="00A23E20"/>
    <w:rsid w:val="00A265C4"/>
    <w:rsid w:val="00A30171"/>
    <w:rsid w:val="00A30E25"/>
    <w:rsid w:val="00A3253D"/>
    <w:rsid w:val="00A32750"/>
    <w:rsid w:val="00A33223"/>
    <w:rsid w:val="00A336DF"/>
    <w:rsid w:val="00A33AA2"/>
    <w:rsid w:val="00A343EA"/>
    <w:rsid w:val="00A348A6"/>
    <w:rsid w:val="00A34B0E"/>
    <w:rsid w:val="00A34BF4"/>
    <w:rsid w:val="00A3618C"/>
    <w:rsid w:val="00A361A2"/>
    <w:rsid w:val="00A36C70"/>
    <w:rsid w:val="00A40AF9"/>
    <w:rsid w:val="00A41784"/>
    <w:rsid w:val="00A41F82"/>
    <w:rsid w:val="00A42A23"/>
    <w:rsid w:val="00A44817"/>
    <w:rsid w:val="00A4532E"/>
    <w:rsid w:val="00A4562E"/>
    <w:rsid w:val="00A47470"/>
    <w:rsid w:val="00A506DC"/>
    <w:rsid w:val="00A510C7"/>
    <w:rsid w:val="00A515D2"/>
    <w:rsid w:val="00A53354"/>
    <w:rsid w:val="00A5357B"/>
    <w:rsid w:val="00A536E8"/>
    <w:rsid w:val="00A557F0"/>
    <w:rsid w:val="00A5630B"/>
    <w:rsid w:val="00A56532"/>
    <w:rsid w:val="00A577D8"/>
    <w:rsid w:val="00A60C0F"/>
    <w:rsid w:val="00A61698"/>
    <w:rsid w:val="00A62FF7"/>
    <w:rsid w:val="00A64063"/>
    <w:rsid w:val="00A64F65"/>
    <w:rsid w:val="00A6558C"/>
    <w:rsid w:val="00A65810"/>
    <w:rsid w:val="00A6623C"/>
    <w:rsid w:val="00A66A51"/>
    <w:rsid w:val="00A67732"/>
    <w:rsid w:val="00A71B19"/>
    <w:rsid w:val="00A7558E"/>
    <w:rsid w:val="00A7700F"/>
    <w:rsid w:val="00A77029"/>
    <w:rsid w:val="00A77126"/>
    <w:rsid w:val="00A772F4"/>
    <w:rsid w:val="00A7768F"/>
    <w:rsid w:val="00A7784B"/>
    <w:rsid w:val="00A8112D"/>
    <w:rsid w:val="00A8119E"/>
    <w:rsid w:val="00A81787"/>
    <w:rsid w:val="00A8439C"/>
    <w:rsid w:val="00A847AB"/>
    <w:rsid w:val="00A84C76"/>
    <w:rsid w:val="00A85484"/>
    <w:rsid w:val="00A859BA"/>
    <w:rsid w:val="00A86DEB"/>
    <w:rsid w:val="00A87455"/>
    <w:rsid w:val="00A87FB0"/>
    <w:rsid w:val="00A914A3"/>
    <w:rsid w:val="00A91971"/>
    <w:rsid w:val="00A91E69"/>
    <w:rsid w:val="00A923D1"/>
    <w:rsid w:val="00A925A5"/>
    <w:rsid w:val="00A93267"/>
    <w:rsid w:val="00A94D54"/>
    <w:rsid w:val="00A951EE"/>
    <w:rsid w:val="00A962CC"/>
    <w:rsid w:val="00A964E1"/>
    <w:rsid w:val="00A968A7"/>
    <w:rsid w:val="00A971AB"/>
    <w:rsid w:val="00A97768"/>
    <w:rsid w:val="00AA04C3"/>
    <w:rsid w:val="00AA08A4"/>
    <w:rsid w:val="00AA3012"/>
    <w:rsid w:val="00AA530F"/>
    <w:rsid w:val="00AA57CC"/>
    <w:rsid w:val="00AA63CA"/>
    <w:rsid w:val="00AA6D60"/>
    <w:rsid w:val="00AA75BC"/>
    <w:rsid w:val="00AB008F"/>
    <w:rsid w:val="00AB0FE9"/>
    <w:rsid w:val="00AB3234"/>
    <w:rsid w:val="00AB37F1"/>
    <w:rsid w:val="00AB4240"/>
    <w:rsid w:val="00AB4CB8"/>
    <w:rsid w:val="00AB5156"/>
    <w:rsid w:val="00AB5E81"/>
    <w:rsid w:val="00AB7BB3"/>
    <w:rsid w:val="00AC07C3"/>
    <w:rsid w:val="00AC1A0A"/>
    <w:rsid w:val="00AC2CE8"/>
    <w:rsid w:val="00AC4FCE"/>
    <w:rsid w:val="00AC59C0"/>
    <w:rsid w:val="00AC5EFF"/>
    <w:rsid w:val="00AC6FE1"/>
    <w:rsid w:val="00AC72DB"/>
    <w:rsid w:val="00AD1925"/>
    <w:rsid w:val="00AD1AC8"/>
    <w:rsid w:val="00AD2B89"/>
    <w:rsid w:val="00AD2B9A"/>
    <w:rsid w:val="00AD31AD"/>
    <w:rsid w:val="00AD3ECA"/>
    <w:rsid w:val="00AD4FAD"/>
    <w:rsid w:val="00AD6D88"/>
    <w:rsid w:val="00AD7B05"/>
    <w:rsid w:val="00AE01B9"/>
    <w:rsid w:val="00AE1736"/>
    <w:rsid w:val="00AE1853"/>
    <w:rsid w:val="00AE35CE"/>
    <w:rsid w:val="00AE3A35"/>
    <w:rsid w:val="00AE3EBF"/>
    <w:rsid w:val="00AE443E"/>
    <w:rsid w:val="00AE770E"/>
    <w:rsid w:val="00AE7F32"/>
    <w:rsid w:val="00AF03DD"/>
    <w:rsid w:val="00AF19D8"/>
    <w:rsid w:val="00AF2052"/>
    <w:rsid w:val="00AF271D"/>
    <w:rsid w:val="00AF46A5"/>
    <w:rsid w:val="00AF474B"/>
    <w:rsid w:val="00AF4C00"/>
    <w:rsid w:val="00AF50B8"/>
    <w:rsid w:val="00AF5887"/>
    <w:rsid w:val="00AF6748"/>
    <w:rsid w:val="00AF67FF"/>
    <w:rsid w:val="00B00D9E"/>
    <w:rsid w:val="00B00EA1"/>
    <w:rsid w:val="00B02965"/>
    <w:rsid w:val="00B02DD1"/>
    <w:rsid w:val="00B05808"/>
    <w:rsid w:val="00B05944"/>
    <w:rsid w:val="00B067BE"/>
    <w:rsid w:val="00B077EC"/>
    <w:rsid w:val="00B07FE4"/>
    <w:rsid w:val="00B12808"/>
    <w:rsid w:val="00B12886"/>
    <w:rsid w:val="00B14182"/>
    <w:rsid w:val="00B143F5"/>
    <w:rsid w:val="00B14FE1"/>
    <w:rsid w:val="00B15102"/>
    <w:rsid w:val="00B20393"/>
    <w:rsid w:val="00B21809"/>
    <w:rsid w:val="00B21D01"/>
    <w:rsid w:val="00B23A5D"/>
    <w:rsid w:val="00B23C08"/>
    <w:rsid w:val="00B23CA5"/>
    <w:rsid w:val="00B25294"/>
    <w:rsid w:val="00B25EE9"/>
    <w:rsid w:val="00B26D7D"/>
    <w:rsid w:val="00B26F3E"/>
    <w:rsid w:val="00B35167"/>
    <w:rsid w:val="00B35C3C"/>
    <w:rsid w:val="00B37CD4"/>
    <w:rsid w:val="00B40BC0"/>
    <w:rsid w:val="00B41027"/>
    <w:rsid w:val="00B43043"/>
    <w:rsid w:val="00B4346B"/>
    <w:rsid w:val="00B43506"/>
    <w:rsid w:val="00B44DC6"/>
    <w:rsid w:val="00B473F4"/>
    <w:rsid w:val="00B47573"/>
    <w:rsid w:val="00B47F84"/>
    <w:rsid w:val="00B52005"/>
    <w:rsid w:val="00B5252E"/>
    <w:rsid w:val="00B52F4B"/>
    <w:rsid w:val="00B53E59"/>
    <w:rsid w:val="00B54F1C"/>
    <w:rsid w:val="00B56016"/>
    <w:rsid w:val="00B56259"/>
    <w:rsid w:val="00B56A2A"/>
    <w:rsid w:val="00B56FF4"/>
    <w:rsid w:val="00B60127"/>
    <w:rsid w:val="00B6049F"/>
    <w:rsid w:val="00B614D0"/>
    <w:rsid w:val="00B65816"/>
    <w:rsid w:val="00B670B2"/>
    <w:rsid w:val="00B67BA5"/>
    <w:rsid w:val="00B70C5A"/>
    <w:rsid w:val="00B70F07"/>
    <w:rsid w:val="00B72126"/>
    <w:rsid w:val="00B723D8"/>
    <w:rsid w:val="00B729BB"/>
    <w:rsid w:val="00B72EB4"/>
    <w:rsid w:val="00B734C4"/>
    <w:rsid w:val="00B73C32"/>
    <w:rsid w:val="00B74AA5"/>
    <w:rsid w:val="00B75198"/>
    <w:rsid w:val="00B759E8"/>
    <w:rsid w:val="00B75B8B"/>
    <w:rsid w:val="00B768A5"/>
    <w:rsid w:val="00B83872"/>
    <w:rsid w:val="00B83D95"/>
    <w:rsid w:val="00B84000"/>
    <w:rsid w:val="00B85965"/>
    <w:rsid w:val="00B85E71"/>
    <w:rsid w:val="00B85ED2"/>
    <w:rsid w:val="00B8726A"/>
    <w:rsid w:val="00B87548"/>
    <w:rsid w:val="00B878CC"/>
    <w:rsid w:val="00B907A4"/>
    <w:rsid w:val="00B907CC"/>
    <w:rsid w:val="00B91654"/>
    <w:rsid w:val="00B91F4E"/>
    <w:rsid w:val="00B94E5D"/>
    <w:rsid w:val="00B97657"/>
    <w:rsid w:val="00B97663"/>
    <w:rsid w:val="00BA147D"/>
    <w:rsid w:val="00BA1C32"/>
    <w:rsid w:val="00BA296F"/>
    <w:rsid w:val="00BA2B82"/>
    <w:rsid w:val="00BA37FF"/>
    <w:rsid w:val="00BA3C29"/>
    <w:rsid w:val="00BA4D7D"/>
    <w:rsid w:val="00BA552B"/>
    <w:rsid w:val="00BA5C52"/>
    <w:rsid w:val="00BA66B9"/>
    <w:rsid w:val="00BB0BBB"/>
    <w:rsid w:val="00BB2EE6"/>
    <w:rsid w:val="00BB317E"/>
    <w:rsid w:val="00BB3736"/>
    <w:rsid w:val="00BB39A2"/>
    <w:rsid w:val="00BB55A4"/>
    <w:rsid w:val="00BB638A"/>
    <w:rsid w:val="00BB6A2D"/>
    <w:rsid w:val="00BB7037"/>
    <w:rsid w:val="00BB7862"/>
    <w:rsid w:val="00BC05B8"/>
    <w:rsid w:val="00BC1481"/>
    <w:rsid w:val="00BC1AB8"/>
    <w:rsid w:val="00BC45BF"/>
    <w:rsid w:val="00BC4B52"/>
    <w:rsid w:val="00BC69DD"/>
    <w:rsid w:val="00BC7D65"/>
    <w:rsid w:val="00BC7D9C"/>
    <w:rsid w:val="00BD023A"/>
    <w:rsid w:val="00BD0617"/>
    <w:rsid w:val="00BD07DB"/>
    <w:rsid w:val="00BD207F"/>
    <w:rsid w:val="00BD4021"/>
    <w:rsid w:val="00BD5178"/>
    <w:rsid w:val="00BD68E8"/>
    <w:rsid w:val="00BD6AD8"/>
    <w:rsid w:val="00BD6D32"/>
    <w:rsid w:val="00BE1091"/>
    <w:rsid w:val="00BE3F6A"/>
    <w:rsid w:val="00BE4FDC"/>
    <w:rsid w:val="00BE5AB1"/>
    <w:rsid w:val="00BE690A"/>
    <w:rsid w:val="00BE6D88"/>
    <w:rsid w:val="00BE7105"/>
    <w:rsid w:val="00BE7505"/>
    <w:rsid w:val="00BF04E1"/>
    <w:rsid w:val="00BF0B7E"/>
    <w:rsid w:val="00BF0E49"/>
    <w:rsid w:val="00BF12AE"/>
    <w:rsid w:val="00BF1923"/>
    <w:rsid w:val="00BF1D7D"/>
    <w:rsid w:val="00BF23F9"/>
    <w:rsid w:val="00BF398A"/>
    <w:rsid w:val="00BF4422"/>
    <w:rsid w:val="00BF5C48"/>
    <w:rsid w:val="00BF6700"/>
    <w:rsid w:val="00BF782D"/>
    <w:rsid w:val="00BF7DF7"/>
    <w:rsid w:val="00C006D2"/>
    <w:rsid w:val="00C00D90"/>
    <w:rsid w:val="00C0147C"/>
    <w:rsid w:val="00C01721"/>
    <w:rsid w:val="00C0193D"/>
    <w:rsid w:val="00C01E46"/>
    <w:rsid w:val="00C01F4A"/>
    <w:rsid w:val="00C0206F"/>
    <w:rsid w:val="00C0272A"/>
    <w:rsid w:val="00C03AF2"/>
    <w:rsid w:val="00C03DE2"/>
    <w:rsid w:val="00C04849"/>
    <w:rsid w:val="00C04CFA"/>
    <w:rsid w:val="00C0500F"/>
    <w:rsid w:val="00C051F4"/>
    <w:rsid w:val="00C05473"/>
    <w:rsid w:val="00C05989"/>
    <w:rsid w:val="00C066EA"/>
    <w:rsid w:val="00C07DA3"/>
    <w:rsid w:val="00C104C3"/>
    <w:rsid w:val="00C10E19"/>
    <w:rsid w:val="00C10E59"/>
    <w:rsid w:val="00C12203"/>
    <w:rsid w:val="00C14930"/>
    <w:rsid w:val="00C1508D"/>
    <w:rsid w:val="00C150D9"/>
    <w:rsid w:val="00C15EF9"/>
    <w:rsid w:val="00C179DA"/>
    <w:rsid w:val="00C20804"/>
    <w:rsid w:val="00C20A84"/>
    <w:rsid w:val="00C210C2"/>
    <w:rsid w:val="00C21797"/>
    <w:rsid w:val="00C21EB4"/>
    <w:rsid w:val="00C2219E"/>
    <w:rsid w:val="00C2261F"/>
    <w:rsid w:val="00C24091"/>
    <w:rsid w:val="00C2553C"/>
    <w:rsid w:val="00C25BA0"/>
    <w:rsid w:val="00C26B7A"/>
    <w:rsid w:val="00C26ED4"/>
    <w:rsid w:val="00C2749A"/>
    <w:rsid w:val="00C3060B"/>
    <w:rsid w:val="00C31820"/>
    <w:rsid w:val="00C32F7D"/>
    <w:rsid w:val="00C342CD"/>
    <w:rsid w:val="00C35521"/>
    <w:rsid w:val="00C36B1D"/>
    <w:rsid w:val="00C37A74"/>
    <w:rsid w:val="00C4052D"/>
    <w:rsid w:val="00C41529"/>
    <w:rsid w:val="00C41858"/>
    <w:rsid w:val="00C41B02"/>
    <w:rsid w:val="00C4203E"/>
    <w:rsid w:val="00C42C24"/>
    <w:rsid w:val="00C432C2"/>
    <w:rsid w:val="00C44E1E"/>
    <w:rsid w:val="00C44F87"/>
    <w:rsid w:val="00C45102"/>
    <w:rsid w:val="00C456E3"/>
    <w:rsid w:val="00C45C06"/>
    <w:rsid w:val="00C47452"/>
    <w:rsid w:val="00C47648"/>
    <w:rsid w:val="00C500F8"/>
    <w:rsid w:val="00C50865"/>
    <w:rsid w:val="00C50BB3"/>
    <w:rsid w:val="00C510EB"/>
    <w:rsid w:val="00C513F6"/>
    <w:rsid w:val="00C51EE6"/>
    <w:rsid w:val="00C53AF1"/>
    <w:rsid w:val="00C54082"/>
    <w:rsid w:val="00C541A9"/>
    <w:rsid w:val="00C552C2"/>
    <w:rsid w:val="00C5560D"/>
    <w:rsid w:val="00C55D56"/>
    <w:rsid w:val="00C5638F"/>
    <w:rsid w:val="00C56A1D"/>
    <w:rsid w:val="00C6127D"/>
    <w:rsid w:val="00C61729"/>
    <w:rsid w:val="00C61BFF"/>
    <w:rsid w:val="00C61EAE"/>
    <w:rsid w:val="00C62153"/>
    <w:rsid w:val="00C6450E"/>
    <w:rsid w:val="00C6490E"/>
    <w:rsid w:val="00C65F27"/>
    <w:rsid w:val="00C66A93"/>
    <w:rsid w:val="00C67D87"/>
    <w:rsid w:val="00C701FA"/>
    <w:rsid w:val="00C70C25"/>
    <w:rsid w:val="00C71395"/>
    <w:rsid w:val="00C71B7E"/>
    <w:rsid w:val="00C742BD"/>
    <w:rsid w:val="00C745D8"/>
    <w:rsid w:val="00C75C72"/>
    <w:rsid w:val="00C764A6"/>
    <w:rsid w:val="00C76FBC"/>
    <w:rsid w:val="00C77367"/>
    <w:rsid w:val="00C80911"/>
    <w:rsid w:val="00C80D73"/>
    <w:rsid w:val="00C8200F"/>
    <w:rsid w:val="00C821E9"/>
    <w:rsid w:val="00C82E10"/>
    <w:rsid w:val="00C83058"/>
    <w:rsid w:val="00C8331D"/>
    <w:rsid w:val="00C83EC1"/>
    <w:rsid w:val="00C84142"/>
    <w:rsid w:val="00C84C18"/>
    <w:rsid w:val="00C8694F"/>
    <w:rsid w:val="00C877DE"/>
    <w:rsid w:val="00C87FFC"/>
    <w:rsid w:val="00C90BA0"/>
    <w:rsid w:val="00C90DC6"/>
    <w:rsid w:val="00C92CD9"/>
    <w:rsid w:val="00C94E43"/>
    <w:rsid w:val="00C95186"/>
    <w:rsid w:val="00C95282"/>
    <w:rsid w:val="00C95995"/>
    <w:rsid w:val="00C9620E"/>
    <w:rsid w:val="00C9631F"/>
    <w:rsid w:val="00C963C9"/>
    <w:rsid w:val="00C965C7"/>
    <w:rsid w:val="00C9678F"/>
    <w:rsid w:val="00CA13E4"/>
    <w:rsid w:val="00CA289F"/>
    <w:rsid w:val="00CA314E"/>
    <w:rsid w:val="00CA3FE9"/>
    <w:rsid w:val="00CA5323"/>
    <w:rsid w:val="00CA58B2"/>
    <w:rsid w:val="00CA5B97"/>
    <w:rsid w:val="00CA66CE"/>
    <w:rsid w:val="00CB1A37"/>
    <w:rsid w:val="00CB2059"/>
    <w:rsid w:val="00CB284A"/>
    <w:rsid w:val="00CB314D"/>
    <w:rsid w:val="00CB35AA"/>
    <w:rsid w:val="00CB3B19"/>
    <w:rsid w:val="00CB47E9"/>
    <w:rsid w:val="00CB5022"/>
    <w:rsid w:val="00CB5E63"/>
    <w:rsid w:val="00CC003B"/>
    <w:rsid w:val="00CC08AB"/>
    <w:rsid w:val="00CC16F4"/>
    <w:rsid w:val="00CC4CDD"/>
    <w:rsid w:val="00CC5102"/>
    <w:rsid w:val="00CC7801"/>
    <w:rsid w:val="00CD041A"/>
    <w:rsid w:val="00CD1C43"/>
    <w:rsid w:val="00CD23B2"/>
    <w:rsid w:val="00CD2746"/>
    <w:rsid w:val="00CD2F07"/>
    <w:rsid w:val="00CD36D0"/>
    <w:rsid w:val="00CD4051"/>
    <w:rsid w:val="00CD5E95"/>
    <w:rsid w:val="00CD625E"/>
    <w:rsid w:val="00CD635E"/>
    <w:rsid w:val="00CD694D"/>
    <w:rsid w:val="00CD7A2B"/>
    <w:rsid w:val="00CE10E9"/>
    <w:rsid w:val="00CE1758"/>
    <w:rsid w:val="00CE323E"/>
    <w:rsid w:val="00CE496A"/>
    <w:rsid w:val="00CE5040"/>
    <w:rsid w:val="00CE62F7"/>
    <w:rsid w:val="00CF0C60"/>
    <w:rsid w:val="00CF0E55"/>
    <w:rsid w:val="00CF2167"/>
    <w:rsid w:val="00CF29FA"/>
    <w:rsid w:val="00CF5542"/>
    <w:rsid w:val="00CF68D8"/>
    <w:rsid w:val="00CF7AE2"/>
    <w:rsid w:val="00CF7F40"/>
    <w:rsid w:val="00D00628"/>
    <w:rsid w:val="00D00B29"/>
    <w:rsid w:val="00D01038"/>
    <w:rsid w:val="00D015AE"/>
    <w:rsid w:val="00D02649"/>
    <w:rsid w:val="00D04CC1"/>
    <w:rsid w:val="00D054B8"/>
    <w:rsid w:val="00D07207"/>
    <w:rsid w:val="00D07267"/>
    <w:rsid w:val="00D102F7"/>
    <w:rsid w:val="00D11DF5"/>
    <w:rsid w:val="00D1216A"/>
    <w:rsid w:val="00D1275D"/>
    <w:rsid w:val="00D134BC"/>
    <w:rsid w:val="00D14689"/>
    <w:rsid w:val="00D149E5"/>
    <w:rsid w:val="00D1646B"/>
    <w:rsid w:val="00D16E7F"/>
    <w:rsid w:val="00D16F9B"/>
    <w:rsid w:val="00D17409"/>
    <w:rsid w:val="00D207BD"/>
    <w:rsid w:val="00D21625"/>
    <w:rsid w:val="00D226CE"/>
    <w:rsid w:val="00D227B7"/>
    <w:rsid w:val="00D2432A"/>
    <w:rsid w:val="00D24420"/>
    <w:rsid w:val="00D268B3"/>
    <w:rsid w:val="00D269DB"/>
    <w:rsid w:val="00D26B51"/>
    <w:rsid w:val="00D26E59"/>
    <w:rsid w:val="00D30C4B"/>
    <w:rsid w:val="00D31CE8"/>
    <w:rsid w:val="00D31D56"/>
    <w:rsid w:val="00D33199"/>
    <w:rsid w:val="00D3451A"/>
    <w:rsid w:val="00D34825"/>
    <w:rsid w:val="00D369E2"/>
    <w:rsid w:val="00D36F09"/>
    <w:rsid w:val="00D41076"/>
    <w:rsid w:val="00D41BE4"/>
    <w:rsid w:val="00D44528"/>
    <w:rsid w:val="00D44872"/>
    <w:rsid w:val="00D45128"/>
    <w:rsid w:val="00D45ED6"/>
    <w:rsid w:val="00D47350"/>
    <w:rsid w:val="00D5003C"/>
    <w:rsid w:val="00D500E1"/>
    <w:rsid w:val="00D50C1F"/>
    <w:rsid w:val="00D510E2"/>
    <w:rsid w:val="00D5110F"/>
    <w:rsid w:val="00D51183"/>
    <w:rsid w:val="00D5130C"/>
    <w:rsid w:val="00D5309E"/>
    <w:rsid w:val="00D54067"/>
    <w:rsid w:val="00D5411A"/>
    <w:rsid w:val="00D551A9"/>
    <w:rsid w:val="00D573C1"/>
    <w:rsid w:val="00D610B7"/>
    <w:rsid w:val="00D62F89"/>
    <w:rsid w:val="00D63315"/>
    <w:rsid w:val="00D64332"/>
    <w:rsid w:val="00D65124"/>
    <w:rsid w:val="00D66669"/>
    <w:rsid w:val="00D66745"/>
    <w:rsid w:val="00D66EF9"/>
    <w:rsid w:val="00D7018F"/>
    <w:rsid w:val="00D70B96"/>
    <w:rsid w:val="00D70CB3"/>
    <w:rsid w:val="00D71C00"/>
    <w:rsid w:val="00D74512"/>
    <w:rsid w:val="00D749E5"/>
    <w:rsid w:val="00D7537D"/>
    <w:rsid w:val="00D755B8"/>
    <w:rsid w:val="00D758AB"/>
    <w:rsid w:val="00D77271"/>
    <w:rsid w:val="00D803A8"/>
    <w:rsid w:val="00D808F0"/>
    <w:rsid w:val="00D80AD9"/>
    <w:rsid w:val="00D81554"/>
    <w:rsid w:val="00D8256E"/>
    <w:rsid w:val="00D82696"/>
    <w:rsid w:val="00D82F21"/>
    <w:rsid w:val="00D83393"/>
    <w:rsid w:val="00D83401"/>
    <w:rsid w:val="00D83C71"/>
    <w:rsid w:val="00D85095"/>
    <w:rsid w:val="00D86E22"/>
    <w:rsid w:val="00D875D4"/>
    <w:rsid w:val="00D87632"/>
    <w:rsid w:val="00D90296"/>
    <w:rsid w:val="00D90DC5"/>
    <w:rsid w:val="00D90E4F"/>
    <w:rsid w:val="00D93213"/>
    <w:rsid w:val="00D9390D"/>
    <w:rsid w:val="00D94862"/>
    <w:rsid w:val="00D94BAF"/>
    <w:rsid w:val="00D94EA0"/>
    <w:rsid w:val="00D963EA"/>
    <w:rsid w:val="00D965C4"/>
    <w:rsid w:val="00D97030"/>
    <w:rsid w:val="00DA00C9"/>
    <w:rsid w:val="00DA0256"/>
    <w:rsid w:val="00DA0BE0"/>
    <w:rsid w:val="00DA1070"/>
    <w:rsid w:val="00DA11F2"/>
    <w:rsid w:val="00DA233A"/>
    <w:rsid w:val="00DA26B9"/>
    <w:rsid w:val="00DA539E"/>
    <w:rsid w:val="00DA7260"/>
    <w:rsid w:val="00DB032B"/>
    <w:rsid w:val="00DB0BF1"/>
    <w:rsid w:val="00DB11DF"/>
    <w:rsid w:val="00DB3429"/>
    <w:rsid w:val="00DB3AF4"/>
    <w:rsid w:val="00DB3F04"/>
    <w:rsid w:val="00DB52EF"/>
    <w:rsid w:val="00DB5F0F"/>
    <w:rsid w:val="00DB66BC"/>
    <w:rsid w:val="00DB6A4D"/>
    <w:rsid w:val="00DC0238"/>
    <w:rsid w:val="00DC0387"/>
    <w:rsid w:val="00DC0B61"/>
    <w:rsid w:val="00DC1738"/>
    <w:rsid w:val="00DC1DDB"/>
    <w:rsid w:val="00DC38FB"/>
    <w:rsid w:val="00DC4A82"/>
    <w:rsid w:val="00DC52C0"/>
    <w:rsid w:val="00DC5A35"/>
    <w:rsid w:val="00DC7D6D"/>
    <w:rsid w:val="00DC7F9A"/>
    <w:rsid w:val="00DD02C1"/>
    <w:rsid w:val="00DD0A72"/>
    <w:rsid w:val="00DD26FD"/>
    <w:rsid w:val="00DD2EB0"/>
    <w:rsid w:val="00DD3BF2"/>
    <w:rsid w:val="00DD574E"/>
    <w:rsid w:val="00DD5EB3"/>
    <w:rsid w:val="00DD6646"/>
    <w:rsid w:val="00DD6DFC"/>
    <w:rsid w:val="00DD7C3A"/>
    <w:rsid w:val="00DE03C0"/>
    <w:rsid w:val="00DE23C9"/>
    <w:rsid w:val="00DE3E3A"/>
    <w:rsid w:val="00DE560B"/>
    <w:rsid w:val="00DE6837"/>
    <w:rsid w:val="00DE6985"/>
    <w:rsid w:val="00DE711E"/>
    <w:rsid w:val="00DF0613"/>
    <w:rsid w:val="00DF1079"/>
    <w:rsid w:val="00DF36B2"/>
    <w:rsid w:val="00DF3B20"/>
    <w:rsid w:val="00DF4625"/>
    <w:rsid w:val="00DF4ABA"/>
    <w:rsid w:val="00DF4BE0"/>
    <w:rsid w:val="00DF71C7"/>
    <w:rsid w:val="00DF791F"/>
    <w:rsid w:val="00E00A67"/>
    <w:rsid w:val="00E00DEB"/>
    <w:rsid w:val="00E00F62"/>
    <w:rsid w:val="00E0272D"/>
    <w:rsid w:val="00E029F4"/>
    <w:rsid w:val="00E02BD7"/>
    <w:rsid w:val="00E03C51"/>
    <w:rsid w:val="00E05263"/>
    <w:rsid w:val="00E05372"/>
    <w:rsid w:val="00E05B0E"/>
    <w:rsid w:val="00E060B1"/>
    <w:rsid w:val="00E067D8"/>
    <w:rsid w:val="00E109AD"/>
    <w:rsid w:val="00E1119A"/>
    <w:rsid w:val="00E116EF"/>
    <w:rsid w:val="00E11ADE"/>
    <w:rsid w:val="00E13524"/>
    <w:rsid w:val="00E15710"/>
    <w:rsid w:val="00E15C59"/>
    <w:rsid w:val="00E15EA7"/>
    <w:rsid w:val="00E20C55"/>
    <w:rsid w:val="00E21F33"/>
    <w:rsid w:val="00E22526"/>
    <w:rsid w:val="00E227DA"/>
    <w:rsid w:val="00E26552"/>
    <w:rsid w:val="00E271E6"/>
    <w:rsid w:val="00E30C0C"/>
    <w:rsid w:val="00E31626"/>
    <w:rsid w:val="00E33630"/>
    <w:rsid w:val="00E336F2"/>
    <w:rsid w:val="00E33E38"/>
    <w:rsid w:val="00E34000"/>
    <w:rsid w:val="00E3488F"/>
    <w:rsid w:val="00E34E75"/>
    <w:rsid w:val="00E35236"/>
    <w:rsid w:val="00E3550F"/>
    <w:rsid w:val="00E3655F"/>
    <w:rsid w:val="00E37308"/>
    <w:rsid w:val="00E37955"/>
    <w:rsid w:val="00E40B02"/>
    <w:rsid w:val="00E418B2"/>
    <w:rsid w:val="00E41D8A"/>
    <w:rsid w:val="00E41F45"/>
    <w:rsid w:val="00E42272"/>
    <w:rsid w:val="00E43B4F"/>
    <w:rsid w:val="00E4423E"/>
    <w:rsid w:val="00E443B3"/>
    <w:rsid w:val="00E44C95"/>
    <w:rsid w:val="00E45D94"/>
    <w:rsid w:val="00E4672E"/>
    <w:rsid w:val="00E47257"/>
    <w:rsid w:val="00E5376F"/>
    <w:rsid w:val="00E53F4D"/>
    <w:rsid w:val="00E55694"/>
    <w:rsid w:val="00E55B8D"/>
    <w:rsid w:val="00E560F0"/>
    <w:rsid w:val="00E57183"/>
    <w:rsid w:val="00E571F3"/>
    <w:rsid w:val="00E57731"/>
    <w:rsid w:val="00E57AB9"/>
    <w:rsid w:val="00E57F0E"/>
    <w:rsid w:val="00E6060F"/>
    <w:rsid w:val="00E63D9D"/>
    <w:rsid w:val="00E63DAD"/>
    <w:rsid w:val="00E64612"/>
    <w:rsid w:val="00E65F12"/>
    <w:rsid w:val="00E660DB"/>
    <w:rsid w:val="00E667EC"/>
    <w:rsid w:val="00E66A09"/>
    <w:rsid w:val="00E66C70"/>
    <w:rsid w:val="00E66FF8"/>
    <w:rsid w:val="00E70A9A"/>
    <w:rsid w:val="00E70D07"/>
    <w:rsid w:val="00E7260F"/>
    <w:rsid w:val="00E72656"/>
    <w:rsid w:val="00E728FA"/>
    <w:rsid w:val="00E729AD"/>
    <w:rsid w:val="00E72C28"/>
    <w:rsid w:val="00E73AA0"/>
    <w:rsid w:val="00E74282"/>
    <w:rsid w:val="00E745DF"/>
    <w:rsid w:val="00E74804"/>
    <w:rsid w:val="00E74D33"/>
    <w:rsid w:val="00E76C47"/>
    <w:rsid w:val="00E777A0"/>
    <w:rsid w:val="00E81447"/>
    <w:rsid w:val="00E83064"/>
    <w:rsid w:val="00E837F3"/>
    <w:rsid w:val="00E83887"/>
    <w:rsid w:val="00E84C7D"/>
    <w:rsid w:val="00E86AF4"/>
    <w:rsid w:val="00E86B1D"/>
    <w:rsid w:val="00E87152"/>
    <w:rsid w:val="00E90436"/>
    <w:rsid w:val="00E905E4"/>
    <w:rsid w:val="00E90F9F"/>
    <w:rsid w:val="00E940D2"/>
    <w:rsid w:val="00E9436A"/>
    <w:rsid w:val="00E94987"/>
    <w:rsid w:val="00E94FD4"/>
    <w:rsid w:val="00E96AF3"/>
    <w:rsid w:val="00E9772E"/>
    <w:rsid w:val="00EA23CC"/>
    <w:rsid w:val="00EA3351"/>
    <w:rsid w:val="00EA6903"/>
    <w:rsid w:val="00EB03EA"/>
    <w:rsid w:val="00EB0722"/>
    <w:rsid w:val="00EB0974"/>
    <w:rsid w:val="00EB1EC4"/>
    <w:rsid w:val="00EB30AE"/>
    <w:rsid w:val="00EB4854"/>
    <w:rsid w:val="00EB4B25"/>
    <w:rsid w:val="00EB4EBB"/>
    <w:rsid w:val="00EB538D"/>
    <w:rsid w:val="00EB5663"/>
    <w:rsid w:val="00EB5C05"/>
    <w:rsid w:val="00EB5D04"/>
    <w:rsid w:val="00EB5DE6"/>
    <w:rsid w:val="00EB6061"/>
    <w:rsid w:val="00EB665F"/>
    <w:rsid w:val="00EB7123"/>
    <w:rsid w:val="00EB784D"/>
    <w:rsid w:val="00EC0EDA"/>
    <w:rsid w:val="00EC1454"/>
    <w:rsid w:val="00EC2EA9"/>
    <w:rsid w:val="00EC30E6"/>
    <w:rsid w:val="00EC4DB7"/>
    <w:rsid w:val="00EC7AF5"/>
    <w:rsid w:val="00ED0233"/>
    <w:rsid w:val="00ED08C1"/>
    <w:rsid w:val="00ED15ED"/>
    <w:rsid w:val="00ED16AA"/>
    <w:rsid w:val="00ED1F14"/>
    <w:rsid w:val="00ED27A3"/>
    <w:rsid w:val="00ED3625"/>
    <w:rsid w:val="00ED36A4"/>
    <w:rsid w:val="00ED3D75"/>
    <w:rsid w:val="00ED5FDB"/>
    <w:rsid w:val="00ED6D89"/>
    <w:rsid w:val="00ED7113"/>
    <w:rsid w:val="00ED7297"/>
    <w:rsid w:val="00EE03EE"/>
    <w:rsid w:val="00EE3DAF"/>
    <w:rsid w:val="00EE3ECF"/>
    <w:rsid w:val="00EE4754"/>
    <w:rsid w:val="00EE4B83"/>
    <w:rsid w:val="00EE62F8"/>
    <w:rsid w:val="00EF0882"/>
    <w:rsid w:val="00EF0AE0"/>
    <w:rsid w:val="00EF0C09"/>
    <w:rsid w:val="00EF1117"/>
    <w:rsid w:val="00EF2DC2"/>
    <w:rsid w:val="00EF2EC4"/>
    <w:rsid w:val="00EF53D5"/>
    <w:rsid w:val="00EF5915"/>
    <w:rsid w:val="00EF5A42"/>
    <w:rsid w:val="00EF5CFD"/>
    <w:rsid w:val="00EF6C0E"/>
    <w:rsid w:val="00EF72DB"/>
    <w:rsid w:val="00F0051B"/>
    <w:rsid w:val="00F00824"/>
    <w:rsid w:val="00F036F7"/>
    <w:rsid w:val="00F03B8A"/>
    <w:rsid w:val="00F03BFC"/>
    <w:rsid w:val="00F03C6D"/>
    <w:rsid w:val="00F0493A"/>
    <w:rsid w:val="00F05308"/>
    <w:rsid w:val="00F05517"/>
    <w:rsid w:val="00F0566D"/>
    <w:rsid w:val="00F05A80"/>
    <w:rsid w:val="00F0740A"/>
    <w:rsid w:val="00F10022"/>
    <w:rsid w:val="00F106EC"/>
    <w:rsid w:val="00F129F1"/>
    <w:rsid w:val="00F13370"/>
    <w:rsid w:val="00F15136"/>
    <w:rsid w:val="00F15810"/>
    <w:rsid w:val="00F16B48"/>
    <w:rsid w:val="00F175D7"/>
    <w:rsid w:val="00F201E4"/>
    <w:rsid w:val="00F20C5F"/>
    <w:rsid w:val="00F212FE"/>
    <w:rsid w:val="00F218CE"/>
    <w:rsid w:val="00F21B38"/>
    <w:rsid w:val="00F21DA0"/>
    <w:rsid w:val="00F22C04"/>
    <w:rsid w:val="00F23A71"/>
    <w:rsid w:val="00F23EDE"/>
    <w:rsid w:val="00F24DE6"/>
    <w:rsid w:val="00F25DA3"/>
    <w:rsid w:val="00F26D1F"/>
    <w:rsid w:val="00F27B7D"/>
    <w:rsid w:val="00F3011A"/>
    <w:rsid w:val="00F30726"/>
    <w:rsid w:val="00F31D97"/>
    <w:rsid w:val="00F32433"/>
    <w:rsid w:val="00F33B11"/>
    <w:rsid w:val="00F3449F"/>
    <w:rsid w:val="00F351C9"/>
    <w:rsid w:val="00F3542D"/>
    <w:rsid w:val="00F35B58"/>
    <w:rsid w:val="00F367AB"/>
    <w:rsid w:val="00F40EBB"/>
    <w:rsid w:val="00F40FBF"/>
    <w:rsid w:val="00F41520"/>
    <w:rsid w:val="00F419C8"/>
    <w:rsid w:val="00F41C26"/>
    <w:rsid w:val="00F41D0D"/>
    <w:rsid w:val="00F42745"/>
    <w:rsid w:val="00F447B9"/>
    <w:rsid w:val="00F457CC"/>
    <w:rsid w:val="00F47C61"/>
    <w:rsid w:val="00F50487"/>
    <w:rsid w:val="00F517AF"/>
    <w:rsid w:val="00F51BBF"/>
    <w:rsid w:val="00F528A6"/>
    <w:rsid w:val="00F539DA"/>
    <w:rsid w:val="00F53B88"/>
    <w:rsid w:val="00F54F45"/>
    <w:rsid w:val="00F552AE"/>
    <w:rsid w:val="00F55BB7"/>
    <w:rsid w:val="00F6235D"/>
    <w:rsid w:val="00F632CD"/>
    <w:rsid w:val="00F644F6"/>
    <w:rsid w:val="00F66E9A"/>
    <w:rsid w:val="00F6750C"/>
    <w:rsid w:val="00F67BC8"/>
    <w:rsid w:val="00F70661"/>
    <w:rsid w:val="00F70E92"/>
    <w:rsid w:val="00F7188A"/>
    <w:rsid w:val="00F72D83"/>
    <w:rsid w:val="00F73A27"/>
    <w:rsid w:val="00F7465F"/>
    <w:rsid w:val="00F75C04"/>
    <w:rsid w:val="00F76F50"/>
    <w:rsid w:val="00F80576"/>
    <w:rsid w:val="00F80D28"/>
    <w:rsid w:val="00F83696"/>
    <w:rsid w:val="00F846BE"/>
    <w:rsid w:val="00F8501D"/>
    <w:rsid w:val="00F85660"/>
    <w:rsid w:val="00F87940"/>
    <w:rsid w:val="00F87E4F"/>
    <w:rsid w:val="00F87F63"/>
    <w:rsid w:val="00F90ADE"/>
    <w:rsid w:val="00F91B33"/>
    <w:rsid w:val="00F91E71"/>
    <w:rsid w:val="00F9255D"/>
    <w:rsid w:val="00F9268A"/>
    <w:rsid w:val="00F92953"/>
    <w:rsid w:val="00F92B1E"/>
    <w:rsid w:val="00F94103"/>
    <w:rsid w:val="00F94992"/>
    <w:rsid w:val="00F95F7D"/>
    <w:rsid w:val="00F96938"/>
    <w:rsid w:val="00FA069F"/>
    <w:rsid w:val="00FA1C68"/>
    <w:rsid w:val="00FA2332"/>
    <w:rsid w:val="00FA432A"/>
    <w:rsid w:val="00FA47EC"/>
    <w:rsid w:val="00FA501A"/>
    <w:rsid w:val="00FA5AD5"/>
    <w:rsid w:val="00FA676E"/>
    <w:rsid w:val="00FA75F5"/>
    <w:rsid w:val="00FA76C7"/>
    <w:rsid w:val="00FB1018"/>
    <w:rsid w:val="00FB136E"/>
    <w:rsid w:val="00FB3BF9"/>
    <w:rsid w:val="00FB45CF"/>
    <w:rsid w:val="00FB5466"/>
    <w:rsid w:val="00FB673D"/>
    <w:rsid w:val="00FB73EA"/>
    <w:rsid w:val="00FB7887"/>
    <w:rsid w:val="00FC252C"/>
    <w:rsid w:val="00FC3578"/>
    <w:rsid w:val="00FC4712"/>
    <w:rsid w:val="00FC479B"/>
    <w:rsid w:val="00FC5C82"/>
    <w:rsid w:val="00FC5C92"/>
    <w:rsid w:val="00FC5D0F"/>
    <w:rsid w:val="00FC65BD"/>
    <w:rsid w:val="00FC6B0B"/>
    <w:rsid w:val="00FD0A34"/>
    <w:rsid w:val="00FD1283"/>
    <w:rsid w:val="00FD267B"/>
    <w:rsid w:val="00FD4B5B"/>
    <w:rsid w:val="00FD4DC7"/>
    <w:rsid w:val="00FD4ED3"/>
    <w:rsid w:val="00FD63FC"/>
    <w:rsid w:val="00FD71D5"/>
    <w:rsid w:val="00FD7EF8"/>
    <w:rsid w:val="00FE0022"/>
    <w:rsid w:val="00FE04A9"/>
    <w:rsid w:val="00FE064F"/>
    <w:rsid w:val="00FE0B22"/>
    <w:rsid w:val="00FE0B4D"/>
    <w:rsid w:val="00FE1EC1"/>
    <w:rsid w:val="00FE2B27"/>
    <w:rsid w:val="00FE56B1"/>
    <w:rsid w:val="00FE7170"/>
    <w:rsid w:val="00FE7344"/>
    <w:rsid w:val="00FE76B2"/>
    <w:rsid w:val="00FF006B"/>
    <w:rsid w:val="00FF1714"/>
    <w:rsid w:val="00FF2C19"/>
    <w:rsid w:val="00FF2F30"/>
    <w:rsid w:val="00FF338D"/>
    <w:rsid w:val="00FF33B0"/>
    <w:rsid w:val="00FF461E"/>
    <w:rsid w:val="00FF6C21"/>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9A762F"/>
  <w15:chartTrackingRefBased/>
  <w15:docId w15:val="{EFAA5F88-4DEB-4CCB-9914-1C55BD55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0F0"/>
    <w:pPr>
      <w:spacing w:before="120" w:after="120"/>
      <w:jc w:val="both"/>
    </w:pPr>
    <w:rPr>
      <w:sz w:val="24"/>
      <w:szCs w:val="24"/>
      <w:lang w:val="en-GB" w:eastAsia="en-US"/>
    </w:rPr>
  </w:style>
  <w:style w:type="paragraph" w:styleId="Heading1">
    <w:name w:val="heading 1"/>
    <w:basedOn w:val="Normal"/>
    <w:next w:val="Normal"/>
    <w:qFormat/>
    <w:rsid w:val="005643CD"/>
    <w:pPr>
      <w:keepNext/>
      <w:numPr>
        <w:numId w:val="10"/>
      </w:numPr>
      <w:spacing w:before="360"/>
      <w:outlineLvl w:val="0"/>
    </w:pPr>
    <w:rPr>
      <w:b/>
      <w:bCs/>
      <w:smallCaps/>
      <w:szCs w:val="32"/>
    </w:rPr>
  </w:style>
  <w:style w:type="paragraph" w:styleId="Heading2">
    <w:name w:val="heading 2"/>
    <w:basedOn w:val="Normal"/>
    <w:next w:val="Normal"/>
    <w:qFormat/>
    <w:rsid w:val="005643CD"/>
    <w:pPr>
      <w:keepNext/>
      <w:numPr>
        <w:ilvl w:val="1"/>
        <w:numId w:val="10"/>
      </w:numPr>
      <w:outlineLvl w:val="1"/>
    </w:pPr>
    <w:rPr>
      <w:b/>
      <w:bCs/>
      <w:iCs/>
      <w:szCs w:val="28"/>
    </w:rPr>
  </w:style>
  <w:style w:type="paragraph" w:styleId="Heading3">
    <w:name w:val="heading 3"/>
    <w:basedOn w:val="Normal"/>
    <w:next w:val="Normal"/>
    <w:qFormat/>
    <w:rsid w:val="005643CD"/>
    <w:pPr>
      <w:keepNext/>
      <w:numPr>
        <w:ilvl w:val="2"/>
        <w:numId w:val="10"/>
      </w:numPr>
      <w:outlineLvl w:val="2"/>
    </w:pPr>
    <w:rPr>
      <w:bCs/>
      <w:i/>
      <w:szCs w:val="26"/>
    </w:rPr>
  </w:style>
  <w:style w:type="paragraph" w:styleId="Heading4">
    <w:name w:val="heading 4"/>
    <w:basedOn w:val="Normal"/>
    <w:next w:val="Normal"/>
    <w:qFormat/>
    <w:rsid w:val="005643CD"/>
    <w:pPr>
      <w:keepNext/>
      <w:numPr>
        <w:ilvl w:val="3"/>
        <w:numId w:val="10"/>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BVI fnr,R"/>
    <w:link w:val="FootnoteReferenceCharCarCharCharCarCharCarCharCarCharCarCharCharCarCarCharCharCharCharCharCarCharCarCharCharCarCharCar"/>
    <w:uiPriority w:val="99"/>
    <w:qFormat/>
    <w:rsid w:val="005643CD"/>
    <w:rPr>
      <w:shd w:val="clear" w:color="auto" w:fill="auto"/>
      <w:vertAlign w:val="superscript"/>
    </w:r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 Isnasos,f,fn,Fußnotentextf"/>
    <w:basedOn w:val="Normal"/>
    <w:uiPriority w:val="99"/>
    <w:qFormat/>
    <w:rsid w:val="00970CAC"/>
    <w:pPr>
      <w:spacing w:before="0" w:after="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erChar">
    <w:name w:val="Header Char"/>
    <w:link w:val="Header"/>
    <w:uiPriority w:val="99"/>
    <w:rsid w:val="00812B41"/>
    <w:rPr>
      <w:sz w:val="24"/>
      <w:szCs w:val="24"/>
      <w:lang w:eastAsia="en-US"/>
    </w:rPr>
  </w:style>
  <w:style w:type="character" w:customStyle="1" w:styleId="FooterChar">
    <w:name w:val="Footer Char"/>
    <w:link w:val="Footer"/>
    <w:uiPriority w:val="99"/>
    <w:rsid w:val="00812B41"/>
    <w:rPr>
      <w:sz w:val="24"/>
      <w:szCs w:val="24"/>
      <w:lang w:eastAsia="en-US"/>
    </w:rPr>
  </w:style>
  <w:style w:type="paragraph" w:customStyle="1" w:styleId="FooterCoverPage">
    <w:name w:val="Footer Cover Page"/>
    <w:basedOn w:val="Normal"/>
    <w:link w:val="FooterCoverPageChar"/>
    <w:rsid w:val="00812B41"/>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812B41"/>
    <w:rPr>
      <w:sz w:val="24"/>
      <w:szCs w:val="24"/>
      <w:lang w:val="en-GB" w:eastAsia="en-US"/>
    </w:rPr>
  </w:style>
  <w:style w:type="paragraph" w:customStyle="1" w:styleId="HeaderCoverPage">
    <w:name w:val="Header Cover Page"/>
    <w:basedOn w:val="Normal"/>
    <w:link w:val="HeaderCoverPageChar"/>
    <w:rsid w:val="00812B41"/>
    <w:pPr>
      <w:tabs>
        <w:tab w:val="center" w:pos="4535"/>
        <w:tab w:val="right" w:pos="9071"/>
      </w:tabs>
      <w:spacing w:before="0"/>
    </w:pPr>
  </w:style>
  <w:style w:type="character" w:customStyle="1" w:styleId="HeaderCoverPageChar">
    <w:name w:val="Header Cover Page Char"/>
    <w:link w:val="HeaderCoverPage"/>
    <w:rsid w:val="00812B41"/>
    <w:rPr>
      <w:sz w:val="24"/>
      <w:szCs w:val="24"/>
      <w:lang w:val="en-GB"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Plo Char"/>
    <w:uiPriority w:val="99"/>
    <w:qFormat/>
    <w:rsid w:val="00970CAC"/>
    <w:rPr>
      <w:lang w:val="en-GB"/>
    </w:rPr>
  </w:style>
  <w:style w:type="character" w:styleId="Hyperlink">
    <w:name w:val="Hyperlink"/>
    <w:uiPriority w:val="99"/>
    <w:qFormat/>
    <w:rsid w:val="00812B41"/>
    <w:rPr>
      <w:color w:val="0000FF"/>
      <w:u w:val="single"/>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
    <w:basedOn w:val="Normal"/>
    <w:link w:val="ListParagraphChar"/>
    <w:uiPriority w:val="34"/>
    <w:qFormat/>
    <w:rsid w:val="00812B41"/>
    <w:pPr>
      <w:spacing w:before="0" w:after="240"/>
      <w:ind w:left="720"/>
      <w:contextualSpacing/>
    </w:pPr>
    <w:rPr>
      <w:szCs w:val="20"/>
      <w:lang w:val="fr-FR"/>
    </w:r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link w:val="ListParagraph"/>
    <w:uiPriority w:val="34"/>
    <w:qFormat/>
    <w:rsid w:val="00812B41"/>
    <w:rPr>
      <w:sz w:val="24"/>
      <w:lang w:val="fr-FR" w:eastAsia="en-US"/>
    </w:rPr>
  </w:style>
  <w:style w:type="paragraph" w:customStyle="1" w:styleId="BodyText1">
    <w:name w:val="Body Text1"/>
    <w:basedOn w:val="Normal"/>
    <w:qFormat/>
    <w:rsid w:val="00812B41"/>
    <w:pPr>
      <w:spacing w:before="0" w:after="240"/>
    </w:pPr>
    <w:rPr>
      <w:rFonts w:ascii="Verdana" w:hAnsi="Verdana" w:cs="Verdana"/>
      <w:color w:val="58595B"/>
      <w:sz w:val="20"/>
      <w:szCs w:val="20"/>
      <w:lang w:eastAsia="nl-BE"/>
    </w:rPr>
  </w:style>
  <w:style w:type="paragraph" w:customStyle="1" w:styleId="Footnote">
    <w:name w:val="Footnote"/>
    <w:basedOn w:val="Normal"/>
    <w:rsid w:val="00812B41"/>
    <w:pPr>
      <w:spacing w:before="240" w:after="240" w:line="276" w:lineRule="auto"/>
    </w:pPr>
    <w:rPr>
      <w:rFonts w:eastAsia="Calibri"/>
    </w:rPr>
  </w:style>
  <w:style w:type="paragraph" w:customStyle="1" w:styleId="Default">
    <w:name w:val="Default"/>
    <w:rsid w:val="00812B41"/>
    <w:pPr>
      <w:autoSpaceDE w:val="0"/>
      <w:autoSpaceDN w:val="0"/>
      <w:adjustRightInd w:val="0"/>
    </w:pPr>
    <w:rPr>
      <w:rFonts w:eastAsia="Calibri"/>
      <w:color w:val="000000"/>
      <w:sz w:val="24"/>
      <w:szCs w:val="24"/>
      <w:lang w:val="en-GB" w:eastAsia="en-US"/>
    </w:rPr>
  </w:style>
  <w:style w:type="paragraph" w:customStyle="1" w:styleId="FooterSensitivity">
    <w:name w:val="Footer Sensitivity"/>
    <w:basedOn w:val="Normal"/>
    <w:link w:val="FooterSensitivityChar"/>
    <w:rsid w:val="001A0B9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sid w:val="001A0B9E"/>
    <w:rPr>
      <w:b/>
      <w:sz w:val="32"/>
      <w:szCs w:val="24"/>
      <w:lang w:val="en-GB" w:eastAsia="en-US"/>
    </w:rPr>
  </w:style>
  <w:style w:type="paragraph" w:customStyle="1" w:styleId="HeaderSensitivity">
    <w:name w:val="Header Sensitivity"/>
    <w:basedOn w:val="Normal"/>
    <w:link w:val="HeaderSensitivityChar"/>
    <w:rsid w:val="001A0B9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link w:val="HeaderSensitivity"/>
    <w:rsid w:val="001A0B9E"/>
    <w:rPr>
      <w:b/>
      <w:sz w:val="32"/>
      <w:szCs w:val="24"/>
      <w:lang w:val="en-GB" w:eastAsia="en-US"/>
    </w:rPr>
  </w:style>
  <w:style w:type="paragraph" w:customStyle="1" w:styleId="HeaderSensitivityRight">
    <w:name w:val="Header Sensitivity Right"/>
    <w:basedOn w:val="Normal"/>
    <w:link w:val="HeaderSensitivityRightChar"/>
    <w:rsid w:val="001A0B9E"/>
    <w:pPr>
      <w:spacing w:before="0"/>
      <w:jc w:val="right"/>
    </w:pPr>
    <w:rPr>
      <w:sz w:val="28"/>
    </w:rPr>
  </w:style>
  <w:style w:type="character" w:customStyle="1" w:styleId="HeaderSensitivityRightChar">
    <w:name w:val="Header Sensitivity Right Char"/>
    <w:link w:val="HeaderSensitivityRight"/>
    <w:rsid w:val="001A0B9E"/>
    <w:rPr>
      <w:sz w:val="28"/>
      <w:szCs w:val="24"/>
      <w:lang w:val="en-GB" w:eastAsia="en-US"/>
    </w:rPr>
  </w:style>
  <w:style w:type="paragraph" w:styleId="BalloonText">
    <w:name w:val="Balloon Text"/>
    <w:basedOn w:val="Normal"/>
    <w:link w:val="BalloonTextChar"/>
    <w:rsid w:val="00B907A4"/>
    <w:pPr>
      <w:spacing w:before="0" w:after="0"/>
    </w:pPr>
    <w:rPr>
      <w:rFonts w:ascii="Segoe UI" w:hAnsi="Segoe UI" w:cs="Segoe UI"/>
      <w:sz w:val="18"/>
      <w:szCs w:val="18"/>
    </w:rPr>
  </w:style>
  <w:style w:type="character" w:customStyle="1" w:styleId="BalloonTextChar">
    <w:name w:val="Balloon Text Char"/>
    <w:link w:val="BalloonText"/>
    <w:rsid w:val="00B907A4"/>
    <w:rPr>
      <w:rFonts w:ascii="Segoe UI" w:hAnsi="Segoe UI" w:cs="Segoe UI"/>
      <w:sz w:val="18"/>
      <w:szCs w:val="18"/>
      <w:lang w:eastAsia="en-US"/>
    </w:rPr>
  </w:style>
  <w:style w:type="character" w:styleId="CommentReference">
    <w:name w:val="annotation reference"/>
    <w:uiPriority w:val="99"/>
    <w:rsid w:val="00EB0722"/>
    <w:rPr>
      <w:sz w:val="16"/>
      <w:szCs w:val="16"/>
    </w:rPr>
  </w:style>
  <w:style w:type="paragraph" w:styleId="CommentText">
    <w:name w:val="annotation text"/>
    <w:basedOn w:val="Normal"/>
    <w:link w:val="CommentTextChar"/>
    <w:uiPriority w:val="99"/>
    <w:rsid w:val="00EB0722"/>
    <w:rPr>
      <w:sz w:val="20"/>
      <w:szCs w:val="20"/>
    </w:rPr>
  </w:style>
  <w:style w:type="character" w:customStyle="1" w:styleId="CommentTextChar">
    <w:name w:val="Comment Text Char"/>
    <w:link w:val="CommentText"/>
    <w:uiPriority w:val="99"/>
    <w:rsid w:val="00EB0722"/>
    <w:rPr>
      <w:lang w:eastAsia="en-US"/>
    </w:rPr>
  </w:style>
  <w:style w:type="paragraph" w:styleId="CommentSubject">
    <w:name w:val="annotation subject"/>
    <w:basedOn w:val="CommentText"/>
    <w:next w:val="CommentText"/>
    <w:link w:val="CommentSubjectChar"/>
    <w:rsid w:val="00EB0722"/>
    <w:rPr>
      <w:b/>
      <w:bCs/>
    </w:rPr>
  </w:style>
  <w:style w:type="character" w:customStyle="1" w:styleId="CommentSubjectChar">
    <w:name w:val="Comment Subject Char"/>
    <w:link w:val="CommentSubject"/>
    <w:rsid w:val="00EB0722"/>
    <w:rPr>
      <w:b/>
      <w:bCs/>
      <w:lang w:eastAsia="en-US"/>
    </w:rPr>
  </w:style>
  <w:style w:type="paragraph" w:customStyle="1" w:styleId="Mainbodytext">
    <w:name w:val="Main body text"/>
    <w:basedOn w:val="Normal"/>
    <w:link w:val="MainbodytextChar"/>
    <w:qFormat/>
    <w:rsid w:val="000A273D"/>
    <w:pPr>
      <w:jc w:val="left"/>
    </w:pPr>
    <w:rPr>
      <w:rFonts w:ascii="Arial" w:eastAsia="Microsoft YaHei" w:hAnsi="Arial"/>
      <w:sz w:val="20"/>
      <w:szCs w:val="22"/>
      <w:lang w:eastAsia="en-AU"/>
    </w:rPr>
  </w:style>
  <w:style w:type="character" w:customStyle="1" w:styleId="MainbodytextChar">
    <w:name w:val="Main body text Char"/>
    <w:link w:val="Mainbodytext"/>
    <w:locked/>
    <w:rsid w:val="000A273D"/>
    <w:rPr>
      <w:rFonts w:ascii="Arial" w:eastAsia="Microsoft YaHei" w:hAnsi="Arial"/>
      <w:szCs w:val="22"/>
      <w:lang w:val="en-GB" w:eastAsia="en-AU"/>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0A273D"/>
    <w:pPr>
      <w:spacing w:before="0" w:after="160" w:line="240" w:lineRule="exact"/>
      <w:jc w:val="left"/>
    </w:pPr>
    <w:rPr>
      <w:sz w:val="20"/>
      <w:szCs w:val="20"/>
      <w:vertAlign w:val="superscript"/>
      <w:lang w:val="en-US"/>
    </w:rPr>
  </w:style>
  <w:style w:type="table" w:styleId="TableGrid">
    <w:name w:val="Table Grid"/>
    <w:basedOn w:val="TableNormal"/>
    <w:rsid w:val="00180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8072C"/>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8A6B83"/>
    <w:rPr>
      <w:color w:val="954F72"/>
      <w:u w:val="single"/>
    </w:rPr>
  </w:style>
  <w:style w:type="paragraph" w:styleId="Revision">
    <w:name w:val="Revision"/>
    <w:hidden/>
    <w:uiPriority w:val="99"/>
    <w:semiHidden/>
    <w:rsid w:val="009F54CD"/>
    <w:rPr>
      <w:sz w:val="24"/>
      <w:szCs w:val="24"/>
      <w:lang w:val="en-GB" w:eastAsia="en-US"/>
    </w:rPr>
  </w:style>
  <w:style w:type="paragraph" w:styleId="BodyText">
    <w:name w:val="Body Text"/>
    <w:basedOn w:val="Normal"/>
    <w:link w:val="BodyTextChar"/>
    <w:rsid w:val="008C0A20"/>
  </w:style>
  <w:style w:type="character" w:customStyle="1" w:styleId="BodyTextChar">
    <w:name w:val="Body Text Char"/>
    <w:link w:val="BodyText"/>
    <w:rsid w:val="008C0A20"/>
    <w:rPr>
      <w:sz w:val="24"/>
      <w:szCs w:val="24"/>
      <w:lang w:val="en-GB" w:eastAsia="en-US"/>
    </w:rPr>
  </w:style>
  <w:style w:type="character" w:customStyle="1" w:styleId="UnresolvedMention1">
    <w:name w:val="Unresolved Mention1"/>
    <w:uiPriority w:val="99"/>
    <w:semiHidden/>
    <w:unhideWhenUsed/>
    <w:rsid w:val="003B565C"/>
    <w:rPr>
      <w:color w:val="605E5C"/>
      <w:shd w:val="clear" w:color="auto" w:fill="E1DFDD"/>
    </w:rPr>
  </w:style>
  <w:style w:type="paragraph" w:styleId="EndnoteText">
    <w:name w:val="endnote text"/>
    <w:basedOn w:val="Normal"/>
    <w:link w:val="EndnoteTextChar"/>
    <w:rsid w:val="00452A9E"/>
    <w:rPr>
      <w:sz w:val="20"/>
      <w:szCs w:val="20"/>
    </w:rPr>
  </w:style>
  <w:style w:type="character" w:customStyle="1" w:styleId="EndnoteTextChar">
    <w:name w:val="Endnote Text Char"/>
    <w:link w:val="EndnoteText"/>
    <w:rsid w:val="00452A9E"/>
    <w:rPr>
      <w:lang w:val="en-GB" w:eastAsia="en-US"/>
    </w:rPr>
  </w:style>
  <w:style w:type="character" w:styleId="EndnoteReference">
    <w:name w:val="endnote reference"/>
    <w:rsid w:val="00452A9E"/>
    <w:rPr>
      <w:vertAlign w:val="superscript"/>
    </w:rPr>
  </w:style>
  <w:style w:type="paragraph" w:styleId="Caption">
    <w:name w:val="caption"/>
    <w:basedOn w:val="Normal"/>
    <w:next w:val="Normal"/>
    <w:unhideWhenUsed/>
    <w:qFormat/>
    <w:rsid w:val="00E45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77906">
      <w:bodyDiv w:val="1"/>
      <w:marLeft w:val="0"/>
      <w:marRight w:val="0"/>
      <w:marTop w:val="0"/>
      <w:marBottom w:val="0"/>
      <w:divBdr>
        <w:top w:val="none" w:sz="0" w:space="0" w:color="auto"/>
        <w:left w:val="none" w:sz="0" w:space="0" w:color="auto"/>
        <w:bottom w:val="none" w:sz="0" w:space="0" w:color="auto"/>
        <w:right w:val="none" w:sz="0" w:space="0" w:color="auto"/>
      </w:divBdr>
    </w:div>
    <w:div w:id="1469710688">
      <w:bodyDiv w:val="1"/>
      <w:marLeft w:val="0"/>
      <w:marRight w:val="0"/>
      <w:marTop w:val="0"/>
      <w:marBottom w:val="0"/>
      <w:divBdr>
        <w:top w:val="none" w:sz="0" w:space="0" w:color="auto"/>
        <w:left w:val="none" w:sz="0" w:space="0" w:color="auto"/>
        <w:bottom w:val="none" w:sz="0" w:space="0" w:color="auto"/>
        <w:right w:val="none" w:sz="0" w:space="0" w:color="auto"/>
      </w:divBdr>
    </w:div>
    <w:div w:id="1512332292">
      <w:bodyDiv w:val="1"/>
      <w:marLeft w:val="0"/>
      <w:marRight w:val="0"/>
      <w:marTop w:val="0"/>
      <w:marBottom w:val="0"/>
      <w:divBdr>
        <w:top w:val="none" w:sz="0" w:space="0" w:color="auto"/>
        <w:left w:val="none" w:sz="0" w:space="0" w:color="auto"/>
        <w:bottom w:val="none" w:sz="0" w:space="0" w:color="auto"/>
        <w:right w:val="none" w:sz="0" w:space="0" w:color="auto"/>
      </w:divBdr>
    </w:div>
    <w:div w:id="1597862074">
      <w:bodyDiv w:val="1"/>
      <w:marLeft w:val="0"/>
      <w:marRight w:val="0"/>
      <w:marTop w:val="0"/>
      <w:marBottom w:val="0"/>
      <w:divBdr>
        <w:top w:val="none" w:sz="0" w:space="0" w:color="auto"/>
        <w:left w:val="none" w:sz="0" w:space="0" w:color="auto"/>
        <w:bottom w:val="none" w:sz="0" w:space="0" w:color="auto"/>
        <w:right w:val="none" w:sz="0" w:space="0" w:color="auto"/>
      </w:divBdr>
    </w:div>
    <w:div w:id="1621109412">
      <w:bodyDiv w:val="1"/>
      <w:marLeft w:val="0"/>
      <w:marRight w:val="0"/>
      <w:marTop w:val="0"/>
      <w:marBottom w:val="0"/>
      <w:divBdr>
        <w:top w:val="none" w:sz="0" w:space="0" w:color="auto"/>
        <w:left w:val="none" w:sz="0" w:space="0" w:color="auto"/>
        <w:bottom w:val="none" w:sz="0" w:space="0" w:color="auto"/>
        <w:right w:val="none" w:sz="0" w:space="0" w:color="auto"/>
      </w:divBdr>
    </w:div>
    <w:div w:id="1717504391">
      <w:bodyDiv w:val="1"/>
      <w:marLeft w:val="0"/>
      <w:marRight w:val="0"/>
      <w:marTop w:val="0"/>
      <w:marBottom w:val="0"/>
      <w:divBdr>
        <w:top w:val="none" w:sz="0" w:space="0" w:color="auto"/>
        <w:left w:val="none" w:sz="0" w:space="0" w:color="auto"/>
        <w:bottom w:val="none" w:sz="0" w:space="0" w:color="auto"/>
        <w:right w:val="none" w:sz="0" w:space="0" w:color="auto"/>
      </w:divBdr>
    </w:div>
    <w:div w:id="195574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top-players-in-the-european-av-industry-2022-edition-l-ene/1680a9cb32" TargetMode="External"/><Relationship Id="rId13"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18"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3"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7" Type="http://schemas.openxmlformats.org/officeDocument/2006/relationships/hyperlink" Target="https://rm.coe.int/yearbook-key-trends-2022-2023-en/1680aa9f02" TargetMode="External"/><Relationship Id="rId12"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17"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2"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16" Type="http://schemas.openxmlformats.org/officeDocument/2006/relationships/hyperlink" Target="https://data.europa.eu/doi/10.2759/211481" TargetMode="External"/><Relationship Id="rId1"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6"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11" Type="http://schemas.openxmlformats.org/officeDocument/2006/relationships/hyperlink" Target="https://digital-strategy.ec.europa.eu/en/library/revised-guidelines-monitoring-application-articles-16-and-17-audiovisual-media-services-avms" TargetMode="External"/><Relationship Id="rId5" Type="http://schemas.openxmlformats.org/officeDocument/2006/relationships/hyperlink" Target="https://op.europa.eu/en/publication-detail/-/publication/41f4a695-f465-11ed-a05c-01aa75ed71a1/language-en/format-PDF/source-287430951" TargetMode="External"/><Relationship Id="rId15" Type="http://schemas.openxmlformats.org/officeDocument/2006/relationships/hyperlink" Target="https://data.europa.eu/doi/10.2759/211481" TargetMode="External"/><Relationship Id="rId10" Type="http://schemas.openxmlformats.org/officeDocument/2006/relationships/hyperlink" Target="https://rm.coe.int/yearbook-key-trends-2020-2021-en/1680a26056" TargetMode="External"/><Relationship Id="rId19"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4" Type="http://schemas.openxmlformats.org/officeDocument/2006/relationships/hyperlink" Target="https://data.europa.eu/doi/10.2759/211481" TargetMode="External"/><Relationship Id="rId9" Type="http://schemas.openxmlformats.org/officeDocument/2006/relationships/hyperlink" Target="https://rm.coe.int/audiovisual-media-services-in-europe-2022-edition-a-schneeberger/1680a99e7d" TargetMode="External"/><Relationship Id="rId14"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et1.cec.eu.int\CNECT\I\1\_010%20Implementation%20-%20Follow-up\010%20AVMS_TVWF\060%20Promotion%20of%20European%20works\Report%202020-2021%20for%20Articles%2013,%2016%20and%2017\Study\Graphs%20(Kristina)\Graphs%20no.%201,%204%20and%205.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net1.cec.eu.int\CNECT\I\1\_010%20Implementation%20-%20Follow-up\010%20AVMS_TVWF\060%20Promotion%20of%20European%20works\Report%202020-2021%20for%20Articles%2013,%2016%20and%2017\Study\Graphs%20(Kristina)\Graphs%20no.%202%20and%203%20-%20VOD%20servi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net1.cec.eu.int\CNECT\I\1\_010%20Implementation%20-%20Follow-up\010%20AVMS_TVWF\060%20Promotion%20of%20European%20works\Report%202020-2021%20for%20Articles%2013,%2016%20and%2017\Study\Graphs%20(Kristina)\Graphs%20no.%201,%204%20and%20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et1.cec.eu.int\CNECT\I\1\_010%20Implementation%20-%20Follow-up\010%20AVMS_TVWF\060%20Promotion%20of%20European%20works\Report%202020-2021%20for%20Articles%2013,%2016%20and%2017\Study\Graphs%20(Kristina)\Datasheet%20on%20Articles%2013%20%2016_Revised_VVA_20%20September%202023_KR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et1.cec.eu.int\CNECT\I\1\_010%20Implementation%20-%20Follow-up\010%20AVMS_TVWF\060%20Promotion%20of%20European%20works\Report%202020-2021%20for%20Articles%2013,%2016%20and%2017\Study\Graphs%20(Kristina)\AVMSD%2016,%20check,%20all%20country%20report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net1.cec.eu.int\CNECT\I\1\_010%20Implementation%20-%20Follow-up\010%20AVMS_TVWF\060%20Promotion%20of%20European%20works\Report%202020-2021%20for%20Articles%2013,%2016%20and%2017\Study\Graphs%20(Kristina)\Graphs%20no.%206%20and%207%20-%20TV%20channel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'Figure 1, no. VOD'!$C$49</c:f>
              <c:strCache>
                <c:ptCount val="1"/>
                <c:pt idx="0">
                  <c:v>Services that are not exempted</c:v>
                </c:pt>
              </c:strCache>
            </c:strRef>
          </c:tx>
          <c:spPr>
            <a:solidFill>
              <a:schemeClr val="accent1"/>
            </a:solidFill>
            <a:ln>
              <a:noFill/>
            </a:ln>
            <a:effectLst/>
          </c:spPr>
          <c:invertIfNegative val="0"/>
          <c:dLbls>
            <c:dLbl>
              <c:idx val="0"/>
              <c:tx>
                <c:rich>
                  <a:bodyPr/>
                  <a:lstStyle/>
                  <a:p>
                    <a:r>
                      <a:rPr lang="en-US"/>
                      <a:t>1 410</a:t>
                    </a:r>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1-E536-41C2-835E-015385CE09A4}"/>
                </c:ext>
              </c:extLst>
            </c:dLbl>
            <c:dLbl>
              <c:idx val="1"/>
              <c:tx>
                <c:rich>
                  <a:bodyPr/>
                  <a:lstStyle/>
                  <a:p>
                    <a:r>
                      <a:rPr lang="en-US"/>
                      <a:t>1 444</a:t>
                    </a:r>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0-E536-41C2-835E-015385CE09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no. VOD'!$B$50:$B$51</c:f>
              <c:numCache>
                <c:formatCode>General</c:formatCode>
                <c:ptCount val="2"/>
                <c:pt idx="0">
                  <c:v>2020</c:v>
                </c:pt>
                <c:pt idx="1">
                  <c:v>2021</c:v>
                </c:pt>
              </c:numCache>
            </c:numRef>
          </c:cat>
          <c:val>
            <c:numRef>
              <c:f>'Figure 1, no. VOD'!$C$50:$C$51</c:f>
              <c:numCache>
                <c:formatCode>General</c:formatCode>
                <c:ptCount val="2"/>
                <c:pt idx="0">
                  <c:v>1410</c:v>
                </c:pt>
                <c:pt idx="1">
                  <c:v>1444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1E16-45B9-9246-2454698262D8}"/>
            </c:ext>
          </c:extLst>
        </c:ser>
        <c:ser>
          <c:idx val="1"/>
          <c:order val="1"/>
          <c:tx>
            <c:strRef>
              <c:f>'Figure 1, no. VOD'!$D$49</c:f>
              <c:strCache>
                <c:ptCount val="1"/>
                <c:pt idx="0">
                  <c:v>Exempted services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no. VOD'!$B$50:$B$51</c:f>
              <c:numCache>
                <c:formatCode>General</c:formatCode>
                <c:ptCount val="2"/>
                <c:pt idx="0">
                  <c:v>2020</c:v>
                </c:pt>
                <c:pt idx="1">
                  <c:v>2021</c:v>
                </c:pt>
              </c:numCache>
            </c:numRef>
          </c:cat>
          <c:val>
            <c:numRef>
              <c:f>'Figure 1, no. VOD'!$D$50:$D$51</c:f>
              <c:numCache>
                <c:formatCode>General</c:formatCode>
                <c:ptCount val="2"/>
                <c:pt idx="0">
                  <c:v>540</c:v>
                </c:pt>
                <c:pt idx="1">
                  <c:v>540</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1E16-45B9-9246-2454698262D8}"/>
            </c:ext>
          </c:extLst>
        </c:ser>
        <c:ser>
          <c:idx val="2"/>
          <c:order val="2"/>
          <c:tx>
            <c:strRef>
              <c:f>'Figure 1, no. VOD'!$E$49</c:f>
              <c:strCache>
                <c:ptCount val="1"/>
                <c:pt idx="0">
                  <c:v>Total</c:v>
                </c:pt>
              </c:strCache>
            </c:strRef>
          </c:tx>
          <c:spPr>
            <a:noFill/>
            <a:ln>
              <a:noFill/>
            </a:ln>
            <a:effectLst/>
          </c:spPr>
          <c:invertIfNegative val="0"/>
          <c:dLbls>
            <c:dLbl>
              <c:idx val="0"/>
              <c:tx>
                <c:rich>
                  <a:bodyPr/>
                  <a:lstStyle/>
                  <a:p>
                    <a:r>
                      <a:rPr lang="en-US"/>
                      <a:t>1 950</a:t>
                    </a:r>
                  </a:p>
                </c:rich>
              </c:tx>
              <c:dLblPos val="inBase"/>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2-E536-41C2-835E-015385CE09A4}"/>
                </c:ext>
              </c:extLst>
            </c:dLbl>
            <c:dLbl>
              <c:idx val="1"/>
              <c:tx>
                <c:rich>
                  <a:bodyPr/>
                  <a:lstStyle/>
                  <a:p>
                    <a:r>
                      <a:rPr lang="en-US"/>
                      <a:t>1 984</a:t>
                    </a:r>
                  </a:p>
                </c:rich>
              </c:tx>
              <c:dLblPos val="inBase"/>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3-E536-41C2-835E-015385CE09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1, no. VOD'!$B$50:$B$51</c:f>
              <c:numCache>
                <c:formatCode>General</c:formatCode>
                <c:ptCount val="2"/>
                <c:pt idx="0">
                  <c:v>2020</c:v>
                </c:pt>
                <c:pt idx="1">
                  <c:v>2021</c:v>
                </c:pt>
              </c:numCache>
            </c:numRef>
          </c:cat>
          <c:val>
            <c:numRef>
              <c:f>'Figure 1, no. VOD'!$E$50:$E$51</c:f>
              <c:numCache>
                <c:formatCode>General</c:formatCode>
                <c:ptCount val="2"/>
                <c:pt idx="0">
                  <c:v>1950</c:v>
                </c:pt>
                <c:pt idx="1">
                  <c:v>1984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2-1E16-45B9-9246-2454698262D8}"/>
            </c:ext>
          </c:extLst>
        </c:ser>
        <c:dLbls>
          <c:showLegendKey val="0"/>
          <c:showVal val="0"/>
          <c:showCatName val="0"/>
          <c:showSerName val="0"/>
          <c:showPercent val="0"/>
          <c:showBubbleSize val="0"/>
        </c:dLbls>
        <c:gapWidth val="150"/>
        <c:overlap val="100"/>
        <c:axId val="812403584"/>
        <c:axId val="987395536"/>
      </c:barChart>
      <c:catAx>
        <c:axId val="81240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395536"/>
        <c:crosses val="autoZero"/>
        <c:auto val="1"/>
        <c:lblAlgn val="ctr"/>
        <c:lblOffset val="100"/>
        <c:noMultiLvlLbl val="0"/>
      </c:catAx>
      <c:valAx>
        <c:axId val="987395536"/>
        <c:scaling>
          <c:orientation val="minMax"/>
          <c:max val="2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4035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3, Prominence'!$A$34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3, Prominence'!$B$33:$E$33</c:f>
              <c:strCache>
                <c:ptCount val="4"/>
                <c:pt idx="0">
                  <c:v>Dedicated section</c:v>
                </c:pt>
                <c:pt idx="1">
                  <c:v>Search function </c:v>
                </c:pt>
                <c:pt idx="2">
                  <c:v>Campaigns</c:v>
                </c:pt>
                <c:pt idx="3">
                  <c:v>Highlighting</c:v>
                </c:pt>
              </c:strCache>
            </c:strRef>
          </c:cat>
          <c:val>
            <c:numRef>
              <c:f>'Graph 3, Prominence'!$B$34:$E$34</c:f>
              <c:numCache>
                <c:formatCode>General</c:formatCode>
                <c:ptCount val="4"/>
                <c:pt idx="0">
                  <c:v>95</c:v>
                </c:pt>
                <c:pt idx="1">
                  <c:v>42</c:v>
                </c:pt>
                <c:pt idx="2">
                  <c:v>71</c:v>
                </c:pt>
                <c:pt idx="3">
                  <c:v>77</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8220-4788-9B3A-DC104B6CF09E}"/>
            </c:ext>
          </c:extLst>
        </c:ser>
        <c:ser>
          <c:idx val="1"/>
          <c:order val="1"/>
          <c:tx>
            <c:strRef>
              <c:f>'Graph 3, Prominence'!$A$35</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3, Prominence'!$B$33:$E$33</c:f>
              <c:strCache>
                <c:ptCount val="4"/>
                <c:pt idx="0">
                  <c:v>Dedicated section</c:v>
                </c:pt>
                <c:pt idx="1">
                  <c:v>Search function </c:v>
                </c:pt>
                <c:pt idx="2">
                  <c:v>Campaigns</c:v>
                </c:pt>
                <c:pt idx="3">
                  <c:v>Highlighting</c:v>
                </c:pt>
              </c:strCache>
            </c:strRef>
          </c:cat>
          <c:val>
            <c:numRef>
              <c:f>'Graph 3, Prominence'!$B$35:$E$35</c:f>
              <c:numCache>
                <c:formatCode>General</c:formatCode>
                <c:ptCount val="4"/>
                <c:pt idx="0">
                  <c:v>95</c:v>
                </c:pt>
                <c:pt idx="1">
                  <c:v>111</c:v>
                </c:pt>
                <c:pt idx="2">
                  <c:v>91</c:v>
                </c:pt>
                <c:pt idx="3">
                  <c:v>84</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8220-4788-9B3A-DC104B6CF09E}"/>
            </c:ext>
          </c:extLst>
        </c:ser>
        <c:dLbls>
          <c:dLblPos val="outEnd"/>
          <c:showLegendKey val="0"/>
          <c:showVal val="1"/>
          <c:showCatName val="0"/>
          <c:showSerName val="0"/>
          <c:showPercent val="0"/>
          <c:showBubbleSize val="0"/>
        </c:dLbls>
        <c:gapWidth val="219"/>
        <c:overlap val="-27"/>
        <c:axId val="975593039"/>
        <c:axId val="521974063"/>
      </c:barChart>
      <c:catAx>
        <c:axId val="97559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974063"/>
        <c:crosses val="autoZero"/>
        <c:auto val="1"/>
        <c:lblAlgn val="ctr"/>
        <c:lblOffset val="100"/>
        <c:noMultiLvlLbl val="0"/>
      </c:catAx>
      <c:valAx>
        <c:axId val="521974063"/>
        <c:scaling>
          <c:orientation val="minMax"/>
          <c:max val="140"/>
        </c:scaling>
        <c:delete val="0"/>
        <c:axPos val="l"/>
        <c:majorGridlines>
          <c:spPr>
            <a:ln w="317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59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'Figure 4, no. TV channels'!$C$44</c:f>
              <c:strCache>
                <c:ptCount val="1"/>
                <c:pt idx="0">
                  <c:v>Channels that are not exempted</c:v>
                </c:pt>
              </c:strCache>
            </c:strRef>
          </c:tx>
          <c:spPr>
            <a:solidFill>
              <a:schemeClr val="accent1"/>
            </a:solidFill>
            <a:ln>
              <a:noFill/>
            </a:ln>
            <a:effectLst/>
          </c:spPr>
          <c:invertIfNegative val="0"/>
          <c:dLbls>
            <c:dLbl>
              <c:idx val="0"/>
              <c:tx>
                <c:rich>
                  <a:bodyPr/>
                  <a:lstStyle/>
                  <a:p>
                    <a:r>
                      <a:rPr lang="en-US"/>
                      <a:t>2</a:t>
                    </a:r>
                    <a:r>
                      <a:rPr lang="en-US" baseline="0"/>
                      <a:t> 161</a:t>
                    </a:r>
                    <a:endParaRPr lang="en-US"/>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5-C50B-457C-A706-D4367640465D}"/>
                </c:ext>
              </c:extLst>
            </c:dLbl>
            <c:dLbl>
              <c:idx val="1"/>
              <c:tx>
                <c:rich>
                  <a:bodyPr/>
                  <a:lstStyle/>
                  <a:p>
                    <a:r>
                      <a:rPr lang="en-US"/>
                      <a:t>2 247</a:t>
                    </a:r>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4-C50B-457C-A706-D436764046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no. TV channels'!$B$45:$B$46</c:f>
              <c:numCache>
                <c:formatCode>General</c:formatCode>
                <c:ptCount val="2"/>
                <c:pt idx="0">
                  <c:v>2020</c:v>
                </c:pt>
                <c:pt idx="1">
                  <c:v>2021</c:v>
                </c:pt>
              </c:numCache>
            </c:numRef>
          </c:cat>
          <c:val>
            <c:numRef>
              <c:f>'Figure 4, no. TV channels'!$C$45:$C$46</c:f>
              <c:numCache>
                <c:formatCode>General</c:formatCode>
                <c:ptCount val="2"/>
                <c:pt idx="0">
                  <c:v>2161</c:v>
                </c:pt>
                <c:pt idx="1">
                  <c:v>2247</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5FA2-452B-94B6-DEBDD3E33BA2}"/>
            </c:ext>
          </c:extLst>
        </c:ser>
        <c:ser>
          <c:idx val="1"/>
          <c:order val="1"/>
          <c:tx>
            <c:strRef>
              <c:f>'Figure 4, no. TV channels'!$D$44</c:f>
              <c:strCache>
                <c:ptCount val="1"/>
                <c:pt idx="0">
                  <c:v>Exempted channels</c:v>
                </c:pt>
              </c:strCache>
            </c:strRef>
          </c:tx>
          <c:spPr>
            <a:solidFill>
              <a:schemeClr val="accent3"/>
            </a:solidFill>
            <a:ln>
              <a:noFill/>
            </a:ln>
            <a:effectLst/>
          </c:spPr>
          <c:invertIfNegative val="0"/>
          <c:dLbls>
            <c:dLbl>
              <c:idx val="0"/>
              <c:tx>
                <c:rich>
                  <a:bodyPr/>
                  <a:lstStyle/>
                  <a:p>
                    <a:r>
                      <a:rPr lang="en-US"/>
                      <a:t>2 236</a:t>
                    </a:r>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2-C50B-457C-A706-D4367640465D}"/>
                </c:ext>
              </c:extLst>
            </c:dLbl>
            <c:dLbl>
              <c:idx val="1"/>
              <c:tx>
                <c:rich>
                  <a:bodyPr/>
                  <a:lstStyle/>
                  <a:p>
                    <a:r>
                      <a:rPr lang="en-US"/>
                      <a:t>2 236</a:t>
                    </a:r>
                  </a:p>
                </c:rich>
              </c:tx>
              <c:dLblPos val="ct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3-C50B-457C-A706-D436764046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no. TV channels'!$B$45:$B$46</c:f>
              <c:numCache>
                <c:formatCode>General</c:formatCode>
                <c:ptCount val="2"/>
                <c:pt idx="0">
                  <c:v>2020</c:v>
                </c:pt>
                <c:pt idx="1">
                  <c:v>2021</c:v>
                </c:pt>
              </c:numCache>
            </c:numRef>
          </c:cat>
          <c:val>
            <c:numRef>
              <c:f>'Figure 4, no. TV channels'!$D$45:$D$46</c:f>
              <c:numCache>
                <c:formatCode>General</c:formatCode>
                <c:ptCount val="2"/>
                <c:pt idx="0">
                  <c:v>2236</c:v>
                </c:pt>
                <c:pt idx="1">
                  <c:v>2236</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5FA2-452B-94B6-DEBDD3E33BA2}"/>
            </c:ext>
          </c:extLst>
        </c:ser>
        <c:ser>
          <c:idx val="2"/>
          <c:order val="2"/>
          <c:tx>
            <c:strRef>
              <c:f>'Figure 4, no. TV channels'!$E$44</c:f>
              <c:strCache>
                <c:ptCount val="1"/>
                <c:pt idx="0">
                  <c:v>Total</c:v>
                </c:pt>
              </c:strCache>
            </c:strRef>
          </c:tx>
          <c:spPr>
            <a:noFill/>
            <a:ln>
              <a:noFill/>
            </a:ln>
            <a:effectLst/>
          </c:spPr>
          <c:invertIfNegative val="0"/>
          <c:dLbls>
            <c:dLbl>
              <c:idx val="0"/>
              <c:tx>
                <c:rich>
                  <a:bodyPr/>
                  <a:lstStyle/>
                  <a:p>
                    <a:r>
                      <a:rPr lang="en-US"/>
                      <a:t>4 397</a:t>
                    </a:r>
                  </a:p>
                </c:rich>
              </c:tx>
              <c:dLblPos val="inBase"/>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0-C50B-457C-A706-D4367640465D}"/>
                </c:ext>
              </c:extLst>
            </c:dLbl>
            <c:dLbl>
              <c:idx val="1"/>
              <c:tx>
                <c:rich>
                  <a:bodyPr/>
                  <a:lstStyle/>
                  <a:p>
                    <a:r>
                      <a:rPr lang="en-US"/>
                      <a:t>4 483</a:t>
                    </a:r>
                  </a:p>
                </c:rich>
              </c:tx>
              <c:dLblPos val="inBase"/>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DataLabelsRange val="0"/>
                </c:ext>
                <c:ext xmlns:c16="http://schemas.microsoft.com/office/drawing/2014/chart" uri="{C3380CC4-5D6E-409C-BE32-E72D297353CC}">
                  <c16:uniqueId val="{00000001-C50B-457C-A706-D436764046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 no. TV channels'!$B$45:$B$46</c:f>
              <c:numCache>
                <c:formatCode>General</c:formatCode>
                <c:ptCount val="2"/>
                <c:pt idx="0">
                  <c:v>2020</c:v>
                </c:pt>
                <c:pt idx="1">
                  <c:v>2021</c:v>
                </c:pt>
              </c:numCache>
            </c:numRef>
          </c:cat>
          <c:val>
            <c:numRef>
              <c:f>'Figure 4, no. TV channels'!$E$45:$E$46</c:f>
              <c:numCache>
                <c:formatCode>General</c:formatCode>
                <c:ptCount val="2"/>
                <c:pt idx="0">
                  <c:v>4397</c:v>
                </c:pt>
                <c:pt idx="1">
                  <c:v>4483</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2-5FA2-452B-94B6-DEBDD3E33BA2}"/>
            </c:ext>
          </c:extLst>
        </c:ser>
        <c:dLbls>
          <c:showLegendKey val="0"/>
          <c:showVal val="0"/>
          <c:showCatName val="0"/>
          <c:showSerName val="0"/>
          <c:showPercent val="0"/>
          <c:showBubbleSize val="0"/>
        </c:dLbls>
        <c:gapWidth val="150"/>
        <c:overlap val="100"/>
        <c:axId val="1012964704"/>
        <c:axId val="1018090432"/>
      </c:barChart>
      <c:catAx>
        <c:axId val="10129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8090432"/>
        <c:crosses val="autoZero"/>
        <c:auto val="1"/>
        <c:lblAlgn val="ctr"/>
        <c:lblOffset val="100"/>
        <c:noMultiLvlLbl val="0"/>
      </c:catAx>
      <c:valAx>
        <c:axId val="1018090432"/>
        <c:scaling>
          <c:orientation val="minMax"/>
          <c:max val="5000"/>
          <c:min val="0"/>
        </c:scaling>
        <c:delete val="0"/>
        <c:axPos val="l"/>
        <c:majorGridlines>
          <c:spPr>
            <a:ln w="317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964704"/>
        <c:crosses val="autoZero"/>
        <c:crossBetween val="between"/>
        <c:majorUnit val="5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Monitoring!$A$1:$B$7</c:f>
              <c:multiLvlStrCache>
                <c:ptCount val="7"/>
                <c:lvl>
                  <c:pt idx="0">
                    <c:v>Case-by-case</c:v>
                  </c:pt>
                  <c:pt idx="1">
                    <c:v>1 month</c:v>
                  </c:pt>
                  <c:pt idx="2">
                    <c:v>3 months</c:v>
                  </c:pt>
                  <c:pt idx="3">
                    <c:v>6 months</c:v>
                  </c:pt>
                  <c:pt idx="4">
                    <c:v>1 year</c:v>
                  </c:pt>
                  <c:pt idx="5">
                    <c:v>2 years</c:v>
                  </c:pt>
                  <c:pt idx="6">
                    <c:v>Random checks</c:v>
                  </c:pt>
                </c:lvl>
                <c:lvl>
                  <c:pt idx="0">
                    <c:v>Monitoring frequency*</c:v>
                  </c:pt>
                  <c:pt idx="6">
                    <c:v>Additional monitoring </c:v>
                  </c:pt>
                </c:lvl>
              </c:multiLvlStrCache>
            </c:multiLvlStrRef>
          </c:cat>
          <c:val>
            <c:numRef>
              <c:f>Monitoring!$C$1:$C$7</c:f>
              <c:numCache>
                <c:formatCode>General</c:formatCode>
                <c:ptCount val="7"/>
                <c:pt idx="0">
                  <c:v>3</c:v>
                </c:pt>
                <c:pt idx="1">
                  <c:v>1</c:v>
                </c:pt>
                <c:pt idx="2">
                  <c:v>1</c:v>
                </c:pt>
                <c:pt idx="3">
                  <c:v>1</c:v>
                </c:pt>
                <c:pt idx="4">
                  <c:v>19</c:v>
                </c:pt>
                <c:pt idx="5">
                  <c:v>4</c:v>
                </c:pt>
                <c:pt idx="6">
                  <c:v>5</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EC94-48CA-BA94-140DAEE09A58}"/>
            </c:ext>
          </c:extLst>
        </c:ser>
        <c:dLbls>
          <c:dLblPos val="outEnd"/>
          <c:showLegendKey val="0"/>
          <c:showVal val="1"/>
          <c:showCatName val="0"/>
          <c:showSerName val="0"/>
          <c:showPercent val="0"/>
          <c:showBubbleSize val="0"/>
        </c:dLbls>
        <c:gapWidth val="219"/>
        <c:overlap val="-27"/>
        <c:axId val="1440167983"/>
        <c:axId val="1440805407"/>
      </c:barChart>
      <c:catAx>
        <c:axId val="144016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805407"/>
        <c:crosses val="autoZero"/>
        <c:auto val="1"/>
        <c:lblAlgn val="ctr"/>
        <c:lblOffset val="100"/>
        <c:noMultiLvlLbl val="0"/>
      </c:catAx>
      <c:valAx>
        <c:axId val="1440805407"/>
        <c:scaling>
          <c:orientation val="minMax"/>
          <c:max val="30"/>
        </c:scaling>
        <c:delete val="0"/>
        <c:axPos val="l"/>
        <c:majorGridlines>
          <c:spPr>
            <a:ln w="317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167983"/>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Combined!$C$2</c:f>
              <c:strCache>
                <c:ptCount val="1"/>
                <c:pt idx="0">
                  <c:v>2020</c:v>
                </c:pt>
              </c:strCache>
            </c:strRef>
          </c:tx>
          <c:spPr>
            <a:pattFill prst="pct60">
              <a:fgClr>
                <a:schemeClr val="accent1"/>
              </a:fgClr>
              <a:bgClr>
                <a:schemeClr val="accent1">
                  <a:lumMod val="60000"/>
                  <a:lumOff val="40000"/>
                </a:schemeClr>
              </a:bgClr>
            </a:pattFill>
            <a:ln>
              <a:noFill/>
            </a:ln>
            <a:effectLst/>
          </c:spPr>
          <c:invertIfNegative val="0"/>
          <c:dPt>
            <c:idx val="0"/>
            <c:invertIfNegative val="0"/>
            <c:bubble3D val="0"/>
            <c:spPr>
              <a:solidFill>
                <a:schemeClr val="accent1"/>
              </a:solidFill>
              <a:ln>
                <a:no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7332-4D02-B369-EDBD30D040C9}"/>
              </c:ext>
            </c:extLst>
          </c:dPt>
          <c:dLbls>
            <c:dLbl>
              <c:idx val="0"/>
              <c:layout>
                <c:manualLayout>
                  <c:x val="-5.4856737126118458E-18"/>
                  <c:y val="8.8008800880087605E-3"/>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 xmlns:c16="http://schemas.microsoft.com/office/drawing/2014/chart" uri="{C3380CC4-5D6E-409C-BE32-E72D297353CC}">
                  <c16:uniqueId val="{00000001-7332-4D02-B369-EDBD30D040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Combined!$B$3:$B$31</c:f>
              <c:strCache>
                <c:ptCount val="29"/>
                <c:pt idx="0">
                  <c:v>Average</c:v>
                </c:pt>
                <c:pt idx="1">
                  <c:v>AT</c:v>
                </c:pt>
                <c:pt idx="2">
                  <c:v>BE (FR)</c:v>
                </c:pt>
                <c:pt idx="3">
                  <c:v>BE (NL)</c:v>
                </c:pt>
                <c:pt idx="4">
                  <c:v>BG</c:v>
                </c:pt>
                <c:pt idx="5">
                  <c:v>CY</c:v>
                </c:pt>
                <c:pt idx="6">
                  <c:v>CZ</c:v>
                </c:pt>
                <c:pt idx="7">
                  <c:v>DE</c:v>
                </c:pt>
                <c:pt idx="8">
                  <c:v>DK</c:v>
                </c:pt>
                <c:pt idx="9">
                  <c:v>EE</c:v>
                </c:pt>
                <c:pt idx="10">
                  <c:v>EL</c:v>
                </c:pt>
                <c:pt idx="11">
                  <c:v>ES</c:v>
                </c:pt>
                <c:pt idx="12">
                  <c:v>FI</c:v>
                </c:pt>
                <c:pt idx="13">
                  <c:v>FR</c:v>
                </c:pt>
                <c:pt idx="14">
                  <c:v>HR</c:v>
                </c:pt>
                <c:pt idx="15">
                  <c:v>HU</c:v>
                </c:pt>
                <c:pt idx="16">
                  <c:v>IE</c:v>
                </c:pt>
                <c:pt idx="17">
                  <c:v>IT</c:v>
                </c:pt>
                <c:pt idx="18">
                  <c:v>LT</c:v>
                </c:pt>
                <c:pt idx="19">
                  <c:v>LU</c:v>
                </c:pt>
                <c:pt idx="20">
                  <c:v>LV</c:v>
                </c:pt>
                <c:pt idx="21">
                  <c:v>MT</c:v>
                </c:pt>
                <c:pt idx="22">
                  <c:v>NL</c:v>
                </c:pt>
                <c:pt idx="23">
                  <c:v>PL</c:v>
                </c:pt>
                <c:pt idx="24">
                  <c:v>PT</c:v>
                </c:pt>
                <c:pt idx="25">
                  <c:v>RO</c:v>
                </c:pt>
                <c:pt idx="26">
                  <c:v>SE</c:v>
                </c:pt>
                <c:pt idx="27">
                  <c:v>SL</c:v>
                </c:pt>
                <c:pt idx="28">
                  <c:v>SK</c:v>
                </c:pt>
              </c:strCache>
            </c:strRef>
          </c:cat>
          <c:val>
            <c:numRef>
              <c:f>Combined!$C$3:$C$31</c:f>
              <c:numCache>
                <c:formatCode>0%</c:formatCode>
                <c:ptCount val="29"/>
                <c:pt idx="0">
                  <c:v>0.67927933419918296</c:v>
                </c:pt>
                <c:pt idx="1">
                  <c:v>0.84546341463414654</c:v>
                </c:pt>
                <c:pt idx="2">
                  <c:v>0.77333333333333343</c:v>
                </c:pt>
                <c:pt idx="3">
                  <c:v>0.78316052631578947</c:v>
                </c:pt>
                <c:pt idx="4">
                  <c:v>0.62653442622950795</c:v>
                </c:pt>
                <c:pt idx="5">
                  <c:v>0.35916666666666663</c:v>
                </c:pt>
                <c:pt idx="6">
                  <c:v>0.55889701492537314</c:v>
                </c:pt>
                <c:pt idx="7">
                  <c:v>0.65782647058823518</c:v>
                </c:pt>
                <c:pt idx="8">
                  <c:v>0.79600000000000004</c:v>
                </c:pt>
                <c:pt idx="9">
                  <c:v>0.70663999999999971</c:v>
                </c:pt>
                <c:pt idx="10">
                  <c:v>0.67224705882352931</c:v>
                </c:pt>
                <c:pt idx="11">
                  <c:v>0.65621889818828072</c:v>
                </c:pt>
                <c:pt idx="12">
                  <c:v>0.54833333333333334</c:v>
                </c:pt>
                <c:pt idx="13">
                  <c:v>0.7097854545454545</c:v>
                </c:pt>
                <c:pt idx="14">
                  <c:v>0.64662666666666657</c:v>
                </c:pt>
                <c:pt idx="15">
                  <c:v>0.93645601357574504</c:v>
                </c:pt>
                <c:pt idx="16">
                  <c:v>0.81285714285714283</c:v>
                </c:pt>
                <c:pt idx="17">
                  <c:v>0.63026733461128048</c:v>
                </c:pt>
                <c:pt idx="18">
                  <c:v>0.51</c:v>
                </c:pt>
                <c:pt idx="19">
                  <c:v>0.53410576855951641</c:v>
                </c:pt>
                <c:pt idx="20">
                  <c:v>0.62652173913043474</c:v>
                </c:pt>
                <c:pt idx="22">
                  <c:v>0.51025172413793118</c:v>
                </c:pt>
                <c:pt idx="23">
                  <c:v>0.75612350880295653</c:v>
                </c:pt>
                <c:pt idx="24">
                  <c:v>0.68291304347826087</c:v>
                </c:pt>
                <c:pt idx="25">
                  <c:v>0.7649076923076924</c:v>
                </c:pt>
                <c:pt idx="26">
                  <c:v>0.67999999999999994</c:v>
                </c:pt>
                <c:pt idx="27">
                  <c:v>0.74752666666666678</c:v>
                </c:pt>
                <c:pt idx="28">
                  <c:v>0.80837812500000017</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2-7332-4D02-B369-EDBD30D040C9}"/>
            </c:ext>
          </c:extLst>
        </c:ser>
        <c:ser>
          <c:idx val="1"/>
          <c:order val="1"/>
          <c:tx>
            <c:strRef>
              <c:f>Combined!$D$2</c:f>
              <c:strCache>
                <c:ptCount val="1"/>
                <c:pt idx="0">
                  <c:v>2021</c:v>
                </c:pt>
              </c:strCache>
            </c:strRef>
          </c:tx>
          <c:spPr>
            <a:pattFill prst="pct60">
              <a:fgClr>
                <a:schemeClr val="accent3"/>
              </a:fgClr>
              <a:bgClr>
                <a:schemeClr val="bg2"/>
              </a:bgClr>
            </a:pattFill>
            <a:ln>
              <a:noFill/>
            </a:ln>
            <a:effectLst/>
          </c:spPr>
          <c:invertIfNegative val="0"/>
          <c:dPt>
            <c:idx val="0"/>
            <c:invertIfNegative val="0"/>
            <c:bubble3D val="0"/>
            <c:spPr>
              <a:solidFill>
                <a:schemeClr val="accent3"/>
              </a:solidFill>
              <a:ln>
                <a:noFill/>
              </a:ln>
              <a:effectLst/>
            </c:spPr>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4-7332-4D02-B369-EDBD30D040C9}"/>
              </c:ext>
            </c:extLst>
          </c:dPt>
          <c:dLbls>
            <c:dLbl>
              <c:idx val="0"/>
              <c:layout>
                <c:manualLayout>
                  <c:x val="0"/>
                  <c:y val="-1.7601760176017601E-2"/>
                </c:manualLayout>
              </c:layout>
              <c:dLblPos val="outEnd"/>
              <c:showLegendKey val="0"/>
              <c:showVal val="1"/>
              <c:showCatName val="0"/>
              <c:showSerName val="0"/>
              <c:showPercent val="0"/>
              <c:showBubbleSize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ext xmlns:c16="http://schemas.microsoft.com/office/drawing/2014/chart" uri="{C3380CC4-5D6E-409C-BE32-E72D297353CC}">
                  <c16:uniqueId val="{00000004-7332-4D02-B369-EDBD30D040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CE6537A1-D6FC-4f65-9D91-7224C49458BB}">
                <c15:showLeaderLines val="0"/>
              </c:ext>
            </c:extLst>
          </c:dLbls>
          <c:cat>
            <c:strRef>
              <c:f>Combined!$B$3:$B$31</c:f>
              <c:strCache>
                <c:ptCount val="29"/>
                <c:pt idx="0">
                  <c:v>Average</c:v>
                </c:pt>
                <c:pt idx="1">
                  <c:v>AT</c:v>
                </c:pt>
                <c:pt idx="2">
                  <c:v>BE (FR)</c:v>
                </c:pt>
                <c:pt idx="3">
                  <c:v>BE (NL)</c:v>
                </c:pt>
                <c:pt idx="4">
                  <c:v>BG</c:v>
                </c:pt>
                <c:pt idx="5">
                  <c:v>CY</c:v>
                </c:pt>
                <c:pt idx="6">
                  <c:v>CZ</c:v>
                </c:pt>
                <c:pt idx="7">
                  <c:v>DE</c:v>
                </c:pt>
                <c:pt idx="8">
                  <c:v>DK</c:v>
                </c:pt>
                <c:pt idx="9">
                  <c:v>EE</c:v>
                </c:pt>
                <c:pt idx="10">
                  <c:v>EL</c:v>
                </c:pt>
                <c:pt idx="11">
                  <c:v>ES</c:v>
                </c:pt>
                <c:pt idx="12">
                  <c:v>FI</c:v>
                </c:pt>
                <c:pt idx="13">
                  <c:v>FR</c:v>
                </c:pt>
                <c:pt idx="14">
                  <c:v>HR</c:v>
                </c:pt>
                <c:pt idx="15">
                  <c:v>HU</c:v>
                </c:pt>
                <c:pt idx="16">
                  <c:v>IE</c:v>
                </c:pt>
                <c:pt idx="17">
                  <c:v>IT</c:v>
                </c:pt>
                <c:pt idx="18">
                  <c:v>LT</c:v>
                </c:pt>
                <c:pt idx="19">
                  <c:v>LU</c:v>
                </c:pt>
                <c:pt idx="20">
                  <c:v>LV</c:v>
                </c:pt>
                <c:pt idx="21">
                  <c:v>MT</c:v>
                </c:pt>
                <c:pt idx="22">
                  <c:v>NL</c:v>
                </c:pt>
                <c:pt idx="23">
                  <c:v>PL</c:v>
                </c:pt>
                <c:pt idx="24">
                  <c:v>PT</c:v>
                </c:pt>
                <c:pt idx="25">
                  <c:v>RO</c:v>
                </c:pt>
                <c:pt idx="26">
                  <c:v>SE</c:v>
                </c:pt>
                <c:pt idx="27">
                  <c:v>SL</c:v>
                </c:pt>
                <c:pt idx="28">
                  <c:v>SK</c:v>
                </c:pt>
              </c:strCache>
            </c:strRef>
          </c:cat>
          <c:val>
            <c:numRef>
              <c:f>Combined!$D$3:$D$31</c:f>
              <c:numCache>
                <c:formatCode>0%</c:formatCode>
                <c:ptCount val="29"/>
                <c:pt idx="0">
                  <c:v>0.69299959720375637</c:v>
                </c:pt>
                <c:pt idx="1">
                  <c:v>0.87842954545454544</c:v>
                </c:pt>
                <c:pt idx="2">
                  <c:v>0.64624722663808176</c:v>
                </c:pt>
                <c:pt idx="3">
                  <c:v>0.77023750000000013</c:v>
                </c:pt>
                <c:pt idx="4">
                  <c:v>0.68209102564102564</c:v>
                </c:pt>
                <c:pt idx="5">
                  <c:v>0.36333333333333329</c:v>
                </c:pt>
                <c:pt idx="6">
                  <c:v>0.58257209302325585</c:v>
                </c:pt>
                <c:pt idx="7">
                  <c:v>0.63254520547945159</c:v>
                </c:pt>
                <c:pt idx="8">
                  <c:v>0.82899999999999996</c:v>
                </c:pt>
                <c:pt idx="9">
                  <c:v>0.67340740740740734</c:v>
                </c:pt>
                <c:pt idx="10">
                  <c:v>0.70746886071067194</c:v>
                </c:pt>
                <c:pt idx="11">
                  <c:v>0.72620676710200371</c:v>
                </c:pt>
                <c:pt idx="12">
                  <c:v>0.55166666666666664</c:v>
                </c:pt>
                <c:pt idx="13">
                  <c:v>0.7200431192660548</c:v>
                </c:pt>
                <c:pt idx="14">
                  <c:v>0.67666250000000006</c:v>
                </c:pt>
                <c:pt idx="15">
                  <c:v>0.94316964285714278</c:v>
                </c:pt>
                <c:pt idx="17">
                  <c:v>0.58118989170281321</c:v>
                </c:pt>
                <c:pt idx="18">
                  <c:v>0.56833333333333336</c:v>
                </c:pt>
                <c:pt idx="19">
                  <c:v>0.56734112523658353</c:v>
                </c:pt>
                <c:pt idx="20">
                  <c:v>0.61</c:v>
                </c:pt>
                <c:pt idx="22">
                  <c:v>0.96862857142857162</c:v>
                </c:pt>
                <c:pt idx="23">
                  <c:v>0.76916801382832167</c:v>
                </c:pt>
                <c:pt idx="24">
                  <c:v>0.69408695652173902</c:v>
                </c:pt>
                <c:pt idx="25">
                  <c:v>0.7862971999999997</c:v>
                </c:pt>
                <c:pt idx="26">
                  <c:v>0.50916666666666666</c:v>
                </c:pt>
                <c:pt idx="27">
                  <c:v>0.77751874999999993</c:v>
                </c:pt>
                <c:pt idx="28">
                  <c:v>0.80317812500000008</c:v>
                </c:pt>
              </c:numCache>
            </c:numRef>
          </c:val>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5-7332-4D02-B369-EDBD30D040C9}"/>
            </c:ext>
          </c:extLst>
        </c:ser>
        <c:dLbls>
          <c:showLegendKey val="0"/>
          <c:showVal val="0"/>
          <c:showCatName val="0"/>
          <c:showSerName val="0"/>
          <c:showPercent val="0"/>
          <c:showBubbleSize val="0"/>
        </c:dLbls>
        <c:gapWidth val="219"/>
        <c:overlap val="-27"/>
        <c:axId val="2009099104"/>
        <c:axId val="2011708400"/>
      </c:barChart>
      <c:catAx>
        <c:axId val="200909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1708400"/>
        <c:crosses val="autoZero"/>
        <c:auto val="1"/>
        <c:lblAlgn val="ctr"/>
        <c:lblOffset val="100"/>
        <c:noMultiLvlLbl val="0"/>
      </c:catAx>
      <c:valAx>
        <c:axId val="2011708400"/>
        <c:scaling>
          <c:orientation val="minMax"/>
          <c:max val="1"/>
        </c:scaling>
        <c:delete val="0"/>
        <c:axPos val="l"/>
        <c:majorGridlines>
          <c:spPr>
            <a:ln w="317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09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7, Independent and recent'!$J$3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7, Independent and recent'!$I$4:$I$5</c:f>
              <c:strCache>
                <c:ptCount val="2"/>
                <c:pt idx="0">
                  <c:v>Independent productions</c:v>
                </c:pt>
                <c:pt idx="1">
                  <c:v>Recent works</c:v>
                </c:pt>
              </c:strCache>
            </c:strRef>
          </c:cat>
          <c:val>
            <c:numRef>
              <c:f>'Graph 7, Independent and recent'!$J$4:$J$5</c:f>
              <c:numCache>
                <c:formatCode>0%</c:formatCode>
                <c:ptCount val="2"/>
                <c:pt idx="0">
                  <c:v>0.40622457895432917</c:v>
                </c:pt>
                <c:pt idx="1">
                  <c:v>0.56371333174441629</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9184-43E1-90A3-1B77BCFF6159}"/>
            </c:ext>
          </c:extLst>
        </c:ser>
        <c:ser>
          <c:idx val="1"/>
          <c:order val="1"/>
          <c:tx>
            <c:strRef>
              <c:f>'Graph 7, Independent and recent'!$K$3</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7, Independent and recent'!$I$4:$I$5</c:f>
              <c:strCache>
                <c:ptCount val="2"/>
                <c:pt idx="0">
                  <c:v>Independent productions</c:v>
                </c:pt>
                <c:pt idx="1">
                  <c:v>Recent works</c:v>
                </c:pt>
              </c:strCache>
            </c:strRef>
          </c:cat>
          <c:val>
            <c:numRef>
              <c:f>'Graph 7, Independent and recent'!$K$4:$K$5</c:f>
              <c:numCache>
                <c:formatCode>0%</c:formatCode>
                <c:ptCount val="2"/>
                <c:pt idx="0">
                  <c:v>0.41446291103017396</c:v>
                </c:pt>
                <c:pt idx="1">
                  <c:v>0.59034790890699329</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1-9184-43E1-90A3-1B77BCFF6159}"/>
            </c:ext>
          </c:extLst>
        </c:ser>
        <c:dLbls>
          <c:dLblPos val="outEnd"/>
          <c:showLegendKey val="0"/>
          <c:showVal val="1"/>
          <c:showCatName val="0"/>
          <c:showSerName val="0"/>
          <c:showPercent val="0"/>
          <c:showBubbleSize val="0"/>
        </c:dLbls>
        <c:gapWidth val="183"/>
        <c:overlap val="-23"/>
        <c:axId val="2132230640"/>
        <c:axId val="1045070368"/>
      </c:barChart>
      <c:catAx>
        <c:axId val="213223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070368"/>
        <c:crosses val="autoZero"/>
        <c:auto val="1"/>
        <c:lblAlgn val="ctr"/>
        <c:lblOffset val="100"/>
        <c:noMultiLvlLbl val="0"/>
      </c:catAx>
      <c:valAx>
        <c:axId val="1045070368"/>
        <c:scaling>
          <c:orientation val="minMax"/>
          <c:max val="1"/>
        </c:scaling>
        <c:delete val="0"/>
        <c:axPos val="l"/>
        <c:majorGridlines>
          <c:spPr>
            <a:ln w="317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23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9EAF4EBC7B145B9797F7661E3E36A" ma:contentTypeVersion="6" ma:contentTypeDescription="Create a new document." ma:contentTypeScope="" ma:versionID="9782441c551ea2f48a46040494bab7ed">
  <xsd:schema xmlns:xsd="http://www.w3.org/2001/XMLSchema" xmlns:xs="http://www.w3.org/2001/XMLSchema" xmlns:p="http://schemas.microsoft.com/office/2006/metadata/properties" xmlns:ns2="bd13a14c-be7c-4bc8-8e48-745473eb9856" xmlns:ns3="7a8bcd73-aa5c-42af-8596-b8ddbc92a389" targetNamespace="http://schemas.microsoft.com/office/2006/metadata/properties" ma:root="true" ma:fieldsID="595526902e7fbd9b917cb5d73e88045c" ns2:_="" ns3:_="">
    <xsd:import namespace="bd13a14c-be7c-4bc8-8e48-745473eb9856"/>
    <xsd:import namespace="7a8bcd73-aa5c-42af-8596-b8ddbc92a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3a14c-be7c-4bc8-8e48-745473eb9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bcd73-aa5c-42af-8596-b8ddbc92a3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a8bcd73-aa5c-42af-8596-b8ddbc92a389">
      <UserInfo>
        <DisplayName>KARTTUNEN Sofia</DisplayName>
        <AccountId>13089</AccountId>
        <AccountType/>
      </UserInfo>
    </SharedWithUsers>
  </documentManagement>
</p:properties>
</file>

<file path=customXml/itemProps1.xml><?xml version="1.0" encoding="utf-8"?>
<ds:datastoreItem xmlns:ds="http://schemas.openxmlformats.org/officeDocument/2006/customXml" ds:itemID="{F2694DB7-882D-45E8-B750-E480281EB2A5}">
  <ds:schemaRefs>
    <ds:schemaRef ds:uri="http://schemas.microsoft.com/sharepoint/v3/contenttype/forms"/>
  </ds:schemaRefs>
</ds:datastoreItem>
</file>

<file path=customXml/itemProps2.xml><?xml version="1.0" encoding="utf-8"?>
<ds:datastoreItem xmlns:ds="http://schemas.openxmlformats.org/officeDocument/2006/customXml" ds:itemID="{FF9BBFDC-D86B-4831-920F-38F25E352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3a14c-be7c-4bc8-8e48-745473eb9856"/>
    <ds:schemaRef ds:uri="7a8bcd73-aa5c-42af-8596-b8ddbc92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7F379-8607-4348-8BB2-0B778DF7B923}">
  <ds:schemaRefs>
    <ds:schemaRef ds:uri="http://schemas.openxmlformats.org/officeDocument/2006/bibliography"/>
  </ds:schemaRefs>
</ds:datastoreItem>
</file>

<file path=customXml/itemProps4.xml><?xml version="1.0" encoding="utf-8"?>
<ds:datastoreItem xmlns:ds="http://schemas.openxmlformats.org/officeDocument/2006/customXml" ds:itemID="{3831C41F-452A-4BB1-B2B9-71EB39F8CD84}">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bd13a14c-be7c-4bc8-8e48-745473eb9856"/>
    <ds:schemaRef ds:uri="http://purl.org/dc/dcmitype/"/>
    <ds:schemaRef ds:uri="http://schemas.microsoft.com/office/infopath/2007/PartnerControls"/>
    <ds:schemaRef ds:uri="7a8bcd73-aa5c-42af-8596-b8ddbc92a38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7361</Words>
  <Characters>40254</Characters>
  <Application>Microsoft Office Word</Application>
  <DocSecurity>0</DocSecurity>
  <Lines>682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47454</CharactersWithSpaces>
  <SharedDoc>false</SharedDoc>
  <HLinks>
    <vt:vector size="210" baseType="variant">
      <vt:variant>
        <vt:i4>1048637</vt:i4>
      </vt:variant>
      <vt:variant>
        <vt:i4>80</vt:i4>
      </vt:variant>
      <vt:variant>
        <vt:i4>0</vt:i4>
      </vt:variant>
      <vt:variant>
        <vt:i4>5</vt:i4>
      </vt:variant>
      <vt:variant>
        <vt:lpwstr/>
      </vt:variant>
      <vt:variant>
        <vt:lpwstr>_Toc164780062</vt:lpwstr>
      </vt:variant>
      <vt:variant>
        <vt:i4>1048637</vt:i4>
      </vt:variant>
      <vt:variant>
        <vt:i4>74</vt:i4>
      </vt:variant>
      <vt:variant>
        <vt:i4>0</vt:i4>
      </vt:variant>
      <vt:variant>
        <vt:i4>5</vt:i4>
      </vt:variant>
      <vt:variant>
        <vt:lpwstr/>
      </vt:variant>
      <vt:variant>
        <vt:lpwstr>_Toc164780061</vt:lpwstr>
      </vt:variant>
      <vt:variant>
        <vt:i4>1048637</vt:i4>
      </vt:variant>
      <vt:variant>
        <vt:i4>68</vt:i4>
      </vt:variant>
      <vt:variant>
        <vt:i4>0</vt:i4>
      </vt:variant>
      <vt:variant>
        <vt:i4>5</vt:i4>
      </vt:variant>
      <vt:variant>
        <vt:lpwstr/>
      </vt:variant>
      <vt:variant>
        <vt:lpwstr>_Toc164780060</vt:lpwstr>
      </vt:variant>
      <vt:variant>
        <vt:i4>1245245</vt:i4>
      </vt:variant>
      <vt:variant>
        <vt:i4>62</vt:i4>
      </vt:variant>
      <vt:variant>
        <vt:i4>0</vt:i4>
      </vt:variant>
      <vt:variant>
        <vt:i4>5</vt:i4>
      </vt:variant>
      <vt:variant>
        <vt:lpwstr/>
      </vt:variant>
      <vt:variant>
        <vt:lpwstr>_Toc164780059</vt:lpwstr>
      </vt:variant>
      <vt:variant>
        <vt:i4>1245245</vt:i4>
      </vt:variant>
      <vt:variant>
        <vt:i4>56</vt:i4>
      </vt:variant>
      <vt:variant>
        <vt:i4>0</vt:i4>
      </vt:variant>
      <vt:variant>
        <vt:i4>5</vt:i4>
      </vt:variant>
      <vt:variant>
        <vt:lpwstr/>
      </vt:variant>
      <vt:variant>
        <vt:lpwstr>_Toc164780058</vt:lpwstr>
      </vt:variant>
      <vt:variant>
        <vt:i4>1245245</vt:i4>
      </vt:variant>
      <vt:variant>
        <vt:i4>50</vt:i4>
      </vt:variant>
      <vt:variant>
        <vt:i4>0</vt:i4>
      </vt:variant>
      <vt:variant>
        <vt:i4>5</vt:i4>
      </vt:variant>
      <vt:variant>
        <vt:lpwstr/>
      </vt:variant>
      <vt:variant>
        <vt:lpwstr>_Toc164780057</vt:lpwstr>
      </vt:variant>
      <vt:variant>
        <vt:i4>1245245</vt:i4>
      </vt:variant>
      <vt:variant>
        <vt:i4>44</vt:i4>
      </vt:variant>
      <vt:variant>
        <vt:i4>0</vt:i4>
      </vt:variant>
      <vt:variant>
        <vt:i4>5</vt:i4>
      </vt:variant>
      <vt:variant>
        <vt:lpwstr/>
      </vt:variant>
      <vt:variant>
        <vt:lpwstr>_Toc164780056</vt:lpwstr>
      </vt:variant>
      <vt:variant>
        <vt:i4>1245245</vt:i4>
      </vt:variant>
      <vt:variant>
        <vt:i4>38</vt:i4>
      </vt:variant>
      <vt:variant>
        <vt:i4>0</vt:i4>
      </vt:variant>
      <vt:variant>
        <vt:i4>5</vt:i4>
      </vt:variant>
      <vt:variant>
        <vt:lpwstr/>
      </vt:variant>
      <vt:variant>
        <vt:lpwstr>_Toc164780055</vt:lpwstr>
      </vt:variant>
      <vt:variant>
        <vt:i4>1245245</vt:i4>
      </vt:variant>
      <vt:variant>
        <vt:i4>32</vt:i4>
      </vt:variant>
      <vt:variant>
        <vt:i4>0</vt:i4>
      </vt:variant>
      <vt:variant>
        <vt:i4>5</vt:i4>
      </vt:variant>
      <vt:variant>
        <vt:lpwstr/>
      </vt:variant>
      <vt:variant>
        <vt:lpwstr>_Toc164780054</vt:lpwstr>
      </vt:variant>
      <vt:variant>
        <vt:i4>1245245</vt:i4>
      </vt:variant>
      <vt:variant>
        <vt:i4>26</vt:i4>
      </vt:variant>
      <vt:variant>
        <vt:i4>0</vt:i4>
      </vt:variant>
      <vt:variant>
        <vt:i4>5</vt:i4>
      </vt:variant>
      <vt:variant>
        <vt:lpwstr/>
      </vt:variant>
      <vt:variant>
        <vt:lpwstr>_Toc164780053</vt:lpwstr>
      </vt:variant>
      <vt:variant>
        <vt:i4>1245245</vt:i4>
      </vt:variant>
      <vt:variant>
        <vt:i4>20</vt:i4>
      </vt:variant>
      <vt:variant>
        <vt:i4>0</vt:i4>
      </vt:variant>
      <vt:variant>
        <vt:i4>5</vt:i4>
      </vt:variant>
      <vt:variant>
        <vt:lpwstr/>
      </vt:variant>
      <vt:variant>
        <vt:lpwstr>_Toc164780052</vt:lpwstr>
      </vt:variant>
      <vt:variant>
        <vt:i4>1245245</vt:i4>
      </vt:variant>
      <vt:variant>
        <vt:i4>14</vt:i4>
      </vt:variant>
      <vt:variant>
        <vt:i4>0</vt:i4>
      </vt:variant>
      <vt:variant>
        <vt:i4>5</vt:i4>
      </vt:variant>
      <vt:variant>
        <vt:lpwstr/>
      </vt:variant>
      <vt:variant>
        <vt:lpwstr>_Toc164780051</vt:lpwstr>
      </vt:variant>
      <vt:variant>
        <vt:i4>1245245</vt:i4>
      </vt:variant>
      <vt:variant>
        <vt:i4>8</vt:i4>
      </vt:variant>
      <vt:variant>
        <vt:i4>0</vt:i4>
      </vt:variant>
      <vt:variant>
        <vt:i4>5</vt:i4>
      </vt:variant>
      <vt:variant>
        <vt:lpwstr/>
      </vt:variant>
      <vt:variant>
        <vt:lpwstr>_Toc164780050</vt:lpwstr>
      </vt:variant>
      <vt:variant>
        <vt:i4>1179709</vt:i4>
      </vt:variant>
      <vt:variant>
        <vt:i4>2</vt:i4>
      </vt:variant>
      <vt:variant>
        <vt:i4>0</vt:i4>
      </vt:variant>
      <vt:variant>
        <vt:i4>5</vt:i4>
      </vt:variant>
      <vt:variant>
        <vt:lpwstr/>
      </vt:variant>
      <vt:variant>
        <vt:lpwstr>_Toc164780049</vt:lpwstr>
      </vt:variant>
      <vt:variant>
        <vt:i4>2359358</vt:i4>
      </vt:variant>
      <vt:variant>
        <vt:i4>57</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54</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51</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655378</vt:i4>
      </vt:variant>
      <vt:variant>
        <vt:i4>48</vt:i4>
      </vt:variant>
      <vt:variant>
        <vt:i4>0</vt:i4>
      </vt:variant>
      <vt:variant>
        <vt:i4>5</vt:i4>
      </vt:variant>
      <vt:variant>
        <vt:lpwstr>https://data.europa.eu/doi/10.2759/211481</vt:lpwstr>
      </vt:variant>
      <vt:variant>
        <vt:lpwstr/>
      </vt:variant>
      <vt:variant>
        <vt:i4>655378</vt:i4>
      </vt:variant>
      <vt:variant>
        <vt:i4>45</vt:i4>
      </vt:variant>
      <vt:variant>
        <vt:i4>0</vt:i4>
      </vt:variant>
      <vt:variant>
        <vt:i4>5</vt:i4>
      </vt:variant>
      <vt:variant>
        <vt:lpwstr>https://data.europa.eu/doi/10.2759/211481</vt:lpwstr>
      </vt:variant>
      <vt:variant>
        <vt:lpwstr/>
      </vt:variant>
      <vt:variant>
        <vt:i4>2359358</vt:i4>
      </vt:variant>
      <vt:variant>
        <vt:i4>42</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39</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36</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1835095</vt:i4>
      </vt:variant>
      <vt:variant>
        <vt:i4>33</vt:i4>
      </vt:variant>
      <vt:variant>
        <vt:i4>0</vt:i4>
      </vt:variant>
      <vt:variant>
        <vt:i4>5</vt:i4>
      </vt:variant>
      <vt:variant>
        <vt:lpwstr>https://digital-strategy.ec.europa.eu/en/library/revised-guidelines-monitoring-application-articles-16-and-17-audiovisual-media-services-avms</vt:lpwstr>
      </vt:variant>
      <vt:variant>
        <vt:lpwstr/>
      </vt:variant>
      <vt:variant>
        <vt:i4>2883693</vt:i4>
      </vt:variant>
      <vt:variant>
        <vt:i4>30</vt:i4>
      </vt:variant>
      <vt:variant>
        <vt:i4>0</vt:i4>
      </vt:variant>
      <vt:variant>
        <vt:i4>5</vt:i4>
      </vt:variant>
      <vt:variant>
        <vt:lpwstr>https://rm.coe.int/yearbook-key-trends-2020-2021-en/1680a26056</vt:lpwstr>
      </vt:variant>
      <vt:variant>
        <vt:lpwstr/>
      </vt:variant>
      <vt:variant>
        <vt:i4>6488188</vt:i4>
      </vt:variant>
      <vt:variant>
        <vt:i4>27</vt:i4>
      </vt:variant>
      <vt:variant>
        <vt:i4>0</vt:i4>
      </vt:variant>
      <vt:variant>
        <vt:i4>5</vt:i4>
      </vt:variant>
      <vt:variant>
        <vt:lpwstr>https://rm.coe.int/audiovisual-media-services-in-europe-2022-edition-a-schneeberger/1680a99e7d</vt:lpwstr>
      </vt:variant>
      <vt:variant>
        <vt:lpwstr/>
      </vt:variant>
      <vt:variant>
        <vt:i4>5374026</vt:i4>
      </vt:variant>
      <vt:variant>
        <vt:i4>24</vt:i4>
      </vt:variant>
      <vt:variant>
        <vt:i4>0</vt:i4>
      </vt:variant>
      <vt:variant>
        <vt:i4>5</vt:i4>
      </vt:variant>
      <vt:variant>
        <vt:lpwstr>https://rm.coe.int/top-players-in-the-european-av-industry-2022-edition-l-ene/1680a9cb32</vt:lpwstr>
      </vt:variant>
      <vt:variant>
        <vt:lpwstr/>
      </vt:variant>
      <vt:variant>
        <vt:i4>3080293</vt:i4>
      </vt:variant>
      <vt:variant>
        <vt:i4>21</vt:i4>
      </vt:variant>
      <vt:variant>
        <vt:i4>0</vt:i4>
      </vt:variant>
      <vt:variant>
        <vt:i4>5</vt:i4>
      </vt:variant>
      <vt:variant>
        <vt:lpwstr>https://rm.coe.int/yearbook-key-trends-2022-2023-en/1680aa9f02</vt:lpwstr>
      </vt:variant>
      <vt:variant>
        <vt:lpwstr/>
      </vt:variant>
      <vt:variant>
        <vt:i4>2359358</vt:i4>
      </vt:variant>
      <vt:variant>
        <vt:i4>15</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1835029</vt:i4>
      </vt:variant>
      <vt:variant>
        <vt:i4>12</vt:i4>
      </vt:variant>
      <vt:variant>
        <vt:i4>0</vt:i4>
      </vt:variant>
      <vt:variant>
        <vt:i4>5</vt:i4>
      </vt:variant>
      <vt:variant>
        <vt:lpwstr>https://op.europa.eu/en/publication-detail/-/publication/41f4a695-f465-11ed-a05c-01aa75ed71a1/language-en/format-PDF/source-287430951</vt:lpwstr>
      </vt:variant>
      <vt:variant>
        <vt:lpwstr/>
      </vt:variant>
      <vt:variant>
        <vt:i4>655378</vt:i4>
      </vt:variant>
      <vt:variant>
        <vt:i4>9</vt:i4>
      </vt:variant>
      <vt:variant>
        <vt:i4>0</vt:i4>
      </vt:variant>
      <vt:variant>
        <vt:i4>5</vt:i4>
      </vt:variant>
      <vt:variant>
        <vt:lpwstr>https://data.europa.eu/doi/10.2759/211481</vt:lpwstr>
      </vt:variant>
      <vt:variant>
        <vt:lpwstr/>
      </vt:variant>
      <vt:variant>
        <vt:i4>2359358</vt:i4>
      </vt:variant>
      <vt:variant>
        <vt:i4>6</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3</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2359358</vt:i4>
      </vt:variant>
      <vt:variant>
        <vt:i4>0</vt:i4>
      </vt:variant>
      <vt:variant>
        <vt:i4>0</vt:i4>
      </vt:variant>
      <vt:variant>
        <vt:i4>5</vt:i4>
      </vt:variant>
      <vt:variant>
        <vt:lpwstr>https://digital-strategy.ec.europa.eu/en/library/commission-reports-promotion-european-works-audiovisual-media-services?pk_source=ec_newsroom&amp;pk_medium=email&amp;pk_campaign=Shaping%20Europe%E2%80%99s%20Digital%20Future</vt:lpwstr>
      </vt:variant>
      <vt:variant>
        <vt:lpwstr/>
      </vt:variant>
      <vt:variant>
        <vt:i4>393223</vt:i4>
      </vt:variant>
      <vt:variant>
        <vt:i4>3</vt:i4>
      </vt:variant>
      <vt:variant>
        <vt:i4>0</vt:i4>
      </vt:variant>
      <vt:variant>
        <vt:i4>5</vt:i4>
      </vt:variant>
      <vt:variant>
        <vt:lpwstr>https://publications.europa.eu/code/en/en-130203.htm</vt:lpwstr>
      </vt:variant>
      <vt:variant>
        <vt:lpwstr/>
      </vt:variant>
      <vt:variant>
        <vt:i4>1507329</vt:i4>
      </vt:variant>
      <vt:variant>
        <vt:i4>0</vt:i4>
      </vt:variant>
      <vt:variant>
        <vt:i4>0</vt:i4>
      </vt:variant>
      <vt:variant>
        <vt:i4>5</vt:i4>
      </vt:variant>
      <vt:variant>
        <vt:lpwstr>https://myintracomm.ec.europa.eu/sg/Documents/commission_style_guide.pdf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WADHWANIA Nadia (SG)</cp:lastModifiedBy>
  <cp:revision>6</cp:revision>
  <dcterms:created xsi:type="dcterms:W3CDTF">2024-06-17T13:24:00Z</dcterms:created>
  <dcterms:modified xsi:type="dcterms:W3CDTF">2024-06-26T13:15:00Z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_dlc_DocIdItemGuid">
    <vt:lpwstr>6f047226-0686-4dc5-84f6-a13087f57aec</vt:lpwstr>
  </property>
  <property fmtid="{D5CDD505-2E9C-101B-9397-08002B2CF9AE}" pid="10" name="_LW_INVALIDATED_ContentTypeId">
    <vt:lpwstr>0x010100258AA79CEB83498886A3A08681123250001FCA6FA0EB6ADF478413A83FBB6A4199</vt:lpwstr>
  </property>
  <property fmtid="{D5CDD505-2E9C-101B-9397-08002B2CF9AE}" pid="11" name="MSIP_Label_6bd9ddd1-4d20-43f6-abfa-fc3c07406f94_Enabled">
    <vt:lpwstr>true</vt:lpwstr>
  </property>
  <property fmtid="{D5CDD505-2E9C-101B-9397-08002B2CF9AE}" pid="12" name="MSIP_Label_6bd9ddd1-4d20-43f6-abfa-fc3c07406f94_SetDate">
    <vt:lpwstr>2022-11-28T14:03:11Z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43091205-ae8b-407f-8994-548cd415ffec</vt:lpwstr>
  </property>
  <property fmtid="{D5CDD505-2E9C-101B-9397-08002B2CF9AE}" pid="17" name="MSIP_Label_6bd9ddd1-4d20-43f6-abfa-fc3c07406f94_ContentBits">
    <vt:lpwstr>0</vt:lpwstr>
  </property>
  <property fmtid="{D5CDD505-2E9C-101B-9397-08002B2CF9AE}" pid="18" name="ContentTypeId">
    <vt:lpwstr>0x0101007609EAF4EBC7B145B9797F7661E3E36A</vt:lpwstr>
  </property>
</Properties>
</file>