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C327" w14:textId="6D908019" w:rsidR="00C4055C" w:rsidRDefault="00E8358A" w:rsidP="00E8358A">
      <w:pPr>
        <w:pStyle w:val="Pagedecouverture"/>
        <w:rPr>
          <w:noProof/>
        </w:rPr>
      </w:pPr>
      <w:r>
        <w:rPr>
          <w:noProof/>
        </w:rPr>
        <w:pict w14:anchorId="185E4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1F4EE07-08BC-4C20-9F2C-E69C74DCF45A" style="width:455pt;height:356pt">
            <v:imagedata r:id="rId11" o:title=""/>
          </v:shape>
        </w:pict>
      </w:r>
    </w:p>
    <w:p w14:paraId="1D763324" w14:textId="64DAD692" w:rsidR="001667BA" w:rsidRPr="001667BA" w:rsidRDefault="001667BA" w:rsidP="001667BA">
      <w:pPr>
        <w:pStyle w:val="Pagedecouverture"/>
        <w:rPr>
          <w:noProof/>
        </w:rPr>
        <w:sectPr w:rsidR="001667BA" w:rsidRPr="001667BA" w:rsidSect="00E8358A">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D13D4B3" w14:textId="77777777" w:rsidR="00C4055C" w:rsidRPr="00915638" w:rsidRDefault="00C4055C" w:rsidP="00C4055C">
      <w:pPr>
        <w:pStyle w:val="Exposdesmotifstitre"/>
        <w:rPr>
          <w:noProof/>
        </w:rPr>
      </w:pPr>
      <w:bookmarkStart w:id="0" w:name="_CopyToNewDocument_"/>
      <w:bookmarkEnd w:id="0"/>
      <w:r w:rsidRPr="00915638">
        <w:rPr>
          <w:noProof/>
        </w:rPr>
        <w:lastRenderedPageBreak/>
        <w:t>EXPLANATORY MEMORANDUM</w:t>
      </w:r>
    </w:p>
    <w:p w14:paraId="3CD3BA3C" w14:textId="58F0CA74" w:rsidR="00C4055C" w:rsidRPr="00915638" w:rsidRDefault="00732628" w:rsidP="00732628">
      <w:pPr>
        <w:pStyle w:val="ManualHeading1"/>
        <w:rPr>
          <w:noProof/>
        </w:rPr>
      </w:pPr>
      <w:bookmarkStart w:id="1" w:name="DQPStarAt1DQPStarAtBE1741CC8ACE4211B12C4"/>
      <w:bookmarkEnd w:id="1"/>
      <w:r w:rsidRPr="00915638">
        <w:rPr>
          <w:noProof/>
        </w:rPr>
        <w:t>1.</w:t>
      </w:r>
      <w:r w:rsidRPr="00915638">
        <w:rPr>
          <w:noProof/>
        </w:rPr>
        <w:tab/>
      </w:r>
      <w:r w:rsidR="00C4055C" w:rsidRPr="00915638">
        <w:rPr>
          <w:noProof/>
        </w:rPr>
        <w:t>CONTEXT OF THE PROPOSAL</w:t>
      </w:r>
      <w:r w:rsidR="00B44E34" w:rsidRPr="00915638">
        <w:rPr>
          <w:noProof/>
        </w:rPr>
        <w:t xml:space="preserve"> </w:t>
      </w:r>
    </w:p>
    <w:p w14:paraId="08A35AD5" w14:textId="5536459C" w:rsidR="005F2B2B" w:rsidRPr="00915638" w:rsidRDefault="00C4055C" w:rsidP="00C4055C">
      <w:pPr>
        <w:rPr>
          <w:noProof/>
        </w:rPr>
      </w:pPr>
      <w:r w:rsidRPr="00915638">
        <w:rPr>
          <w:noProof/>
        </w:rPr>
        <w:t>On 3</w:t>
      </w:r>
      <w:r w:rsidR="00915638">
        <w:rPr>
          <w:noProof/>
        </w:rPr>
        <w:t> </w:t>
      </w:r>
      <w:r w:rsidRPr="00915638">
        <w:rPr>
          <w:noProof/>
        </w:rPr>
        <w:t>May 1998, the Council decided that Belgium, Germany, Spain, France, Ireland, Italy, Luxembourg, the Netherlands, Portugal, Austria and Finland fulfilled the necessary conditions</w:t>
      </w:r>
      <w:r w:rsidR="002C569C">
        <w:rPr>
          <w:noProof/>
        </w:rPr>
        <w:t xml:space="preserve"> to</w:t>
      </w:r>
      <w:r w:rsidRPr="00915638">
        <w:rPr>
          <w:noProof/>
        </w:rPr>
        <w:t xml:space="preserve"> adopt the euro on 1</w:t>
      </w:r>
      <w:r w:rsidR="00915638">
        <w:rPr>
          <w:noProof/>
        </w:rPr>
        <w:t> </w:t>
      </w:r>
      <w:r w:rsidRPr="00915638">
        <w:rPr>
          <w:noProof/>
        </w:rPr>
        <w:t xml:space="preserve">January 1999. Denmark and the United Kingdom </w:t>
      </w:r>
      <w:r w:rsidR="00227DF5">
        <w:rPr>
          <w:noProof/>
        </w:rPr>
        <w:t xml:space="preserve">made </w:t>
      </w:r>
      <w:r w:rsidRPr="00915638">
        <w:rPr>
          <w:noProof/>
        </w:rPr>
        <w:t>use</w:t>
      </w:r>
      <w:r w:rsidR="00227DF5">
        <w:rPr>
          <w:noProof/>
        </w:rPr>
        <w:t xml:space="preserve"> of</w:t>
      </w:r>
      <w:r w:rsidRPr="00915638">
        <w:rPr>
          <w:noProof/>
        </w:rPr>
        <w:t xml:space="preserve"> their opt-out clauses and were therefore not assessed by the Council. Greece and Sweden were considered by the Council as Member States with a derogation.</w:t>
      </w:r>
    </w:p>
    <w:p w14:paraId="1DFE0CF7" w14:textId="2C8E7EF4" w:rsidR="005F2B2B" w:rsidRPr="00915638" w:rsidRDefault="63FB4AF7" w:rsidP="00C4055C">
      <w:pPr>
        <w:rPr>
          <w:noProof/>
        </w:rPr>
      </w:pPr>
      <w:r w:rsidRPr="00915638">
        <w:rPr>
          <w:noProof/>
        </w:rPr>
        <w:t>On 19</w:t>
      </w:r>
      <w:r w:rsidR="00915638">
        <w:rPr>
          <w:noProof/>
        </w:rPr>
        <w:t> </w:t>
      </w:r>
      <w:r w:rsidRPr="00915638">
        <w:rPr>
          <w:noProof/>
        </w:rPr>
        <w:t>June 2000, the Council decided that Greece fulfilled the necessary conditions to adopt the euro on 1</w:t>
      </w:r>
      <w:r w:rsidR="00915638">
        <w:rPr>
          <w:noProof/>
        </w:rPr>
        <w:t> </w:t>
      </w:r>
      <w:r w:rsidRPr="00915638">
        <w:rPr>
          <w:noProof/>
        </w:rPr>
        <w:t>January 2001. The countries that joined the European Union on 1</w:t>
      </w:r>
      <w:r w:rsidR="00915638">
        <w:rPr>
          <w:noProof/>
        </w:rPr>
        <w:t> </w:t>
      </w:r>
      <w:r w:rsidRPr="00915638">
        <w:rPr>
          <w:noProof/>
        </w:rPr>
        <w:t>May 2004 (</w:t>
      </w:r>
      <w:r w:rsidR="2AD0B665" w:rsidRPr="00915638">
        <w:rPr>
          <w:noProof/>
        </w:rPr>
        <w:t>Czechia</w:t>
      </w:r>
      <w:r w:rsidRPr="00915638">
        <w:rPr>
          <w:noProof/>
        </w:rPr>
        <w:t>, Estonia, Cyprus, Latvia, Lithuania, Hungary, Malta, Poland, Slovenia and Slovakia) became Member States with a derogation in accordance</w:t>
      </w:r>
      <w:r w:rsidR="48ED9A45" w:rsidRPr="00915638">
        <w:rPr>
          <w:noProof/>
        </w:rPr>
        <w:t xml:space="preserve"> </w:t>
      </w:r>
      <w:r w:rsidRPr="00915638">
        <w:rPr>
          <w:noProof/>
        </w:rPr>
        <w:t>with Article</w:t>
      </w:r>
      <w:r w:rsidR="00915638">
        <w:rPr>
          <w:noProof/>
        </w:rPr>
        <w:t> </w:t>
      </w:r>
      <w:r w:rsidRPr="00915638">
        <w:rPr>
          <w:noProof/>
        </w:rPr>
        <w:t>4 of the respective Act of Accession.</w:t>
      </w:r>
    </w:p>
    <w:p w14:paraId="15C5E815" w14:textId="1BACA9F9" w:rsidR="005F2B2B" w:rsidRPr="00915638" w:rsidRDefault="00C4055C" w:rsidP="00C4055C">
      <w:pPr>
        <w:rPr>
          <w:noProof/>
        </w:rPr>
      </w:pPr>
      <w:r w:rsidRPr="00915638">
        <w:rPr>
          <w:noProof/>
        </w:rPr>
        <w:t>On 11</w:t>
      </w:r>
      <w:r w:rsidR="00A024C3">
        <w:rPr>
          <w:noProof/>
        </w:rPr>
        <w:t xml:space="preserve"> </w:t>
      </w:r>
      <w:r w:rsidRPr="00915638">
        <w:rPr>
          <w:noProof/>
        </w:rPr>
        <w:t>July 2006, the Council decided that Slovenia fulfilled the necessary conditions to adopt the euro on 1</w:t>
      </w:r>
      <w:r w:rsidR="00915638">
        <w:rPr>
          <w:noProof/>
        </w:rPr>
        <w:t> </w:t>
      </w:r>
      <w:r w:rsidRPr="00915638">
        <w:rPr>
          <w:noProof/>
        </w:rPr>
        <w:t>January 2007.</w:t>
      </w:r>
    </w:p>
    <w:p w14:paraId="6EE7BEFC" w14:textId="4150B38B" w:rsidR="005F2B2B" w:rsidRPr="00915638" w:rsidRDefault="00C4055C" w:rsidP="00C4055C">
      <w:pPr>
        <w:rPr>
          <w:noProof/>
        </w:rPr>
      </w:pPr>
      <w:r w:rsidRPr="00915638">
        <w:rPr>
          <w:noProof/>
        </w:rPr>
        <w:t>Bulgaria and Romania</w:t>
      </w:r>
      <w:r w:rsidR="009E2928" w:rsidRPr="00915638">
        <w:rPr>
          <w:noProof/>
        </w:rPr>
        <w:t xml:space="preserve"> </w:t>
      </w:r>
      <w:r w:rsidRPr="00915638">
        <w:rPr>
          <w:noProof/>
        </w:rPr>
        <w:t>joined the European Union on 1</w:t>
      </w:r>
      <w:r w:rsidR="00915638">
        <w:rPr>
          <w:noProof/>
        </w:rPr>
        <w:t> </w:t>
      </w:r>
      <w:r w:rsidRPr="00915638">
        <w:rPr>
          <w:noProof/>
        </w:rPr>
        <w:t>January 2007</w:t>
      </w:r>
      <w:r w:rsidR="009E2928" w:rsidRPr="00915638">
        <w:rPr>
          <w:noProof/>
        </w:rPr>
        <w:t xml:space="preserve"> and </w:t>
      </w:r>
      <w:r w:rsidRPr="00915638">
        <w:rPr>
          <w:noProof/>
        </w:rPr>
        <w:t>became Member States with a derogation in accordance with Article</w:t>
      </w:r>
      <w:r w:rsidR="00915638">
        <w:rPr>
          <w:noProof/>
        </w:rPr>
        <w:t> </w:t>
      </w:r>
      <w:r w:rsidRPr="00915638">
        <w:rPr>
          <w:noProof/>
        </w:rPr>
        <w:t>5 of the respective Act of Accession.</w:t>
      </w:r>
    </w:p>
    <w:p w14:paraId="23588086" w14:textId="0CC90254" w:rsidR="005F2B2B" w:rsidRPr="00915638" w:rsidRDefault="00C4055C" w:rsidP="00C4055C">
      <w:pPr>
        <w:rPr>
          <w:noProof/>
        </w:rPr>
      </w:pPr>
      <w:r w:rsidRPr="00915638">
        <w:rPr>
          <w:noProof/>
        </w:rPr>
        <w:t>On 10</w:t>
      </w:r>
      <w:r w:rsidR="00915638">
        <w:rPr>
          <w:noProof/>
        </w:rPr>
        <w:t> </w:t>
      </w:r>
      <w:r w:rsidRPr="00915638">
        <w:rPr>
          <w:noProof/>
        </w:rPr>
        <w:t>July 2007, the Council decided that Cyprus and Malta fulfilled the necessary conditions to adopt the euro on 1</w:t>
      </w:r>
      <w:r w:rsidR="00915638">
        <w:rPr>
          <w:noProof/>
        </w:rPr>
        <w:t> </w:t>
      </w:r>
      <w:r w:rsidRPr="00915638">
        <w:rPr>
          <w:noProof/>
        </w:rPr>
        <w:t>January 2008.</w:t>
      </w:r>
    </w:p>
    <w:p w14:paraId="2D0CBCB0" w14:textId="3CA357F3" w:rsidR="005F2B2B" w:rsidRPr="00915638" w:rsidRDefault="00C4055C" w:rsidP="00C4055C">
      <w:pPr>
        <w:rPr>
          <w:noProof/>
        </w:rPr>
      </w:pPr>
      <w:r w:rsidRPr="00915638">
        <w:rPr>
          <w:noProof/>
        </w:rPr>
        <w:t>On 8</w:t>
      </w:r>
      <w:r w:rsidR="00915638">
        <w:rPr>
          <w:noProof/>
        </w:rPr>
        <w:t> </w:t>
      </w:r>
      <w:r w:rsidRPr="00915638">
        <w:rPr>
          <w:noProof/>
        </w:rPr>
        <w:t xml:space="preserve">July 2008, the Council decided that Slovakia fulfilled the necessary conditions </w:t>
      </w:r>
      <w:r w:rsidR="002C569C">
        <w:rPr>
          <w:noProof/>
        </w:rPr>
        <w:t>to</w:t>
      </w:r>
      <w:r w:rsidRPr="00915638">
        <w:rPr>
          <w:noProof/>
        </w:rPr>
        <w:t xml:space="preserve"> adopt the euro</w:t>
      </w:r>
      <w:r w:rsidR="002C569C">
        <w:rPr>
          <w:noProof/>
        </w:rPr>
        <w:t xml:space="preserve"> on</w:t>
      </w:r>
      <w:r w:rsidRPr="00915638">
        <w:rPr>
          <w:noProof/>
        </w:rPr>
        <w:t xml:space="preserve"> 1</w:t>
      </w:r>
      <w:r w:rsidR="00915638">
        <w:rPr>
          <w:noProof/>
        </w:rPr>
        <w:t> </w:t>
      </w:r>
      <w:r w:rsidRPr="00915638">
        <w:rPr>
          <w:noProof/>
        </w:rPr>
        <w:t>January 2009.</w:t>
      </w:r>
    </w:p>
    <w:p w14:paraId="6530E439" w14:textId="1C8C4B5F" w:rsidR="005F2B2B" w:rsidRPr="00915638" w:rsidRDefault="63FB4AF7" w:rsidP="00C4055C">
      <w:pPr>
        <w:rPr>
          <w:noProof/>
        </w:rPr>
      </w:pPr>
      <w:r w:rsidRPr="00915638">
        <w:rPr>
          <w:noProof/>
        </w:rPr>
        <w:t>On 13</w:t>
      </w:r>
      <w:r w:rsidR="00915638">
        <w:rPr>
          <w:noProof/>
        </w:rPr>
        <w:t> </w:t>
      </w:r>
      <w:r w:rsidRPr="00915638">
        <w:rPr>
          <w:noProof/>
        </w:rPr>
        <w:t xml:space="preserve">July 2010, the Council decided that Estonia fulfilled the necessary conditions </w:t>
      </w:r>
      <w:r w:rsidR="002C569C">
        <w:rPr>
          <w:noProof/>
        </w:rPr>
        <w:t>to</w:t>
      </w:r>
      <w:r w:rsidRPr="00915638">
        <w:rPr>
          <w:noProof/>
        </w:rPr>
        <w:t xml:space="preserve"> adopt the euro </w:t>
      </w:r>
      <w:r w:rsidR="002C569C">
        <w:rPr>
          <w:noProof/>
        </w:rPr>
        <w:t xml:space="preserve">on </w:t>
      </w:r>
      <w:r w:rsidRPr="00915638">
        <w:rPr>
          <w:noProof/>
        </w:rPr>
        <w:t>1</w:t>
      </w:r>
      <w:r w:rsidR="00915638">
        <w:rPr>
          <w:noProof/>
        </w:rPr>
        <w:t> </w:t>
      </w:r>
      <w:r w:rsidRPr="00915638">
        <w:rPr>
          <w:noProof/>
        </w:rPr>
        <w:t>January 2011.</w:t>
      </w:r>
    </w:p>
    <w:p w14:paraId="2937D6FC" w14:textId="19517204" w:rsidR="005F2B2B" w:rsidRPr="00915638" w:rsidRDefault="00C4055C" w:rsidP="00C4055C">
      <w:pPr>
        <w:rPr>
          <w:noProof/>
        </w:rPr>
      </w:pPr>
      <w:r w:rsidRPr="00915638">
        <w:rPr>
          <w:noProof/>
        </w:rPr>
        <w:t>On 9</w:t>
      </w:r>
      <w:r w:rsidR="00915638">
        <w:rPr>
          <w:noProof/>
        </w:rPr>
        <w:t> </w:t>
      </w:r>
      <w:r w:rsidRPr="00915638">
        <w:rPr>
          <w:noProof/>
        </w:rPr>
        <w:t>July 2013, the Council decided that Latvia fulfilled the necessary conditions</w:t>
      </w:r>
      <w:r w:rsidR="002C569C">
        <w:rPr>
          <w:noProof/>
        </w:rPr>
        <w:t xml:space="preserve"> to</w:t>
      </w:r>
      <w:r w:rsidRPr="00915638">
        <w:rPr>
          <w:noProof/>
        </w:rPr>
        <w:t xml:space="preserve"> adopt the euro </w:t>
      </w:r>
      <w:r w:rsidR="002C569C">
        <w:rPr>
          <w:noProof/>
        </w:rPr>
        <w:t>on</w:t>
      </w:r>
      <w:r w:rsidRPr="00915638">
        <w:rPr>
          <w:noProof/>
        </w:rPr>
        <w:t xml:space="preserve"> 1</w:t>
      </w:r>
      <w:r w:rsidR="00915638">
        <w:rPr>
          <w:noProof/>
        </w:rPr>
        <w:t> </w:t>
      </w:r>
      <w:r w:rsidRPr="00915638">
        <w:rPr>
          <w:noProof/>
        </w:rPr>
        <w:t>January 2014.</w:t>
      </w:r>
    </w:p>
    <w:p w14:paraId="219C5628" w14:textId="4A57594B" w:rsidR="00C4055C" w:rsidRPr="00915638" w:rsidRDefault="4266D080" w:rsidP="00C4055C">
      <w:pPr>
        <w:rPr>
          <w:noProof/>
        </w:rPr>
      </w:pPr>
      <w:r w:rsidRPr="00915638">
        <w:rPr>
          <w:noProof/>
        </w:rPr>
        <w:t>On 23</w:t>
      </w:r>
      <w:r w:rsidR="00915638">
        <w:rPr>
          <w:noProof/>
        </w:rPr>
        <w:t> </w:t>
      </w:r>
      <w:r w:rsidRPr="00915638">
        <w:rPr>
          <w:noProof/>
        </w:rPr>
        <w:t>July 2014, the Council decided that Lithuania fulfilled the necessary conditions</w:t>
      </w:r>
      <w:r w:rsidR="002C569C">
        <w:rPr>
          <w:noProof/>
        </w:rPr>
        <w:t xml:space="preserve"> to</w:t>
      </w:r>
      <w:r w:rsidRPr="00915638">
        <w:rPr>
          <w:noProof/>
        </w:rPr>
        <w:t xml:space="preserve"> adopt the euro </w:t>
      </w:r>
      <w:r w:rsidR="002C569C">
        <w:rPr>
          <w:noProof/>
        </w:rPr>
        <w:t>on</w:t>
      </w:r>
      <w:r w:rsidRPr="00915638">
        <w:rPr>
          <w:noProof/>
        </w:rPr>
        <w:t xml:space="preserve"> 1</w:t>
      </w:r>
      <w:r w:rsidR="00915638">
        <w:rPr>
          <w:noProof/>
        </w:rPr>
        <w:t> </w:t>
      </w:r>
      <w:r w:rsidRPr="00915638">
        <w:rPr>
          <w:noProof/>
        </w:rPr>
        <w:t>January 2015.</w:t>
      </w:r>
    </w:p>
    <w:p w14:paraId="416A3704" w14:textId="21F9FCF9" w:rsidR="5131B646" w:rsidRPr="00915638" w:rsidRDefault="284DA051" w:rsidP="4EB4C901">
      <w:pPr>
        <w:rPr>
          <w:noProof/>
        </w:rPr>
      </w:pPr>
      <w:r w:rsidRPr="00915638">
        <w:rPr>
          <w:noProof/>
        </w:rPr>
        <w:t xml:space="preserve">On </w:t>
      </w:r>
      <w:r w:rsidR="3041EAB6" w:rsidRPr="00915638">
        <w:rPr>
          <w:noProof/>
        </w:rPr>
        <w:t>12</w:t>
      </w:r>
      <w:r w:rsidR="00915638">
        <w:rPr>
          <w:noProof/>
        </w:rPr>
        <w:t> </w:t>
      </w:r>
      <w:r w:rsidR="3041EAB6" w:rsidRPr="00915638">
        <w:rPr>
          <w:noProof/>
        </w:rPr>
        <w:t>July 2022</w:t>
      </w:r>
      <w:r w:rsidR="0E639BC1" w:rsidRPr="00915638">
        <w:rPr>
          <w:noProof/>
        </w:rPr>
        <w:t>,</w:t>
      </w:r>
      <w:r w:rsidRPr="00915638">
        <w:rPr>
          <w:noProof/>
        </w:rPr>
        <w:t xml:space="preserve"> </w:t>
      </w:r>
      <w:r w:rsidR="4541D4B4" w:rsidRPr="00915638">
        <w:rPr>
          <w:noProof/>
        </w:rPr>
        <w:t>t</w:t>
      </w:r>
      <w:r w:rsidRPr="00915638">
        <w:rPr>
          <w:noProof/>
        </w:rPr>
        <w:t xml:space="preserve">he Council decided that Croatia fulfilled the necessary conditions </w:t>
      </w:r>
      <w:r w:rsidR="002C569C">
        <w:rPr>
          <w:noProof/>
        </w:rPr>
        <w:t>to</w:t>
      </w:r>
      <w:r w:rsidRPr="00915638">
        <w:rPr>
          <w:noProof/>
        </w:rPr>
        <w:t xml:space="preserve"> adopt the euro </w:t>
      </w:r>
      <w:r w:rsidR="002C569C">
        <w:rPr>
          <w:noProof/>
        </w:rPr>
        <w:t>on</w:t>
      </w:r>
      <w:r w:rsidRPr="00915638">
        <w:rPr>
          <w:noProof/>
        </w:rPr>
        <w:t xml:space="preserve"> </w:t>
      </w:r>
      <w:r w:rsidR="7962DC53" w:rsidRPr="00915638">
        <w:rPr>
          <w:noProof/>
        </w:rPr>
        <w:t>1</w:t>
      </w:r>
      <w:r w:rsidR="00915638">
        <w:rPr>
          <w:noProof/>
        </w:rPr>
        <w:t> </w:t>
      </w:r>
      <w:r w:rsidR="7962DC53" w:rsidRPr="00915638">
        <w:rPr>
          <w:noProof/>
        </w:rPr>
        <w:t>January 2023.</w:t>
      </w:r>
    </w:p>
    <w:p w14:paraId="0E3C76DA" w14:textId="3A52C57F" w:rsidR="005F2B2B" w:rsidRPr="00915638" w:rsidRDefault="00C4055C" w:rsidP="00C4055C">
      <w:pPr>
        <w:rPr>
          <w:noProof/>
        </w:rPr>
      </w:pPr>
      <w:r w:rsidRPr="00915638">
        <w:rPr>
          <w:noProof/>
        </w:rPr>
        <w:t>Article</w:t>
      </w:r>
      <w:r w:rsidR="00915638">
        <w:rPr>
          <w:noProof/>
        </w:rPr>
        <w:t> </w:t>
      </w:r>
      <w:r w:rsidRPr="00915638">
        <w:rPr>
          <w:noProof/>
        </w:rPr>
        <w:t>140(1) of the Treaty on the Functioning of the European Union (</w:t>
      </w:r>
      <w:r w:rsidR="001A1D12">
        <w:rPr>
          <w:noProof/>
        </w:rPr>
        <w:t>‘</w:t>
      </w:r>
      <w:r w:rsidRPr="00915638">
        <w:rPr>
          <w:noProof/>
        </w:rPr>
        <w:t xml:space="preserve">the </w:t>
      </w:r>
      <w:r w:rsidR="0077687F" w:rsidRPr="00915638">
        <w:rPr>
          <w:noProof/>
        </w:rPr>
        <w:t>TFEU</w:t>
      </w:r>
      <w:r w:rsidR="001A1D12">
        <w:rPr>
          <w:noProof/>
        </w:rPr>
        <w:t>’</w:t>
      </w:r>
      <w:r w:rsidRPr="00915638">
        <w:rPr>
          <w:noProof/>
        </w:rPr>
        <w:t xml:space="preserve">) </w:t>
      </w:r>
      <w:r w:rsidR="005F2B2B" w:rsidRPr="00915638">
        <w:rPr>
          <w:noProof/>
        </w:rPr>
        <w:t xml:space="preserve">states </w:t>
      </w:r>
      <w:r w:rsidRPr="00915638">
        <w:rPr>
          <w:noProof/>
        </w:rPr>
        <w:t xml:space="preserve">that at least once every two years or at the request of a Member State with a derogation, the Commission and the European Central Bank </w:t>
      </w:r>
      <w:r w:rsidR="0077687F" w:rsidRPr="00915638">
        <w:rPr>
          <w:noProof/>
        </w:rPr>
        <w:t xml:space="preserve">(ECB) </w:t>
      </w:r>
      <w:r w:rsidRPr="00915638">
        <w:rPr>
          <w:noProof/>
        </w:rPr>
        <w:t xml:space="preserve">have to report to the Council on the progress made by Member States with a derogation </w:t>
      </w:r>
      <w:r w:rsidR="005F2B2B" w:rsidRPr="00915638">
        <w:rPr>
          <w:noProof/>
        </w:rPr>
        <w:t>in fulfilling</w:t>
      </w:r>
      <w:r w:rsidRPr="00915638">
        <w:rPr>
          <w:noProof/>
        </w:rPr>
        <w:t xml:space="preserve"> their obligations </w:t>
      </w:r>
      <w:r w:rsidR="001E0C92" w:rsidRPr="00915638">
        <w:rPr>
          <w:noProof/>
        </w:rPr>
        <w:t xml:space="preserve">to </w:t>
      </w:r>
      <w:r w:rsidRPr="00915638">
        <w:rPr>
          <w:noProof/>
        </w:rPr>
        <w:t>achieve economic and monetary union.</w:t>
      </w:r>
    </w:p>
    <w:p w14:paraId="05A20584" w14:textId="1C5D37EE" w:rsidR="00C4055C" w:rsidRPr="00915638" w:rsidRDefault="0389FF1B" w:rsidP="00C4055C">
      <w:pPr>
        <w:rPr>
          <w:noProof/>
        </w:rPr>
      </w:pPr>
      <w:r w:rsidRPr="00915638">
        <w:rPr>
          <w:noProof/>
        </w:rPr>
        <w:t xml:space="preserve">Based on its own report and that of the ECB, the Commission should submit to the Council a proposal for a Council decision, in accordance </w:t>
      </w:r>
      <w:r w:rsidR="001E0C92" w:rsidRPr="00915638">
        <w:rPr>
          <w:noProof/>
        </w:rPr>
        <w:t>with</w:t>
      </w:r>
      <w:r w:rsidRPr="00915638">
        <w:rPr>
          <w:noProof/>
        </w:rPr>
        <w:t xml:space="preserve"> the procedure laid down in Article</w:t>
      </w:r>
      <w:r w:rsidR="00915638">
        <w:rPr>
          <w:noProof/>
        </w:rPr>
        <w:t> </w:t>
      </w:r>
      <w:r w:rsidRPr="00915638">
        <w:rPr>
          <w:noProof/>
        </w:rPr>
        <w:t>140(2) of the</w:t>
      </w:r>
      <w:r w:rsidR="00523AC5" w:rsidRPr="00915638">
        <w:rPr>
          <w:noProof/>
        </w:rPr>
        <w:t xml:space="preserve"> TFEU</w:t>
      </w:r>
      <w:r w:rsidRPr="00915638">
        <w:rPr>
          <w:noProof/>
        </w:rPr>
        <w:t>, to abrogate the derogation of the Member States fulfilling the necessary conditions.</w:t>
      </w:r>
    </w:p>
    <w:p w14:paraId="72A19E76" w14:textId="39EECBB1" w:rsidR="005F2B2B" w:rsidRPr="00915638" w:rsidRDefault="06ACE515" w:rsidP="00C4055C">
      <w:pPr>
        <w:rPr>
          <w:noProof/>
        </w:rPr>
      </w:pPr>
      <w:r w:rsidRPr="00915638">
        <w:rPr>
          <w:noProof/>
        </w:rPr>
        <w:t xml:space="preserve">Both the Commission and the ECB </w:t>
      </w:r>
      <w:r w:rsidR="115F0501" w:rsidRPr="00915638">
        <w:rPr>
          <w:noProof/>
        </w:rPr>
        <w:t>c</w:t>
      </w:r>
      <w:r w:rsidRPr="00915638">
        <w:rPr>
          <w:noProof/>
        </w:rPr>
        <w:t xml:space="preserve">onvergence </w:t>
      </w:r>
      <w:r w:rsidR="115F0501" w:rsidRPr="000703AB">
        <w:rPr>
          <w:noProof/>
        </w:rPr>
        <w:t>r</w:t>
      </w:r>
      <w:r w:rsidRPr="000703AB">
        <w:rPr>
          <w:noProof/>
        </w:rPr>
        <w:t xml:space="preserve">eports were released on </w:t>
      </w:r>
      <w:r w:rsidR="06D0BB5B" w:rsidRPr="007141F9">
        <w:rPr>
          <w:noProof/>
        </w:rPr>
        <w:t>4</w:t>
      </w:r>
      <w:r w:rsidR="000703AB">
        <w:rPr>
          <w:noProof/>
        </w:rPr>
        <w:t xml:space="preserve"> </w:t>
      </w:r>
      <w:r w:rsidRPr="007141F9">
        <w:rPr>
          <w:noProof/>
        </w:rPr>
        <w:t>June 202</w:t>
      </w:r>
      <w:r w:rsidR="2ECA5876" w:rsidRPr="007141F9">
        <w:rPr>
          <w:noProof/>
        </w:rPr>
        <w:t>5</w:t>
      </w:r>
      <w:r w:rsidRPr="000703AB">
        <w:rPr>
          <w:noProof/>
        </w:rPr>
        <w:t>. The</w:t>
      </w:r>
      <w:r w:rsidRPr="00915638">
        <w:rPr>
          <w:noProof/>
        </w:rPr>
        <w:t xml:space="preserve"> reports include an examination of the compatibility between </w:t>
      </w:r>
      <w:r w:rsidR="58D728A4" w:rsidRPr="00915638">
        <w:rPr>
          <w:noProof/>
        </w:rPr>
        <w:t>Bulgaria</w:t>
      </w:r>
      <w:r w:rsidR="00915638">
        <w:rPr>
          <w:noProof/>
        </w:rPr>
        <w:t>’</w:t>
      </w:r>
      <w:r w:rsidRPr="00915638">
        <w:rPr>
          <w:noProof/>
        </w:rPr>
        <w:t xml:space="preserve">s national legislation, including the statutes of its national central bank, with Articles 130 and 131 of the </w:t>
      </w:r>
      <w:r w:rsidR="0077687F" w:rsidRPr="00915638">
        <w:rPr>
          <w:noProof/>
        </w:rPr>
        <w:t>TFEU</w:t>
      </w:r>
      <w:r w:rsidRPr="00915638">
        <w:rPr>
          <w:noProof/>
        </w:rPr>
        <w:t xml:space="preserve"> and the Statute of the E</w:t>
      </w:r>
      <w:r w:rsidR="003B1FC3">
        <w:rPr>
          <w:noProof/>
        </w:rPr>
        <w:t xml:space="preserve">uropean System of Central </w:t>
      </w:r>
      <w:r w:rsidR="00EB2675">
        <w:rPr>
          <w:noProof/>
        </w:rPr>
        <w:t>B</w:t>
      </w:r>
      <w:r w:rsidR="003B1FC3">
        <w:rPr>
          <w:noProof/>
        </w:rPr>
        <w:t>anks</w:t>
      </w:r>
      <w:r w:rsidRPr="00915638">
        <w:rPr>
          <w:noProof/>
        </w:rPr>
        <w:t xml:space="preserve"> and of the ECB.</w:t>
      </w:r>
    </w:p>
    <w:p w14:paraId="33BA4948" w14:textId="0F3F7506" w:rsidR="00C4055C" w:rsidRPr="00915638" w:rsidRDefault="0389FF1B" w:rsidP="00C4055C">
      <w:pPr>
        <w:rPr>
          <w:noProof/>
        </w:rPr>
      </w:pPr>
      <w:r w:rsidRPr="00915638">
        <w:rPr>
          <w:noProof/>
        </w:rPr>
        <w:lastRenderedPageBreak/>
        <w:t xml:space="preserve">The reports also examine </w:t>
      </w:r>
      <w:r w:rsidR="07D36295" w:rsidRPr="00915638">
        <w:rPr>
          <w:noProof/>
        </w:rPr>
        <w:t xml:space="preserve">whether </w:t>
      </w:r>
      <w:r w:rsidRPr="00915638">
        <w:rPr>
          <w:noProof/>
        </w:rPr>
        <w:t xml:space="preserve">a high degree of sustainable convergence </w:t>
      </w:r>
      <w:r w:rsidR="5255484D" w:rsidRPr="00915638">
        <w:rPr>
          <w:noProof/>
        </w:rPr>
        <w:t>has been achi</w:t>
      </w:r>
      <w:r w:rsidR="17C8B0F8" w:rsidRPr="00915638">
        <w:rPr>
          <w:noProof/>
        </w:rPr>
        <w:t>e</w:t>
      </w:r>
      <w:r w:rsidR="5255484D" w:rsidRPr="00915638">
        <w:rPr>
          <w:noProof/>
        </w:rPr>
        <w:t xml:space="preserve">ved, </w:t>
      </w:r>
      <w:r w:rsidRPr="00915638">
        <w:rPr>
          <w:noProof/>
        </w:rPr>
        <w:t>by refer</w:t>
      </w:r>
      <w:r w:rsidR="00010779">
        <w:rPr>
          <w:noProof/>
        </w:rPr>
        <w:t>r</w:t>
      </w:r>
      <w:r w:rsidR="001E0C92" w:rsidRPr="00915638">
        <w:rPr>
          <w:noProof/>
        </w:rPr>
        <w:t>ing</w:t>
      </w:r>
      <w:r w:rsidRPr="00915638">
        <w:rPr>
          <w:noProof/>
        </w:rPr>
        <w:t xml:space="preserve"> the fulfilment of the convergence criteria</w:t>
      </w:r>
      <w:r w:rsidR="5255484D" w:rsidRPr="00915638">
        <w:rPr>
          <w:noProof/>
        </w:rPr>
        <w:t>,</w:t>
      </w:r>
      <w:r w:rsidRPr="00915638">
        <w:rPr>
          <w:noProof/>
        </w:rPr>
        <w:t xml:space="preserve"> and take account of several other factors required under the final sub</w:t>
      </w:r>
      <w:r w:rsidR="003B1FC3">
        <w:rPr>
          <w:noProof/>
        </w:rPr>
        <w:t>paragraph</w:t>
      </w:r>
      <w:r w:rsidRPr="00915638">
        <w:rPr>
          <w:noProof/>
        </w:rPr>
        <w:t xml:space="preserve"> of Article</w:t>
      </w:r>
      <w:r w:rsidR="00915638">
        <w:rPr>
          <w:noProof/>
        </w:rPr>
        <w:t> </w:t>
      </w:r>
      <w:r w:rsidRPr="00915638">
        <w:rPr>
          <w:noProof/>
        </w:rPr>
        <w:t xml:space="preserve">140(1) of the </w:t>
      </w:r>
      <w:r w:rsidR="0077687F" w:rsidRPr="00915638">
        <w:rPr>
          <w:noProof/>
        </w:rPr>
        <w:t>TFEU</w:t>
      </w:r>
      <w:r w:rsidRPr="00915638">
        <w:rPr>
          <w:noProof/>
        </w:rPr>
        <w:t>.</w:t>
      </w:r>
    </w:p>
    <w:p w14:paraId="0C9A2F11" w14:textId="6D0BE694" w:rsidR="00C4055C" w:rsidRPr="00915638" w:rsidRDefault="06ACE515" w:rsidP="00C4055C">
      <w:pPr>
        <w:rPr>
          <w:noProof/>
        </w:rPr>
      </w:pPr>
      <w:r w:rsidRPr="00915638">
        <w:rPr>
          <w:noProof/>
        </w:rPr>
        <w:t xml:space="preserve">In its </w:t>
      </w:r>
      <w:r w:rsidR="4A114C7B" w:rsidRPr="00915638">
        <w:rPr>
          <w:noProof/>
        </w:rPr>
        <w:t>c</w:t>
      </w:r>
      <w:r w:rsidRPr="00915638">
        <w:rPr>
          <w:noProof/>
        </w:rPr>
        <w:t xml:space="preserve">onvergence </w:t>
      </w:r>
      <w:r w:rsidR="4A114C7B" w:rsidRPr="00915638">
        <w:rPr>
          <w:noProof/>
        </w:rPr>
        <w:t>r</w:t>
      </w:r>
      <w:r w:rsidRPr="00915638">
        <w:rPr>
          <w:noProof/>
        </w:rPr>
        <w:t xml:space="preserve">eport, the Commission concludes that </w:t>
      </w:r>
      <w:r w:rsidR="45ADE97E" w:rsidRPr="00915638">
        <w:rPr>
          <w:noProof/>
        </w:rPr>
        <w:t>Bulgaria</w:t>
      </w:r>
      <w:r w:rsidRPr="00915638">
        <w:rPr>
          <w:noProof/>
        </w:rPr>
        <w:t xml:space="preserve"> fulfils the conditions for adopti</w:t>
      </w:r>
      <w:r w:rsidR="00EB2675">
        <w:rPr>
          <w:noProof/>
        </w:rPr>
        <w:t>ng</w:t>
      </w:r>
      <w:r w:rsidRPr="00915638">
        <w:rPr>
          <w:noProof/>
        </w:rPr>
        <w:t xml:space="preserve"> the euro.</w:t>
      </w:r>
    </w:p>
    <w:p w14:paraId="38D2254E" w14:textId="6B49E317" w:rsidR="00A14E6C" w:rsidRPr="000703AB" w:rsidRDefault="00A14E6C" w:rsidP="00C4055C">
      <w:pPr>
        <w:rPr>
          <w:noProof/>
        </w:rPr>
      </w:pPr>
      <w:r w:rsidRPr="00915638">
        <w:rPr>
          <w:noProof/>
        </w:rPr>
        <w:t>In its convergence report, the ECB has not identified any obstacle to abrogati</w:t>
      </w:r>
      <w:r w:rsidR="00540FEE">
        <w:rPr>
          <w:noProof/>
        </w:rPr>
        <w:t>ng</w:t>
      </w:r>
      <w:r w:rsidRPr="00915638">
        <w:rPr>
          <w:noProof/>
        </w:rPr>
        <w:t xml:space="preserve"> the </w:t>
      </w:r>
      <w:r w:rsidRPr="000703AB">
        <w:rPr>
          <w:noProof/>
        </w:rPr>
        <w:t xml:space="preserve">derogation concerning Bulgaria. </w:t>
      </w:r>
    </w:p>
    <w:p w14:paraId="120C65D6" w14:textId="5989FC7B" w:rsidR="00C4055C" w:rsidRPr="00915638" w:rsidRDefault="06ACE515" w:rsidP="00C4055C">
      <w:pPr>
        <w:rPr>
          <w:noProof/>
        </w:rPr>
      </w:pPr>
      <w:r w:rsidRPr="000703AB">
        <w:rPr>
          <w:noProof/>
        </w:rPr>
        <w:t xml:space="preserve">On the basis of its report and that of the ECB, the Commission has adopted the attached proposal for a Council decision to abrogate the derogation of </w:t>
      </w:r>
      <w:r w:rsidR="6BD8BFA5" w:rsidRPr="000703AB">
        <w:rPr>
          <w:noProof/>
        </w:rPr>
        <w:t>Bulgaria</w:t>
      </w:r>
      <w:r w:rsidR="4A114C7B" w:rsidRPr="000703AB">
        <w:rPr>
          <w:noProof/>
        </w:rPr>
        <w:t>,</w:t>
      </w:r>
      <w:r w:rsidR="00A14E6C" w:rsidRPr="000703AB">
        <w:rPr>
          <w:noProof/>
        </w:rPr>
        <w:t xml:space="preserve"> </w:t>
      </w:r>
      <w:r w:rsidRPr="000703AB">
        <w:rPr>
          <w:noProof/>
        </w:rPr>
        <w:t>with effect from 1 January 202</w:t>
      </w:r>
      <w:r w:rsidR="12E8CEE7" w:rsidRPr="000703AB">
        <w:rPr>
          <w:noProof/>
        </w:rPr>
        <w:t>6</w:t>
      </w:r>
      <w:r w:rsidRPr="000703AB">
        <w:rPr>
          <w:noProof/>
        </w:rPr>
        <w:t>.</w:t>
      </w:r>
    </w:p>
    <w:p w14:paraId="00AB813D" w14:textId="359F72DA" w:rsidR="00C4055C" w:rsidRPr="00915638" w:rsidRDefault="70978AFE" w:rsidP="00732628">
      <w:pPr>
        <w:pStyle w:val="ManualHeading1"/>
        <w:rPr>
          <w:noProof/>
        </w:rPr>
      </w:pPr>
      <w:r w:rsidRPr="00915638">
        <w:rPr>
          <w:noProof/>
        </w:rPr>
        <w:t>2.</w:t>
      </w:r>
      <w:r w:rsidR="00732628" w:rsidRPr="00915638">
        <w:rPr>
          <w:noProof/>
        </w:rPr>
        <w:tab/>
      </w:r>
      <w:r w:rsidR="4266D080" w:rsidRPr="00915638">
        <w:rPr>
          <w:noProof/>
        </w:rPr>
        <w:t>RESULTS OF CONSULTATIONS WITH THE INTERESTED PARTIES AND IMPACT ASSESSMENT</w:t>
      </w:r>
    </w:p>
    <w:p w14:paraId="4E89A101" w14:textId="0D0DC11B" w:rsidR="00C4055C" w:rsidRPr="00915638" w:rsidRDefault="00C4055C" w:rsidP="00C4055C">
      <w:pPr>
        <w:rPr>
          <w:noProof/>
        </w:rPr>
      </w:pPr>
      <w:r w:rsidRPr="00915638">
        <w:rPr>
          <w:noProof/>
        </w:rPr>
        <w:t xml:space="preserve">Discussions with Member States on </w:t>
      </w:r>
      <w:r w:rsidR="00EB2675">
        <w:rPr>
          <w:noProof/>
        </w:rPr>
        <w:t xml:space="preserve">the </w:t>
      </w:r>
      <w:r w:rsidRPr="00915638">
        <w:rPr>
          <w:noProof/>
        </w:rPr>
        <w:t xml:space="preserve">economic policy challenges </w:t>
      </w:r>
      <w:r w:rsidR="001A1D12">
        <w:rPr>
          <w:noProof/>
        </w:rPr>
        <w:t xml:space="preserve">in Member States </w:t>
      </w:r>
      <w:r w:rsidRPr="00915638">
        <w:rPr>
          <w:noProof/>
        </w:rPr>
        <w:t xml:space="preserve">are </w:t>
      </w:r>
      <w:r w:rsidR="00EB2675">
        <w:rPr>
          <w:noProof/>
        </w:rPr>
        <w:t xml:space="preserve">regularly </w:t>
      </w:r>
      <w:r w:rsidRPr="00915638">
        <w:rPr>
          <w:noProof/>
        </w:rPr>
        <w:t>held under various headings in the Economic and Financial Committee</w:t>
      </w:r>
      <w:r w:rsidR="00B87800" w:rsidRPr="00915638">
        <w:rPr>
          <w:noProof/>
        </w:rPr>
        <w:t xml:space="preserve"> (EFC)</w:t>
      </w:r>
      <w:r w:rsidRPr="00915638">
        <w:rPr>
          <w:noProof/>
        </w:rPr>
        <w:t xml:space="preserve"> and </w:t>
      </w:r>
      <w:r w:rsidR="00B87800" w:rsidRPr="00915638">
        <w:rPr>
          <w:noProof/>
        </w:rPr>
        <w:t xml:space="preserve">the </w:t>
      </w:r>
      <w:r w:rsidRPr="00915638">
        <w:rPr>
          <w:noProof/>
        </w:rPr>
        <w:t>ECOFIN/Eurogroup.</w:t>
      </w:r>
      <w:r w:rsidR="0077687F" w:rsidRPr="00915638">
        <w:rPr>
          <w:noProof/>
        </w:rPr>
        <w:t xml:space="preserve"> </w:t>
      </w:r>
      <w:r w:rsidRPr="00915638">
        <w:rPr>
          <w:noProof/>
        </w:rPr>
        <w:t>These include informal discussions on issues specifically relevant to prepar</w:t>
      </w:r>
      <w:r w:rsidR="00EB2675">
        <w:rPr>
          <w:noProof/>
        </w:rPr>
        <w:t>ing for</w:t>
      </w:r>
      <w:r w:rsidRPr="00915638">
        <w:rPr>
          <w:noProof/>
        </w:rPr>
        <w:t xml:space="preserve"> eventual </w:t>
      </w:r>
      <w:r w:rsidR="00EB2675">
        <w:rPr>
          <w:noProof/>
        </w:rPr>
        <w:t xml:space="preserve">entry in the </w:t>
      </w:r>
      <w:r w:rsidRPr="00915638">
        <w:rPr>
          <w:noProof/>
        </w:rPr>
        <w:t>euro</w:t>
      </w:r>
      <w:r w:rsidR="00EB2675">
        <w:rPr>
          <w:noProof/>
        </w:rPr>
        <w:t xml:space="preserve"> </w:t>
      </w:r>
      <w:r w:rsidRPr="00915638">
        <w:rPr>
          <w:noProof/>
        </w:rPr>
        <w:t>area (incl</w:t>
      </w:r>
      <w:r w:rsidR="00B87800" w:rsidRPr="00915638">
        <w:rPr>
          <w:noProof/>
        </w:rPr>
        <w:t>uding</w:t>
      </w:r>
      <w:r w:rsidRPr="00915638">
        <w:rPr>
          <w:noProof/>
        </w:rPr>
        <w:t xml:space="preserve"> exchange</w:t>
      </w:r>
      <w:r w:rsidR="003B1FC3">
        <w:rPr>
          <w:noProof/>
        </w:rPr>
        <w:t xml:space="preserve"> rate</w:t>
      </w:r>
      <w:r w:rsidRPr="00915638">
        <w:rPr>
          <w:noProof/>
        </w:rPr>
        <w:t xml:space="preserve"> policies).</w:t>
      </w:r>
    </w:p>
    <w:p w14:paraId="10F284C6" w14:textId="727E8C48" w:rsidR="00C4055C" w:rsidRPr="00915638" w:rsidRDefault="00C4055C" w:rsidP="00C4055C">
      <w:pPr>
        <w:rPr>
          <w:noProof/>
        </w:rPr>
      </w:pPr>
      <w:r w:rsidRPr="00915638">
        <w:rPr>
          <w:noProof/>
        </w:rPr>
        <w:t xml:space="preserve">Economic developments in the euro area and the Member States are assessed </w:t>
      </w:r>
      <w:r w:rsidR="00D6659D" w:rsidRPr="00915638">
        <w:rPr>
          <w:noProof/>
        </w:rPr>
        <w:t xml:space="preserve">through </w:t>
      </w:r>
      <w:r w:rsidRPr="00915638">
        <w:rPr>
          <w:noProof/>
        </w:rPr>
        <w:t>the various procedures of economic policy coordination and surveillance (</w:t>
      </w:r>
      <w:r w:rsidR="00EB2675">
        <w:rPr>
          <w:noProof/>
        </w:rPr>
        <w:t>specifically</w:t>
      </w:r>
      <w:r w:rsidRPr="00915638">
        <w:rPr>
          <w:noProof/>
        </w:rPr>
        <w:t xml:space="preserve"> under Art</w:t>
      </w:r>
      <w:r w:rsidR="00527B8D" w:rsidRPr="00915638">
        <w:rPr>
          <w:noProof/>
        </w:rPr>
        <w:t>i</w:t>
      </w:r>
      <w:r w:rsidR="00C9779B" w:rsidRPr="00915638">
        <w:rPr>
          <w:noProof/>
        </w:rPr>
        <w:t>cle</w:t>
      </w:r>
      <w:r w:rsidR="00915638">
        <w:rPr>
          <w:noProof/>
        </w:rPr>
        <w:t> </w:t>
      </w:r>
      <w:r w:rsidRPr="00915638">
        <w:rPr>
          <w:noProof/>
        </w:rPr>
        <w:t>121</w:t>
      </w:r>
      <w:r w:rsidR="00C9779B" w:rsidRPr="00915638">
        <w:rPr>
          <w:noProof/>
        </w:rPr>
        <w:t xml:space="preserve"> TFEU</w:t>
      </w:r>
      <w:r w:rsidRPr="00915638">
        <w:rPr>
          <w:noProof/>
        </w:rPr>
        <w:t xml:space="preserve">), </w:t>
      </w:r>
      <w:r w:rsidR="00EB2675">
        <w:rPr>
          <w:noProof/>
        </w:rPr>
        <w:t>and</w:t>
      </w:r>
      <w:r w:rsidRPr="00915638">
        <w:rPr>
          <w:noProof/>
        </w:rPr>
        <w:t xml:space="preserve"> as</w:t>
      </w:r>
      <w:r w:rsidR="00EB2675">
        <w:rPr>
          <w:noProof/>
        </w:rPr>
        <w:t xml:space="preserve"> part</w:t>
      </w:r>
      <w:r w:rsidRPr="00915638">
        <w:rPr>
          <w:noProof/>
        </w:rPr>
        <w:t xml:space="preserve"> of the Commission’s regular monitoring and analysis of country-specific and area-wide developments (incl</w:t>
      </w:r>
      <w:r w:rsidR="00D6659D" w:rsidRPr="00915638">
        <w:rPr>
          <w:noProof/>
        </w:rPr>
        <w:t>uding</w:t>
      </w:r>
      <w:r w:rsidRPr="00915638">
        <w:rPr>
          <w:noProof/>
        </w:rPr>
        <w:t xml:space="preserve"> forecasts, regular publication series</w:t>
      </w:r>
      <w:r w:rsidR="00D6659D" w:rsidRPr="00915638">
        <w:rPr>
          <w:noProof/>
        </w:rPr>
        <w:t>, and</w:t>
      </w:r>
      <w:r w:rsidRPr="00915638">
        <w:rPr>
          <w:noProof/>
        </w:rPr>
        <w:t xml:space="preserve"> input to </w:t>
      </w:r>
      <w:r w:rsidR="00D6659D" w:rsidRPr="00915638">
        <w:rPr>
          <w:noProof/>
        </w:rPr>
        <w:t xml:space="preserve">the </w:t>
      </w:r>
      <w:r w:rsidRPr="00915638">
        <w:rPr>
          <w:noProof/>
        </w:rPr>
        <w:t>EFC and ECOFIN/Eurogroup).</w:t>
      </w:r>
      <w:r w:rsidR="0077687F" w:rsidRPr="00915638">
        <w:rPr>
          <w:noProof/>
        </w:rPr>
        <w:t xml:space="preserve"> </w:t>
      </w:r>
      <w:r w:rsidRPr="00915638">
        <w:rPr>
          <w:noProof/>
        </w:rPr>
        <w:t xml:space="preserve">In </w:t>
      </w:r>
      <w:r w:rsidR="00EB2675">
        <w:rPr>
          <w:noProof/>
        </w:rPr>
        <w:t>line</w:t>
      </w:r>
      <w:r w:rsidRPr="00915638">
        <w:rPr>
          <w:noProof/>
        </w:rPr>
        <w:t xml:space="preserve"> with the proportionality principle and with past practice, no formal impact assessment </w:t>
      </w:r>
      <w:r w:rsidR="00D6659D" w:rsidRPr="00915638">
        <w:rPr>
          <w:noProof/>
        </w:rPr>
        <w:t>h</w:t>
      </w:r>
      <w:r w:rsidRPr="00915638">
        <w:rPr>
          <w:noProof/>
        </w:rPr>
        <w:t xml:space="preserve">as </w:t>
      </w:r>
      <w:r w:rsidR="00D6659D" w:rsidRPr="00915638">
        <w:rPr>
          <w:noProof/>
        </w:rPr>
        <w:t>been carried out</w:t>
      </w:r>
      <w:r w:rsidRPr="00915638">
        <w:rPr>
          <w:noProof/>
        </w:rPr>
        <w:t>.</w:t>
      </w:r>
    </w:p>
    <w:p w14:paraId="42DC63F7" w14:textId="56E84C80" w:rsidR="00C4055C" w:rsidRPr="00915638" w:rsidRDefault="00732628" w:rsidP="00732628">
      <w:pPr>
        <w:pStyle w:val="ManualHeading1"/>
        <w:rPr>
          <w:noProof/>
        </w:rPr>
      </w:pPr>
      <w:r w:rsidRPr="00915638">
        <w:rPr>
          <w:noProof/>
        </w:rPr>
        <w:t>3.</w:t>
      </w:r>
      <w:r w:rsidRPr="00915638">
        <w:rPr>
          <w:noProof/>
        </w:rPr>
        <w:tab/>
      </w:r>
      <w:r w:rsidR="00C4055C" w:rsidRPr="00915638">
        <w:rPr>
          <w:noProof/>
        </w:rPr>
        <w:t>LEGAL ELEMENTS OF THE PROPOSAL</w:t>
      </w:r>
    </w:p>
    <w:p w14:paraId="1BF3D1E0" w14:textId="0CE561DE" w:rsidR="00C4055C" w:rsidRPr="00915638" w:rsidRDefault="00732628" w:rsidP="00732628">
      <w:pPr>
        <w:pStyle w:val="ManualHeading2"/>
        <w:rPr>
          <w:noProof/>
        </w:rPr>
      </w:pPr>
      <w:bookmarkStart w:id="2" w:name="DQPStarAt1DQPStarAt8E3FE07E86314F73ABCD0"/>
      <w:bookmarkEnd w:id="2"/>
      <w:r w:rsidRPr="00915638">
        <w:rPr>
          <w:noProof/>
        </w:rPr>
        <w:t>3.1.</w:t>
      </w:r>
      <w:r w:rsidRPr="00915638">
        <w:rPr>
          <w:noProof/>
        </w:rPr>
        <w:tab/>
      </w:r>
      <w:r w:rsidR="00C4055C" w:rsidRPr="00915638">
        <w:rPr>
          <w:noProof/>
        </w:rPr>
        <w:t>Legal basis</w:t>
      </w:r>
    </w:p>
    <w:p w14:paraId="73C73B5D" w14:textId="7198763F" w:rsidR="00C4055C" w:rsidRPr="00915638" w:rsidRDefault="00C4055C" w:rsidP="00C4055C">
      <w:pPr>
        <w:rPr>
          <w:noProof/>
        </w:rPr>
      </w:pPr>
      <w:r w:rsidRPr="00915638">
        <w:rPr>
          <w:noProof/>
        </w:rPr>
        <w:t>The legal basis for th</w:t>
      </w:r>
      <w:r w:rsidR="000A7B28" w:rsidRPr="00915638">
        <w:rPr>
          <w:noProof/>
        </w:rPr>
        <w:t>is</w:t>
      </w:r>
      <w:r w:rsidRPr="00915638">
        <w:rPr>
          <w:noProof/>
        </w:rPr>
        <w:t xml:space="preserve"> proposal is Article</w:t>
      </w:r>
      <w:r w:rsidR="00915638">
        <w:rPr>
          <w:noProof/>
        </w:rPr>
        <w:t> </w:t>
      </w:r>
      <w:r w:rsidRPr="00915638">
        <w:rPr>
          <w:noProof/>
        </w:rPr>
        <w:t xml:space="preserve">140(2) </w:t>
      </w:r>
      <w:r w:rsidR="0077687F" w:rsidRPr="00915638">
        <w:rPr>
          <w:noProof/>
        </w:rPr>
        <w:t>TFEU</w:t>
      </w:r>
      <w:r w:rsidRPr="00915638">
        <w:rPr>
          <w:noProof/>
        </w:rPr>
        <w:t xml:space="preserve">, which </w:t>
      </w:r>
      <w:r w:rsidR="00C9779B" w:rsidRPr="00915638">
        <w:rPr>
          <w:noProof/>
        </w:rPr>
        <w:t xml:space="preserve">provides for </w:t>
      </w:r>
      <w:r w:rsidRPr="00915638">
        <w:rPr>
          <w:noProof/>
        </w:rPr>
        <w:t>the procedure for a Council decision on euro adoption and for abrogatin</w:t>
      </w:r>
      <w:r w:rsidR="00102326" w:rsidRPr="00915638">
        <w:rPr>
          <w:noProof/>
        </w:rPr>
        <w:t>g</w:t>
      </w:r>
      <w:r w:rsidRPr="00915638">
        <w:rPr>
          <w:noProof/>
        </w:rPr>
        <w:t xml:space="preserve"> the derogation in the Member States</w:t>
      </w:r>
      <w:r w:rsidR="00EB2675">
        <w:rPr>
          <w:noProof/>
        </w:rPr>
        <w:t xml:space="preserve"> </w:t>
      </w:r>
      <w:r w:rsidR="00EB2675" w:rsidRPr="00915638">
        <w:rPr>
          <w:noProof/>
        </w:rPr>
        <w:t>concerned</w:t>
      </w:r>
      <w:r w:rsidRPr="00915638">
        <w:rPr>
          <w:noProof/>
        </w:rPr>
        <w:t>.</w:t>
      </w:r>
    </w:p>
    <w:p w14:paraId="3D3D5971" w14:textId="0D4490CC" w:rsidR="00C4055C" w:rsidRPr="00915638" w:rsidRDefault="00C4055C" w:rsidP="00C4055C">
      <w:pPr>
        <w:rPr>
          <w:noProof/>
        </w:rPr>
      </w:pPr>
      <w:r w:rsidRPr="00915638">
        <w:rPr>
          <w:noProof/>
        </w:rPr>
        <w:t>The Council</w:t>
      </w:r>
      <w:r w:rsidR="007D3DBB">
        <w:rPr>
          <w:noProof/>
        </w:rPr>
        <w:t xml:space="preserve"> </w:t>
      </w:r>
      <w:r w:rsidR="00111A0E">
        <w:rPr>
          <w:noProof/>
        </w:rPr>
        <w:t xml:space="preserve">shall </w:t>
      </w:r>
      <w:r w:rsidR="007D3DBB">
        <w:rPr>
          <w:noProof/>
        </w:rPr>
        <w:t>a</w:t>
      </w:r>
      <w:r w:rsidRPr="00915638">
        <w:rPr>
          <w:noProof/>
        </w:rPr>
        <w:t>ct on a proposal from the Commission, after consulting the European Parliament, after discussion in the European Council and after having received a recommendation of a qualified majority of those among its members representing Member States whose currency is the euro.</w:t>
      </w:r>
    </w:p>
    <w:p w14:paraId="759D2B39" w14:textId="34E694C0" w:rsidR="00C4055C" w:rsidRPr="00915638" w:rsidRDefault="00732628" w:rsidP="00732628">
      <w:pPr>
        <w:pStyle w:val="ManualHeading2"/>
        <w:rPr>
          <w:noProof/>
        </w:rPr>
      </w:pPr>
      <w:r w:rsidRPr="00915638">
        <w:rPr>
          <w:noProof/>
        </w:rPr>
        <w:t>3.2.</w:t>
      </w:r>
      <w:r w:rsidRPr="00915638">
        <w:rPr>
          <w:noProof/>
        </w:rPr>
        <w:tab/>
      </w:r>
      <w:r w:rsidR="00C4055C" w:rsidRPr="00915638">
        <w:rPr>
          <w:noProof/>
        </w:rPr>
        <w:t>Subsidiarity and proportionality</w:t>
      </w:r>
    </w:p>
    <w:p w14:paraId="29902E7B" w14:textId="3EC51D1C" w:rsidR="00C4055C" w:rsidRPr="00915638" w:rsidRDefault="00C4055C" w:rsidP="00C4055C">
      <w:pPr>
        <w:rPr>
          <w:noProof/>
        </w:rPr>
      </w:pPr>
      <w:r w:rsidRPr="007141F9">
        <w:rPr>
          <w:noProof/>
        </w:rPr>
        <w:t>The proposal falls under the exclusive competence of the Union</w:t>
      </w:r>
      <w:r w:rsidRPr="00915638">
        <w:rPr>
          <w:noProof/>
        </w:rPr>
        <w:t>. The</w:t>
      </w:r>
      <w:r w:rsidR="00C9779B" w:rsidRPr="00915638">
        <w:rPr>
          <w:noProof/>
        </w:rPr>
        <w:t>refore,</w:t>
      </w:r>
      <w:r w:rsidR="00527B8D" w:rsidRPr="00915638">
        <w:rPr>
          <w:noProof/>
        </w:rPr>
        <w:t xml:space="preserve"> </w:t>
      </w:r>
      <w:r w:rsidR="00C9779B" w:rsidRPr="00915638">
        <w:rPr>
          <w:noProof/>
        </w:rPr>
        <w:t xml:space="preserve">the </w:t>
      </w:r>
      <w:r w:rsidRPr="00915638">
        <w:rPr>
          <w:noProof/>
        </w:rPr>
        <w:t>subsidiarity principle does not apply.</w:t>
      </w:r>
    </w:p>
    <w:p w14:paraId="1B53F96E" w14:textId="28F25374" w:rsidR="00C4055C" w:rsidRPr="00915638" w:rsidRDefault="00C4055C" w:rsidP="00C4055C">
      <w:pPr>
        <w:rPr>
          <w:noProof/>
        </w:rPr>
      </w:pPr>
      <w:r w:rsidRPr="00915638">
        <w:rPr>
          <w:noProof/>
        </w:rPr>
        <w:t>Th</w:t>
      </w:r>
      <w:r w:rsidR="00102326" w:rsidRPr="00915638">
        <w:rPr>
          <w:noProof/>
        </w:rPr>
        <w:t>is</w:t>
      </w:r>
      <w:r w:rsidRPr="00915638">
        <w:rPr>
          <w:noProof/>
        </w:rPr>
        <w:t xml:space="preserve"> initiative does not go beyond what is ne</w:t>
      </w:r>
      <w:r w:rsidR="00EB2675">
        <w:rPr>
          <w:noProof/>
        </w:rPr>
        <w:t>eded</w:t>
      </w:r>
      <w:r w:rsidRPr="00915638">
        <w:rPr>
          <w:noProof/>
        </w:rPr>
        <w:t xml:space="preserve"> to achieve its objective and, therefore, complies with the proportionality principle.</w:t>
      </w:r>
    </w:p>
    <w:p w14:paraId="7F94B524" w14:textId="559AF645" w:rsidR="00C4055C" w:rsidRPr="00915638" w:rsidRDefault="00732628" w:rsidP="00732628">
      <w:pPr>
        <w:pStyle w:val="ManualHeading2"/>
        <w:rPr>
          <w:noProof/>
        </w:rPr>
      </w:pPr>
      <w:r w:rsidRPr="00915638">
        <w:rPr>
          <w:noProof/>
        </w:rPr>
        <w:t>3.3.</w:t>
      </w:r>
      <w:r w:rsidRPr="00915638">
        <w:rPr>
          <w:noProof/>
        </w:rPr>
        <w:tab/>
      </w:r>
      <w:r w:rsidR="00C4055C" w:rsidRPr="00915638">
        <w:rPr>
          <w:noProof/>
        </w:rPr>
        <w:t>Choice of legal instrument</w:t>
      </w:r>
    </w:p>
    <w:p w14:paraId="06F63186" w14:textId="4C868070" w:rsidR="00C4055C" w:rsidRPr="00915638" w:rsidRDefault="00C9779B" w:rsidP="00C4055C">
      <w:pPr>
        <w:rPr>
          <w:noProof/>
        </w:rPr>
      </w:pPr>
      <w:r w:rsidRPr="00915638">
        <w:rPr>
          <w:noProof/>
        </w:rPr>
        <w:t>In accordance with Article</w:t>
      </w:r>
      <w:r w:rsidR="00915638">
        <w:rPr>
          <w:noProof/>
        </w:rPr>
        <w:t> </w:t>
      </w:r>
      <w:r w:rsidRPr="00915638">
        <w:rPr>
          <w:noProof/>
        </w:rPr>
        <w:t>140(2) TFEU</w:t>
      </w:r>
      <w:r w:rsidR="00527B8D" w:rsidRPr="00915638">
        <w:rPr>
          <w:noProof/>
        </w:rPr>
        <w:t xml:space="preserve">, </w:t>
      </w:r>
      <w:r w:rsidRPr="00915638">
        <w:rPr>
          <w:noProof/>
        </w:rPr>
        <w:t>a d</w:t>
      </w:r>
      <w:r w:rsidR="00C4055C" w:rsidRPr="00915638">
        <w:rPr>
          <w:noProof/>
        </w:rPr>
        <w:t>ecision is the appropriate legal instrument.</w:t>
      </w:r>
    </w:p>
    <w:p w14:paraId="2DD69681" w14:textId="0EDD29D8" w:rsidR="00C4055C" w:rsidRPr="00915638" w:rsidRDefault="00732628" w:rsidP="00732628">
      <w:pPr>
        <w:pStyle w:val="ManualHeading1"/>
        <w:rPr>
          <w:noProof/>
        </w:rPr>
      </w:pPr>
      <w:r w:rsidRPr="00915638">
        <w:rPr>
          <w:noProof/>
        </w:rPr>
        <w:t>4.</w:t>
      </w:r>
      <w:r w:rsidRPr="00915638">
        <w:rPr>
          <w:noProof/>
        </w:rPr>
        <w:tab/>
      </w:r>
      <w:r w:rsidR="00C4055C" w:rsidRPr="00915638">
        <w:rPr>
          <w:noProof/>
        </w:rPr>
        <w:t>BUDGETARY IMPLICATION</w:t>
      </w:r>
    </w:p>
    <w:p w14:paraId="5C4355A1" w14:textId="465AF067" w:rsidR="00C4055C" w:rsidRPr="007141F9" w:rsidRDefault="00C4055C" w:rsidP="00486A85">
      <w:pPr>
        <w:rPr>
          <w:noProof/>
        </w:rPr>
      </w:pPr>
      <w:r w:rsidRPr="007141F9">
        <w:rPr>
          <w:noProof/>
        </w:rPr>
        <w:t>The proposal has no implications for the budget of the Union.</w:t>
      </w:r>
    </w:p>
    <w:p w14:paraId="32A2F965" w14:textId="77777777" w:rsidR="00486A85" w:rsidRPr="00915638" w:rsidRDefault="00486A85" w:rsidP="00486A85">
      <w:pPr>
        <w:rPr>
          <w:noProof/>
        </w:rPr>
        <w:sectPr w:rsidR="00486A85" w:rsidRPr="00915638" w:rsidSect="00E8358A">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08"/>
          <w:docGrid w:linePitch="360"/>
        </w:sectPr>
      </w:pPr>
    </w:p>
    <w:p w14:paraId="11E88D61" w14:textId="266C55ED" w:rsidR="00B26EAF" w:rsidRPr="00E17E72" w:rsidRDefault="00E8358A" w:rsidP="00E8358A">
      <w:pPr>
        <w:pStyle w:val="Rfrenceinterinstitutionnelle"/>
        <w:rPr>
          <w:noProof/>
        </w:rPr>
      </w:pPr>
      <w:r w:rsidRPr="00E8358A">
        <w:t>2025/0158 (NLE)</w:t>
      </w:r>
    </w:p>
    <w:p w14:paraId="518539A9" w14:textId="07947DE8" w:rsidR="00F47A62" w:rsidRPr="00915638" w:rsidRDefault="00CA5DCA" w:rsidP="00CA5DCA">
      <w:pPr>
        <w:pStyle w:val="Statut"/>
        <w:rPr>
          <w:noProof/>
        </w:rPr>
      </w:pPr>
      <w:r w:rsidRPr="00CA5DCA">
        <w:t>Proposal for a</w:t>
      </w:r>
    </w:p>
    <w:p w14:paraId="7F01F5B6" w14:textId="5D840910" w:rsidR="00F47A62" w:rsidRPr="00915638" w:rsidRDefault="00CA5DCA" w:rsidP="00CA5DCA">
      <w:pPr>
        <w:pStyle w:val="Typedudocument"/>
        <w:rPr>
          <w:noProof/>
        </w:rPr>
      </w:pPr>
      <w:r w:rsidRPr="00CA5DCA">
        <w:t>COUNCIL DECISION</w:t>
      </w:r>
    </w:p>
    <w:p w14:paraId="093C47D9" w14:textId="51C147AF" w:rsidR="00F47A62" w:rsidRPr="00915638" w:rsidRDefault="00CA5DCA" w:rsidP="00CA5DCA">
      <w:pPr>
        <w:pStyle w:val="Titreobjet"/>
        <w:rPr>
          <w:noProof/>
        </w:rPr>
      </w:pPr>
      <w:r w:rsidRPr="00CA5DCA">
        <w:t>on the adoption by Bulgaria of the euro on 1 January 2026</w:t>
      </w:r>
    </w:p>
    <w:p w14:paraId="689D05B4" w14:textId="77777777" w:rsidR="00F47A62" w:rsidRPr="00915638" w:rsidRDefault="00F47A62" w:rsidP="00F47A62">
      <w:pPr>
        <w:pStyle w:val="Institutionquiagit"/>
        <w:rPr>
          <w:noProof/>
        </w:rPr>
      </w:pPr>
      <w:r w:rsidRPr="00915638">
        <w:rPr>
          <w:noProof/>
        </w:rPr>
        <w:t>THE COUNCIL OF THE EUROPEAN UNION,</w:t>
      </w:r>
    </w:p>
    <w:p w14:paraId="6AF0BB3B" w14:textId="03A8683B" w:rsidR="00F47A62" w:rsidRPr="00915638" w:rsidRDefault="00F47A62" w:rsidP="00F47A62">
      <w:pPr>
        <w:rPr>
          <w:noProof/>
        </w:rPr>
      </w:pPr>
      <w:r w:rsidRPr="00915638">
        <w:rPr>
          <w:noProof/>
        </w:rPr>
        <w:t>Having regard to the Treaty on the Functioning of the European Union, and in particular Article</w:t>
      </w:r>
      <w:r w:rsidR="00915638">
        <w:rPr>
          <w:noProof/>
        </w:rPr>
        <w:t> </w:t>
      </w:r>
      <w:r w:rsidRPr="00915638">
        <w:rPr>
          <w:noProof/>
        </w:rPr>
        <w:t>140(2) thereof,</w:t>
      </w:r>
    </w:p>
    <w:p w14:paraId="304BB567" w14:textId="77777777" w:rsidR="00F47A62" w:rsidRPr="00915638" w:rsidRDefault="00F47A62" w:rsidP="00F47A62">
      <w:pPr>
        <w:rPr>
          <w:noProof/>
        </w:rPr>
      </w:pPr>
      <w:r w:rsidRPr="00915638">
        <w:rPr>
          <w:noProof/>
        </w:rPr>
        <w:t>Having regard to the proposal from the European Commission,</w:t>
      </w:r>
    </w:p>
    <w:p w14:paraId="637B0AB4" w14:textId="77777777" w:rsidR="00F47A62" w:rsidRPr="00915638" w:rsidRDefault="5258E78C" w:rsidP="00F47A62">
      <w:pPr>
        <w:rPr>
          <w:noProof/>
        </w:rPr>
      </w:pPr>
      <w:r w:rsidRPr="00915638">
        <w:rPr>
          <w:noProof/>
        </w:rPr>
        <w:t>Having regard to the report from the European Commission</w:t>
      </w:r>
      <w:r w:rsidR="22084ED3" w:rsidRPr="00915638">
        <w:rPr>
          <w:noProof/>
        </w:rPr>
        <w:t xml:space="preserve"> (</w:t>
      </w:r>
      <w:r w:rsidR="006D3841" w:rsidRPr="00915638">
        <w:rPr>
          <w:rStyle w:val="FootnoteReference"/>
          <w:noProof/>
        </w:rPr>
        <w:footnoteReference w:id="2"/>
      </w:r>
      <w:r w:rsidR="22084ED3" w:rsidRPr="00915638">
        <w:rPr>
          <w:noProof/>
        </w:rPr>
        <w:t>)</w:t>
      </w:r>
    </w:p>
    <w:p w14:paraId="025696E0" w14:textId="77777777" w:rsidR="00F47A62" w:rsidRPr="00915638" w:rsidRDefault="5258E78C" w:rsidP="00F47A62">
      <w:pPr>
        <w:rPr>
          <w:noProof/>
        </w:rPr>
      </w:pPr>
      <w:r w:rsidRPr="00915638">
        <w:rPr>
          <w:noProof/>
        </w:rPr>
        <w:t>Having regard to the report from the European Central Bank</w:t>
      </w:r>
      <w:r w:rsidR="22084ED3" w:rsidRPr="00915638">
        <w:rPr>
          <w:noProof/>
        </w:rPr>
        <w:t xml:space="preserve"> (</w:t>
      </w:r>
      <w:r w:rsidR="006D3841" w:rsidRPr="00915638">
        <w:rPr>
          <w:rStyle w:val="FootnoteReference"/>
          <w:noProof/>
        </w:rPr>
        <w:footnoteReference w:id="3"/>
      </w:r>
      <w:r w:rsidR="22084ED3" w:rsidRPr="00915638">
        <w:rPr>
          <w:noProof/>
        </w:rPr>
        <w:t>)</w:t>
      </w:r>
    </w:p>
    <w:p w14:paraId="4EE6D00A" w14:textId="6CC1B7D3" w:rsidR="00F47A62" w:rsidRPr="00915638" w:rsidRDefault="5258E78C" w:rsidP="00F47A62">
      <w:pPr>
        <w:rPr>
          <w:noProof/>
        </w:rPr>
      </w:pPr>
      <w:r w:rsidRPr="00915638">
        <w:rPr>
          <w:noProof/>
        </w:rPr>
        <w:t>Having regard to the opinion of the European Parliament</w:t>
      </w:r>
      <w:r w:rsidR="00527B8D" w:rsidRPr="00915638">
        <w:rPr>
          <w:noProof/>
        </w:rPr>
        <w:t xml:space="preserve"> </w:t>
      </w:r>
      <w:r w:rsidR="2A7AC5AC" w:rsidRPr="00915638">
        <w:rPr>
          <w:noProof/>
        </w:rPr>
        <w:t>(</w:t>
      </w:r>
      <w:r w:rsidR="00F47A62" w:rsidRPr="00915638">
        <w:rPr>
          <w:rStyle w:val="FootnoteReference"/>
          <w:noProof/>
        </w:rPr>
        <w:footnoteReference w:id="4"/>
      </w:r>
      <w:r w:rsidR="2A7AC5AC" w:rsidRPr="00915638">
        <w:rPr>
          <w:noProof/>
        </w:rPr>
        <w:t>)</w:t>
      </w:r>
      <w:r w:rsidRPr="00915638">
        <w:rPr>
          <w:noProof/>
        </w:rPr>
        <w:t>,</w:t>
      </w:r>
    </w:p>
    <w:p w14:paraId="07C7E01D" w14:textId="77777777" w:rsidR="00F47A62" w:rsidRPr="00915638" w:rsidRDefault="00F47A62" w:rsidP="00F47A62">
      <w:pPr>
        <w:rPr>
          <w:noProof/>
        </w:rPr>
      </w:pPr>
      <w:r w:rsidRPr="00915638">
        <w:rPr>
          <w:noProof/>
        </w:rPr>
        <w:t>Having regard to the disc</w:t>
      </w:r>
      <w:r w:rsidR="00F927AD" w:rsidRPr="00915638">
        <w:rPr>
          <w:noProof/>
        </w:rPr>
        <w:t>ussion in the European Council,</w:t>
      </w:r>
    </w:p>
    <w:p w14:paraId="19ED5FCD" w14:textId="2EE428F6" w:rsidR="00F47A62" w:rsidRPr="00915638" w:rsidRDefault="05D865CD" w:rsidP="00F47A62">
      <w:pPr>
        <w:rPr>
          <w:noProof/>
        </w:rPr>
      </w:pPr>
      <w:r w:rsidRPr="00915638">
        <w:rPr>
          <w:noProof/>
        </w:rPr>
        <w:t>Having regard to the recommendation of the members of the Council representing Member States whose currency is the euro</w:t>
      </w:r>
      <w:r w:rsidR="00527B8D" w:rsidRPr="00915638">
        <w:rPr>
          <w:noProof/>
        </w:rPr>
        <w:t xml:space="preserve"> </w:t>
      </w:r>
      <w:r w:rsidR="58394DFE" w:rsidRPr="00915638">
        <w:rPr>
          <w:noProof/>
        </w:rPr>
        <w:t>(</w:t>
      </w:r>
      <w:r w:rsidR="00F47A62" w:rsidRPr="00915638">
        <w:rPr>
          <w:rStyle w:val="FootnoteReference"/>
          <w:noProof/>
        </w:rPr>
        <w:footnoteReference w:id="5"/>
      </w:r>
      <w:r w:rsidR="58394DFE" w:rsidRPr="00915638">
        <w:rPr>
          <w:noProof/>
        </w:rPr>
        <w:t>)</w:t>
      </w:r>
      <w:r w:rsidRPr="00915638">
        <w:rPr>
          <w:noProof/>
        </w:rPr>
        <w:t>,</w:t>
      </w:r>
    </w:p>
    <w:p w14:paraId="4280F5D8" w14:textId="77777777" w:rsidR="00F47A62" w:rsidRPr="00915638" w:rsidRDefault="00F47A62" w:rsidP="00F47A62">
      <w:pPr>
        <w:rPr>
          <w:noProof/>
        </w:rPr>
      </w:pPr>
      <w:r w:rsidRPr="00915638">
        <w:rPr>
          <w:noProof/>
        </w:rPr>
        <w:t>Whereas:</w:t>
      </w:r>
    </w:p>
    <w:p w14:paraId="6864260D" w14:textId="39614CB8" w:rsidR="00F47A62" w:rsidRPr="00915638" w:rsidRDefault="70978AFE" w:rsidP="00732628">
      <w:pPr>
        <w:pStyle w:val="ManualConsidrant"/>
        <w:rPr>
          <w:noProof/>
        </w:rPr>
      </w:pPr>
      <w:r w:rsidRPr="00915638">
        <w:rPr>
          <w:noProof/>
        </w:rPr>
        <w:t>(1)</w:t>
      </w:r>
      <w:r w:rsidR="00732628" w:rsidRPr="00915638">
        <w:rPr>
          <w:noProof/>
        </w:rPr>
        <w:tab/>
      </w:r>
      <w:r w:rsidR="5258E78C" w:rsidRPr="00915638">
        <w:rPr>
          <w:noProof/>
        </w:rPr>
        <w:t xml:space="preserve">The third stage of economic and monetary union </w:t>
      </w:r>
      <w:r w:rsidR="2345F151" w:rsidRPr="00915638">
        <w:rPr>
          <w:noProof/>
        </w:rPr>
        <w:t xml:space="preserve">(‘EMU’) </w:t>
      </w:r>
      <w:r w:rsidR="5258E78C" w:rsidRPr="00915638">
        <w:rPr>
          <w:noProof/>
        </w:rPr>
        <w:t>started on 1</w:t>
      </w:r>
      <w:r w:rsidR="00915638">
        <w:rPr>
          <w:noProof/>
        </w:rPr>
        <w:t> </w:t>
      </w:r>
      <w:r w:rsidR="5258E78C" w:rsidRPr="00915638">
        <w:rPr>
          <w:noProof/>
        </w:rPr>
        <w:t>January 1999. The Council, meeting in Brussels on 3</w:t>
      </w:r>
      <w:r w:rsidR="00915638">
        <w:rPr>
          <w:noProof/>
        </w:rPr>
        <w:t> </w:t>
      </w:r>
      <w:r w:rsidR="5258E78C" w:rsidRPr="00915638">
        <w:rPr>
          <w:noProof/>
        </w:rPr>
        <w:t>May 1998 in the composition of Heads of State or Government,</w:t>
      </w:r>
      <w:r w:rsidR="00523AC5" w:rsidRPr="00915638">
        <w:rPr>
          <w:noProof/>
        </w:rPr>
        <w:t xml:space="preserve"> </w:t>
      </w:r>
      <w:r w:rsidR="5258E78C" w:rsidRPr="00915638">
        <w:rPr>
          <w:noProof/>
        </w:rPr>
        <w:t>decided that Belgium, Germany, Spain, France, Ireland, Italy, Luxembourg, the Netherlands, Austria, Portugal and Finland fulfilled the necessary conditions for adopting the euro on 1</w:t>
      </w:r>
      <w:r w:rsidR="00915638">
        <w:rPr>
          <w:noProof/>
        </w:rPr>
        <w:t> </w:t>
      </w:r>
      <w:r w:rsidR="5258E78C" w:rsidRPr="00915638">
        <w:rPr>
          <w:noProof/>
        </w:rPr>
        <w:t>January 1999</w:t>
      </w:r>
      <w:r w:rsidR="2345F151" w:rsidRPr="00915638">
        <w:rPr>
          <w:noProof/>
        </w:rPr>
        <w:t xml:space="preserve"> (</w:t>
      </w:r>
      <w:r w:rsidR="00F47A62" w:rsidRPr="00915638">
        <w:rPr>
          <w:rStyle w:val="FootnoteReference"/>
          <w:noProof/>
        </w:rPr>
        <w:footnoteReference w:id="6"/>
      </w:r>
      <w:r w:rsidR="2345F151" w:rsidRPr="00915638">
        <w:rPr>
          <w:noProof/>
        </w:rPr>
        <w:t>)</w:t>
      </w:r>
      <w:r w:rsidR="5258E78C" w:rsidRPr="00915638">
        <w:rPr>
          <w:noProof/>
        </w:rPr>
        <w:t>.</w:t>
      </w:r>
    </w:p>
    <w:p w14:paraId="74253593" w14:textId="77777777" w:rsidR="00BD2BFC" w:rsidRDefault="3A2F0320" w:rsidP="00BD2BFC">
      <w:pPr>
        <w:pStyle w:val="ManualConsidrant"/>
        <w:rPr>
          <w:noProof/>
        </w:rPr>
      </w:pPr>
      <w:r w:rsidRPr="00915638">
        <w:rPr>
          <w:noProof/>
        </w:rPr>
        <w:t>(2)</w:t>
      </w:r>
      <w:r w:rsidR="00732628" w:rsidRPr="00915638">
        <w:rPr>
          <w:noProof/>
        </w:rPr>
        <w:tab/>
      </w:r>
      <w:r w:rsidR="05D865CD" w:rsidRPr="00915638">
        <w:rPr>
          <w:noProof/>
        </w:rPr>
        <w:t>By Decision 2000/427/EC</w:t>
      </w:r>
      <w:r w:rsidR="379B532A" w:rsidRPr="00915638">
        <w:rPr>
          <w:noProof/>
        </w:rPr>
        <w:t xml:space="preserve"> (</w:t>
      </w:r>
      <w:r w:rsidR="00F47A62" w:rsidRPr="00915638">
        <w:rPr>
          <w:rStyle w:val="FootnoteReference"/>
          <w:noProof/>
        </w:rPr>
        <w:footnoteReference w:id="7"/>
      </w:r>
      <w:r w:rsidR="379B532A" w:rsidRPr="00915638">
        <w:rPr>
          <w:noProof/>
        </w:rPr>
        <w:t>)</w:t>
      </w:r>
      <w:r w:rsidR="00527B8D" w:rsidRPr="00915638">
        <w:rPr>
          <w:noProof/>
        </w:rPr>
        <w:t>,</w:t>
      </w:r>
      <w:r w:rsidR="05D865CD" w:rsidRPr="00915638">
        <w:rPr>
          <w:noProof/>
        </w:rPr>
        <w:t xml:space="preserve"> the Council decided that Greece fulfilled the necessary conditions for adopting the euro on 1</w:t>
      </w:r>
      <w:r w:rsidR="00915638">
        <w:rPr>
          <w:noProof/>
        </w:rPr>
        <w:t> </w:t>
      </w:r>
      <w:r w:rsidR="05D865CD" w:rsidRPr="00915638">
        <w:rPr>
          <w:noProof/>
        </w:rPr>
        <w:t>January 2001. By Decision 2006/495/EC</w:t>
      </w:r>
      <w:r w:rsidR="26F91D86" w:rsidRPr="00915638">
        <w:rPr>
          <w:noProof/>
        </w:rPr>
        <w:t xml:space="preserve"> (</w:t>
      </w:r>
      <w:r w:rsidR="00F47A62" w:rsidRPr="00915638">
        <w:rPr>
          <w:rStyle w:val="FootnoteReference"/>
          <w:noProof/>
        </w:rPr>
        <w:footnoteReference w:id="8"/>
      </w:r>
      <w:r w:rsidR="26F91D86" w:rsidRPr="00915638">
        <w:rPr>
          <w:noProof/>
        </w:rPr>
        <w:t>)</w:t>
      </w:r>
      <w:r w:rsidR="00527B8D" w:rsidRPr="00915638">
        <w:rPr>
          <w:noProof/>
        </w:rPr>
        <w:t>,</w:t>
      </w:r>
      <w:r w:rsidR="05D865CD" w:rsidRPr="00915638">
        <w:rPr>
          <w:noProof/>
        </w:rPr>
        <w:t xml:space="preserve"> the Council decided that Slovenia fulfilled the necessary conditions for adopting the euro on 1</w:t>
      </w:r>
      <w:r w:rsidR="00915638">
        <w:rPr>
          <w:noProof/>
        </w:rPr>
        <w:t> </w:t>
      </w:r>
      <w:r w:rsidR="05D865CD" w:rsidRPr="00915638">
        <w:rPr>
          <w:noProof/>
        </w:rPr>
        <w:t>January 2007. By Decisions 2007/503/EC</w:t>
      </w:r>
      <w:r w:rsidR="6FC24863" w:rsidRPr="00915638">
        <w:rPr>
          <w:noProof/>
        </w:rPr>
        <w:t xml:space="preserve"> (</w:t>
      </w:r>
      <w:r w:rsidR="00F47A62" w:rsidRPr="00915638">
        <w:rPr>
          <w:rStyle w:val="FootnoteReference"/>
          <w:noProof/>
        </w:rPr>
        <w:footnoteReference w:id="9"/>
      </w:r>
      <w:r w:rsidR="6FC24863" w:rsidRPr="00915638">
        <w:rPr>
          <w:noProof/>
        </w:rPr>
        <w:t>)</w:t>
      </w:r>
      <w:r w:rsidR="05D865CD" w:rsidRPr="00915638">
        <w:rPr>
          <w:noProof/>
        </w:rPr>
        <w:t xml:space="preserve"> and 2007/504/EC</w:t>
      </w:r>
      <w:r w:rsidR="6FC24863" w:rsidRPr="00915638">
        <w:rPr>
          <w:noProof/>
        </w:rPr>
        <w:t xml:space="preserve"> (</w:t>
      </w:r>
      <w:r w:rsidR="00F47A62" w:rsidRPr="00915638">
        <w:rPr>
          <w:rStyle w:val="FootnoteReference"/>
          <w:noProof/>
        </w:rPr>
        <w:footnoteReference w:id="10"/>
      </w:r>
      <w:r w:rsidR="6FC24863" w:rsidRPr="00915638">
        <w:rPr>
          <w:noProof/>
        </w:rPr>
        <w:t>)</w:t>
      </w:r>
      <w:r w:rsidR="00527B8D" w:rsidRPr="00915638">
        <w:rPr>
          <w:noProof/>
        </w:rPr>
        <w:t>,</w:t>
      </w:r>
      <w:r w:rsidR="05D865CD" w:rsidRPr="00915638">
        <w:rPr>
          <w:noProof/>
        </w:rPr>
        <w:t xml:space="preserve"> the Council decided that Cyprus and Malta fulfilled the necessary conditions for adopting the euro on 1</w:t>
      </w:r>
      <w:r w:rsidR="00915638">
        <w:rPr>
          <w:noProof/>
        </w:rPr>
        <w:t> </w:t>
      </w:r>
      <w:r w:rsidR="05D865CD" w:rsidRPr="00915638">
        <w:rPr>
          <w:noProof/>
        </w:rPr>
        <w:t xml:space="preserve">January 2008. By </w:t>
      </w:r>
      <w:r w:rsidR="55504987" w:rsidRPr="00915638">
        <w:rPr>
          <w:noProof/>
        </w:rPr>
        <w:t>D</w:t>
      </w:r>
      <w:r w:rsidR="05D865CD" w:rsidRPr="00915638">
        <w:rPr>
          <w:noProof/>
        </w:rPr>
        <w:t>ecision 2008/608/EC</w:t>
      </w:r>
      <w:r w:rsidR="6FC24863" w:rsidRPr="00915638">
        <w:rPr>
          <w:noProof/>
        </w:rPr>
        <w:t xml:space="preserve"> (</w:t>
      </w:r>
      <w:r w:rsidR="00F47A62" w:rsidRPr="00915638">
        <w:rPr>
          <w:rStyle w:val="FootnoteReference"/>
          <w:noProof/>
        </w:rPr>
        <w:footnoteReference w:id="11"/>
      </w:r>
      <w:r w:rsidR="6FC24863" w:rsidRPr="00915638">
        <w:rPr>
          <w:noProof/>
        </w:rPr>
        <w:t>)</w:t>
      </w:r>
      <w:r w:rsidR="00527B8D" w:rsidRPr="00915638">
        <w:rPr>
          <w:noProof/>
        </w:rPr>
        <w:t>,</w:t>
      </w:r>
      <w:r w:rsidR="05D865CD" w:rsidRPr="00915638">
        <w:rPr>
          <w:noProof/>
        </w:rPr>
        <w:t xml:space="preserve"> the Council decided that Slovakia fulfilled the necessary conditions for adopting the euro. By </w:t>
      </w:r>
      <w:r w:rsidR="7AAAEF5F" w:rsidRPr="00915638">
        <w:rPr>
          <w:noProof/>
        </w:rPr>
        <w:t>D</w:t>
      </w:r>
      <w:r w:rsidR="05D865CD" w:rsidRPr="00915638">
        <w:rPr>
          <w:noProof/>
        </w:rPr>
        <w:t>ecision 2010/416/EU</w:t>
      </w:r>
      <w:r w:rsidR="00D8CC1A" w:rsidRPr="00915638">
        <w:rPr>
          <w:noProof/>
        </w:rPr>
        <w:t xml:space="preserve"> (</w:t>
      </w:r>
      <w:r w:rsidR="00F47A62" w:rsidRPr="00915638">
        <w:rPr>
          <w:rStyle w:val="FootnoteReference"/>
          <w:noProof/>
        </w:rPr>
        <w:footnoteReference w:id="12"/>
      </w:r>
      <w:r w:rsidR="00D8CC1A" w:rsidRPr="00915638">
        <w:rPr>
          <w:noProof/>
        </w:rPr>
        <w:t>)</w:t>
      </w:r>
      <w:r w:rsidR="00527B8D" w:rsidRPr="00915638">
        <w:rPr>
          <w:noProof/>
        </w:rPr>
        <w:t>,</w:t>
      </w:r>
      <w:r w:rsidR="05D865CD" w:rsidRPr="00915638">
        <w:rPr>
          <w:noProof/>
        </w:rPr>
        <w:t xml:space="preserve"> the Council decided that Estonia fulfilled the necessary conditions for adopting the euro.</w:t>
      </w:r>
      <w:r w:rsidR="00C85239" w:rsidRPr="00915638">
        <w:rPr>
          <w:noProof/>
        </w:rPr>
        <w:t xml:space="preserve"> </w:t>
      </w:r>
      <w:r w:rsidR="05D865CD" w:rsidRPr="00915638">
        <w:rPr>
          <w:noProof/>
        </w:rPr>
        <w:t xml:space="preserve">By </w:t>
      </w:r>
      <w:r w:rsidR="5DBA4ECF" w:rsidRPr="00915638">
        <w:rPr>
          <w:noProof/>
        </w:rPr>
        <w:t>D</w:t>
      </w:r>
      <w:r w:rsidR="05D865CD" w:rsidRPr="00915638">
        <w:rPr>
          <w:noProof/>
        </w:rPr>
        <w:t>ecision 2013/387/EU</w:t>
      </w:r>
      <w:r w:rsidR="236F0A99" w:rsidRPr="00915638">
        <w:rPr>
          <w:noProof/>
        </w:rPr>
        <w:t xml:space="preserve"> (</w:t>
      </w:r>
      <w:r w:rsidR="00F47A62" w:rsidRPr="00915638">
        <w:rPr>
          <w:rStyle w:val="FootnoteReference"/>
          <w:noProof/>
        </w:rPr>
        <w:footnoteReference w:id="13"/>
      </w:r>
      <w:r w:rsidR="236F0A99" w:rsidRPr="00915638">
        <w:rPr>
          <w:noProof/>
        </w:rPr>
        <w:t>)</w:t>
      </w:r>
      <w:r w:rsidR="00527B8D" w:rsidRPr="00915638">
        <w:rPr>
          <w:noProof/>
        </w:rPr>
        <w:t>,</w:t>
      </w:r>
      <w:r w:rsidR="05D865CD" w:rsidRPr="00915638">
        <w:rPr>
          <w:noProof/>
        </w:rPr>
        <w:t xml:space="preserve"> the Council decided that Latvia fulfilled the necessary conditions for adopting the euro.</w:t>
      </w:r>
      <w:r w:rsidR="266F5CB4" w:rsidRPr="00915638">
        <w:rPr>
          <w:noProof/>
        </w:rPr>
        <w:t xml:space="preserve"> By </w:t>
      </w:r>
      <w:r w:rsidR="4F81F0C5" w:rsidRPr="00915638">
        <w:rPr>
          <w:noProof/>
        </w:rPr>
        <w:t>D</w:t>
      </w:r>
      <w:r w:rsidR="266F5CB4" w:rsidRPr="00915638">
        <w:rPr>
          <w:noProof/>
        </w:rPr>
        <w:t>ecision 2014/509/EU</w:t>
      </w:r>
      <w:r w:rsidR="1276CCC8" w:rsidRPr="00915638">
        <w:rPr>
          <w:noProof/>
        </w:rPr>
        <w:t xml:space="preserve"> (</w:t>
      </w:r>
      <w:r w:rsidR="00B63748" w:rsidRPr="00915638">
        <w:rPr>
          <w:rStyle w:val="FootnoteReference"/>
          <w:noProof/>
        </w:rPr>
        <w:footnoteReference w:id="14"/>
      </w:r>
      <w:r w:rsidR="1276CCC8" w:rsidRPr="00915638">
        <w:rPr>
          <w:noProof/>
        </w:rPr>
        <w:t>)</w:t>
      </w:r>
      <w:r w:rsidR="00527B8D" w:rsidRPr="00915638">
        <w:rPr>
          <w:noProof/>
        </w:rPr>
        <w:t>,</w:t>
      </w:r>
      <w:r w:rsidR="266F5CB4" w:rsidRPr="00915638">
        <w:rPr>
          <w:noProof/>
        </w:rPr>
        <w:t xml:space="preserve"> the Council decided that Lithuania fulfilled the necessary conditions for adopting the euro.</w:t>
      </w:r>
      <w:r w:rsidR="57BA6372" w:rsidRPr="00915638">
        <w:rPr>
          <w:noProof/>
        </w:rPr>
        <w:t xml:space="preserve"> </w:t>
      </w:r>
      <w:r w:rsidR="00C9779B" w:rsidRPr="00915638">
        <w:rPr>
          <w:noProof/>
        </w:rPr>
        <w:t>Finally,</w:t>
      </w:r>
      <w:r w:rsidR="00527B8D" w:rsidRPr="00915638">
        <w:rPr>
          <w:noProof/>
        </w:rPr>
        <w:t xml:space="preserve"> </w:t>
      </w:r>
      <w:r w:rsidR="00C9779B" w:rsidRPr="00915638">
        <w:rPr>
          <w:noProof/>
        </w:rPr>
        <w:t>b</w:t>
      </w:r>
      <w:r w:rsidR="57BA6372" w:rsidRPr="00915638">
        <w:rPr>
          <w:noProof/>
        </w:rPr>
        <w:t>y</w:t>
      </w:r>
      <w:r w:rsidR="00430883">
        <w:rPr>
          <w:noProof/>
        </w:rPr>
        <w:t xml:space="preserve"> </w:t>
      </w:r>
      <w:r w:rsidR="015798C3" w:rsidRPr="00915638">
        <w:rPr>
          <w:noProof/>
        </w:rPr>
        <w:t>D</w:t>
      </w:r>
      <w:r w:rsidR="57BA6372" w:rsidRPr="00915638">
        <w:rPr>
          <w:noProof/>
        </w:rPr>
        <w:t xml:space="preserve">ecision </w:t>
      </w:r>
      <w:r w:rsidR="676A6370" w:rsidRPr="00915638">
        <w:rPr>
          <w:noProof/>
        </w:rPr>
        <w:t>2022/1211/EU</w:t>
      </w:r>
      <w:r w:rsidR="7CBE79FE" w:rsidRPr="00915638">
        <w:rPr>
          <w:noProof/>
        </w:rPr>
        <w:t xml:space="preserve"> (</w:t>
      </w:r>
      <w:r w:rsidR="00732628" w:rsidRPr="00915638">
        <w:rPr>
          <w:rStyle w:val="FootnoteReference"/>
          <w:noProof/>
        </w:rPr>
        <w:footnoteReference w:id="15"/>
      </w:r>
      <w:r w:rsidR="7CBE79FE" w:rsidRPr="00915638">
        <w:rPr>
          <w:noProof/>
        </w:rPr>
        <w:t>)</w:t>
      </w:r>
      <w:r w:rsidR="005F2ED0" w:rsidRPr="00915638">
        <w:rPr>
          <w:noProof/>
        </w:rPr>
        <w:t>,</w:t>
      </w:r>
      <w:r w:rsidR="676A6370" w:rsidRPr="00915638">
        <w:rPr>
          <w:noProof/>
        </w:rPr>
        <w:t xml:space="preserve"> </w:t>
      </w:r>
      <w:r w:rsidR="57BA6372" w:rsidRPr="00915638">
        <w:rPr>
          <w:noProof/>
        </w:rPr>
        <w:t>the Council decided that Croatia fulfilled the necessary conditions for adopting the euro.</w:t>
      </w:r>
      <w:r w:rsidR="00A14E6C" w:rsidRPr="00915638">
        <w:rPr>
          <w:noProof/>
        </w:rPr>
        <w:t xml:space="preserve"> </w:t>
      </w:r>
    </w:p>
    <w:p w14:paraId="390DF5D3" w14:textId="525950A9" w:rsidR="00BD2BFC" w:rsidRPr="00915638" w:rsidRDefault="00BD2BFC" w:rsidP="00BD2BFC">
      <w:pPr>
        <w:pStyle w:val="ManualConsidrant"/>
        <w:rPr>
          <w:noProof/>
        </w:rPr>
      </w:pPr>
      <w:r>
        <w:rPr>
          <w:noProof/>
        </w:rPr>
        <w:t xml:space="preserve">(3) </w:t>
      </w:r>
      <w:r>
        <w:rPr>
          <w:noProof/>
        </w:rPr>
        <w:tab/>
      </w:r>
      <w:r w:rsidRPr="00BD2BFC">
        <w:rPr>
          <w:noProof/>
        </w:rPr>
        <w:t>In accordance with point 1 of Protocol No 16 on certain provisions relating to Denmark annexed to the Treaty establishing the European Community and with the Decision taken by the Heads of State or Government in Edinburgh in December 1992, Denmark has notified the Council that it will not participate in the third stage of EMU. Denmark has not requested that the procedure referred to in Article 140(2) of the Treaty on the Functioning of the European Union (TFEU) be initiated.</w:t>
      </w:r>
    </w:p>
    <w:p w14:paraId="4D688E08" w14:textId="4B93AB1E" w:rsidR="00F47A62" w:rsidRPr="00915638" w:rsidRDefault="00A14E6C" w:rsidP="00A14E6C">
      <w:pPr>
        <w:pStyle w:val="ManualConsidrant"/>
        <w:rPr>
          <w:noProof/>
        </w:rPr>
      </w:pPr>
      <w:r w:rsidRPr="00915638">
        <w:rPr>
          <w:noProof/>
        </w:rPr>
        <w:t>(</w:t>
      </w:r>
      <w:r w:rsidR="00BD2BFC">
        <w:rPr>
          <w:noProof/>
        </w:rPr>
        <w:t>4</w:t>
      </w:r>
      <w:r w:rsidRPr="00915638">
        <w:rPr>
          <w:noProof/>
        </w:rPr>
        <w:t xml:space="preserve">) </w:t>
      </w:r>
      <w:r w:rsidRPr="00915638">
        <w:rPr>
          <w:noProof/>
        </w:rPr>
        <w:tab/>
      </w:r>
      <w:r w:rsidR="05D865CD" w:rsidRPr="00915638">
        <w:rPr>
          <w:noProof/>
        </w:rPr>
        <w:t>By virtue of Decision 98/317/EC</w:t>
      </w:r>
      <w:r w:rsidR="00527B8D" w:rsidRPr="00915638">
        <w:rPr>
          <w:noProof/>
        </w:rPr>
        <w:t>,</w:t>
      </w:r>
      <w:r w:rsidR="05D865CD" w:rsidRPr="00915638">
        <w:rPr>
          <w:noProof/>
        </w:rPr>
        <w:t xml:space="preserve"> Sweden </w:t>
      </w:r>
      <w:r w:rsidR="7B0FEAD2" w:rsidRPr="00915638">
        <w:rPr>
          <w:noProof/>
        </w:rPr>
        <w:t xml:space="preserve">is a </w:t>
      </w:r>
      <w:r w:rsidR="003B1FC3">
        <w:rPr>
          <w:noProof/>
        </w:rPr>
        <w:t>M</w:t>
      </w:r>
      <w:r w:rsidR="7B0FEAD2" w:rsidRPr="00915638">
        <w:rPr>
          <w:noProof/>
        </w:rPr>
        <w:t xml:space="preserve">ember State with </w:t>
      </w:r>
      <w:r w:rsidR="05D865CD" w:rsidRPr="00915638">
        <w:rPr>
          <w:noProof/>
        </w:rPr>
        <w:t xml:space="preserve">a derogation </w:t>
      </w:r>
      <w:r w:rsidR="6F5216F2" w:rsidRPr="00915638">
        <w:rPr>
          <w:noProof/>
        </w:rPr>
        <w:t xml:space="preserve">within the meaning of </w:t>
      </w:r>
      <w:r w:rsidR="05D865CD" w:rsidRPr="00915638">
        <w:rPr>
          <w:noProof/>
        </w:rPr>
        <w:t>Article</w:t>
      </w:r>
      <w:r w:rsidR="00915638">
        <w:rPr>
          <w:noProof/>
        </w:rPr>
        <w:t> </w:t>
      </w:r>
      <w:r w:rsidR="05D865CD" w:rsidRPr="00915638">
        <w:rPr>
          <w:noProof/>
        </w:rPr>
        <w:t>139(1)</w:t>
      </w:r>
      <w:r w:rsidR="0DD7E0E4" w:rsidRPr="00915638">
        <w:rPr>
          <w:noProof/>
        </w:rPr>
        <w:t xml:space="preserve"> TFEU</w:t>
      </w:r>
      <w:r w:rsidR="05D865CD" w:rsidRPr="00915638">
        <w:rPr>
          <w:noProof/>
        </w:rPr>
        <w:t>. In accordance with Article</w:t>
      </w:r>
      <w:r w:rsidR="00915638">
        <w:rPr>
          <w:noProof/>
        </w:rPr>
        <w:t> </w:t>
      </w:r>
      <w:r w:rsidR="05D865CD" w:rsidRPr="00915638">
        <w:rPr>
          <w:noProof/>
        </w:rPr>
        <w:t>4 of the 2003 Act of Accession</w:t>
      </w:r>
      <w:r w:rsidR="187EB04C" w:rsidRPr="00915638">
        <w:rPr>
          <w:noProof/>
        </w:rPr>
        <w:t xml:space="preserve"> (</w:t>
      </w:r>
      <w:r w:rsidR="00F47A62" w:rsidRPr="00915638">
        <w:rPr>
          <w:rStyle w:val="FootnoteReference"/>
          <w:noProof/>
        </w:rPr>
        <w:footnoteReference w:id="16"/>
      </w:r>
      <w:r w:rsidR="187EB04C" w:rsidRPr="00915638">
        <w:rPr>
          <w:noProof/>
        </w:rPr>
        <w:t>)</w:t>
      </w:r>
      <w:r w:rsidR="05D865CD" w:rsidRPr="00915638">
        <w:rPr>
          <w:noProof/>
        </w:rPr>
        <w:t xml:space="preserve">, </w:t>
      </w:r>
      <w:r w:rsidR="43E9ABA1" w:rsidRPr="00915638">
        <w:rPr>
          <w:noProof/>
        </w:rPr>
        <w:t>Czechia</w:t>
      </w:r>
      <w:r w:rsidR="7CF2B375" w:rsidRPr="00915638">
        <w:rPr>
          <w:noProof/>
        </w:rPr>
        <w:t xml:space="preserve">, Hungary and Poland </w:t>
      </w:r>
      <w:r w:rsidR="2B76E51F" w:rsidRPr="00915638">
        <w:rPr>
          <w:noProof/>
        </w:rPr>
        <w:t xml:space="preserve">are Member States with </w:t>
      </w:r>
      <w:r w:rsidR="3A4D3B28" w:rsidRPr="00915638">
        <w:rPr>
          <w:noProof/>
        </w:rPr>
        <w:t xml:space="preserve">a </w:t>
      </w:r>
      <w:r w:rsidR="05D865CD" w:rsidRPr="00915638">
        <w:rPr>
          <w:noProof/>
        </w:rPr>
        <w:t xml:space="preserve">derogation </w:t>
      </w:r>
      <w:r w:rsidR="7B54E66D" w:rsidRPr="00915638">
        <w:rPr>
          <w:noProof/>
        </w:rPr>
        <w:t xml:space="preserve">within the meaning of </w:t>
      </w:r>
      <w:r w:rsidR="05D865CD" w:rsidRPr="00915638">
        <w:rPr>
          <w:noProof/>
        </w:rPr>
        <w:t xml:space="preserve">Article 139(1) </w:t>
      </w:r>
      <w:r w:rsidR="7CF2B375" w:rsidRPr="00915638">
        <w:rPr>
          <w:noProof/>
        </w:rPr>
        <w:t>TFEU</w:t>
      </w:r>
      <w:r w:rsidR="05D865CD" w:rsidRPr="00915638">
        <w:rPr>
          <w:noProof/>
        </w:rPr>
        <w:t>. In accordance with Article</w:t>
      </w:r>
      <w:r w:rsidR="00915638">
        <w:rPr>
          <w:noProof/>
        </w:rPr>
        <w:t> </w:t>
      </w:r>
      <w:r w:rsidR="05D865CD" w:rsidRPr="00915638">
        <w:rPr>
          <w:noProof/>
        </w:rPr>
        <w:t>5 of the 2005 Act of Accession</w:t>
      </w:r>
      <w:r w:rsidR="112D731C" w:rsidRPr="00915638">
        <w:rPr>
          <w:noProof/>
        </w:rPr>
        <w:t xml:space="preserve"> (</w:t>
      </w:r>
      <w:r w:rsidR="00F47A62" w:rsidRPr="00915638">
        <w:rPr>
          <w:rStyle w:val="FootnoteReference"/>
          <w:noProof/>
        </w:rPr>
        <w:footnoteReference w:id="17"/>
      </w:r>
      <w:r w:rsidR="112D731C" w:rsidRPr="00915638">
        <w:rPr>
          <w:noProof/>
        </w:rPr>
        <w:t xml:space="preserve">), Bulgaria and Romania </w:t>
      </w:r>
      <w:r w:rsidR="0C12A64B" w:rsidRPr="00915638">
        <w:rPr>
          <w:noProof/>
        </w:rPr>
        <w:t xml:space="preserve">are Member States with a </w:t>
      </w:r>
      <w:r w:rsidR="05D865CD" w:rsidRPr="00915638">
        <w:rPr>
          <w:noProof/>
        </w:rPr>
        <w:t xml:space="preserve">derogation </w:t>
      </w:r>
      <w:r w:rsidR="3A748625" w:rsidRPr="00915638">
        <w:rPr>
          <w:noProof/>
        </w:rPr>
        <w:t xml:space="preserve">within the meaning of </w:t>
      </w:r>
      <w:r w:rsidR="112D731C" w:rsidRPr="00915638">
        <w:rPr>
          <w:noProof/>
        </w:rPr>
        <w:t>Article 139(1) TFEU</w:t>
      </w:r>
      <w:r w:rsidR="05D865CD" w:rsidRPr="00915638">
        <w:rPr>
          <w:noProof/>
        </w:rPr>
        <w:t>.</w:t>
      </w:r>
    </w:p>
    <w:p w14:paraId="3F1DAB5D" w14:textId="7873493E" w:rsidR="00F47A62" w:rsidRPr="00915638" w:rsidRDefault="70978AFE" w:rsidP="00732628">
      <w:pPr>
        <w:pStyle w:val="ManualConsidrant"/>
        <w:rPr>
          <w:noProof/>
        </w:rPr>
      </w:pPr>
      <w:r w:rsidRPr="00915638">
        <w:rPr>
          <w:noProof/>
        </w:rPr>
        <w:t>(</w:t>
      </w:r>
      <w:r w:rsidR="00BD2BFC">
        <w:rPr>
          <w:noProof/>
        </w:rPr>
        <w:t>5</w:t>
      </w:r>
      <w:r w:rsidRPr="00915638">
        <w:rPr>
          <w:noProof/>
        </w:rPr>
        <w:t>)</w:t>
      </w:r>
      <w:r w:rsidR="00732628" w:rsidRPr="00915638">
        <w:rPr>
          <w:noProof/>
        </w:rPr>
        <w:tab/>
      </w:r>
      <w:r w:rsidR="5258E78C" w:rsidRPr="00915638">
        <w:rPr>
          <w:noProof/>
        </w:rPr>
        <w:t xml:space="preserve">The European Central Bank </w:t>
      </w:r>
      <w:r w:rsidR="6A13CD5A" w:rsidRPr="00915638">
        <w:rPr>
          <w:noProof/>
        </w:rPr>
        <w:t xml:space="preserve">(‘ECB’) </w:t>
      </w:r>
      <w:r w:rsidR="5258E78C" w:rsidRPr="00915638">
        <w:rPr>
          <w:noProof/>
        </w:rPr>
        <w:t xml:space="preserve">was established on 1 July 1998. The European Monetary System has been replaced by an exchange rate mechanism, the setting-up of which was agreed by </w:t>
      </w:r>
      <w:r w:rsidR="20E1757A" w:rsidRPr="00915638">
        <w:rPr>
          <w:noProof/>
        </w:rPr>
        <w:t xml:space="preserve">the </w:t>
      </w:r>
      <w:r w:rsidR="5D12A739" w:rsidRPr="00915638">
        <w:rPr>
          <w:noProof/>
        </w:rPr>
        <w:t>R</w:t>
      </w:r>
      <w:r w:rsidR="5258E78C" w:rsidRPr="00915638">
        <w:rPr>
          <w:noProof/>
        </w:rPr>
        <w:t>esolution of the European Council on the establishment of an exchange</w:t>
      </w:r>
      <w:r w:rsidR="00283BD4">
        <w:rPr>
          <w:noProof/>
        </w:rPr>
        <w:t xml:space="preserve"> </w:t>
      </w:r>
      <w:r w:rsidR="003B1FC3">
        <w:rPr>
          <w:noProof/>
        </w:rPr>
        <w:t>rate</w:t>
      </w:r>
      <w:r w:rsidR="5258E78C" w:rsidRPr="00915638">
        <w:rPr>
          <w:noProof/>
        </w:rPr>
        <w:t xml:space="preserve"> mechanism in the third stage of economic and monetary union of 16</w:t>
      </w:r>
      <w:r w:rsidR="00915638">
        <w:rPr>
          <w:noProof/>
        </w:rPr>
        <w:t> </w:t>
      </w:r>
      <w:r w:rsidR="5258E78C" w:rsidRPr="00915638">
        <w:rPr>
          <w:noProof/>
        </w:rPr>
        <w:t>June 1997</w:t>
      </w:r>
      <w:r w:rsidR="6A13CD5A" w:rsidRPr="00915638">
        <w:rPr>
          <w:noProof/>
        </w:rPr>
        <w:t xml:space="preserve"> (</w:t>
      </w:r>
      <w:r w:rsidR="00F47A62" w:rsidRPr="00915638">
        <w:rPr>
          <w:rStyle w:val="FootnoteReference"/>
          <w:noProof/>
        </w:rPr>
        <w:footnoteReference w:id="18"/>
      </w:r>
      <w:r w:rsidR="6A13CD5A" w:rsidRPr="00915638">
        <w:rPr>
          <w:noProof/>
        </w:rPr>
        <w:t>)</w:t>
      </w:r>
      <w:r w:rsidR="5258E78C" w:rsidRPr="00915638">
        <w:rPr>
          <w:noProof/>
        </w:rPr>
        <w:t>. The procedures for an exchange</w:t>
      </w:r>
      <w:r w:rsidR="00283BD4">
        <w:rPr>
          <w:noProof/>
        </w:rPr>
        <w:t xml:space="preserve"> </w:t>
      </w:r>
      <w:r w:rsidR="003B1FC3">
        <w:rPr>
          <w:noProof/>
        </w:rPr>
        <w:t>rate</w:t>
      </w:r>
      <w:r w:rsidR="5258E78C" w:rsidRPr="00915638">
        <w:rPr>
          <w:noProof/>
        </w:rPr>
        <w:t xml:space="preserve"> mechanism in stage three of economic and monetary union (ERM II) were laid down in the Agreement of 16</w:t>
      </w:r>
      <w:r w:rsidR="00915638">
        <w:rPr>
          <w:noProof/>
        </w:rPr>
        <w:t> </w:t>
      </w:r>
      <w:r w:rsidR="5258E78C" w:rsidRPr="00915638">
        <w:rPr>
          <w:noProof/>
        </w:rPr>
        <w:t xml:space="preserve">March 2006 between the </w:t>
      </w:r>
      <w:r w:rsidR="00C9779B" w:rsidRPr="00915638">
        <w:rPr>
          <w:noProof/>
        </w:rPr>
        <w:t xml:space="preserve">ECB </w:t>
      </w:r>
      <w:r w:rsidR="5258E78C" w:rsidRPr="00915638">
        <w:rPr>
          <w:noProof/>
        </w:rPr>
        <w:t>and the national central banks of the Member States outside the euro area laying down the operating procedures for an exchange rate mechanism in stage three of economic and monetary union</w:t>
      </w:r>
      <w:r w:rsidR="002D3D2A" w:rsidRPr="00915638">
        <w:rPr>
          <w:noProof/>
        </w:rPr>
        <w:t xml:space="preserve"> </w:t>
      </w:r>
      <w:r w:rsidR="4CD6DAA6" w:rsidRPr="00915638">
        <w:rPr>
          <w:noProof/>
        </w:rPr>
        <w:t>(</w:t>
      </w:r>
      <w:r w:rsidR="00F47A62" w:rsidRPr="00915638">
        <w:rPr>
          <w:rStyle w:val="FootnoteReference"/>
          <w:noProof/>
        </w:rPr>
        <w:footnoteReference w:id="19"/>
      </w:r>
      <w:r w:rsidR="4CD6DAA6" w:rsidRPr="00915638">
        <w:rPr>
          <w:noProof/>
        </w:rPr>
        <w:t>)</w:t>
      </w:r>
      <w:r w:rsidR="002D3D2A" w:rsidRPr="00915638">
        <w:rPr>
          <w:noProof/>
        </w:rPr>
        <w:t>.</w:t>
      </w:r>
    </w:p>
    <w:p w14:paraId="7043DC2F" w14:textId="79CDBF77" w:rsidR="00F47A62" w:rsidRPr="00915638" w:rsidRDefault="70978AFE" w:rsidP="00732628">
      <w:pPr>
        <w:pStyle w:val="ManualConsidrant"/>
        <w:rPr>
          <w:noProof/>
        </w:rPr>
      </w:pPr>
      <w:r w:rsidRPr="00915638">
        <w:rPr>
          <w:noProof/>
        </w:rPr>
        <w:t>(</w:t>
      </w:r>
      <w:r w:rsidR="00BD2BFC">
        <w:rPr>
          <w:noProof/>
        </w:rPr>
        <w:t>6</w:t>
      </w:r>
      <w:r w:rsidRPr="00915638">
        <w:rPr>
          <w:noProof/>
        </w:rPr>
        <w:t>)</w:t>
      </w:r>
      <w:r w:rsidR="00732628" w:rsidRPr="00915638">
        <w:rPr>
          <w:noProof/>
        </w:rPr>
        <w:tab/>
      </w:r>
      <w:r w:rsidR="5258E78C" w:rsidRPr="00915638">
        <w:rPr>
          <w:noProof/>
        </w:rPr>
        <w:t>Article</w:t>
      </w:r>
      <w:r w:rsidR="00915638">
        <w:rPr>
          <w:noProof/>
        </w:rPr>
        <w:t> </w:t>
      </w:r>
      <w:r w:rsidR="5258E78C" w:rsidRPr="00915638">
        <w:rPr>
          <w:noProof/>
        </w:rPr>
        <w:t xml:space="preserve">140(2) </w:t>
      </w:r>
      <w:r w:rsidR="6F7D8834" w:rsidRPr="00915638">
        <w:rPr>
          <w:noProof/>
        </w:rPr>
        <w:t>TFEU</w:t>
      </w:r>
      <w:r w:rsidR="5258E78C" w:rsidRPr="00915638">
        <w:rPr>
          <w:noProof/>
        </w:rPr>
        <w:t xml:space="preserve"> lays down the procedures for abrogati</w:t>
      </w:r>
      <w:r w:rsidR="606FE911" w:rsidRPr="00915638">
        <w:rPr>
          <w:noProof/>
        </w:rPr>
        <w:t>ng</w:t>
      </w:r>
      <w:r w:rsidR="5258E78C" w:rsidRPr="00915638">
        <w:rPr>
          <w:noProof/>
        </w:rPr>
        <w:t xml:space="preserve"> the derogation</w:t>
      </w:r>
      <w:r w:rsidR="355DF42B" w:rsidRPr="00915638">
        <w:rPr>
          <w:noProof/>
        </w:rPr>
        <w:t>s</w:t>
      </w:r>
      <w:r w:rsidR="5258E78C" w:rsidRPr="00915638">
        <w:rPr>
          <w:noProof/>
        </w:rPr>
        <w:t xml:space="preserve"> of the Member States concerned. At least once every two years, or at the request of a Member State with a derogation, the Commission and the ECB </w:t>
      </w:r>
      <w:r w:rsidR="41F53624" w:rsidRPr="00915638">
        <w:rPr>
          <w:noProof/>
        </w:rPr>
        <w:t>are to</w:t>
      </w:r>
      <w:r w:rsidR="5258E78C" w:rsidRPr="00915638">
        <w:rPr>
          <w:noProof/>
        </w:rPr>
        <w:t xml:space="preserve"> report to the Council in accordance with the procedure laid down in Article</w:t>
      </w:r>
      <w:r w:rsidR="00915638">
        <w:rPr>
          <w:noProof/>
        </w:rPr>
        <w:t> </w:t>
      </w:r>
      <w:r w:rsidR="5258E78C" w:rsidRPr="00915638">
        <w:rPr>
          <w:noProof/>
        </w:rPr>
        <w:t xml:space="preserve">140(1) </w:t>
      </w:r>
      <w:r w:rsidR="6F7D8834" w:rsidRPr="00915638">
        <w:rPr>
          <w:noProof/>
        </w:rPr>
        <w:t>TFEU</w:t>
      </w:r>
      <w:r w:rsidR="5258E78C" w:rsidRPr="00915638">
        <w:rPr>
          <w:noProof/>
        </w:rPr>
        <w:t xml:space="preserve">. </w:t>
      </w:r>
    </w:p>
    <w:p w14:paraId="7662E943" w14:textId="65372074" w:rsidR="00F47A62" w:rsidRPr="00915638" w:rsidRDefault="70978AFE" w:rsidP="00732628">
      <w:pPr>
        <w:pStyle w:val="ManualConsidrant"/>
        <w:rPr>
          <w:noProof/>
        </w:rPr>
      </w:pPr>
      <w:r w:rsidRPr="00915638">
        <w:rPr>
          <w:noProof/>
        </w:rPr>
        <w:t>(</w:t>
      </w:r>
      <w:r w:rsidR="00BD2BFC">
        <w:rPr>
          <w:noProof/>
        </w:rPr>
        <w:t>7</w:t>
      </w:r>
      <w:r w:rsidRPr="00915638">
        <w:rPr>
          <w:noProof/>
        </w:rPr>
        <w:t>)</w:t>
      </w:r>
      <w:r w:rsidR="00732628" w:rsidRPr="00915638">
        <w:rPr>
          <w:noProof/>
        </w:rPr>
        <w:tab/>
      </w:r>
      <w:r w:rsidR="5258E78C" w:rsidRPr="00915638">
        <w:rPr>
          <w:noProof/>
        </w:rPr>
        <w:t>National legislation in the Member States</w:t>
      </w:r>
      <w:r w:rsidR="43C3FE70" w:rsidRPr="00915638">
        <w:rPr>
          <w:noProof/>
        </w:rPr>
        <w:t>,</w:t>
      </w:r>
      <w:r w:rsidR="5258E78C" w:rsidRPr="00915638">
        <w:rPr>
          <w:noProof/>
        </w:rPr>
        <w:t xml:space="preserve"> including the statutes of national central banks, is to be adapted as necessary with a view to ensuring compatibility with Articles 130 and 131 </w:t>
      </w:r>
      <w:r w:rsidR="43C3FE70" w:rsidRPr="00915638">
        <w:rPr>
          <w:noProof/>
        </w:rPr>
        <w:t>TFEU</w:t>
      </w:r>
      <w:r w:rsidR="5258E78C" w:rsidRPr="00915638">
        <w:rPr>
          <w:noProof/>
        </w:rPr>
        <w:t xml:space="preserve"> and </w:t>
      </w:r>
      <w:r w:rsidR="43C3FE70" w:rsidRPr="00915638">
        <w:rPr>
          <w:noProof/>
        </w:rPr>
        <w:t xml:space="preserve">with </w:t>
      </w:r>
      <w:r w:rsidR="5258E78C" w:rsidRPr="00915638">
        <w:rPr>
          <w:noProof/>
        </w:rPr>
        <w:t>the Statute of the European System of Central Banks and</w:t>
      </w:r>
      <w:r w:rsidR="43C3FE70" w:rsidRPr="00915638">
        <w:rPr>
          <w:noProof/>
        </w:rPr>
        <w:t xml:space="preserve"> of the European Central Bank (‘</w:t>
      </w:r>
      <w:r w:rsidR="5258E78C" w:rsidRPr="00915638">
        <w:rPr>
          <w:noProof/>
        </w:rPr>
        <w:t xml:space="preserve">Statute of the </w:t>
      </w:r>
      <w:r w:rsidR="43C3FE70" w:rsidRPr="00915638">
        <w:rPr>
          <w:noProof/>
        </w:rPr>
        <w:t>ESCB and of the ECB’</w:t>
      </w:r>
      <w:r w:rsidR="5258E78C" w:rsidRPr="00915638">
        <w:rPr>
          <w:noProof/>
        </w:rPr>
        <w:t xml:space="preserve">). The reports of the Commission and the ECB provide a detailed assessment of the compatibility of the legislation of </w:t>
      </w:r>
      <w:r w:rsidR="6DEFE171" w:rsidRPr="00915638">
        <w:rPr>
          <w:noProof/>
        </w:rPr>
        <w:t xml:space="preserve">Bulgaria </w:t>
      </w:r>
      <w:r w:rsidR="5258E78C" w:rsidRPr="00915638">
        <w:rPr>
          <w:noProof/>
        </w:rPr>
        <w:t xml:space="preserve">with Articles 130 and 131 </w:t>
      </w:r>
      <w:r w:rsidR="00430883">
        <w:rPr>
          <w:noProof/>
        </w:rPr>
        <w:t>TFEU</w:t>
      </w:r>
      <w:r w:rsidR="5258E78C" w:rsidRPr="00915638">
        <w:rPr>
          <w:noProof/>
        </w:rPr>
        <w:t xml:space="preserve"> and </w:t>
      </w:r>
      <w:r w:rsidR="1EB5D367" w:rsidRPr="00915638">
        <w:rPr>
          <w:noProof/>
        </w:rPr>
        <w:t xml:space="preserve">with </w:t>
      </w:r>
      <w:r w:rsidR="5258E78C" w:rsidRPr="00915638">
        <w:rPr>
          <w:noProof/>
        </w:rPr>
        <w:t>the Statute of the ESCB and of the ECB.</w:t>
      </w:r>
    </w:p>
    <w:p w14:paraId="4B9BA8A6" w14:textId="0EE4F575" w:rsidR="003868AA" w:rsidRPr="00915638" w:rsidRDefault="078BEE45">
      <w:pPr>
        <w:pStyle w:val="ManualConsidrant"/>
        <w:rPr>
          <w:noProof/>
        </w:rPr>
      </w:pPr>
      <w:r w:rsidRPr="00915638">
        <w:rPr>
          <w:noProof/>
        </w:rPr>
        <w:t>(</w:t>
      </w:r>
      <w:r w:rsidR="00BD2BFC">
        <w:rPr>
          <w:noProof/>
        </w:rPr>
        <w:t>8</w:t>
      </w:r>
      <w:r w:rsidRPr="00915638">
        <w:rPr>
          <w:noProof/>
        </w:rPr>
        <w:t>)</w:t>
      </w:r>
      <w:r w:rsidR="00732628" w:rsidRPr="00915638">
        <w:rPr>
          <w:noProof/>
        </w:rPr>
        <w:tab/>
      </w:r>
      <w:r w:rsidR="686312DC" w:rsidRPr="00915638">
        <w:rPr>
          <w:noProof/>
        </w:rPr>
        <w:t>In a</w:t>
      </w:r>
      <w:r w:rsidR="6211DAB0" w:rsidRPr="00915638">
        <w:rPr>
          <w:noProof/>
        </w:rPr>
        <w:t>ccord</w:t>
      </w:r>
      <w:r w:rsidR="686312DC" w:rsidRPr="00915638">
        <w:rPr>
          <w:noProof/>
        </w:rPr>
        <w:t>ance with</w:t>
      </w:r>
      <w:r w:rsidR="3FF0B4BB" w:rsidRPr="00915638">
        <w:rPr>
          <w:noProof/>
        </w:rPr>
        <w:t xml:space="preserve"> Article</w:t>
      </w:r>
      <w:r w:rsidR="00915638">
        <w:rPr>
          <w:noProof/>
        </w:rPr>
        <w:t> </w:t>
      </w:r>
      <w:r w:rsidR="3FF0B4BB" w:rsidRPr="00915638">
        <w:rPr>
          <w:noProof/>
        </w:rPr>
        <w:t>1 of</w:t>
      </w:r>
      <w:r w:rsidR="6211DAB0" w:rsidRPr="00915638">
        <w:rPr>
          <w:noProof/>
        </w:rPr>
        <w:t xml:space="preserve"> Protocol No</w:t>
      </w:r>
      <w:r w:rsidR="00915638">
        <w:rPr>
          <w:noProof/>
        </w:rPr>
        <w:t> </w:t>
      </w:r>
      <w:r w:rsidR="6211DAB0" w:rsidRPr="00915638">
        <w:rPr>
          <w:noProof/>
        </w:rPr>
        <w:t xml:space="preserve">13 on the convergence criteria </w:t>
      </w:r>
      <w:r w:rsidR="22B899CC" w:rsidRPr="00915638">
        <w:rPr>
          <w:noProof/>
        </w:rPr>
        <w:t>annexed</w:t>
      </w:r>
      <w:r w:rsidR="6211DAB0" w:rsidRPr="00915638">
        <w:rPr>
          <w:noProof/>
        </w:rPr>
        <w:t xml:space="preserve"> to </w:t>
      </w:r>
      <w:r w:rsidR="723A9A30" w:rsidRPr="00915638">
        <w:rPr>
          <w:noProof/>
        </w:rPr>
        <w:t xml:space="preserve">the </w:t>
      </w:r>
      <w:r w:rsidR="686312DC" w:rsidRPr="00915638">
        <w:rPr>
          <w:noProof/>
        </w:rPr>
        <w:t>TFEU</w:t>
      </w:r>
      <w:r w:rsidR="6211DAB0" w:rsidRPr="00915638">
        <w:rPr>
          <w:noProof/>
        </w:rPr>
        <w:t>, the criterion on price stability referred to in the first indent of Article</w:t>
      </w:r>
      <w:r w:rsidR="00915638">
        <w:rPr>
          <w:noProof/>
        </w:rPr>
        <w:t> </w:t>
      </w:r>
      <w:r w:rsidR="6211DAB0" w:rsidRPr="00915638">
        <w:rPr>
          <w:noProof/>
        </w:rPr>
        <w:t xml:space="preserve">140(1) </w:t>
      </w:r>
      <w:r w:rsidR="686312DC" w:rsidRPr="00915638">
        <w:rPr>
          <w:noProof/>
        </w:rPr>
        <w:t>TFEU</w:t>
      </w:r>
      <w:r w:rsidR="6211DAB0" w:rsidRPr="00915638">
        <w:rPr>
          <w:noProof/>
        </w:rPr>
        <w:t xml:space="preserve"> means that a Member State has a price performance that is sustainable and an average rate of inflation, observed over a period of one year before the examination, that does not exceed by more than one and a half percentage points that of, at most, the three best</w:t>
      </w:r>
      <w:r w:rsidR="003B1FC3">
        <w:rPr>
          <w:noProof/>
        </w:rPr>
        <w:t>-</w:t>
      </w:r>
      <w:r w:rsidR="6211DAB0" w:rsidRPr="00915638">
        <w:rPr>
          <w:noProof/>
        </w:rPr>
        <w:t>performing Member States in terms of price stability. For the purpose of the criterion on</w:t>
      </w:r>
      <w:r w:rsidR="2643054B" w:rsidRPr="00915638">
        <w:rPr>
          <w:noProof/>
        </w:rPr>
        <w:t xml:space="preserve"> price stability, inflation is</w:t>
      </w:r>
      <w:r w:rsidR="6211DAB0" w:rsidRPr="00915638">
        <w:rPr>
          <w:noProof/>
        </w:rPr>
        <w:t xml:space="preserve"> measured by the harmonised indices of consumer prices (HICPs) defined in </w:t>
      </w:r>
      <w:r w:rsidR="3D116843" w:rsidRPr="00915638">
        <w:rPr>
          <w:noProof/>
        </w:rPr>
        <w:t>Regulation (EU) 2016/792 of the European Parliament and of the Council</w:t>
      </w:r>
      <w:r w:rsidR="2643054B" w:rsidRPr="00915638">
        <w:rPr>
          <w:noProof/>
        </w:rPr>
        <w:t xml:space="preserve"> (</w:t>
      </w:r>
      <w:r w:rsidR="00F47A62" w:rsidRPr="00915638">
        <w:rPr>
          <w:rStyle w:val="FootnoteReference"/>
          <w:noProof/>
        </w:rPr>
        <w:footnoteReference w:id="20"/>
      </w:r>
      <w:r w:rsidR="2643054B" w:rsidRPr="00915638">
        <w:rPr>
          <w:noProof/>
        </w:rPr>
        <w:t>)</w:t>
      </w:r>
      <w:r w:rsidR="6211DAB0" w:rsidRPr="00915638">
        <w:rPr>
          <w:noProof/>
        </w:rPr>
        <w:t xml:space="preserve">. </w:t>
      </w:r>
      <w:r w:rsidR="5BDD2C7F" w:rsidRPr="00915638">
        <w:rPr>
          <w:noProof/>
        </w:rPr>
        <w:t>T</w:t>
      </w:r>
      <w:r w:rsidR="6211DAB0" w:rsidRPr="00915638">
        <w:rPr>
          <w:noProof/>
        </w:rPr>
        <w:t>o assess the price stability criterion</w:t>
      </w:r>
      <w:r w:rsidR="5BDD2C7F" w:rsidRPr="00915638">
        <w:rPr>
          <w:noProof/>
        </w:rPr>
        <w:t>,</w:t>
      </w:r>
      <w:r w:rsidR="6211DAB0" w:rsidRPr="00915638">
        <w:rPr>
          <w:noProof/>
        </w:rPr>
        <w:t xml:space="preserve"> a Member State</w:t>
      </w:r>
      <w:r w:rsidR="43BC4B39" w:rsidRPr="00915638">
        <w:rPr>
          <w:noProof/>
        </w:rPr>
        <w:t>’</w:t>
      </w:r>
      <w:r w:rsidR="6211DAB0" w:rsidRPr="00915638">
        <w:rPr>
          <w:noProof/>
        </w:rPr>
        <w:t xml:space="preserve">s inflation is measured by the percentage change in the arithmetic average of 12 monthly </w:t>
      </w:r>
      <w:r w:rsidR="6211DAB0" w:rsidRPr="00A024C3">
        <w:rPr>
          <w:noProof/>
        </w:rPr>
        <w:t>indices</w:t>
      </w:r>
      <w:r w:rsidR="5BDD2C7F" w:rsidRPr="00A024C3">
        <w:rPr>
          <w:noProof/>
        </w:rPr>
        <w:t>,</w:t>
      </w:r>
      <w:r w:rsidR="6211DAB0" w:rsidRPr="00A024C3">
        <w:rPr>
          <w:noProof/>
        </w:rPr>
        <w:t xml:space="preserve"> relative to the arithmetic average of 12 monthly indices f</w:t>
      </w:r>
      <w:r w:rsidR="5BDD2C7F" w:rsidRPr="00A024C3">
        <w:rPr>
          <w:noProof/>
        </w:rPr>
        <w:t>rom</w:t>
      </w:r>
      <w:r w:rsidR="6211DAB0" w:rsidRPr="00A024C3">
        <w:rPr>
          <w:noProof/>
        </w:rPr>
        <w:t xml:space="preserve"> the previous period. A reference value calculated as the simple arithmetic average of the inflation rates of the three best-performing Member States in </w:t>
      </w:r>
      <w:r w:rsidR="0766B1A5" w:rsidRPr="00A024C3">
        <w:rPr>
          <w:noProof/>
        </w:rPr>
        <w:t>terms of price stability</w:t>
      </w:r>
      <w:r w:rsidR="5BDD2C7F" w:rsidRPr="00A024C3">
        <w:rPr>
          <w:noProof/>
        </w:rPr>
        <w:t>,</w:t>
      </w:r>
      <w:r w:rsidR="0766B1A5" w:rsidRPr="00A024C3">
        <w:rPr>
          <w:noProof/>
        </w:rPr>
        <w:t xml:space="preserve"> plus 1</w:t>
      </w:r>
      <w:r w:rsidR="00913147">
        <w:rPr>
          <w:noProof/>
        </w:rPr>
        <w:t>.</w:t>
      </w:r>
      <w:r w:rsidR="6211DAB0" w:rsidRPr="00A024C3">
        <w:rPr>
          <w:noProof/>
        </w:rPr>
        <w:t>5 percentage points</w:t>
      </w:r>
      <w:r w:rsidR="5BDD2C7F" w:rsidRPr="00A024C3">
        <w:rPr>
          <w:noProof/>
        </w:rPr>
        <w:t>,</w:t>
      </w:r>
      <w:r w:rsidR="6211DAB0" w:rsidRPr="00A024C3">
        <w:rPr>
          <w:noProof/>
        </w:rPr>
        <w:t xml:space="preserve"> was </w:t>
      </w:r>
      <w:r w:rsidR="5BDD2C7F" w:rsidRPr="00A024C3">
        <w:rPr>
          <w:noProof/>
        </w:rPr>
        <w:t xml:space="preserve">used </w:t>
      </w:r>
      <w:r w:rsidR="6211DAB0" w:rsidRPr="00A024C3">
        <w:rPr>
          <w:noProof/>
        </w:rPr>
        <w:t>in the reports of the Commission and the ECB.</w:t>
      </w:r>
      <w:r w:rsidR="7ED07EA7" w:rsidRPr="00A024C3">
        <w:rPr>
          <w:noProof/>
        </w:rPr>
        <w:t xml:space="preserve"> In the one-year period ending in April 202</w:t>
      </w:r>
      <w:r w:rsidR="7FD0EB81" w:rsidRPr="00A024C3">
        <w:rPr>
          <w:noProof/>
        </w:rPr>
        <w:t>5</w:t>
      </w:r>
      <w:r w:rsidR="7ED07EA7" w:rsidRPr="00A024C3">
        <w:rPr>
          <w:noProof/>
        </w:rPr>
        <w:t xml:space="preserve">, the inflation reference value was calculated to be </w:t>
      </w:r>
      <w:r w:rsidR="5BB5E9D8" w:rsidRPr="00A024C3">
        <w:rPr>
          <w:noProof/>
        </w:rPr>
        <w:t>2</w:t>
      </w:r>
      <w:r w:rsidR="00E7763D">
        <w:rPr>
          <w:noProof/>
        </w:rPr>
        <w:t>.</w:t>
      </w:r>
      <w:r w:rsidR="5BB5E9D8" w:rsidRPr="00A024C3">
        <w:rPr>
          <w:noProof/>
        </w:rPr>
        <w:t>8</w:t>
      </w:r>
      <w:r w:rsidR="7DFEB3AC" w:rsidRPr="00A024C3">
        <w:rPr>
          <w:noProof/>
        </w:rPr>
        <w:t>%</w:t>
      </w:r>
      <w:r w:rsidR="7ED07EA7" w:rsidRPr="00A024C3">
        <w:rPr>
          <w:noProof/>
        </w:rPr>
        <w:t xml:space="preserve">, </w:t>
      </w:r>
      <w:r w:rsidR="28F7F337" w:rsidRPr="00A024C3">
        <w:rPr>
          <w:noProof/>
        </w:rPr>
        <w:t xml:space="preserve">with </w:t>
      </w:r>
      <w:r w:rsidR="1BFBCA15" w:rsidRPr="00A024C3">
        <w:rPr>
          <w:noProof/>
        </w:rPr>
        <w:t>Ireland</w:t>
      </w:r>
      <w:r w:rsidR="5BB5E9D8" w:rsidRPr="00A024C3">
        <w:rPr>
          <w:noProof/>
        </w:rPr>
        <w:t xml:space="preserve">, </w:t>
      </w:r>
      <w:r w:rsidR="1BFBCA15" w:rsidRPr="00A024C3">
        <w:rPr>
          <w:noProof/>
        </w:rPr>
        <w:t>Finland and Italy</w:t>
      </w:r>
      <w:r w:rsidR="7ED07EA7" w:rsidRPr="00A024C3">
        <w:rPr>
          <w:noProof/>
        </w:rPr>
        <w:t xml:space="preserve"> as the three best-performing Member States in terms of price st</w:t>
      </w:r>
      <w:r w:rsidR="17A8BA34" w:rsidRPr="00A024C3">
        <w:rPr>
          <w:noProof/>
        </w:rPr>
        <w:t>a</w:t>
      </w:r>
      <w:r w:rsidR="7ED07EA7" w:rsidRPr="00A024C3">
        <w:rPr>
          <w:noProof/>
        </w:rPr>
        <w:t xml:space="preserve">bility, with inflation rates </w:t>
      </w:r>
      <w:r w:rsidR="28F7F337" w:rsidRPr="00A024C3">
        <w:rPr>
          <w:noProof/>
        </w:rPr>
        <w:t xml:space="preserve">of </w:t>
      </w:r>
      <w:r w:rsidR="20641CDD" w:rsidRPr="00A024C3">
        <w:rPr>
          <w:noProof/>
        </w:rPr>
        <w:t>1</w:t>
      </w:r>
      <w:r w:rsidR="00E7763D">
        <w:rPr>
          <w:noProof/>
        </w:rPr>
        <w:t>.</w:t>
      </w:r>
      <w:r w:rsidR="20641CDD" w:rsidRPr="00A024C3">
        <w:rPr>
          <w:noProof/>
        </w:rPr>
        <w:t>2</w:t>
      </w:r>
      <w:r w:rsidR="05A6690E" w:rsidRPr="00A024C3">
        <w:rPr>
          <w:noProof/>
        </w:rPr>
        <w:t xml:space="preserve">%, </w:t>
      </w:r>
      <w:r w:rsidR="20641CDD" w:rsidRPr="00A024C3">
        <w:rPr>
          <w:noProof/>
        </w:rPr>
        <w:t>1</w:t>
      </w:r>
      <w:r w:rsidR="00E7763D">
        <w:rPr>
          <w:noProof/>
        </w:rPr>
        <w:t>.</w:t>
      </w:r>
      <w:r w:rsidR="20641CDD" w:rsidRPr="00A024C3">
        <w:rPr>
          <w:noProof/>
        </w:rPr>
        <w:t>3</w:t>
      </w:r>
      <w:r w:rsidR="7E326930" w:rsidRPr="00A024C3">
        <w:rPr>
          <w:noProof/>
        </w:rPr>
        <w:t>%,</w:t>
      </w:r>
      <w:r w:rsidR="7ED07EA7" w:rsidRPr="00A024C3">
        <w:rPr>
          <w:noProof/>
        </w:rPr>
        <w:t xml:space="preserve"> and </w:t>
      </w:r>
      <w:r w:rsidR="20641CDD" w:rsidRPr="00A024C3">
        <w:rPr>
          <w:noProof/>
        </w:rPr>
        <w:t>1</w:t>
      </w:r>
      <w:r w:rsidR="00E7763D">
        <w:rPr>
          <w:noProof/>
        </w:rPr>
        <w:t>.</w:t>
      </w:r>
      <w:r w:rsidR="20641CDD" w:rsidRPr="00A024C3">
        <w:rPr>
          <w:noProof/>
        </w:rPr>
        <w:t>4</w:t>
      </w:r>
      <w:r w:rsidR="2BF7ED54" w:rsidRPr="00A024C3">
        <w:rPr>
          <w:noProof/>
        </w:rPr>
        <w:t>%</w:t>
      </w:r>
      <w:r w:rsidR="7ED07EA7" w:rsidRPr="00A024C3">
        <w:rPr>
          <w:noProof/>
        </w:rPr>
        <w:t>, respectively.</w:t>
      </w:r>
    </w:p>
    <w:p w14:paraId="2DA1C524" w14:textId="00A951E4" w:rsidR="00F47A62" w:rsidRPr="00915638" w:rsidRDefault="00732628" w:rsidP="00732628">
      <w:pPr>
        <w:pStyle w:val="ManualConsidrant"/>
        <w:rPr>
          <w:noProof/>
        </w:rPr>
      </w:pPr>
      <w:r w:rsidRPr="00915638">
        <w:rPr>
          <w:noProof/>
        </w:rPr>
        <w:t>(</w:t>
      </w:r>
      <w:r w:rsidR="00BD2BFC">
        <w:rPr>
          <w:noProof/>
        </w:rPr>
        <w:t>9</w:t>
      </w:r>
      <w:r w:rsidRPr="00915638">
        <w:rPr>
          <w:noProof/>
        </w:rPr>
        <w:t>)</w:t>
      </w:r>
      <w:r w:rsidRPr="00915638">
        <w:rPr>
          <w:noProof/>
        </w:rPr>
        <w:tab/>
      </w:r>
      <w:r w:rsidR="00DD75C2" w:rsidRPr="00915638">
        <w:rPr>
          <w:noProof/>
        </w:rPr>
        <w:t>In accordance</w:t>
      </w:r>
      <w:r w:rsidR="00C85239" w:rsidRPr="00915638">
        <w:rPr>
          <w:noProof/>
        </w:rPr>
        <w:t xml:space="preserve"> </w:t>
      </w:r>
      <w:r w:rsidR="00DD75C2" w:rsidRPr="00915638">
        <w:rPr>
          <w:noProof/>
        </w:rPr>
        <w:t>with</w:t>
      </w:r>
      <w:r w:rsidR="008A26A2" w:rsidRPr="00915638">
        <w:rPr>
          <w:noProof/>
        </w:rPr>
        <w:t xml:space="preserve"> Article</w:t>
      </w:r>
      <w:r w:rsidR="00915638">
        <w:rPr>
          <w:noProof/>
        </w:rPr>
        <w:t> </w:t>
      </w:r>
      <w:r w:rsidR="008A26A2" w:rsidRPr="00915638">
        <w:rPr>
          <w:noProof/>
        </w:rPr>
        <w:t xml:space="preserve">2 of </w:t>
      </w:r>
      <w:r w:rsidR="00F47A62" w:rsidRPr="00915638">
        <w:rPr>
          <w:noProof/>
        </w:rPr>
        <w:t>Protocol No</w:t>
      </w:r>
      <w:r w:rsidR="00915638">
        <w:rPr>
          <w:noProof/>
        </w:rPr>
        <w:t> </w:t>
      </w:r>
      <w:r w:rsidR="00F47A62" w:rsidRPr="00915638">
        <w:rPr>
          <w:noProof/>
        </w:rPr>
        <w:t>13, the criterion on the government budgetary position referred to in the second indent of Article</w:t>
      </w:r>
      <w:r w:rsidR="00915638">
        <w:rPr>
          <w:noProof/>
        </w:rPr>
        <w:t> </w:t>
      </w:r>
      <w:r w:rsidR="00F47A62" w:rsidRPr="00915638">
        <w:rPr>
          <w:noProof/>
        </w:rPr>
        <w:t xml:space="preserve">140(1) </w:t>
      </w:r>
      <w:r w:rsidR="00DD75C2" w:rsidRPr="00915638">
        <w:rPr>
          <w:noProof/>
        </w:rPr>
        <w:t>TFEU</w:t>
      </w:r>
      <w:r w:rsidR="00F47A62" w:rsidRPr="00915638">
        <w:rPr>
          <w:noProof/>
        </w:rPr>
        <w:t xml:space="preserve"> </w:t>
      </w:r>
      <w:r w:rsidR="00DD75C2" w:rsidRPr="00915638">
        <w:rPr>
          <w:noProof/>
        </w:rPr>
        <w:t>requires</w:t>
      </w:r>
      <w:r w:rsidR="00F47A62" w:rsidRPr="00915638">
        <w:rPr>
          <w:noProof/>
        </w:rPr>
        <w:t xml:space="preserve"> that</w:t>
      </w:r>
      <w:r w:rsidR="00DD75C2" w:rsidRPr="00915638">
        <w:rPr>
          <w:noProof/>
        </w:rPr>
        <w:t>,</w:t>
      </w:r>
      <w:r w:rsidR="00F47A62" w:rsidRPr="00915638">
        <w:rPr>
          <w:noProof/>
        </w:rPr>
        <w:t xml:space="preserve"> at the time of the examination</w:t>
      </w:r>
      <w:r w:rsidR="00DD75C2" w:rsidRPr="00915638">
        <w:rPr>
          <w:noProof/>
        </w:rPr>
        <w:t xml:space="preserve">, the Member State </w:t>
      </w:r>
      <w:r w:rsidR="00F47A62" w:rsidRPr="00915638">
        <w:rPr>
          <w:noProof/>
        </w:rPr>
        <w:t xml:space="preserve">not </w:t>
      </w:r>
      <w:r w:rsidR="00DD75C2" w:rsidRPr="00915638">
        <w:rPr>
          <w:noProof/>
        </w:rPr>
        <w:t xml:space="preserve">be </w:t>
      </w:r>
      <w:r w:rsidR="00F47A62" w:rsidRPr="00915638">
        <w:rPr>
          <w:noProof/>
        </w:rPr>
        <w:t>the subject of a Council decision under Article</w:t>
      </w:r>
      <w:r w:rsidR="00915638">
        <w:rPr>
          <w:noProof/>
        </w:rPr>
        <w:t> </w:t>
      </w:r>
      <w:r w:rsidR="00F47A62" w:rsidRPr="00915638">
        <w:rPr>
          <w:noProof/>
        </w:rPr>
        <w:t xml:space="preserve">126(6) </w:t>
      </w:r>
      <w:r w:rsidR="00DD75C2" w:rsidRPr="00915638">
        <w:rPr>
          <w:noProof/>
        </w:rPr>
        <w:t>TFEU</w:t>
      </w:r>
      <w:r w:rsidR="00F47A62" w:rsidRPr="00915638">
        <w:rPr>
          <w:noProof/>
        </w:rPr>
        <w:t xml:space="preserve"> that an excessive deficit exists.</w:t>
      </w:r>
    </w:p>
    <w:p w14:paraId="3214D1F1" w14:textId="7AB736C5" w:rsidR="00F47A62" w:rsidRPr="00915638" w:rsidRDefault="3A2F0320" w:rsidP="00732628">
      <w:pPr>
        <w:pStyle w:val="ManualConsidrant"/>
        <w:rPr>
          <w:noProof/>
        </w:rPr>
      </w:pPr>
      <w:r w:rsidRPr="00915638">
        <w:rPr>
          <w:noProof/>
        </w:rPr>
        <w:t>(</w:t>
      </w:r>
      <w:r w:rsidR="00BD2BFC">
        <w:rPr>
          <w:noProof/>
        </w:rPr>
        <w:t>10</w:t>
      </w:r>
      <w:r w:rsidRPr="00915638">
        <w:rPr>
          <w:noProof/>
        </w:rPr>
        <w:t>)</w:t>
      </w:r>
      <w:r w:rsidR="70978AFE" w:rsidRPr="00915638">
        <w:rPr>
          <w:noProof/>
        </w:rPr>
        <w:tab/>
      </w:r>
      <w:r w:rsidR="21E30AF7" w:rsidRPr="00915638">
        <w:rPr>
          <w:noProof/>
        </w:rPr>
        <w:t>In a</w:t>
      </w:r>
      <w:r w:rsidR="05D865CD" w:rsidRPr="00915638">
        <w:rPr>
          <w:noProof/>
        </w:rPr>
        <w:t>ccord</w:t>
      </w:r>
      <w:r w:rsidR="21E30AF7" w:rsidRPr="00915638">
        <w:rPr>
          <w:noProof/>
        </w:rPr>
        <w:t>ance with</w:t>
      </w:r>
      <w:r w:rsidR="05D865CD" w:rsidRPr="00915638">
        <w:rPr>
          <w:noProof/>
        </w:rPr>
        <w:t xml:space="preserve"> Article</w:t>
      </w:r>
      <w:r w:rsidR="00915638">
        <w:rPr>
          <w:noProof/>
        </w:rPr>
        <w:t> </w:t>
      </w:r>
      <w:r w:rsidR="05D865CD" w:rsidRPr="00915638">
        <w:rPr>
          <w:noProof/>
        </w:rPr>
        <w:t>3 of Protocol No</w:t>
      </w:r>
      <w:r w:rsidR="00915638">
        <w:rPr>
          <w:noProof/>
        </w:rPr>
        <w:t> </w:t>
      </w:r>
      <w:r w:rsidR="05D865CD" w:rsidRPr="00915638">
        <w:rPr>
          <w:noProof/>
        </w:rPr>
        <w:t>13, the criterion on participation in the exchange-rate mechanism of the European Monetary System referred to in the third indent of Article</w:t>
      </w:r>
      <w:r w:rsidR="00915638">
        <w:rPr>
          <w:noProof/>
        </w:rPr>
        <w:t> </w:t>
      </w:r>
      <w:r w:rsidR="05D865CD" w:rsidRPr="00915638">
        <w:rPr>
          <w:noProof/>
        </w:rPr>
        <w:t xml:space="preserve">140(1) </w:t>
      </w:r>
      <w:r w:rsidR="21E30AF7" w:rsidRPr="00915638">
        <w:rPr>
          <w:noProof/>
        </w:rPr>
        <w:t>TFEU</w:t>
      </w:r>
      <w:r w:rsidR="05D865CD" w:rsidRPr="00915638">
        <w:rPr>
          <w:noProof/>
        </w:rPr>
        <w:t xml:space="preserve"> </w:t>
      </w:r>
      <w:r w:rsidR="21E30AF7" w:rsidRPr="00915638">
        <w:rPr>
          <w:noProof/>
        </w:rPr>
        <w:t xml:space="preserve">requires </w:t>
      </w:r>
      <w:r w:rsidR="05D865CD" w:rsidRPr="00915638">
        <w:rPr>
          <w:noProof/>
        </w:rPr>
        <w:t>a Member Sta</w:t>
      </w:r>
      <w:r w:rsidR="21E30AF7" w:rsidRPr="00915638">
        <w:rPr>
          <w:noProof/>
        </w:rPr>
        <w:t xml:space="preserve">te </w:t>
      </w:r>
      <w:r w:rsidR="606F7BAD" w:rsidRPr="00915638">
        <w:rPr>
          <w:noProof/>
        </w:rPr>
        <w:t xml:space="preserve">to </w:t>
      </w:r>
      <w:r w:rsidR="21E30AF7" w:rsidRPr="00915638">
        <w:rPr>
          <w:noProof/>
        </w:rPr>
        <w:t xml:space="preserve">have </w:t>
      </w:r>
      <w:r w:rsidR="63670E77" w:rsidRPr="00915638">
        <w:rPr>
          <w:noProof/>
        </w:rPr>
        <w:t xml:space="preserve">respected </w:t>
      </w:r>
      <w:r w:rsidR="05D865CD" w:rsidRPr="00915638">
        <w:rPr>
          <w:noProof/>
        </w:rPr>
        <w:t>the normal fluctuation margins provided for by the exchange</w:t>
      </w:r>
      <w:r w:rsidR="00647E4B">
        <w:rPr>
          <w:noProof/>
        </w:rPr>
        <w:t xml:space="preserve"> </w:t>
      </w:r>
      <w:r w:rsidR="05D865CD" w:rsidRPr="00915638">
        <w:rPr>
          <w:noProof/>
        </w:rPr>
        <w:t xml:space="preserve">rate mechanism (ERM) of the European </w:t>
      </w:r>
      <w:r w:rsidR="05D865CD" w:rsidRPr="00E17E72">
        <w:rPr>
          <w:noProof/>
        </w:rPr>
        <w:t>Monetary System</w:t>
      </w:r>
      <w:r w:rsidR="606F7BAD" w:rsidRPr="00E17E72">
        <w:rPr>
          <w:noProof/>
        </w:rPr>
        <w:t>,</w:t>
      </w:r>
      <w:r w:rsidR="05D865CD" w:rsidRPr="00E17E72">
        <w:rPr>
          <w:noProof/>
        </w:rPr>
        <w:t xml:space="preserve"> without severe tensions</w:t>
      </w:r>
      <w:r w:rsidR="606F7BAD" w:rsidRPr="00E17E72">
        <w:rPr>
          <w:noProof/>
        </w:rPr>
        <w:t>,</w:t>
      </w:r>
      <w:r w:rsidR="05D865CD" w:rsidRPr="00E17E72">
        <w:rPr>
          <w:noProof/>
        </w:rPr>
        <w:t xml:space="preserve"> for at least the last two years before the examination. In particular, the Member State must not have devalued its currency</w:t>
      </w:r>
      <w:r w:rsidR="48BA12D6" w:rsidRPr="00E17E72">
        <w:rPr>
          <w:noProof/>
        </w:rPr>
        <w:t>’</w:t>
      </w:r>
      <w:r w:rsidR="05D865CD" w:rsidRPr="00E17E72">
        <w:rPr>
          <w:noProof/>
        </w:rPr>
        <w:t>s bilateral central rate against the euro on its own initiative for the same period. Since 1</w:t>
      </w:r>
      <w:r w:rsidR="00915638" w:rsidRPr="00E17E72">
        <w:rPr>
          <w:noProof/>
        </w:rPr>
        <w:t> </w:t>
      </w:r>
      <w:r w:rsidR="05D865CD" w:rsidRPr="00E17E72">
        <w:rPr>
          <w:noProof/>
        </w:rPr>
        <w:t>January 1999</w:t>
      </w:r>
      <w:r w:rsidR="21E30AF7" w:rsidRPr="00E17E72">
        <w:rPr>
          <w:noProof/>
        </w:rPr>
        <w:t>,</w:t>
      </w:r>
      <w:r w:rsidR="05D865CD" w:rsidRPr="00E17E72">
        <w:rPr>
          <w:noProof/>
        </w:rPr>
        <w:t xml:space="preserve"> the ERM II provides the framework for assessing the fulfilment of the exchange rate criterion. In assessing the fulfilment of this criterion in their reports, the Commission and the ECB have examined the two-year period ending on </w:t>
      </w:r>
      <w:r w:rsidR="1CB0E942" w:rsidRPr="00E17E72">
        <w:rPr>
          <w:noProof/>
        </w:rPr>
        <w:t>19</w:t>
      </w:r>
      <w:r w:rsidR="00915638" w:rsidRPr="00E17E72">
        <w:rPr>
          <w:noProof/>
        </w:rPr>
        <w:t> </w:t>
      </w:r>
      <w:r w:rsidR="1CB0E942" w:rsidRPr="00E17E72">
        <w:rPr>
          <w:noProof/>
        </w:rPr>
        <w:t>May 2025</w:t>
      </w:r>
      <w:r w:rsidR="05D865CD" w:rsidRPr="00E17E72">
        <w:rPr>
          <w:noProof/>
        </w:rPr>
        <w:t>.</w:t>
      </w:r>
    </w:p>
    <w:p w14:paraId="63C6D88D" w14:textId="302BF89D" w:rsidR="00F47A62" w:rsidRPr="00A024C3" w:rsidRDefault="078BEE45" w:rsidP="41160824">
      <w:pPr>
        <w:pStyle w:val="ManualConsidrant"/>
        <w:rPr>
          <w:noProof/>
          <w:color w:val="FF0000"/>
        </w:rPr>
      </w:pPr>
      <w:r w:rsidRPr="00915638">
        <w:rPr>
          <w:noProof/>
        </w:rPr>
        <w:t>(</w:t>
      </w:r>
      <w:r w:rsidR="00BD2BFC" w:rsidRPr="00915638">
        <w:rPr>
          <w:noProof/>
        </w:rPr>
        <w:t>1</w:t>
      </w:r>
      <w:r w:rsidR="00BD2BFC">
        <w:rPr>
          <w:noProof/>
        </w:rPr>
        <w:t>1</w:t>
      </w:r>
      <w:r w:rsidRPr="00915638">
        <w:rPr>
          <w:noProof/>
        </w:rPr>
        <w:t>)</w:t>
      </w:r>
      <w:r w:rsidRPr="00915638">
        <w:rPr>
          <w:noProof/>
        </w:rPr>
        <w:tab/>
      </w:r>
      <w:r w:rsidR="3FF0B4BB" w:rsidRPr="00915638">
        <w:rPr>
          <w:noProof/>
        </w:rPr>
        <w:t>In a</w:t>
      </w:r>
      <w:r w:rsidR="6211DAB0" w:rsidRPr="00915638">
        <w:rPr>
          <w:noProof/>
        </w:rPr>
        <w:t>ccord</w:t>
      </w:r>
      <w:r w:rsidR="3FF0B4BB" w:rsidRPr="00915638">
        <w:rPr>
          <w:noProof/>
        </w:rPr>
        <w:t>ance with Article</w:t>
      </w:r>
      <w:r w:rsidR="00915638">
        <w:rPr>
          <w:noProof/>
        </w:rPr>
        <w:t> </w:t>
      </w:r>
      <w:r w:rsidR="3FF0B4BB" w:rsidRPr="00915638">
        <w:rPr>
          <w:noProof/>
        </w:rPr>
        <w:t xml:space="preserve">4 of </w:t>
      </w:r>
      <w:r w:rsidR="6211DAB0" w:rsidRPr="00915638">
        <w:rPr>
          <w:noProof/>
        </w:rPr>
        <w:t>Protocol No</w:t>
      </w:r>
      <w:r w:rsidR="00915638">
        <w:rPr>
          <w:noProof/>
        </w:rPr>
        <w:t> </w:t>
      </w:r>
      <w:r w:rsidR="6211DAB0" w:rsidRPr="00915638">
        <w:rPr>
          <w:noProof/>
        </w:rPr>
        <w:t>13, the criterion on the convergence of interest rates referred to in the fourth indent of Artic</w:t>
      </w:r>
      <w:r w:rsidR="3FF0B4BB" w:rsidRPr="00915638">
        <w:rPr>
          <w:noProof/>
        </w:rPr>
        <w:t>le</w:t>
      </w:r>
      <w:r w:rsidR="00915638">
        <w:rPr>
          <w:noProof/>
        </w:rPr>
        <w:t> </w:t>
      </w:r>
      <w:r w:rsidR="3FF0B4BB" w:rsidRPr="00915638">
        <w:rPr>
          <w:noProof/>
        </w:rPr>
        <w:t xml:space="preserve">140(1) </w:t>
      </w:r>
      <w:r w:rsidR="6211DAB0" w:rsidRPr="00915638">
        <w:rPr>
          <w:noProof/>
        </w:rPr>
        <w:t>T</w:t>
      </w:r>
      <w:r w:rsidR="3FF0B4BB" w:rsidRPr="00915638">
        <w:rPr>
          <w:noProof/>
        </w:rPr>
        <w:t>FEU</w:t>
      </w:r>
      <w:r w:rsidR="6211DAB0" w:rsidRPr="00915638">
        <w:rPr>
          <w:noProof/>
        </w:rPr>
        <w:t xml:space="preserve"> </w:t>
      </w:r>
      <w:r w:rsidR="5C90E8BE" w:rsidRPr="00915638">
        <w:rPr>
          <w:noProof/>
        </w:rPr>
        <w:t>means</w:t>
      </w:r>
      <w:r w:rsidR="59A54955" w:rsidRPr="00915638">
        <w:rPr>
          <w:noProof/>
        </w:rPr>
        <w:t xml:space="preserve"> </w:t>
      </w:r>
      <w:r w:rsidR="6211DAB0" w:rsidRPr="00915638">
        <w:rPr>
          <w:noProof/>
        </w:rPr>
        <w:t>that, observed over a period of one year before the examination</w:t>
      </w:r>
      <w:r w:rsidR="3FF0B4BB" w:rsidRPr="00915638">
        <w:rPr>
          <w:noProof/>
        </w:rPr>
        <w:t>, a Member State ha</w:t>
      </w:r>
      <w:r w:rsidR="43BC4B39" w:rsidRPr="00915638">
        <w:rPr>
          <w:noProof/>
        </w:rPr>
        <w:t>s</w:t>
      </w:r>
      <w:r w:rsidR="6211DAB0" w:rsidRPr="00915638">
        <w:rPr>
          <w:noProof/>
        </w:rPr>
        <w:t xml:space="preserve"> had an average nominal long-term interest rate that does not exceed by more than two percentage points that of, at most, the three best</w:t>
      </w:r>
      <w:r w:rsidR="003B1FC3">
        <w:rPr>
          <w:noProof/>
        </w:rPr>
        <w:t>-</w:t>
      </w:r>
      <w:r w:rsidR="6211DAB0" w:rsidRPr="00915638">
        <w:rPr>
          <w:noProof/>
        </w:rPr>
        <w:t xml:space="preserve">performing Member States in terms of price stability. </w:t>
      </w:r>
      <w:r w:rsidR="48359577" w:rsidRPr="00915638">
        <w:rPr>
          <w:noProof/>
        </w:rPr>
        <w:t>T</w:t>
      </w:r>
      <w:r w:rsidR="6211DAB0" w:rsidRPr="00915638">
        <w:rPr>
          <w:noProof/>
        </w:rPr>
        <w:t>he criteri</w:t>
      </w:r>
      <w:r w:rsidR="3FF0B4BB" w:rsidRPr="00915638">
        <w:rPr>
          <w:noProof/>
        </w:rPr>
        <w:t>on</w:t>
      </w:r>
      <w:r w:rsidR="6211DAB0" w:rsidRPr="00915638">
        <w:rPr>
          <w:noProof/>
        </w:rPr>
        <w:t xml:space="preserve"> </w:t>
      </w:r>
      <w:r w:rsidR="48359577" w:rsidRPr="00915638">
        <w:rPr>
          <w:noProof/>
        </w:rPr>
        <w:t xml:space="preserve">used to assess </w:t>
      </w:r>
      <w:r w:rsidR="6211DAB0" w:rsidRPr="00915638">
        <w:rPr>
          <w:noProof/>
        </w:rPr>
        <w:t>the convergence of interest rates</w:t>
      </w:r>
      <w:r w:rsidR="48359577" w:rsidRPr="00915638">
        <w:rPr>
          <w:noProof/>
        </w:rPr>
        <w:t xml:space="preserve"> was</w:t>
      </w:r>
      <w:r w:rsidR="3FF0B4BB" w:rsidRPr="00915638">
        <w:rPr>
          <w:noProof/>
        </w:rPr>
        <w:t xml:space="preserve"> comparable interest rates on ten</w:t>
      </w:r>
      <w:r w:rsidR="6211DAB0" w:rsidRPr="00915638">
        <w:rPr>
          <w:noProof/>
        </w:rPr>
        <w:t>-year benchmark government bonds.</w:t>
      </w:r>
      <w:r w:rsidR="59A54955" w:rsidRPr="00915638">
        <w:rPr>
          <w:noProof/>
        </w:rPr>
        <w:t xml:space="preserve"> </w:t>
      </w:r>
      <w:r w:rsidR="48359577" w:rsidRPr="00915638">
        <w:rPr>
          <w:noProof/>
        </w:rPr>
        <w:t>T</w:t>
      </w:r>
      <w:r w:rsidR="6211DAB0" w:rsidRPr="00915638">
        <w:rPr>
          <w:noProof/>
        </w:rPr>
        <w:t>o assess the fulfilment of the interest-rate criterion</w:t>
      </w:r>
      <w:r w:rsidR="48359577" w:rsidRPr="00915638">
        <w:rPr>
          <w:noProof/>
        </w:rPr>
        <w:t>,</w:t>
      </w:r>
      <w:r w:rsidR="6211DAB0" w:rsidRPr="00915638">
        <w:rPr>
          <w:noProof/>
        </w:rPr>
        <w:t xml:space="preserve"> a reference value calculated as the simple arithmetic average of the nominal long-term interest rates of the three best</w:t>
      </w:r>
      <w:r w:rsidR="003B1FC3">
        <w:rPr>
          <w:noProof/>
        </w:rPr>
        <w:t>-</w:t>
      </w:r>
      <w:r w:rsidR="6211DAB0" w:rsidRPr="00915638">
        <w:rPr>
          <w:noProof/>
        </w:rPr>
        <w:t>performing Member States in terms of price stability</w:t>
      </w:r>
      <w:r w:rsidR="48359577" w:rsidRPr="00915638">
        <w:rPr>
          <w:noProof/>
        </w:rPr>
        <w:t>,</w:t>
      </w:r>
      <w:r w:rsidR="6211DAB0" w:rsidRPr="00915638">
        <w:rPr>
          <w:noProof/>
        </w:rPr>
        <w:t xml:space="preserve"> plus two percentage points</w:t>
      </w:r>
      <w:r w:rsidR="48359577" w:rsidRPr="00915638">
        <w:rPr>
          <w:noProof/>
        </w:rPr>
        <w:t>,</w:t>
      </w:r>
      <w:r w:rsidR="6211DAB0" w:rsidRPr="00915638">
        <w:rPr>
          <w:noProof/>
        </w:rPr>
        <w:t xml:space="preserve"> was considered in the reports of the Commission and the ECB.</w:t>
      </w:r>
      <w:r w:rsidR="6BB2EB8B" w:rsidRPr="00915638">
        <w:rPr>
          <w:noProof/>
        </w:rPr>
        <w:t xml:space="preserve"> The reference value is based on the long-</w:t>
      </w:r>
      <w:r w:rsidR="6BB2EB8B" w:rsidRPr="00A024C3">
        <w:rPr>
          <w:noProof/>
        </w:rPr>
        <w:t xml:space="preserve">term interest rates in </w:t>
      </w:r>
      <w:r w:rsidR="1BFBCA15" w:rsidRPr="00A024C3">
        <w:rPr>
          <w:noProof/>
        </w:rPr>
        <w:t>Ireland</w:t>
      </w:r>
      <w:r w:rsidR="6BB2EB8B" w:rsidRPr="00A024C3">
        <w:rPr>
          <w:noProof/>
        </w:rPr>
        <w:t xml:space="preserve"> (</w:t>
      </w:r>
      <w:r w:rsidR="400F387A" w:rsidRPr="00A024C3">
        <w:rPr>
          <w:noProof/>
        </w:rPr>
        <w:t>2</w:t>
      </w:r>
      <w:r w:rsidR="00F70606">
        <w:rPr>
          <w:noProof/>
        </w:rPr>
        <w:t>.</w:t>
      </w:r>
      <w:r w:rsidR="0089677B">
        <w:rPr>
          <w:noProof/>
        </w:rPr>
        <w:t>8</w:t>
      </w:r>
      <w:r w:rsidR="75868AB8" w:rsidRPr="00A024C3">
        <w:rPr>
          <w:noProof/>
        </w:rPr>
        <w:t>%</w:t>
      </w:r>
      <w:r w:rsidR="6BB2EB8B" w:rsidRPr="00A024C3">
        <w:rPr>
          <w:noProof/>
        </w:rPr>
        <w:t>)</w:t>
      </w:r>
      <w:r w:rsidR="54369355" w:rsidRPr="00A024C3">
        <w:rPr>
          <w:noProof/>
        </w:rPr>
        <w:t>,</w:t>
      </w:r>
      <w:r w:rsidR="6BB2EB8B" w:rsidRPr="00A024C3">
        <w:rPr>
          <w:noProof/>
        </w:rPr>
        <w:t xml:space="preserve"> </w:t>
      </w:r>
      <w:r w:rsidR="1BFBCA15" w:rsidRPr="00A024C3">
        <w:rPr>
          <w:noProof/>
        </w:rPr>
        <w:t>Finland</w:t>
      </w:r>
      <w:r w:rsidR="400F387A" w:rsidRPr="00A024C3">
        <w:rPr>
          <w:noProof/>
        </w:rPr>
        <w:t xml:space="preserve"> </w:t>
      </w:r>
      <w:r w:rsidR="2904482A" w:rsidRPr="00A024C3">
        <w:rPr>
          <w:noProof/>
        </w:rPr>
        <w:t>(</w:t>
      </w:r>
      <w:r w:rsidR="3B95BB01" w:rsidRPr="00A024C3">
        <w:rPr>
          <w:noProof/>
        </w:rPr>
        <w:t>2</w:t>
      </w:r>
      <w:r w:rsidR="00F70606">
        <w:rPr>
          <w:noProof/>
        </w:rPr>
        <w:t>.</w:t>
      </w:r>
      <w:r w:rsidR="1BFBCA15" w:rsidRPr="00A024C3">
        <w:rPr>
          <w:noProof/>
        </w:rPr>
        <w:t>9</w:t>
      </w:r>
      <w:r w:rsidR="3724B09D" w:rsidRPr="00A024C3">
        <w:rPr>
          <w:noProof/>
        </w:rPr>
        <w:t>%</w:t>
      </w:r>
      <w:r w:rsidR="2904482A" w:rsidRPr="00A024C3">
        <w:rPr>
          <w:noProof/>
        </w:rPr>
        <w:t>)</w:t>
      </w:r>
      <w:r w:rsidR="3724B09D" w:rsidRPr="00A024C3">
        <w:rPr>
          <w:noProof/>
        </w:rPr>
        <w:t xml:space="preserve"> and </w:t>
      </w:r>
      <w:r w:rsidR="1BFBCA15" w:rsidRPr="00A024C3">
        <w:rPr>
          <w:noProof/>
        </w:rPr>
        <w:t>Italy</w:t>
      </w:r>
      <w:r w:rsidR="6BB2EB8B" w:rsidRPr="00A024C3">
        <w:rPr>
          <w:noProof/>
        </w:rPr>
        <w:t xml:space="preserve"> (</w:t>
      </w:r>
      <w:r w:rsidR="215EBBBC" w:rsidRPr="00A024C3">
        <w:rPr>
          <w:noProof/>
        </w:rPr>
        <w:t>3</w:t>
      </w:r>
      <w:r w:rsidR="00F70606">
        <w:rPr>
          <w:noProof/>
        </w:rPr>
        <w:t>.</w:t>
      </w:r>
      <w:r w:rsidR="215EBBBC" w:rsidRPr="00A024C3">
        <w:rPr>
          <w:noProof/>
        </w:rPr>
        <w:t>7</w:t>
      </w:r>
      <w:r w:rsidR="0A6BBA1C" w:rsidRPr="00A024C3">
        <w:rPr>
          <w:noProof/>
        </w:rPr>
        <w:t>%</w:t>
      </w:r>
      <w:r w:rsidR="6BB2EB8B" w:rsidRPr="00A024C3">
        <w:rPr>
          <w:noProof/>
        </w:rPr>
        <w:t>)</w:t>
      </w:r>
      <w:r w:rsidR="002E1761" w:rsidRPr="00A024C3">
        <w:rPr>
          <w:noProof/>
        </w:rPr>
        <w:t>,</w:t>
      </w:r>
      <w:r w:rsidR="6BB2EB8B" w:rsidRPr="00A024C3">
        <w:rPr>
          <w:noProof/>
        </w:rPr>
        <w:t xml:space="preserve"> and in the </w:t>
      </w:r>
      <w:r w:rsidR="5F74005A" w:rsidRPr="00A024C3">
        <w:rPr>
          <w:noProof/>
        </w:rPr>
        <w:t>12</w:t>
      </w:r>
      <w:r w:rsidR="00110908" w:rsidRPr="00A024C3">
        <w:rPr>
          <w:noProof/>
        </w:rPr>
        <w:t>-</w:t>
      </w:r>
      <w:r w:rsidR="5F74005A" w:rsidRPr="00A024C3">
        <w:rPr>
          <w:noProof/>
        </w:rPr>
        <w:t xml:space="preserve">month period </w:t>
      </w:r>
      <w:r w:rsidR="6BB2EB8B" w:rsidRPr="00A024C3">
        <w:rPr>
          <w:noProof/>
        </w:rPr>
        <w:t>ending in April 202</w:t>
      </w:r>
      <w:r w:rsidR="1BEED13C" w:rsidRPr="00A024C3">
        <w:rPr>
          <w:noProof/>
        </w:rPr>
        <w:t>5</w:t>
      </w:r>
      <w:r w:rsidR="6BB2EB8B" w:rsidRPr="00A024C3">
        <w:rPr>
          <w:noProof/>
        </w:rPr>
        <w:t xml:space="preserve"> </w:t>
      </w:r>
      <w:r w:rsidR="3A8DDB19" w:rsidRPr="00A024C3">
        <w:rPr>
          <w:noProof/>
        </w:rPr>
        <w:t xml:space="preserve">it </w:t>
      </w:r>
      <w:r w:rsidR="6BB2EB8B" w:rsidRPr="00A024C3">
        <w:rPr>
          <w:noProof/>
        </w:rPr>
        <w:t xml:space="preserve">was </w:t>
      </w:r>
      <w:r w:rsidR="00D469CC" w:rsidRPr="00A024C3">
        <w:rPr>
          <w:noProof/>
        </w:rPr>
        <w:t>5</w:t>
      </w:r>
      <w:r w:rsidR="00F70606">
        <w:rPr>
          <w:noProof/>
        </w:rPr>
        <w:t>.</w:t>
      </w:r>
      <w:r w:rsidR="00D469CC" w:rsidRPr="00A024C3">
        <w:rPr>
          <w:noProof/>
        </w:rPr>
        <w:t>1</w:t>
      </w:r>
      <w:r w:rsidR="4226FCCD" w:rsidRPr="00A024C3">
        <w:rPr>
          <w:noProof/>
        </w:rPr>
        <w:t>%</w:t>
      </w:r>
      <w:r w:rsidR="6BB2EB8B" w:rsidRPr="00A024C3">
        <w:rPr>
          <w:noProof/>
        </w:rPr>
        <w:t>.</w:t>
      </w:r>
    </w:p>
    <w:p w14:paraId="5E6E766F" w14:textId="2E3A5B70" w:rsidR="00F47A62" w:rsidRPr="00A024C3" w:rsidRDefault="078BEE45" w:rsidP="00732628">
      <w:pPr>
        <w:pStyle w:val="ManualConsidrant"/>
        <w:rPr>
          <w:noProof/>
        </w:rPr>
      </w:pPr>
      <w:r w:rsidRPr="00A024C3">
        <w:rPr>
          <w:noProof/>
        </w:rPr>
        <w:t>(</w:t>
      </w:r>
      <w:r w:rsidR="00BD2BFC" w:rsidRPr="00A024C3">
        <w:rPr>
          <w:noProof/>
        </w:rPr>
        <w:t>1</w:t>
      </w:r>
      <w:r w:rsidR="00BD2BFC">
        <w:rPr>
          <w:noProof/>
        </w:rPr>
        <w:t>2</w:t>
      </w:r>
      <w:r w:rsidRPr="00A024C3">
        <w:rPr>
          <w:noProof/>
        </w:rPr>
        <w:t>)</w:t>
      </w:r>
      <w:r w:rsidR="00732628" w:rsidRPr="00A024C3">
        <w:rPr>
          <w:noProof/>
        </w:rPr>
        <w:tab/>
      </w:r>
      <w:r w:rsidR="6211DAB0" w:rsidRPr="00A024C3">
        <w:rPr>
          <w:noProof/>
        </w:rPr>
        <w:t>In a</w:t>
      </w:r>
      <w:r w:rsidR="3FF0B4BB" w:rsidRPr="00A024C3">
        <w:rPr>
          <w:noProof/>
        </w:rPr>
        <w:t>ccordance with Article</w:t>
      </w:r>
      <w:r w:rsidR="00915638" w:rsidRPr="00A024C3">
        <w:rPr>
          <w:noProof/>
        </w:rPr>
        <w:t> </w:t>
      </w:r>
      <w:r w:rsidR="3FF0B4BB" w:rsidRPr="00A024C3">
        <w:rPr>
          <w:noProof/>
        </w:rPr>
        <w:t>5</w:t>
      </w:r>
      <w:r w:rsidR="59A54955" w:rsidRPr="00A024C3">
        <w:rPr>
          <w:noProof/>
        </w:rPr>
        <w:t xml:space="preserve"> </w:t>
      </w:r>
      <w:r w:rsidR="3FF0B4BB" w:rsidRPr="00A024C3">
        <w:rPr>
          <w:noProof/>
        </w:rPr>
        <w:t xml:space="preserve">of </w:t>
      </w:r>
      <w:r w:rsidR="6211DAB0" w:rsidRPr="00A024C3">
        <w:rPr>
          <w:noProof/>
        </w:rPr>
        <w:t>Protocol No</w:t>
      </w:r>
      <w:r w:rsidR="00915638" w:rsidRPr="00A024C3">
        <w:rPr>
          <w:noProof/>
        </w:rPr>
        <w:t> </w:t>
      </w:r>
      <w:r w:rsidR="6211DAB0" w:rsidRPr="00A024C3">
        <w:rPr>
          <w:noProof/>
        </w:rPr>
        <w:t>1</w:t>
      </w:r>
      <w:r w:rsidR="77611D18" w:rsidRPr="00A024C3">
        <w:rPr>
          <w:noProof/>
        </w:rPr>
        <w:t xml:space="preserve">3, the data used in </w:t>
      </w:r>
      <w:r w:rsidR="6211DAB0" w:rsidRPr="00A024C3">
        <w:rPr>
          <w:noProof/>
        </w:rPr>
        <w:t>assess</w:t>
      </w:r>
      <w:r w:rsidR="48359577" w:rsidRPr="00A024C3">
        <w:rPr>
          <w:noProof/>
        </w:rPr>
        <w:t>ing</w:t>
      </w:r>
      <w:r w:rsidR="6211DAB0" w:rsidRPr="00A024C3">
        <w:rPr>
          <w:noProof/>
        </w:rPr>
        <w:t xml:space="preserve"> the fulfilment </w:t>
      </w:r>
      <w:r w:rsidR="77611D18" w:rsidRPr="00A024C3">
        <w:rPr>
          <w:noProof/>
        </w:rPr>
        <w:t xml:space="preserve">of the convergence criteria </w:t>
      </w:r>
      <w:r w:rsidR="600DC077" w:rsidRPr="00A024C3">
        <w:rPr>
          <w:noProof/>
        </w:rPr>
        <w:t xml:space="preserve">was </w:t>
      </w:r>
      <w:r w:rsidR="6211DAB0" w:rsidRPr="00A024C3">
        <w:rPr>
          <w:noProof/>
        </w:rPr>
        <w:t>provided by the Commission. Budgetary data were provided by the Commission after reporting by t</w:t>
      </w:r>
      <w:r w:rsidR="47D41860" w:rsidRPr="00A024C3">
        <w:rPr>
          <w:noProof/>
        </w:rPr>
        <w:t xml:space="preserve">he Member States </w:t>
      </w:r>
      <w:r w:rsidR="32657E28" w:rsidRPr="00A024C3">
        <w:rPr>
          <w:noProof/>
        </w:rPr>
        <w:t>before</w:t>
      </w:r>
      <w:r w:rsidR="47D41860" w:rsidRPr="00A024C3">
        <w:rPr>
          <w:noProof/>
        </w:rPr>
        <w:t xml:space="preserve"> 1</w:t>
      </w:r>
      <w:r w:rsidR="00915638" w:rsidRPr="00A024C3">
        <w:rPr>
          <w:noProof/>
        </w:rPr>
        <w:t> </w:t>
      </w:r>
      <w:r w:rsidR="47D41860" w:rsidRPr="00A024C3">
        <w:rPr>
          <w:noProof/>
        </w:rPr>
        <w:t>April 202</w:t>
      </w:r>
      <w:r w:rsidR="566E62A1" w:rsidRPr="00A024C3">
        <w:rPr>
          <w:noProof/>
        </w:rPr>
        <w:t>5</w:t>
      </w:r>
      <w:r w:rsidR="37658267" w:rsidRPr="00A024C3">
        <w:rPr>
          <w:noProof/>
        </w:rPr>
        <w:t>,</w:t>
      </w:r>
      <w:r w:rsidR="6211DAB0" w:rsidRPr="00A024C3">
        <w:rPr>
          <w:noProof/>
        </w:rPr>
        <w:t xml:space="preserve"> in accordance with Coun</w:t>
      </w:r>
      <w:r w:rsidR="77611D18" w:rsidRPr="00A024C3">
        <w:rPr>
          <w:noProof/>
        </w:rPr>
        <w:t>cil Regulation (EC) No</w:t>
      </w:r>
      <w:r w:rsidR="00915638" w:rsidRPr="00A024C3">
        <w:rPr>
          <w:noProof/>
        </w:rPr>
        <w:t> </w:t>
      </w:r>
      <w:r w:rsidR="77611D18" w:rsidRPr="00A024C3">
        <w:rPr>
          <w:noProof/>
        </w:rPr>
        <w:t>479/2009 (</w:t>
      </w:r>
      <w:r w:rsidR="00F47A62" w:rsidRPr="00A024C3">
        <w:rPr>
          <w:rStyle w:val="FootnoteReference"/>
          <w:noProof/>
        </w:rPr>
        <w:footnoteReference w:id="21"/>
      </w:r>
      <w:r w:rsidR="77611D18" w:rsidRPr="00A024C3">
        <w:rPr>
          <w:noProof/>
        </w:rPr>
        <w:t>)</w:t>
      </w:r>
      <w:r w:rsidR="43BC4B39" w:rsidRPr="00A024C3">
        <w:rPr>
          <w:noProof/>
        </w:rPr>
        <w:t>.</w:t>
      </w:r>
    </w:p>
    <w:p w14:paraId="2C1572D5" w14:textId="1CFAA75F" w:rsidR="0045481C" w:rsidRPr="00A024C3" w:rsidRDefault="70978AFE" w:rsidP="00C9779B">
      <w:pPr>
        <w:pStyle w:val="ManualConsidrant"/>
        <w:rPr>
          <w:noProof/>
        </w:rPr>
      </w:pPr>
      <w:r w:rsidRPr="00A024C3">
        <w:rPr>
          <w:noProof/>
        </w:rPr>
        <w:t>(</w:t>
      </w:r>
      <w:r w:rsidR="00BD2BFC" w:rsidRPr="00A024C3">
        <w:rPr>
          <w:noProof/>
        </w:rPr>
        <w:t>1</w:t>
      </w:r>
      <w:r w:rsidR="00BD2BFC">
        <w:rPr>
          <w:noProof/>
        </w:rPr>
        <w:t>3</w:t>
      </w:r>
      <w:r w:rsidRPr="00A024C3">
        <w:rPr>
          <w:noProof/>
        </w:rPr>
        <w:t>)</w:t>
      </w:r>
      <w:r w:rsidR="00732628" w:rsidRPr="00A024C3">
        <w:rPr>
          <w:noProof/>
        </w:rPr>
        <w:tab/>
      </w:r>
      <w:r w:rsidR="5258E78C" w:rsidRPr="00A024C3">
        <w:rPr>
          <w:noProof/>
        </w:rPr>
        <w:t xml:space="preserve">On the basis of reports presented by the Commission and the ECB on the progress made </w:t>
      </w:r>
      <w:r w:rsidR="2FDED678" w:rsidRPr="00A024C3">
        <w:rPr>
          <w:noProof/>
        </w:rPr>
        <w:t xml:space="preserve">by </w:t>
      </w:r>
      <w:r w:rsidR="464A7B02" w:rsidRPr="00A024C3">
        <w:rPr>
          <w:noProof/>
        </w:rPr>
        <w:t>Bulgaria</w:t>
      </w:r>
      <w:r w:rsidR="2FDED678" w:rsidRPr="00A024C3">
        <w:rPr>
          <w:noProof/>
        </w:rPr>
        <w:t xml:space="preserve"> </w:t>
      </w:r>
      <w:r w:rsidR="5258E78C" w:rsidRPr="00A024C3">
        <w:rPr>
          <w:noProof/>
        </w:rPr>
        <w:t>in fulfil</w:t>
      </w:r>
      <w:r w:rsidR="003B1FC3" w:rsidRPr="00A024C3">
        <w:rPr>
          <w:noProof/>
        </w:rPr>
        <w:t>ling</w:t>
      </w:r>
      <w:r w:rsidR="5258E78C" w:rsidRPr="00A024C3">
        <w:rPr>
          <w:noProof/>
        </w:rPr>
        <w:t xml:space="preserve"> its obligations regarding the achievement of economic and monetary union, it is concluded that</w:t>
      </w:r>
      <w:r w:rsidR="001B34E7" w:rsidRPr="00A024C3">
        <w:rPr>
          <w:noProof/>
        </w:rPr>
        <w:t xml:space="preserve"> </w:t>
      </w:r>
      <w:r w:rsidR="5258E78C" w:rsidRPr="00A024C3">
        <w:rPr>
          <w:noProof/>
        </w:rPr>
        <w:t xml:space="preserve">in </w:t>
      </w:r>
      <w:r w:rsidR="0827D18D" w:rsidRPr="00A024C3">
        <w:rPr>
          <w:noProof/>
        </w:rPr>
        <w:t>Bulgaria</w:t>
      </w:r>
      <w:r w:rsidR="5258E78C" w:rsidRPr="00A024C3">
        <w:rPr>
          <w:noProof/>
        </w:rPr>
        <w:t xml:space="preserve">, national legislation, including the Statute of the national central bank, is compatible with Articles 130 and 131 </w:t>
      </w:r>
      <w:r w:rsidR="00430883">
        <w:rPr>
          <w:noProof/>
        </w:rPr>
        <w:t xml:space="preserve">TFEU </w:t>
      </w:r>
      <w:r w:rsidR="5258E78C" w:rsidRPr="00A024C3">
        <w:rPr>
          <w:noProof/>
        </w:rPr>
        <w:t xml:space="preserve">and </w:t>
      </w:r>
      <w:r w:rsidR="7BDAB74A" w:rsidRPr="00A024C3">
        <w:rPr>
          <w:noProof/>
        </w:rPr>
        <w:t xml:space="preserve">with </w:t>
      </w:r>
      <w:r w:rsidR="5258E78C" w:rsidRPr="00A024C3">
        <w:rPr>
          <w:noProof/>
        </w:rPr>
        <w:t>the Sta</w:t>
      </w:r>
      <w:r w:rsidR="7BDAB74A" w:rsidRPr="00A024C3">
        <w:rPr>
          <w:noProof/>
        </w:rPr>
        <w:t>tute of the ESCB and of the ECB</w:t>
      </w:r>
      <w:r w:rsidR="001B34E7" w:rsidRPr="00A024C3">
        <w:rPr>
          <w:noProof/>
        </w:rPr>
        <w:t>.</w:t>
      </w:r>
    </w:p>
    <w:p w14:paraId="7842F341" w14:textId="5F5CF702" w:rsidR="00F47A62" w:rsidRPr="00A024C3" w:rsidRDefault="1B8970FB" w:rsidP="00C9779B">
      <w:pPr>
        <w:pStyle w:val="ManualConsidrant"/>
        <w:rPr>
          <w:noProof/>
        </w:rPr>
      </w:pPr>
      <w:r w:rsidRPr="00A024C3">
        <w:rPr>
          <w:noProof/>
        </w:rPr>
        <w:t>(</w:t>
      </w:r>
      <w:r w:rsidR="00BD2BFC" w:rsidRPr="00A024C3">
        <w:rPr>
          <w:noProof/>
        </w:rPr>
        <w:t>1</w:t>
      </w:r>
      <w:r w:rsidR="00BD2BFC">
        <w:rPr>
          <w:noProof/>
        </w:rPr>
        <w:t>4</w:t>
      </w:r>
      <w:r w:rsidRPr="00A024C3">
        <w:rPr>
          <w:noProof/>
        </w:rPr>
        <w:t xml:space="preserve">) </w:t>
      </w:r>
      <w:r w:rsidRPr="00A024C3">
        <w:rPr>
          <w:noProof/>
        </w:rPr>
        <w:tab/>
        <w:t xml:space="preserve">On the basis of reports </w:t>
      </w:r>
      <w:r w:rsidR="0791BCCB" w:rsidRPr="00A024C3">
        <w:rPr>
          <w:noProof/>
        </w:rPr>
        <w:t xml:space="preserve">presented by the Commission and the ECB on the progress made by Bulgaria </w:t>
      </w:r>
      <w:r w:rsidR="37542265" w:rsidRPr="00A024C3">
        <w:rPr>
          <w:noProof/>
        </w:rPr>
        <w:t xml:space="preserve">in fulfilling its obligations </w:t>
      </w:r>
      <w:r w:rsidR="0791BCCB" w:rsidRPr="00A024C3">
        <w:rPr>
          <w:noProof/>
        </w:rPr>
        <w:t>regarding the achievement of economic and monetary union, it is concluded that</w:t>
      </w:r>
      <w:r w:rsidR="56813CCA" w:rsidRPr="00A024C3">
        <w:rPr>
          <w:noProof/>
        </w:rPr>
        <w:t xml:space="preserve">, </w:t>
      </w:r>
      <w:r w:rsidR="6211DAB0" w:rsidRPr="00A024C3">
        <w:rPr>
          <w:noProof/>
        </w:rPr>
        <w:t xml:space="preserve">regarding the fulfilment by </w:t>
      </w:r>
      <w:r w:rsidR="66531071" w:rsidRPr="00A024C3">
        <w:rPr>
          <w:noProof/>
        </w:rPr>
        <w:t xml:space="preserve">Bulgaria </w:t>
      </w:r>
      <w:r w:rsidR="6211DAB0" w:rsidRPr="00A024C3">
        <w:rPr>
          <w:noProof/>
        </w:rPr>
        <w:t>of the convergence criteria mentioned in the four indents of Article 140(1)</w:t>
      </w:r>
      <w:r w:rsidR="00E17E72" w:rsidRPr="00A024C3">
        <w:rPr>
          <w:noProof/>
        </w:rPr>
        <w:t xml:space="preserve"> </w:t>
      </w:r>
      <w:r w:rsidR="6565882A" w:rsidRPr="00A024C3">
        <w:rPr>
          <w:noProof/>
        </w:rPr>
        <w:t>TFEU</w:t>
      </w:r>
      <w:r w:rsidR="6211DAB0" w:rsidRPr="00A024C3">
        <w:rPr>
          <w:noProof/>
        </w:rPr>
        <w:t>:</w:t>
      </w:r>
      <w:r w:rsidR="0CD43B21" w:rsidRPr="00A024C3">
        <w:rPr>
          <w:noProof/>
        </w:rPr>
        <w:t xml:space="preserve"> </w:t>
      </w:r>
      <w:r w:rsidR="6211DAB0" w:rsidRPr="00A024C3">
        <w:rPr>
          <w:noProof/>
        </w:rPr>
        <w:t xml:space="preserve">the average inflation rate in </w:t>
      </w:r>
      <w:r w:rsidR="5430D6B7" w:rsidRPr="00A024C3">
        <w:rPr>
          <w:noProof/>
        </w:rPr>
        <w:t>Bulgaria</w:t>
      </w:r>
      <w:r w:rsidR="47D41860" w:rsidRPr="00A024C3">
        <w:rPr>
          <w:noProof/>
        </w:rPr>
        <w:t xml:space="preserve"> </w:t>
      </w:r>
      <w:r w:rsidR="1CA4FC72" w:rsidRPr="00A024C3">
        <w:rPr>
          <w:noProof/>
        </w:rPr>
        <w:t>in the 12-month</w:t>
      </w:r>
      <w:r w:rsidR="00125216" w:rsidRPr="00A024C3">
        <w:rPr>
          <w:noProof/>
        </w:rPr>
        <w:t xml:space="preserve"> </w:t>
      </w:r>
      <w:r w:rsidR="003229D0" w:rsidRPr="00A024C3">
        <w:rPr>
          <w:noProof/>
        </w:rPr>
        <w:t xml:space="preserve">period </w:t>
      </w:r>
      <w:r w:rsidR="50B3E03A" w:rsidRPr="00A024C3">
        <w:rPr>
          <w:noProof/>
        </w:rPr>
        <w:t xml:space="preserve">ending in </w:t>
      </w:r>
      <w:r w:rsidR="45B02D52" w:rsidRPr="00A024C3">
        <w:rPr>
          <w:noProof/>
        </w:rPr>
        <w:t>April 2025</w:t>
      </w:r>
      <w:r w:rsidR="6211DAB0" w:rsidRPr="00A024C3">
        <w:rPr>
          <w:noProof/>
        </w:rPr>
        <w:t xml:space="preserve"> stood at</w:t>
      </w:r>
      <w:r w:rsidR="47D41860" w:rsidRPr="00A024C3">
        <w:rPr>
          <w:noProof/>
        </w:rPr>
        <w:t xml:space="preserve"> </w:t>
      </w:r>
      <w:r w:rsidR="3D167268" w:rsidRPr="00A024C3">
        <w:rPr>
          <w:noProof/>
        </w:rPr>
        <w:t>2</w:t>
      </w:r>
      <w:r w:rsidR="00F046BD">
        <w:rPr>
          <w:noProof/>
        </w:rPr>
        <w:t>.</w:t>
      </w:r>
      <w:r w:rsidR="00E17E72" w:rsidRPr="00A024C3">
        <w:rPr>
          <w:noProof/>
        </w:rPr>
        <w:t>7</w:t>
      </w:r>
      <w:r w:rsidR="195CA070" w:rsidRPr="00A024C3">
        <w:rPr>
          <w:noProof/>
        </w:rPr>
        <w:t>%</w:t>
      </w:r>
      <w:r w:rsidR="6211DAB0" w:rsidRPr="00A024C3">
        <w:rPr>
          <w:noProof/>
        </w:rPr>
        <w:t xml:space="preserve">, which is </w:t>
      </w:r>
      <w:r w:rsidR="00DD0E6F">
        <w:rPr>
          <w:noProof/>
        </w:rPr>
        <w:t>below</w:t>
      </w:r>
      <w:r w:rsidR="3C7DBFF4" w:rsidRPr="00A024C3">
        <w:rPr>
          <w:noProof/>
        </w:rPr>
        <w:t xml:space="preserve"> </w:t>
      </w:r>
      <w:r w:rsidR="6211DAB0" w:rsidRPr="00A024C3">
        <w:rPr>
          <w:noProof/>
        </w:rPr>
        <w:t xml:space="preserve">the reference value, and </w:t>
      </w:r>
      <w:r w:rsidR="00973B22" w:rsidRPr="00A024C3">
        <w:rPr>
          <w:noProof/>
        </w:rPr>
        <w:t>a review of a broad range of indicators does not identify causes for concern regarding the sustainability of price stability</w:t>
      </w:r>
      <w:r w:rsidR="5552BAFF" w:rsidRPr="00A024C3">
        <w:rPr>
          <w:noProof/>
        </w:rPr>
        <w:t>; Bulgar</w:t>
      </w:r>
      <w:r w:rsidR="62C119E1" w:rsidRPr="00A024C3">
        <w:rPr>
          <w:noProof/>
        </w:rPr>
        <w:t>i</w:t>
      </w:r>
      <w:r w:rsidR="5552BAFF" w:rsidRPr="00A024C3">
        <w:rPr>
          <w:noProof/>
        </w:rPr>
        <w:t>a</w:t>
      </w:r>
      <w:r w:rsidR="6211DAB0" w:rsidRPr="00A024C3">
        <w:rPr>
          <w:noProof/>
        </w:rPr>
        <w:t xml:space="preserve"> is not the subject of a Council decision on the existence of an excessive deficit</w:t>
      </w:r>
      <w:r w:rsidR="344D8AF0" w:rsidRPr="00A024C3">
        <w:rPr>
          <w:noProof/>
        </w:rPr>
        <w:t xml:space="preserve">; Bulgaria </w:t>
      </w:r>
      <w:r w:rsidR="6211DAB0" w:rsidRPr="00A024C3">
        <w:rPr>
          <w:noProof/>
        </w:rPr>
        <w:t xml:space="preserve">has been a member of ERM II since </w:t>
      </w:r>
      <w:r w:rsidR="22F60CA3" w:rsidRPr="00A024C3">
        <w:rPr>
          <w:noProof/>
        </w:rPr>
        <w:t>10</w:t>
      </w:r>
      <w:r w:rsidR="00915638" w:rsidRPr="00A024C3">
        <w:rPr>
          <w:noProof/>
        </w:rPr>
        <w:t> </w:t>
      </w:r>
      <w:r w:rsidR="385F7B2D" w:rsidRPr="00A024C3">
        <w:rPr>
          <w:noProof/>
        </w:rPr>
        <w:t>July 2020</w:t>
      </w:r>
      <w:r w:rsidR="3428A09B" w:rsidRPr="00A024C3">
        <w:rPr>
          <w:noProof/>
        </w:rPr>
        <w:t xml:space="preserve"> </w:t>
      </w:r>
      <w:r w:rsidR="0435D836" w:rsidRPr="00A024C3">
        <w:rPr>
          <w:noProof/>
        </w:rPr>
        <w:t>and d</w:t>
      </w:r>
      <w:r w:rsidR="6211DAB0" w:rsidRPr="00A024C3">
        <w:rPr>
          <w:noProof/>
        </w:rPr>
        <w:t xml:space="preserve">uring the two years preceding </w:t>
      </w:r>
      <w:r w:rsidR="0A27832A" w:rsidRPr="00A024C3">
        <w:rPr>
          <w:noProof/>
        </w:rPr>
        <w:t xml:space="preserve">the </w:t>
      </w:r>
      <w:r w:rsidR="6211DAB0" w:rsidRPr="00A024C3">
        <w:rPr>
          <w:noProof/>
        </w:rPr>
        <w:t>assessment</w:t>
      </w:r>
      <w:r w:rsidR="47D41860" w:rsidRPr="00A024C3">
        <w:rPr>
          <w:noProof/>
        </w:rPr>
        <w:t>, the</w:t>
      </w:r>
      <w:r w:rsidR="5CCEF5DA" w:rsidRPr="00A024C3">
        <w:rPr>
          <w:noProof/>
        </w:rPr>
        <w:t xml:space="preserve"> lev</w:t>
      </w:r>
      <w:r w:rsidR="3428A09B" w:rsidRPr="00A024C3">
        <w:rPr>
          <w:noProof/>
        </w:rPr>
        <w:t xml:space="preserve"> </w:t>
      </w:r>
      <w:r w:rsidR="1EF1E4E7" w:rsidRPr="00A024C3">
        <w:rPr>
          <w:noProof/>
        </w:rPr>
        <w:t>(</w:t>
      </w:r>
      <w:r w:rsidR="43894A7F" w:rsidRPr="00A024C3">
        <w:rPr>
          <w:noProof/>
        </w:rPr>
        <w:t>BGN</w:t>
      </w:r>
      <w:r w:rsidR="1EF1E4E7" w:rsidRPr="00A024C3">
        <w:rPr>
          <w:noProof/>
        </w:rPr>
        <w:t xml:space="preserve">) </w:t>
      </w:r>
      <w:r w:rsidR="5D90CBB0" w:rsidRPr="00A024C3">
        <w:rPr>
          <w:noProof/>
        </w:rPr>
        <w:t xml:space="preserve">exchange rate </w:t>
      </w:r>
      <w:r w:rsidR="1EF1E4E7" w:rsidRPr="00A024C3">
        <w:rPr>
          <w:noProof/>
        </w:rPr>
        <w:t xml:space="preserve">has </w:t>
      </w:r>
      <w:r w:rsidR="6211DAB0" w:rsidRPr="00A024C3">
        <w:rPr>
          <w:noProof/>
        </w:rPr>
        <w:t xml:space="preserve">not </w:t>
      </w:r>
      <w:r w:rsidR="1EF1E4E7" w:rsidRPr="00A024C3">
        <w:rPr>
          <w:noProof/>
        </w:rPr>
        <w:t xml:space="preserve">been subject to severe tensions and </w:t>
      </w:r>
      <w:r w:rsidR="01D61759" w:rsidRPr="00A024C3">
        <w:rPr>
          <w:noProof/>
        </w:rPr>
        <w:t>Bulgaria</w:t>
      </w:r>
      <w:r w:rsidR="1EF1E4E7" w:rsidRPr="00A024C3">
        <w:rPr>
          <w:noProof/>
        </w:rPr>
        <w:t xml:space="preserve"> has not devalued the </w:t>
      </w:r>
      <w:r w:rsidR="6081049E" w:rsidRPr="00A024C3">
        <w:rPr>
          <w:noProof/>
        </w:rPr>
        <w:t>BGN</w:t>
      </w:r>
      <w:r w:rsidR="1EF1E4E7" w:rsidRPr="00A024C3">
        <w:rPr>
          <w:noProof/>
        </w:rPr>
        <w:t xml:space="preserve"> bilateral central rate against the euro on its own initiative</w:t>
      </w:r>
      <w:r w:rsidR="0435D836" w:rsidRPr="00A024C3">
        <w:rPr>
          <w:noProof/>
        </w:rPr>
        <w:t xml:space="preserve">. Finally, </w:t>
      </w:r>
      <w:r w:rsidR="1CA4FC72" w:rsidRPr="00A024C3">
        <w:rPr>
          <w:noProof/>
        </w:rPr>
        <w:t>in the 12-month</w:t>
      </w:r>
      <w:r w:rsidR="00897DFF" w:rsidRPr="00A024C3">
        <w:rPr>
          <w:noProof/>
        </w:rPr>
        <w:t xml:space="preserve"> period </w:t>
      </w:r>
      <w:r w:rsidR="7E71E8E0" w:rsidRPr="00A024C3">
        <w:rPr>
          <w:noProof/>
        </w:rPr>
        <w:t xml:space="preserve">ending in </w:t>
      </w:r>
      <w:r w:rsidR="683AE95A" w:rsidRPr="00A024C3">
        <w:rPr>
          <w:noProof/>
        </w:rPr>
        <w:t>April 2025</w:t>
      </w:r>
      <w:r w:rsidR="6211DAB0" w:rsidRPr="00A024C3">
        <w:rPr>
          <w:noProof/>
        </w:rPr>
        <w:t>, the long</w:t>
      </w:r>
      <w:r w:rsidR="480F3A4D" w:rsidRPr="00A024C3">
        <w:rPr>
          <w:noProof/>
        </w:rPr>
        <w:t xml:space="preserve">-term interest rate in </w:t>
      </w:r>
      <w:r w:rsidR="23AA2ED9" w:rsidRPr="00A024C3">
        <w:rPr>
          <w:noProof/>
        </w:rPr>
        <w:t xml:space="preserve">Bulgaria </w:t>
      </w:r>
      <w:r w:rsidR="6211DAB0" w:rsidRPr="00A024C3">
        <w:rPr>
          <w:noProof/>
        </w:rPr>
        <w:t xml:space="preserve">was, on average, </w:t>
      </w:r>
      <w:r w:rsidR="0362D433" w:rsidRPr="00A024C3">
        <w:rPr>
          <w:noProof/>
        </w:rPr>
        <w:t>3</w:t>
      </w:r>
      <w:r w:rsidR="00F046BD">
        <w:rPr>
          <w:noProof/>
        </w:rPr>
        <w:t>.</w:t>
      </w:r>
      <w:r w:rsidR="0362D433" w:rsidRPr="00A024C3">
        <w:rPr>
          <w:noProof/>
        </w:rPr>
        <w:t>9</w:t>
      </w:r>
      <w:r w:rsidR="615F75CB" w:rsidRPr="00A024C3">
        <w:rPr>
          <w:noProof/>
        </w:rPr>
        <w:t>%</w:t>
      </w:r>
      <w:r w:rsidR="48C18402" w:rsidRPr="00A024C3">
        <w:rPr>
          <w:noProof/>
        </w:rPr>
        <w:t>,</w:t>
      </w:r>
      <w:r w:rsidR="6211DAB0" w:rsidRPr="00A024C3">
        <w:rPr>
          <w:noProof/>
        </w:rPr>
        <w:t xml:space="preserve"> which is </w:t>
      </w:r>
      <w:r w:rsidR="47D41860" w:rsidRPr="00A024C3">
        <w:rPr>
          <w:noProof/>
        </w:rPr>
        <w:t>well below</w:t>
      </w:r>
      <w:r w:rsidR="6211DAB0" w:rsidRPr="00A024C3">
        <w:rPr>
          <w:noProof/>
        </w:rPr>
        <w:t xml:space="preserve"> the reference value.</w:t>
      </w:r>
    </w:p>
    <w:p w14:paraId="3B7B0664" w14:textId="59893103" w:rsidR="00F47A62" w:rsidRPr="00915638" w:rsidRDefault="7AADC12B" w:rsidP="00C9779B">
      <w:pPr>
        <w:pStyle w:val="ManualConsidrant"/>
        <w:rPr>
          <w:noProof/>
        </w:rPr>
      </w:pPr>
      <w:r w:rsidRPr="00A024C3">
        <w:rPr>
          <w:noProof/>
        </w:rPr>
        <w:t>(</w:t>
      </w:r>
      <w:r w:rsidR="00BD2BFC" w:rsidRPr="00A024C3">
        <w:rPr>
          <w:noProof/>
        </w:rPr>
        <w:t>1</w:t>
      </w:r>
      <w:r w:rsidR="00BD2BFC">
        <w:rPr>
          <w:noProof/>
        </w:rPr>
        <w:t>5</w:t>
      </w:r>
      <w:r w:rsidRPr="00A024C3">
        <w:rPr>
          <w:noProof/>
        </w:rPr>
        <w:t xml:space="preserve">) </w:t>
      </w:r>
      <w:r w:rsidR="00A14E6C" w:rsidRPr="00A024C3">
        <w:rPr>
          <w:noProof/>
        </w:rPr>
        <w:tab/>
      </w:r>
      <w:r w:rsidR="251322EB" w:rsidRPr="00A024C3">
        <w:rPr>
          <w:noProof/>
        </w:rPr>
        <w:t>I</w:t>
      </w:r>
      <w:r w:rsidR="05D865CD" w:rsidRPr="00A024C3">
        <w:rPr>
          <w:noProof/>
        </w:rPr>
        <w:t>n the light of the assessment on legal compatibility</w:t>
      </w:r>
      <w:r w:rsidR="001B34E7" w:rsidRPr="00A024C3">
        <w:rPr>
          <w:noProof/>
        </w:rPr>
        <w:t xml:space="preserve"> </w:t>
      </w:r>
      <w:r w:rsidR="05D865CD" w:rsidRPr="00A024C3">
        <w:rPr>
          <w:noProof/>
        </w:rPr>
        <w:t xml:space="preserve">and on the fulfilment of the convergence criteria as well as the </w:t>
      </w:r>
      <w:r w:rsidR="003C21EC" w:rsidRPr="00A024C3">
        <w:rPr>
          <w:noProof/>
        </w:rPr>
        <w:t xml:space="preserve">assessment of </w:t>
      </w:r>
      <w:r w:rsidR="05D865CD" w:rsidRPr="00A024C3">
        <w:rPr>
          <w:noProof/>
        </w:rPr>
        <w:t xml:space="preserve">additional factors, </w:t>
      </w:r>
      <w:r w:rsidR="13DBC768" w:rsidRPr="00A024C3">
        <w:rPr>
          <w:noProof/>
        </w:rPr>
        <w:t>Bulgar</w:t>
      </w:r>
      <w:r w:rsidR="78FA8B56" w:rsidRPr="00A024C3">
        <w:rPr>
          <w:noProof/>
        </w:rPr>
        <w:t>i</w:t>
      </w:r>
      <w:r w:rsidR="13DBC768" w:rsidRPr="00A024C3">
        <w:rPr>
          <w:noProof/>
        </w:rPr>
        <w:t xml:space="preserve">a </w:t>
      </w:r>
      <w:r w:rsidR="05D865CD" w:rsidRPr="00A024C3">
        <w:rPr>
          <w:noProof/>
        </w:rPr>
        <w:t>fulfils the necessary condition</w:t>
      </w:r>
      <w:r w:rsidR="053ED03F" w:rsidRPr="00A024C3">
        <w:rPr>
          <w:noProof/>
        </w:rPr>
        <w:t>s for the adoption of the euro,</w:t>
      </w:r>
    </w:p>
    <w:p w14:paraId="5928B768" w14:textId="77777777" w:rsidR="001B34E7" w:rsidRPr="00915638" w:rsidRDefault="001B34E7" w:rsidP="001A1803">
      <w:pPr>
        <w:rPr>
          <w:noProof/>
        </w:rPr>
      </w:pPr>
    </w:p>
    <w:p w14:paraId="14AF51AE" w14:textId="27829F5F" w:rsidR="00F47A62" w:rsidRPr="00915638" w:rsidRDefault="00F47A62" w:rsidP="00F47A62">
      <w:pPr>
        <w:pStyle w:val="Formuledadoption"/>
        <w:rPr>
          <w:noProof/>
        </w:rPr>
      </w:pPr>
      <w:r w:rsidRPr="00915638">
        <w:rPr>
          <w:noProof/>
        </w:rPr>
        <w:t xml:space="preserve">HAS ADOPTED THIS DECISION: </w:t>
      </w:r>
    </w:p>
    <w:p w14:paraId="24DD3018" w14:textId="77777777" w:rsidR="00F47A62" w:rsidRPr="00915638" w:rsidRDefault="00F47A62" w:rsidP="00F47A62">
      <w:pPr>
        <w:pStyle w:val="Titrearticle"/>
        <w:rPr>
          <w:noProof/>
        </w:rPr>
      </w:pPr>
      <w:r w:rsidRPr="00915638">
        <w:rPr>
          <w:noProof/>
        </w:rPr>
        <w:t>Article 1</w:t>
      </w:r>
    </w:p>
    <w:p w14:paraId="548ABED1" w14:textId="6D10C0AF" w:rsidR="00F47A62" w:rsidRPr="00915638" w:rsidRDefault="7DB2A483" w:rsidP="00F47A62">
      <w:pPr>
        <w:rPr>
          <w:noProof/>
        </w:rPr>
      </w:pPr>
      <w:r w:rsidRPr="00915638">
        <w:rPr>
          <w:noProof/>
        </w:rPr>
        <w:t xml:space="preserve">Bulgaria </w:t>
      </w:r>
      <w:r w:rsidR="5258E78C" w:rsidRPr="00915638">
        <w:rPr>
          <w:noProof/>
        </w:rPr>
        <w:t xml:space="preserve">fulfils the necessary conditions for the adoption of the euro. The derogation referred to in </w:t>
      </w:r>
      <w:r w:rsidR="72DC2B4D" w:rsidRPr="00915638">
        <w:rPr>
          <w:noProof/>
        </w:rPr>
        <w:t>Article</w:t>
      </w:r>
      <w:r w:rsidR="00D469CC">
        <w:rPr>
          <w:noProof/>
        </w:rPr>
        <w:t xml:space="preserve"> </w:t>
      </w:r>
      <w:r w:rsidR="72DC2B4D" w:rsidRPr="00915638">
        <w:rPr>
          <w:noProof/>
        </w:rPr>
        <w:t>5 of the 20</w:t>
      </w:r>
      <w:r w:rsidR="692D6857" w:rsidRPr="00915638">
        <w:rPr>
          <w:noProof/>
        </w:rPr>
        <w:t>05</w:t>
      </w:r>
      <w:r w:rsidR="5258E78C" w:rsidRPr="00915638">
        <w:rPr>
          <w:noProof/>
        </w:rPr>
        <w:t xml:space="preserve"> Act of Accession is abrogated</w:t>
      </w:r>
      <w:r w:rsidR="7421B230" w:rsidRPr="00915638">
        <w:rPr>
          <w:noProof/>
        </w:rPr>
        <w:t xml:space="preserve"> with effect from 1 January 202</w:t>
      </w:r>
      <w:r w:rsidR="260820AD" w:rsidRPr="00915638">
        <w:rPr>
          <w:noProof/>
        </w:rPr>
        <w:t>6</w:t>
      </w:r>
      <w:r w:rsidR="5258E78C" w:rsidRPr="00915638">
        <w:rPr>
          <w:noProof/>
        </w:rPr>
        <w:t>.</w:t>
      </w:r>
    </w:p>
    <w:p w14:paraId="69C7374F" w14:textId="77777777" w:rsidR="00F47A62" w:rsidRPr="00915638" w:rsidRDefault="00F47A62" w:rsidP="00042F8C">
      <w:pPr>
        <w:pStyle w:val="Titrearticle"/>
        <w:rPr>
          <w:noProof/>
        </w:rPr>
      </w:pPr>
      <w:r w:rsidRPr="00915638">
        <w:rPr>
          <w:noProof/>
        </w:rPr>
        <w:t>Article 2</w:t>
      </w:r>
    </w:p>
    <w:p w14:paraId="1AA1B44F" w14:textId="77777777" w:rsidR="00F47A62" w:rsidRPr="00915638" w:rsidRDefault="00F47A62" w:rsidP="00F47A62">
      <w:pPr>
        <w:keepNext/>
        <w:keepLines/>
        <w:rPr>
          <w:noProof/>
        </w:rPr>
      </w:pPr>
      <w:r w:rsidRPr="00915638">
        <w:rPr>
          <w:noProof/>
        </w:rPr>
        <w:t>This Decision is addressed to the Member States.</w:t>
      </w:r>
    </w:p>
    <w:p w14:paraId="488EEFAC" w14:textId="60F03D65" w:rsidR="00AC0207" w:rsidRPr="00915638" w:rsidRDefault="00E8358A" w:rsidP="00E8358A">
      <w:pPr>
        <w:pStyle w:val="Fait"/>
        <w:rPr>
          <w:noProof/>
        </w:rPr>
      </w:pPr>
      <w:r w:rsidRPr="00E8358A">
        <w:t>Done at Brussels,</w:t>
      </w:r>
    </w:p>
    <w:p w14:paraId="05F80D06" w14:textId="77777777" w:rsidR="00F47A62" w:rsidRPr="00915638" w:rsidRDefault="00F47A62" w:rsidP="00042F8C">
      <w:pPr>
        <w:pStyle w:val="Institutionquisigne"/>
        <w:rPr>
          <w:noProof/>
        </w:rPr>
      </w:pPr>
      <w:r w:rsidRPr="00915638">
        <w:rPr>
          <w:noProof/>
        </w:rPr>
        <w:tab/>
        <w:t>For the Council</w:t>
      </w:r>
    </w:p>
    <w:p w14:paraId="18136097" w14:textId="1A3B5727" w:rsidR="004D10ED" w:rsidRPr="00915638" w:rsidRDefault="00F47A62" w:rsidP="004D10ED">
      <w:pPr>
        <w:pStyle w:val="Personnequisigne"/>
        <w:rPr>
          <w:noProof/>
        </w:rPr>
      </w:pPr>
      <w:r w:rsidRPr="00915638">
        <w:rPr>
          <w:noProof/>
        </w:rPr>
        <w:tab/>
        <w:t>The President</w:t>
      </w:r>
    </w:p>
    <w:sectPr w:rsidR="004D10ED" w:rsidRPr="00915638" w:rsidSect="00E8358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446BA" w14:textId="77777777" w:rsidR="00C0742E" w:rsidRPr="00915638" w:rsidRDefault="00C0742E" w:rsidP="00251781">
      <w:pPr>
        <w:spacing w:before="0" w:after="0"/>
      </w:pPr>
      <w:r w:rsidRPr="00915638">
        <w:separator/>
      </w:r>
    </w:p>
  </w:endnote>
  <w:endnote w:type="continuationSeparator" w:id="0">
    <w:p w14:paraId="494F5E94" w14:textId="77777777" w:rsidR="00C0742E" w:rsidRPr="00915638" w:rsidRDefault="00C0742E" w:rsidP="00251781">
      <w:pPr>
        <w:spacing w:before="0" w:after="0"/>
      </w:pPr>
      <w:r w:rsidRPr="00915638">
        <w:continuationSeparator/>
      </w:r>
    </w:p>
  </w:endnote>
  <w:endnote w:type="continuationNotice" w:id="1">
    <w:p w14:paraId="75A98D71" w14:textId="77777777" w:rsidR="00C0742E" w:rsidRPr="00915638" w:rsidRDefault="00C074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92A4" w14:textId="119AF361" w:rsidR="0012270A" w:rsidRPr="00E8358A" w:rsidRDefault="00E8358A" w:rsidP="00E8358A">
    <w:pPr>
      <w:pStyle w:val="Footer"/>
      <w:rPr>
        <w:rFonts w:ascii="Arial" w:hAnsi="Arial" w:cs="Arial"/>
        <w:b/>
        <w:sz w:val="48"/>
      </w:rPr>
    </w:pPr>
    <w:r w:rsidRPr="00E8358A">
      <w:rPr>
        <w:rFonts w:ascii="Arial" w:hAnsi="Arial" w:cs="Arial"/>
        <w:b/>
        <w:sz w:val="48"/>
      </w:rPr>
      <w:t>EN</w:t>
    </w:r>
    <w:r w:rsidRPr="00E8358A">
      <w:rPr>
        <w:rFonts w:ascii="Arial" w:hAnsi="Arial" w:cs="Arial"/>
        <w:b/>
        <w:sz w:val="48"/>
      </w:rPr>
      <w:tab/>
    </w:r>
    <w:r w:rsidRPr="00E8358A">
      <w:rPr>
        <w:rFonts w:ascii="Arial" w:hAnsi="Arial" w:cs="Arial"/>
        <w:b/>
        <w:sz w:val="48"/>
      </w:rPr>
      <w:tab/>
    </w:r>
    <w:r w:rsidRPr="00E8358A">
      <w:tab/>
    </w:r>
    <w:r w:rsidRPr="00E8358A">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4D5B" w14:textId="49CA5756" w:rsidR="0012270A" w:rsidRPr="00E8358A" w:rsidRDefault="00E8358A" w:rsidP="00E8358A">
    <w:pPr>
      <w:pStyle w:val="Footer"/>
      <w:rPr>
        <w:rFonts w:ascii="Arial" w:hAnsi="Arial" w:cs="Arial"/>
        <w:b/>
        <w:sz w:val="48"/>
      </w:rPr>
    </w:pPr>
    <w:r w:rsidRPr="00E8358A">
      <w:rPr>
        <w:rFonts w:ascii="Arial" w:hAnsi="Arial" w:cs="Arial"/>
        <w:b/>
        <w:sz w:val="48"/>
      </w:rPr>
      <w:t>EN</w:t>
    </w:r>
    <w:r w:rsidRPr="00E8358A">
      <w:rPr>
        <w:rFonts w:ascii="Arial" w:hAnsi="Arial" w:cs="Arial"/>
        <w:b/>
        <w:sz w:val="48"/>
      </w:rPr>
      <w:tab/>
    </w:r>
    <w:r w:rsidRPr="00E8358A">
      <w:rPr>
        <w:rFonts w:ascii="Arial" w:hAnsi="Arial" w:cs="Arial"/>
        <w:b/>
        <w:sz w:val="48"/>
      </w:rPr>
      <w:tab/>
    </w:r>
    <w:r w:rsidRPr="00E8358A">
      <w:tab/>
    </w:r>
    <w:r w:rsidRPr="00E8358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9163" w14:textId="77777777" w:rsidR="00E8358A" w:rsidRPr="00E8358A" w:rsidRDefault="00E8358A" w:rsidP="00E835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485C" w14:textId="77777777" w:rsidR="0012270A" w:rsidRDefault="001227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14D9" w14:textId="711DD78C" w:rsidR="00E8358A" w:rsidRPr="00E8358A" w:rsidRDefault="00E8358A" w:rsidP="00E8358A">
    <w:pPr>
      <w:pStyle w:val="Footer"/>
      <w:rPr>
        <w:rFonts w:ascii="Arial" w:hAnsi="Arial" w:cs="Arial"/>
        <w:b/>
        <w:sz w:val="48"/>
      </w:rPr>
    </w:pPr>
    <w:r w:rsidRPr="00E8358A">
      <w:rPr>
        <w:rFonts w:ascii="Arial" w:hAnsi="Arial" w:cs="Arial"/>
        <w:b/>
        <w:sz w:val="48"/>
      </w:rPr>
      <w:t>EN</w:t>
    </w:r>
    <w:r w:rsidRPr="00E8358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8358A">
      <w:tab/>
    </w:r>
    <w:r w:rsidRPr="00E8358A">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EC8B" w14:textId="77777777" w:rsidR="0012270A" w:rsidRDefault="0012270A" w:rsidP="00E83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3BBFD" w14:textId="77777777" w:rsidR="00C0742E" w:rsidRPr="00915638" w:rsidRDefault="00C0742E" w:rsidP="00251781">
      <w:pPr>
        <w:spacing w:before="0" w:after="0"/>
      </w:pPr>
      <w:r w:rsidRPr="00915638">
        <w:separator/>
      </w:r>
    </w:p>
  </w:footnote>
  <w:footnote w:type="continuationSeparator" w:id="0">
    <w:p w14:paraId="49B6FD36" w14:textId="77777777" w:rsidR="00C0742E" w:rsidRPr="00915638" w:rsidRDefault="00C0742E" w:rsidP="00251781">
      <w:pPr>
        <w:spacing w:before="0" w:after="0"/>
      </w:pPr>
      <w:r w:rsidRPr="00915638">
        <w:continuationSeparator/>
      </w:r>
    </w:p>
  </w:footnote>
  <w:footnote w:type="continuationNotice" w:id="1">
    <w:p w14:paraId="4C8D8E4D" w14:textId="77777777" w:rsidR="00C0742E" w:rsidRPr="00915638" w:rsidRDefault="00C0742E">
      <w:pPr>
        <w:spacing w:before="0" w:after="0"/>
      </w:pPr>
    </w:p>
  </w:footnote>
  <w:footnote w:id="2">
    <w:p w14:paraId="4219C873" w14:textId="2D787099" w:rsidR="006D3841" w:rsidRPr="007141F9" w:rsidRDefault="4EB4C901">
      <w:pPr>
        <w:pStyle w:val="FootnoteText"/>
      </w:pPr>
      <w:r w:rsidRPr="00915638">
        <w:rPr>
          <w:vertAlign w:val="superscript"/>
        </w:rPr>
        <w:t>(</w:t>
      </w:r>
      <w:r w:rsidR="006D3841" w:rsidRPr="00915638">
        <w:rPr>
          <w:vertAlign w:val="superscript"/>
        </w:rPr>
        <w:footnoteRef/>
      </w:r>
      <w:r w:rsidRPr="00915638">
        <w:rPr>
          <w:vertAlign w:val="superscript"/>
        </w:rPr>
        <w:t>)</w:t>
      </w:r>
      <w:r w:rsidR="00C50ABA" w:rsidRPr="007141F9">
        <w:tab/>
      </w:r>
      <w:r w:rsidRPr="007141F9">
        <w:t xml:space="preserve">Report of </w:t>
      </w:r>
      <w:r w:rsidR="5A68B6B0" w:rsidRPr="007141F9">
        <w:t>[</w:t>
      </w:r>
      <w:r w:rsidR="00915638" w:rsidRPr="007141F9">
        <w:t>……</w:t>
      </w:r>
      <w:r w:rsidRPr="007141F9">
        <w:t>] (not yet published in the Official Journal).</w:t>
      </w:r>
    </w:p>
  </w:footnote>
  <w:footnote w:id="3">
    <w:p w14:paraId="722BAC88" w14:textId="718F9867" w:rsidR="006D3841" w:rsidRPr="007141F9" w:rsidRDefault="4EB4C901">
      <w:pPr>
        <w:pStyle w:val="FootnoteText"/>
      </w:pPr>
      <w:r w:rsidRPr="007141F9">
        <w:rPr>
          <w:vertAlign w:val="superscript"/>
        </w:rPr>
        <w:t>(</w:t>
      </w:r>
      <w:r w:rsidR="006D3841" w:rsidRPr="007141F9">
        <w:rPr>
          <w:vertAlign w:val="superscript"/>
        </w:rPr>
        <w:footnoteRef/>
      </w:r>
      <w:r w:rsidRPr="007141F9">
        <w:rPr>
          <w:vertAlign w:val="superscript"/>
        </w:rPr>
        <w:t>)</w:t>
      </w:r>
      <w:r w:rsidR="00C50ABA" w:rsidRPr="007141F9">
        <w:tab/>
      </w:r>
      <w:r w:rsidRPr="007141F9">
        <w:t xml:space="preserve">Report of </w:t>
      </w:r>
      <w:r w:rsidR="5A68B6B0" w:rsidRPr="007141F9">
        <w:t>[</w:t>
      </w:r>
      <w:r w:rsidR="00915638" w:rsidRPr="007141F9">
        <w:t>………</w:t>
      </w:r>
      <w:r w:rsidRPr="007141F9">
        <w:t>] (not yet published in the Official Journal).</w:t>
      </w:r>
    </w:p>
  </w:footnote>
  <w:footnote w:id="4">
    <w:p w14:paraId="213D3460" w14:textId="72C0640A" w:rsidR="4EB4C901" w:rsidRPr="007141F9" w:rsidRDefault="00DF3E0E" w:rsidP="0045481C">
      <w:pPr>
        <w:pStyle w:val="FootnoteText"/>
      </w:pPr>
      <w:r w:rsidRPr="00E70636">
        <w:rPr>
          <w:rStyle w:val="FootnoteReference"/>
        </w:rPr>
        <w:t>(</w:t>
      </w:r>
      <w:r w:rsidR="4EB4C901" w:rsidRPr="00E70636">
        <w:rPr>
          <w:rStyle w:val="FootnoteReference"/>
        </w:rPr>
        <w:footnoteRef/>
      </w:r>
      <w:r w:rsidRPr="00E70636">
        <w:rPr>
          <w:rStyle w:val="FootnoteReference"/>
        </w:rPr>
        <w:t>)</w:t>
      </w:r>
      <w:r w:rsidR="00E70636">
        <w:tab/>
      </w:r>
      <w:r w:rsidR="4EB4C901" w:rsidRPr="007141F9">
        <w:t>Opinion of [</w:t>
      </w:r>
      <w:r w:rsidR="00915638" w:rsidRPr="007141F9">
        <w:t>……</w:t>
      </w:r>
      <w:r w:rsidR="4EB4C901" w:rsidRPr="007141F9">
        <w:t xml:space="preserve">] </w:t>
      </w:r>
      <w:r w:rsidR="00C85239" w:rsidRPr="007141F9">
        <w:t>(</w:t>
      </w:r>
      <w:r w:rsidR="4EB4C901" w:rsidRPr="007141F9">
        <w:t>not yet published in the Official Journal</w:t>
      </w:r>
      <w:r w:rsidR="00C85239" w:rsidRPr="007141F9">
        <w:t>)</w:t>
      </w:r>
      <w:r w:rsidR="00527B8D" w:rsidRPr="007141F9">
        <w:t>.</w:t>
      </w:r>
    </w:p>
  </w:footnote>
  <w:footnote w:id="5">
    <w:p w14:paraId="52E8204B" w14:textId="3F5B6F42" w:rsidR="4EB4C901" w:rsidRPr="007141F9" w:rsidRDefault="00DF3E0E" w:rsidP="0045481C">
      <w:pPr>
        <w:pStyle w:val="FootnoteText"/>
      </w:pPr>
      <w:r w:rsidRPr="00E70636">
        <w:rPr>
          <w:rStyle w:val="FootnoteReference"/>
        </w:rPr>
        <w:t>(</w:t>
      </w:r>
      <w:r w:rsidR="4EB4C901" w:rsidRPr="00E70636">
        <w:rPr>
          <w:rStyle w:val="FootnoteReference"/>
        </w:rPr>
        <w:footnoteRef/>
      </w:r>
      <w:r w:rsidRPr="00E70636">
        <w:rPr>
          <w:rStyle w:val="FootnoteReference"/>
        </w:rPr>
        <w:t>)</w:t>
      </w:r>
      <w:r w:rsidR="00E70636">
        <w:tab/>
      </w:r>
      <w:r w:rsidR="41160824" w:rsidRPr="007141F9">
        <w:t>OJ C [</w:t>
      </w:r>
      <w:r w:rsidR="00915638" w:rsidRPr="007141F9">
        <w:t>…</w:t>
      </w:r>
      <w:r w:rsidR="41160824" w:rsidRPr="007141F9">
        <w:t>], [</w:t>
      </w:r>
      <w:r w:rsidR="00915638" w:rsidRPr="007141F9">
        <w:t>…</w:t>
      </w:r>
      <w:r w:rsidR="41160824" w:rsidRPr="007141F9">
        <w:t>.] [</w:t>
      </w:r>
      <w:r w:rsidR="00915638" w:rsidRPr="007141F9">
        <w:t>…</w:t>
      </w:r>
      <w:r w:rsidR="41160824" w:rsidRPr="007141F9">
        <w:t xml:space="preserve">] </w:t>
      </w:r>
    </w:p>
  </w:footnote>
  <w:footnote w:id="6">
    <w:p w14:paraId="1086C58F" w14:textId="0ED1CC32" w:rsidR="00F47A62" w:rsidRPr="007141F9" w:rsidRDefault="007C2B0C" w:rsidP="00F47A62">
      <w:pPr>
        <w:pStyle w:val="FootnoteText"/>
      </w:pPr>
      <w:r w:rsidRPr="007141F9">
        <w:t>(</w:t>
      </w:r>
      <w:r w:rsidR="00F47A62" w:rsidRPr="007141F9">
        <w:rPr>
          <w:rStyle w:val="FootnoteReference"/>
        </w:rPr>
        <w:footnoteRef/>
      </w:r>
      <w:r w:rsidRPr="007141F9">
        <w:t>)</w:t>
      </w:r>
      <w:r w:rsidR="00F47A62" w:rsidRPr="007141F9">
        <w:tab/>
      </w:r>
      <w:r w:rsidRPr="007141F9">
        <w:t>Council Decision 98/317/EC of 3</w:t>
      </w:r>
      <w:r w:rsidR="00915638" w:rsidRPr="007141F9">
        <w:t> </w:t>
      </w:r>
      <w:r w:rsidRPr="007141F9">
        <w:t>May 1998 in accordance with Article</w:t>
      </w:r>
      <w:r w:rsidR="00915638" w:rsidRPr="007141F9">
        <w:t> </w:t>
      </w:r>
      <w:r w:rsidRPr="007141F9">
        <w:t>109j(4) of the Treaty (OJ L 139, 11.5.1998, p.</w:t>
      </w:r>
      <w:r w:rsidR="00915638" w:rsidRPr="007141F9">
        <w:t> </w:t>
      </w:r>
      <w:r w:rsidRPr="007141F9">
        <w:t>30).</w:t>
      </w:r>
    </w:p>
  </w:footnote>
  <w:footnote w:id="7">
    <w:p w14:paraId="1D55C502" w14:textId="48BAF006" w:rsidR="00F47A62" w:rsidRPr="007141F9" w:rsidRDefault="00C80574" w:rsidP="00C80574">
      <w:pPr>
        <w:pStyle w:val="FootnoteText"/>
      </w:pPr>
      <w:r w:rsidRPr="007141F9">
        <w:t>(</w:t>
      </w:r>
      <w:r w:rsidR="00F47A62" w:rsidRPr="007141F9">
        <w:rPr>
          <w:rStyle w:val="FootnoteReference"/>
        </w:rPr>
        <w:footnoteRef/>
      </w:r>
      <w:r w:rsidRPr="007141F9">
        <w:t>)</w:t>
      </w:r>
      <w:r w:rsidR="00F47A62" w:rsidRPr="007141F9">
        <w:tab/>
      </w:r>
      <w:r w:rsidRPr="007141F9">
        <w:t>Council Decision 2000/427/EC of 19</w:t>
      </w:r>
      <w:r w:rsidR="00915638" w:rsidRPr="007141F9">
        <w:t> </w:t>
      </w:r>
      <w:r w:rsidRPr="007141F9">
        <w:t>June 2000 in accordance with Article</w:t>
      </w:r>
      <w:r w:rsidR="00915638" w:rsidRPr="007141F9">
        <w:t> </w:t>
      </w:r>
      <w:r w:rsidRPr="007141F9">
        <w:t>122(2) of the Treaty on the adoption by Greece of the single currency on 1</w:t>
      </w:r>
      <w:r w:rsidR="00915638" w:rsidRPr="007141F9">
        <w:t> </w:t>
      </w:r>
      <w:r w:rsidRPr="007141F9">
        <w:t>January 2001 (OJ L 167, 7.7.2000, p.</w:t>
      </w:r>
      <w:r w:rsidR="00915638" w:rsidRPr="007141F9">
        <w:t> </w:t>
      </w:r>
      <w:r w:rsidRPr="007141F9">
        <w:t>19).</w:t>
      </w:r>
    </w:p>
  </w:footnote>
  <w:footnote w:id="8">
    <w:p w14:paraId="7E73B131" w14:textId="1AE131B6" w:rsidR="00F47A62" w:rsidRPr="007141F9" w:rsidRDefault="004019A4" w:rsidP="004019A4">
      <w:pPr>
        <w:pStyle w:val="FootnoteText"/>
      </w:pPr>
      <w:r w:rsidRPr="007141F9">
        <w:t>(</w:t>
      </w:r>
      <w:r w:rsidR="00F47A62" w:rsidRPr="007141F9">
        <w:rPr>
          <w:rStyle w:val="FootnoteReference"/>
        </w:rPr>
        <w:footnoteRef/>
      </w:r>
      <w:r w:rsidRPr="007141F9">
        <w:t>)</w:t>
      </w:r>
      <w:r w:rsidR="00F47A62" w:rsidRPr="007141F9">
        <w:tab/>
      </w:r>
      <w:r w:rsidRPr="007141F9">
        <w:t>Council Decision 2006/495/EC of 11</w:t>
      </w:r>
      <w:r w:rsidR="00915638" w:rsidRPr="007141F9">
        <w:t> </w:t>
      </w:r>
      <w:r w:rsidRPr="007141F9">
        <w:t>July 2006 in accordance with Article</w:t>
      </w:r>
      <w:r w:rsidR="00915638" w:rsidRPr="007141F9">
        <w:t> </w:t>
      </w:r>
      <w:r w:rsidRPr="007141F9">
        <w:t>122(2) of the Treaty on the adoption by Slovenia of the single currency on 1</w:t>
      </w:r>
      <w:r w:rsidR="00915638" w:rsidRPr="007141F9">
        <w:t> </w:t>
      </w:r>
      <w:r w:rsidRPr="007141F9">
        <w:t>January 2007 (OJ L 195, 15.7.2006, p.</w:t>
      </w:r>
      <w:r w:rsidR="00915638" w:rsidRPr="007141F9">
        <w:t> </w:t>
      </w:r>
      <w:r w:rsidRPr="007141F9">
        <w:t>25).</w:t>
      </w:r>
    </w:p>
  </w:footnote>
  <w:footnote w:id="9">
    <w:p w14:paraId="3761B257" w14:textId="4FEDC9A6" w:rsidR="00F47A62" w:rsidRPr="007141F9" w:rsidRDefault="003B7578" w:rsidP="003B7578">
      <w:pPr>
        <w:pStyle w:val="FootnoteText"/>
      </w:pPr>
      <w:r w:rsidRPr="007141F9">
        <w:t>(</w:t>
      </w:r>
      <w:r w:rsidR="00F47A62" w:rsidRPr="007141F9">
        <w:rPr>
          <w:rStyle w:val="FootnoteReference"/>
        </w:rPr>
        <w:footnoteRef/>
      </w:r>
      <w:r w:rsidRPr="007141F9">
        <w:t>)</w:t>
      </w:r>
      <w:r w:rsidR="00F47A62" w:rsidRPr="007141F9">
        <w:tab/>
      </w:r>
      <w:r w:rsidRPr="007141F9">
        <w:t>Council Decision 2007/503/EC of 10</w:t>
      </w:r>
      <w:r w:rsidR="00915638" w:rsidRPr="007141F9">
        <w:t> </w:t>
      </w:r>
      <w:r w:rsidRPr="007141F9">
        <w:t>July 2007 in accordance with Article</w:t>
      </w:r>
      <w:r w:rsidR="00915638" w:rsidRPr="007141F9">
        <w:t> </w:t>
      </w:r>
      <w:r w:rsidRPr="007141F9">
        <w:t>122(2) of the Treaty on the adoption by Cyprus of the single currency on 1</w:t>
      </w:r>
      <w:r w:rsidR="00915638" w:rsidRPr="007141F9">
        <w:t> </w:t>
      </w:r>
      <w:r w:rsidRPr="007141F9">
        <w:t>January 2008 (OJ L 186, 18.7.2007, p.</w:t>
      </w:r>
      <w:r w:rsidR="00915638" w:rsidRPr="007141F9">
        <w:t> </w:t>
      </w:r>
      <w:r w:rsidRPr="007141F9">
        <w:t>29).</w:t>
      </w:r>
    </w:p>
  </w:footnote>
  <w:footnote w:id="10">
    <w:p w14:paraId="3A039217" w14:textId="1006639C" w:rsidR="00F47A62" w:rsidRPr="00915638" w:rsidRDefault="003B7578" w:rsidP="003B7578">
      <w:pPr>
        <w:pStyle w:val="FootnoteText"/>
      </w:pPr>
      <w:r w:rsidRPr="007141F9">
        <w:t>(</w:t>
      </w:r>
      <w:r w:rsidR="00F47A62" w:rsidRPr="007141F9">
        <w:rPr>
          <w:rStyle w:val="FootnoteReference"/>
        </w:rPr>
        <w:footnoteRef/>
      </w:r>
      <w:r w:rsidRPr="007141F9">
        <w:t>)</w:t>
      </w:r>
      <w:r w:rsidR="00F47A62" w:rsidRPr="007141F9">
        <w:tab/>
      </w:r>
      <w:r w:rsidRPr="007141F9">
        <w:t>Council Decision 2007/504/EC of 10</w:t>
      </w:r>
      <w:r w:rsidR="00915638" w:rsidRPr="007141F9">
        <w:t> </w:t>
      </w:r>
      <w:r w:rsidRPr="007141F9">
        <w:t>July 2007 in accordance with Article</w:t>
      </w:r>
      <w:r w:rsidR="00915638" w:rsidRPr="007141F9">
        <w:t> </w:t>
      </w:r>
      <w:r w:rsidRPr="007141F9">
        <w:t>122(2) of the Treaty on the adoption by Malta of the single currency on 1</w:t>
      </w:r>
      <w:r w:rsidR="00915638" w:rsidRPr="007141F9">
        <w:t> </w:t>
      </w:r>
      <w:r w:rsidRPr="007141F9">
        <w:t>January 2008 (OJ L 186, 18.7.2007, p.</w:t>
      </w:r>
      <w:r w:rsidR="00915638" w:rsidRPr="007141F9">
        <w:t> </w:t>
      </w:r>
      <w:r w:rsidRPr="007141F9">
        <w:t>32).</w:t>
      </w:r>
    </w:p>
  </w:footnote>
  <w:footnote w:id="11">
    <w:p w14:paraId="36085812" w14:textId="267AFC78" w:rsidR="00F47A62" w:rsidRPr="00915638" w:rsidRDefault="0054214D" w:rsidP="0054214D">
      <w:pPr>
        <w:pStyle w:val="FootnoteText"/>
      </w:pPr>
      <w:r w:rsidRPr="00915638">
        <w:t>(</w:t>
      </w:r>
      <w:r w:rsidR="00F47A62" w:rsidRPr="00915638">
        <w:rPr>
          <w:rStyle w:val="FootnoteReference"/>
        </w:rPr>
        <w:footnoteRef/>
      </w:r>
      <w:r w:rsidRPr="00915638">
        <w:t>)</w:t>
      </w:r>
      <w:r w:rsidR="00F47A62" w:rsidRPr="00915638">
        <w:tab/>
      </w:r>
      <w:r w:rsidRPr="00915638">
        <w:t>Council Decision 2008/608/EC of 8</w:t>
      </w:r>
      <w:r w:rsidR="00915638">
        <w:t> </w:t>
      </w:r>
      <w:r w:rsidRPr="00915638">
        <w:t>July 2008 in accordance with Article</w:t>
      </w:r>
      <w:r w:rsidR="00915638">
        <w:t> </w:t>
      </w:r>
      <w:r w:rsidRPr="00915638">
        <w:t>122(2) of the Treaty on the adoption by Slovakia of the single currency on 1</w:t>
      </w:r>
      <w:r w:rsidR="00915638">
        <w:t> </w:t>
      </w:r>
      <w:r w:rsidRPr="00915638">
        <w:t>January 2009 (OJ L 195, 24.7.2008, p.</w:t>
      </w:r>
      <w:r w:rsidR="00915638">
        <w:t> </w:t>
      </w:r>
      <w:r w:rsidRPr="00915638">
        <w:t>24).</w:t>
      </w:r>
    </w:p>
  </w:footnote>
  <w:footnote w:id="12">
    <w:p w14:paraId="79276A99" w14:textId="35085DB1" w:rsidR="00F47A62" w:rsidRPr="00915638" w:rsidRDefault="005C466A" w:rsidP="005C466A">
      <w:pPr>
        <w:pStyle w:val="FootnoteText"/>
      </w:pPr>
      <w:r w:rsidRPr="00915638">
        <w:t>(</w:t>
      </w:r>
      <w:r w:rsidR="00F47A62" w:rsidRPr="00915638">
        <w:rPr>
          <w:rStyle w:val="FootnoteReference"/>
        </w:rPr>
        <w:footnoteRef/>
      </w:r>
      <w:r w:rsidRPr="00915638">
        <w:t>)</w:t>
      </w:r>
      <w:r w:rsidR="00F47A62" w:rsidRPr="00915638">
        <w:tab/>
      </w:r>
      <w:r w:rsidRPr="00915638">
        <w:t>Council Decision 2010/416/EU of 13</w:t>
      </w:r>
      <w:r w:rsidR="00915638">
        <w:t> </w:t>
      </w:r>
      <w:r w:rsidRPr="00915638">
        <w:t>July 2010 in accordance with Article</w:t>
      </w:r>
      <w:r w:rsidR="00915638">
        <w:t> </w:t>
      </w:r>
      <w:r w:rsidRPr="00915638">
        <w:t>140(2) of the Treaty on the adoption by Estonia of the euro on 1</w:t>
      </w:r>
      <w:r w:rsidR="00915638">
        <w:t> </w:t>
      </w:r>
      <w:r w:rsidRPr="00915638">
        <w:t>January 2011 (OJ L 196, 28.7.2010, p.</w:t>
      </w:r>
      <w:r w:rsidR="00915638">
        <w:t> </w:t>
      </w:r>
      <w:r w:rsidRPr="00915638">
        <w:t>24).</w:t>
      </w:r>
    </w:p>
  </w:footnote>
  <w:footnote w:id="13">
    <w:p w14:paraId="78317B65" w14:textId="6D8B7529" w:rsidR="00F47A62" w:rsidRPr="00915638" w:rsidRDefault="007B37B7" w:rsidP="00F47A62">
      <w:pPr>
        <w:pStyle w:val="FootnoteText"/>
      </w:pPr>
      <w:r w:rsidRPr="00915638">
        <w:t>(</w:t>
      </w:r>
      <w:r w:rsidR="00F47A62" w:rsidRPr="00915638">
        <w:rPr>
          <w:rStyle w:val="FootnoteReference"/>
        </w:rPr>
        <w:footnoteRef/>
      </w:r>
      <w:r w:rsidRPr="00915638">
        <w:t>)</w:t>
      </w:r>
      <w:r w:rsidR="00F47A62" w:rsidRPr="00915638">
        <w:tab/>
      </w:r>
      <w:r w:rsidRPr="00915638">
        <w:t>Council Decision 2013/387/EU of 9</w:t>
      </w:r>
      <w:r w:rsidR="00915638">
        <w:t> </w:t>
      </w:r>
      <w:r w:rsidRPr="00915638">
        <w:t>July 2013 on the adoption by Latvia of the euro on 1</w:t>
      </w:r>
      <w:r w:rsidR="00915638">
        <w:t> </w:t>
      </w:r>
      <w:r w:rsidRPr="00915638">
        <w:t>January 2014 (OJ L 195, 18.7.2013, p.</w:t>
      </w:r>
      <w:r w:rsidR="00915638">
        <w:t> </w:t>
      </w:r>
      <w:r w:rsidRPr="00915638">
        <w:t>24).</w:t>
      </w:r>
    </w:p>
  </w:footnote>
  <w:footnote w:id="14">
    <w:p w14:paraId="1D57CFCC" w14:textId="320C6139" w:rsidR="00B63748" w:rsidRPr="00915638" w:rsidRDefault="4EB4C901">
      <w:pPr>
        <w:pStyle w:val="FootnoteText"/>
      </w:pPr>
      <w:r w:rsidRPr="00915638">
        <w:t>(</w:t>
      </w:r>
      <w:r w:rsidR="00B63748" w:rsidRPr="00915638">
        <w:rPr>
          <w:rStyle w:val="FootnoteReference"/>
        </w:rPr>
        <w:footnoteRef/>
      </w:r>
      <w:r w:rsidRPr="00915638">
        <w:t>)</w:t>
      </w:r>
      <w:r w:rsidR="00F927AD" w:rsidRPr="00915638">
        <w:tab/>
      </w:r>
      <w:r w:rsidRPr="00915638">
        <w:t>Council Decision 2014/509/EU of 23</w:t>
      </w:r>
      <w:r w:rsidR="00915638">
        <w:t> </w:t>
      </w:r>
      <w:r w:rsidRPr="00915638">
        <w:t>July 2014 on the adoption by Lithuania of the euro on 1</w:t>
      </w:r>
      <w:r w:rsidR="00915638">
        <w:t> </w:t>
      </w:r>
      <w:r w:rsidRPr="00915638">
        <w:t>January 2015 (OJ L 228, 31.7.2014, p.</w:t>
      </w:r>
      <w:r w:rsidR="00915638">
        <w:t> </w:t>
      </w:r>
      <w:r w:rsidRPr="00915638">
        <w:t>29).</w:t>
      </w:r>
    </w:p>
  </w:footnote>
  <w:footnote w:id="15">
    <w:p w14:paraId="3A17E449" w14:textId="63BC9F43" w:rsidR="4EB4C901" w:rsidRPr="00915638" w:rsidRDefault="00A14E6C" w:rsidP="0045481C">
      <w:pPr>
        <w:pStyle w:val="FootnoteText"/>
      </w:pPr>
      <w:r w:rsidRPr="00E70636">
        <w:rPr>
          <w:rStyle w:val="FootnoteReference"/>
        </w:rPr>
        <w:t>(</w:t>
      </w:r>
      <w:r w:rsidR="4EB4C901" w:rsidRPr="00E70636">
        <w:rPr>
          <w:rStyle w:val="FootnoteReference"/>
        </w:rPr>
        <w:footnoteRef/>
      </w:r>
      <w:r w:rsidRPr="00E70636">
        <w:rPr>
          <w:rStyle w:val="FootnoteReference"/>
        </w:rPr>
        <w:t>)</w:t>
      </w:r>
      <w:r w:rsidR="00E70636">
        <w:tab/>
      </w:r>
      <w:r w:rsidR="41160824" w:rsidRPr="00915638">
        <w:t>Council Decision 2022/1211/EU of 12</w:t>
      </w:r>
      <w:r w:rsidR="00915638">
        <w:t> </w:t>
      </w:r>
      <w:r w:rsidR="41160824" w:rsidRPr="00915638">
        <w:t>July 2022 on the adoption by Croatia of the euro on 1</w:t>
      </w:r>
      <w:r w:rsidR="00915638">
        <w:t> </w:t>
      </w:r>
      <w:r w:rsidR="41160824" w:rsidRPr="00915638">
        <w:t>January 2023 (OJ L 187, 14.7.2022, p.</w:t>
      </w:r>
      <w:r w:rsidR="00915638">
        <w:t> </w:t>
      </w:r>
      <w:r w:rsidR="41160824" w:rsidRPr="00915638">
        <w:t>31)</w:t>
      </w:r>
      <w:r w:rsidR="005F2ED0" w:rsidRPr="00915638">
        <w:t>.</w:t>
      </w:r>
    </w:p>
  </w:footnote>
  <w:footnote w:id="16">
    <w:p w14:paraId="4CCB938F" w14:textId="4398721D" w:rsidR="00F47A62" w:rsidRPr="00915638" w:rsidRDefault="00D8298C" w:rsidP="00F47A62">
      <w:pPr>
        <w:pStyle w:val="FootnoteText"/>
      </w:pPr>
      <w:r w:rsidRPr="00915638">
        <w:t>(</w:t>
      </w:r>
      <w:r w:rsidR="00F47A62" w:rsidRPr="00915638">
        <w:rPr>
          <w:rStyle w:val="FootnoteReference"/>
        </w:rPr>
        <w:footnoteRef/>
      </w:r>
      <w:r w:rsidRPr="00915638">
        <w:t>)</w:t>
      </w:r>
      <w:r w:rsidR="00F47A62" w:rsidRPr="00915638">
        <w:tab/>
        <w:t>OJ L 236, 23.9.2003, p.</w:t>
      </w:r>
      <w:r w:rsidR="00915638">
        <w:t> </w:t>
      </w:r>
      <w:r w:rsidR="00F47A62" w:rsidRPr="00915638">
        <w:t>33.</w:t>
      </w:r>
    </w:p>
  </w:footnote>
  <w:footnote w:id="17">
    <w:p w14:paraId="38E8B59C" w14:textId="4A5E9F99" w:rsidR="00F47A62" w:rsidRPr="00915638" w:rsidRDefault="009807AB" w:rsidP="00F47A62">
      <w:pPr>
        <w:pStyle w:val="FootnoteText"/>
      </w:pPr>
      <w:r w:rsidRPr="00915638">
        <w:t>(</w:t>
      </w:r>
      <w:r w:rsidR="00F47A62" w:rsidRPr="00915638">
        <w:rPr>
          <w:rStyle w:val="FootnoteReference"/>
        </w:rPr>
        <w:footnoteRef/>
      </w:r>
      <w:r w:rsidRPr="00915638">
        <w:t>)</w:t>
      </w:r>
      <w:r w:rsidR="00F47A62" w:rsidRPr="00915638">
        <w:tab/>
        <w:t>OJ L 157, 21.6.2005, p.</w:t>
      </w:r>
      <w:r w:rsidR="00915638">
        <w:t> </w:t>
      </w:r>
      <w:r w:rsidR="00F47A62" w:rsidRPr="00915638">
        <w:t>203.</w:t>
      </w:r>
    </w:p>
  </w:footnote>
  <w:footnote w:id="18">
    <w:p w14:paraId="5B4E8F86" w14:textId="2B1D7AFD" w:rsidR="00F47A62" w:rsidRPr="00915638" w:rsidRDefault="007410F4" w:rsidP="00F47A62">
      <w:pPr>
        <w:pStyle w:val="FootnoteText"/>
      </w:pPr>
      <w:r w:rsidRPr="00915638">
        <w:t>(</w:t>
      </w:r>
      <w:r w:rsidR="00F47A62" w:rsidRPr="00915638">
        <w:rPr>
          <w:rStyle w:val="FootnoteReference"/>
        </w:rPr>
        <w:footnoteRef/>
      </w:r>
      <w:r w:rsidRPr="00915638">
        <w:t>)</w:t>
      </w:r>
      <w:r w:rsidR="00F47A62" w:rsidRPr="00915638">
        <w:tab/>
        <w:t>OJ C 236, 2.8.1997, p.</w:t>
      </w:r>
      <w:r w:rsidR="00915638">
        <w:t> </w:t>
      </w:r>
      <w:r w:rsidR="00F47A62" w:rsidRPr="00915638">
        <w:t>5.</w:t>
      </w:r>
    </w:p>
  </w:footnote>
  <w:footnote w:id="19">
    <w:p w14:paraId="6FE4F7FF" w14:textId="2522C232" w:rsidR="00F47A62" w:rsidRPr="00915638" w:rsidRDefault="000B7255" w:rsidP="00F47A62">
      <w:pPr>
        <w:pStyle w:val="FootnoteText"/>
      </w:pPr>
      <w:r w:rsidRPr="00915638">
        <w:t>(</w:t>
      </w:r>
      <w:r w:rsidR="00F47A62" w:rsidRPr="00915638">
        <w:rPr>
          <w:rStyle w:val="FootnoteReference"/>
        </w:rPr>
        <w:footnoteRef/>
      </w:r>
      <w:r w:rsidRPr="00915638">
        <w:t>)</w:t>
      </w:r>
      <w:r w:rsidR="00F47A62" w:rsidRPr="00915638">
        <w:tab/>
        <w:t>OJ C 73, 25.3.2006, p.</w:t>
      </w:r>
      <w:r w:rsidR="00915638">
        <w:t> </w:t>
      </w:r>
      <w:r w:rsidR="00F47A62" w:rsidRPr="00915638">
        <w:t>21.</w:t>
      </w:r>
    </w:p>
  </w:footnote>
  <w:footnote w:id="20">
    <w:p w14:paraId="3E0AD631" w14:textId="0BBA6EF9" w:rsidR="00F47A62" w:rsidRPr="00915638" w:rsidRDefault="00AD11F5" w:rsidP="00F47A62">
      <w:pPr>
        <w:pStyle w:val="FootnoteText"/>
      </w:pPr>
      <w:r w:rsidRPr="00915638">
        <w:t>(</w:t>
      </w:r>
      <w:r w:rsidR="00F47A62" w:rsidRPr="00915638">
        <w:rPr>
          <w:rStyle w:val="FootnoteReference"/>
        </w:rPr>
        <w:footnoteRef/>
      </w:r>
      <w:r w:rsidRPr="00915638">
        <w:t>)</w:t>
      </w:r>
      <w:r w:rsidR="00F47A62" w:rsidRPr="00915638">
        <w:tab/>
      </w:r>
      <w:r w:rsidRPr="00915638">
        <w:t>Regulation (EU) 2016/792 of the European Parliament and of the Council of 11</w:t>
      </w:r>
      <w:r w:rsidR="00915638">
        <w:t> </w:t>
      </w:r>
      <w:r w:rsidRPr="00915638">
        <w:t xml:space="preserve">May 2016 on harmonised </w:t>
      </w:r>
      <w:r w:rsidRPr="007141F9">
        <w:t>indices of consumer prices and the house price index, and repealing Council Regulation (EC) No</w:t>
      </w:r>
      <w:r w:rsidR="00915638" w:rsidRPr="007141F9">
        <w:t> </w:t>
      </w:r>
      <w:r w:rsidRPr="007141F9">
        <w:t>2494/95 (</w:t>
      </w:r>
      <w:r w:rsidR="00322A2F" w:rsidRPr="007141F9">
        <w:t>OJ L 135, 24.5</w:t>
      </w:r>
      <w:r w:rsidR="00F47A62" w:rsidRPr="007141F9">
        <w:t>.</w:t>
      </w:r>
      <w:r w:rsidR="00322A2F" w:rsidRPr="007141F9">
        <w:t>2016, p.</w:t>
      </w:r>
      <w:r w:rsidR="00915638" w:rsidRPr="007141F9">
        <w:t> </w:t>
      </w:r>
      <w:r w:rsidR="00322A2F" w:rsidRPr="007141F9">
        <w:t>1</w:t>
      </w:r>
      <w:r w:rsidR="00F47A62" w:rsidRPr="007141F9">
        <w:t>1</w:t>
      </w:r>
      <w:r w:rsidRPr="007141F9">
        <w:t>)</w:t>
      </w:r>
      <w:r w:rsidR="00F47A62" w:rsidRPr="007141F9">
        <w:t>.</w:t>
      </w:r>
    </w:p>
  </w:footnote>
  <w:footnote w:id="21">
    <w:p w14:paraId="4FE847C5" w14:textId="778BB221" w:rsidR="00F47A62" w:rsidRPr="00D469CC" w:rsidRDefault="28DA0670">
      <w:pPr>
        <w:pStyle w:val="FootnoteText"/>
        <w:rPr>
          <w:color w:val="FF0000"/>
        </w:rPr>
      </w:pPr>
      <w:r w:rsidRPr="00E70636">
        <w:rPr>
          <w:rStyle w:val="FootnoteReference"/>
        </w:rPr>
        <w:t>(</w:t>
      </w:r>
      <w:r w:rsidR="00F47A62" w:rsidRPr="00E70636">
        <w:rPr>
          <w:rStyle w:val="FootnoteReference"/>
        </w:rPr>
        <w:footnoteRef/>
      </w:r>
      <w:r w:rsidRPr="00E70636">
        <w:rPr>
          <w:rStyle w:val="FootnoteReference"/>
        </w:rPr>
        <w:t>)</w:t>
      </w:r>
      <w:r w:rsidR="00E70636">
        <w:tab/>
      </w:r>
      <w:r w:rsidRPr="007141F9">
        <w:t>Council Regulation (EC) No</w:t>
      </w:r>
      <w:r w:rsidR="00915638" w:rsidRPr="007141F9">
        <w:t> </w:t>
      </w:r>
      <w:r w:rsidRPr="007141F9">
        <w:t>479/2009 of 25</w:t>
      </w:r>
      <w:r w:rsidR="00915638" w:rsidRPr="007141F9">
        <w:t> </w:t>
      </w:r>
      <w:r w:rsidRPr="007141F9">
        <w:t>May 2009 on the application of the Protocol on the excessive deficit procedure annexed to the Treaty establishing the European Community (OJ L 145, 10.6.2009, p.</w:t>
      </w:r>
      <w:r w:rsidR="00915638" w:rsidRPr="007141F9">
        <w:t> </w:t>
      </w:r>
      <w:r w:rsidRPr="007141F9">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EEDB" w14:textId="77777777" w:rsidR="00E8358A" w:rsidRPr="00E8358A" w:rsidRDefault="00E8358A" w:rsidP="00E83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C2B8" w14:textId="77777777" w:rsidR="00E8358A" w:rsidRPr="00E8358A" w:rsidRDefault="00E8358A" w:rsidP="00E83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F15C" w14:textId="77777777" w:rsidR="00E8358A" w:rsidRPr="00E8358A" w:rsidRDefault="00E8358A" w:rsidP="00E835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8EDB" w14:textId="77777777" w:rsidR="0012270A" w:rsidRDefault="001227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1002" w14:textId="77777777" w:rsidR="0012270A" w:rsidRDefault="00122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5588D69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D9C553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302FAC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AFAB62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9E6B6F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94249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DCCCAE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AB0F9D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098719587">
    <w:abstractNumId w:val="6"/>
  </w:num>
  <w:num w:numId="2" w16cid:durableId="9525058">
    <w:abstractNumId w:val="2"/>
  </w:num>
  <w:num w:numId="3" w16cid:durableId="332806607">
    <w:abstractNumId w:val="1"/>
  </w:num>
  <w:num w:numId="4" w16cid:durableId="448092238">
    <w:abstractNumId w:val="0"/>
  </w:num>
  <w:num w:numId="5" w16cid:durableId="777485806">
    <w:abstractNumId w:val="7"/>
  </w:num>
  <w:num w:numId="6" w16cid:durableId="1746218996">
    <w:abstractNumId w:val="5"/>
  </w:num>
  <w:num w:numId="7" w16cid:durableId="943146232">
    <w:abstractNumId w:val="4"/>
  </w:num>
  <w:num w:numId="8" w16cid:durableId="498008113">
    <w:abstractNumId w:val="3"/>
  </w:num>
  <w:num w:numId="9" w16cid:durableId="694424810">
    <w:abstractNumId w:val="19"/>
  </w:num>
  <w:num w:numId="10" w16cid:durableId="1847212466">
    <w:abstractNumId w:val="12"/>
  </w:num>
  <w:num w:numId="11" w16cid:durableId="210580494">
    <w:abstractNumId w:val="21"/>
  </w:num>
  <w:num w:numId="12" w16cid:durableId="1097022076">
    <w:abstractNumId w:val="11"/>
  </w:num>
  <w:num w:numId="13" w16cid:durableId="1330600984">
    <w:abstractNumId w:val="13"/>
  </w:num>
  <w:num w:numId="14" w16cid:durableId="1774979608">
    <w:abstractNumId w:val="14"/>
  </w:num>
  <w:num w:numId="15" w16cid:durableId="1231385331">
    <w:abstractNumId w:val="9"/>
  </w:num>
  <w:num w:numId="16" w16cid:durableId="1043673808">
    <w:abstractNumId w:val="20"/>
  </w:num>
  <w:num w:numId="17" w16cid:durableId="308219054">
    <w:abstractNumId w:val="8"/>
  </w:num>
  <w:num w:numId="18" w16cid:durableId="604584161">
    <w:abstractNumId w:val="15"/>
  </w:num>
  <w:num w:numId="19" w16cid:durableId="1437869351">
    <w:abstractNumId w:val="17"/>
  </w:num>
  <w:num w:numId="20" w16cid:durableId="1931156069">
    <w:abstractNumId w:val="18"/>
  </w:num>
  <w:num w:numId="21" w16cid:durableId="251280219">
    <w:abstractNumId w:val="10"/>
  </w:num>
  <w:num w:numId="22" w16cid:durableId="928192778">
    <w:abstractNumId w:val="16"/>
  </w:num>
  <w:num w:numId="23" w16cid:durableId="168839687">
    <w:abstractNumId w:val="22"/>
  </w:num>
  <w:num w:numId="24" w16cid:durableId="659695467">
    <w:abstractNumId w:val="19"/>
  </w:num>
  <w:num w:numId="25" w16cid:durableId="2119637849">
    <w:abstractNumId w:val="12"/>
  </w:num>
  <w:num w:numId="26" w16cid:durableId="2120103931">
    <w:abstractNumId w:val="21"/>
  </w:num>
  <w:num w:numId="27" w16cid:durableId="138114492">
    <w:abstractNumId w:val="11"/>
  </w:num>
  <w:num w:numId="28" w16cid:durableId="2083402352">
    <w:abstractNumId w:val="13"/>
  </w:num>
  <w:num w:numId="29" w16cid:durableId="1438060109">
    <w:abstractNumId w:val="14"/>
  </w:num>
  <w:num w:numId="30" w16cid:durableId="1392777695">
    <w:abstractNumId w:val="9"/>
  </w:num>
  <w:num w:numId="31" w16cid:durableId="1331445466">
    <w:abstractNumId w:val="20"/>
  </w:num>
  <w:num w:numId="32" w16cid:durableId="234780794">
    <w:abstractNumId w:val="8"/>
  </w:num>
  <w:num w:numId="33" w16cid:durableId="1656686783">
    <w:abstractNumId w:val="15"/>
  </w:num>
  <w:num w:numId="34" w16cid:durableId="164395980">
    <w:abstractNumId w:val="17"/>
  </w:num>
  <w:num w:numId="35" w16cid:durableId="602146974">
    <w:abstractNumId w:val="18"/>
  </w:num>
  <w:num w:numId="36" w16cid:durableId="136532294">
    <w:abstractNumId w:val="10"/>
  </w:num>
  <w:num w:numId="37" w16cid:durableId="89131052">
    <w:abstractNumId w:val="16"/>
  </w:num>
  <w:num w:numId="38" w16cid:durableId="11641825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characterSpacingControl w:val="doNotCompress"/>
  <w:hdrShapeDefaults>
    <o:shapedefaults v:ext="edit" spidmax="205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DQCDateTime" w:val="2025-06-04 10:45:3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EPKit_DocumentHasBeenSaved" w:val="true"/>
    <w:docVar w:name="LW_CORRIGENDUM" w:val="&lt;UNUSED&gt;"/>
    <w:docVar w:name="LW_COVERPAGE_EXISTS" w:val="True"/>
    <w:docVar w:name="LW_COVERPAGE_GUID" w:val="21F4EE07-08BC-4C20-9F2C-E69C74DCF45A"/>
    <w:docVar w:name="LW_COVERPAGE_TYPE" w:val="1"/>
    <w:docVar w:name="LW_CROSSREFERENCE" w:val="&lt;UNUSED&gt;"/>
    <w:docVar w:name="LW_DocType" w:val="COM"/>
    <w:docVar w:name="LW_EMISSION" w:val="4.6.2025"/>
    <w:docVar w:name="LW_EMISSION_ISODATE" w:val="2025-06-04"/>
    <w:docVar w:name="LW_EMISSION_LOCATION" w:val="BRX"/>
    <w:docVar w:name="LW_EMISSION_PREFIX" w:val="Brussels, "/>
    <w:docVar w:name="LW_EMISSION_SUFFIX" w:val=" "/>
    <w:docVar w:name="LW_FAITA" w:val="Done at Brussels,"/>
    <w:docVar w:name="LW_ID_DOCMODEL" w:val="SJ-019"/>
    <w:docVar w:name="LW_ID_DOCSIGNATURE" w:val="SJ-019"/>
    <w:docVar w:name="LW_ID_DOCSTRUCTURE" w:val="COM/PL/ORG"/>
    <w:docVar w:name="LW_ID_DOCTYPE" w:val="SJ-019"/>
    <w:docVar w:name="LW_ID_STATUT" w:val="SJ-019"/>
    <w:docVar w:name="LW_INST.SIGNE" w:val="_x0009_For the Council"/>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PERS.SIGNE" w:val="_x0009_The President"/>
    <w:docVar w:name="LW_REF.II.NEW.CP" w:val="NLE"/>
    <w:docVar w:name="LW_REF.II.NEW.CP_NUMBER" w:val="0158"/>
    <w:docVar w:name="LW_REF.II.NEW.CP_YEAR" w:val="2025"/>
    <w:docVar w:name="LW_REF.INST.NEW" w:val="COM"/>
    <w:docVar w:name="LW_REF.INST.NEW_ADOPTED" w:val="final/2         Downgraded on 4.6.2025"/>
    <w:docVar w:name="LW_REF.INST.NEW_TEXT" w:val="(2025) 3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adoption by Bulgaria of the euro on 1 January 2026"/>
    <w:docVar w:name="LW_TYPE.DOC.CP" w:val="COUNCIL DECISION"/>
    <w:docVar w:name="LwApiVersions" w:val="LW4CoDe 1.24.5.0; LW 9.0, Build 20240221"/>
  </w:docVars>
  <w:rsids>
    <w:rsidRoot w:val="00251781"/>
    <w:rsid w:val="000019F9"/>
    <w:rsid w:val="000040B8"/>
    <w:rsid w:val="000101F3"/>
    <w:rsid w:val="00010779"/>
    <w:rsid w:val="0001223B"/>
    <w:rsid w:val="00015077"/>
    <w:rsid w:val="00017CC7"/>
    <w:rsid w:val="0002223A"/>
    <w:rsid w:val="000327A8"/>
    <w:rsid w:val="00042F8C"/>
    <w:rsid w:val="00043FAC"/>
    <w:rsid w:val="000460EB"/>
    <w:rsid w:val="000523D3"/>
    <w:rsid w:val="00054217"/>
    <w:rsid w:val="000569D8"/>
    <w:rsid w:val="000703AB"/>
    <w:rsid w:val="000722BA"/>
    <w:rsid w:val="00076F54"/>
    <w:rsid w:val="0008677C"/>
    <w:rsid w:val="00087AAA"/>
    <w:rsid w:val="000903D4"/>
    <w:rsid w:val="000964EF"/>
    <w:rsid w:val="0009704E"/>
    <w:rsid w:val="000A2762"/>
    <w:rsid w:val="000A3546"/>
    <w:rsid w:val="000A6AEA"/>
    <w:rsid w:val="000A6E1D"/>
    <w:rsid w:val="000A76DC"/>
    <w:rsid w:val="000A7ADC"/>
    <w:rsid w:val="000A7B28"/>
    <w:rsid w:val="000B18E2"/>
    <w:rsid w:val="000B5154"/>
    <w:rsid w:val="000B7255"/>
    <w:rsid w:val="000C305B"/>
    <w:rsid w:val="000D1EB0"/>
    <w:rsid w:val="000D37F1"/>
    <w:rsid w:val="000D3C4F"/>
    <w:rsid w:val="000D3E22"/>
    <w:rsid w:val="000D4F97"/>
    <w:rsid w:val="000D60F9"/>
    <w:rsid w:val="000E080B"/>
    <w:rsid w:val="000E2C18"/>
    <w:rsid w:val="000E4211"/>
    <w:rsid w:val="000F0322"/>
    <w:rsid w:val="000F09E8"/>
    <w:rsid w:val="000F1714"/>
    <w:rsid w:val="000F3646"/>
    <w:rsid w:val="001006B9"/>
    <w:rsid w:val="00102326"/>
    <w:rsid w:val="00103035"/>
    <w:rsid w:val="0010403A"/>
    <w:rsid w:val="0010499B"/>
    <w:rsid w:val="00105534"/>
    <w:rsid w:val="001077E4"/>
    <w:rsid w:val="00110908"/>
    <w:rsid w:val="00111A0E"/>
    <w:rsid w:val="001148A5"/>
    <w:rsid w:val="001150EF"/>
    <w:rsid w:val="00117C78"/>
    <w:rsid w:val="0012013A"/>
    <w:rsid w:val="00122640"/>
    <w:rsid w:val="0012270A"/>
    <w:rsid w:val="00125216"/>
    <w:rsid w:val="001277B5"/>
    <w:rsid w:val="00133418"/>
    <w:rsid w:val="0013565D"/>
    <w:rsid w:val="001357CA"/>
    <w:rsid w:val="001419F8"/>
    <w:rsid w:val="00143466"/>
    <w:rsid w:val="00143FCB"/>
    <w:rsid w:val="00147AD6"/>
    <w:rsid w:val="00153D0B"/>
    <w:rsid w:val="001543E6"/>
    <w:rsid w:val="001546C4"/>
    <w:rsid w:val="001577D6"/>
    <w:rsid w:val="001614E3"/>
    <w:rsid w:val="001615B4"/>
    <w:rsid w:val="00161F46"/>
    <w:rsid w:val="001667BA"/>
    <w:rsid w:val="001712FE"/>
    <w:rsid w:val="00172395"/>
    <w:rsid w:val="00173901"/>
    <w:rsid w:val="0017743E"/>
    <w:rsid w:val="0018260B"/>
    <w:rsid w:val="00183449"/>
    <w:rsid w:val="00186077"/>
    <w:rsid w:val="00187840"/>
    <w:rsid w:val="00190723"/>
    <w:rsid w:val="00193F81"/>
    <w:rsid w:val="001956FF"/>
    <w:rsid w:val="001966BA"/>
    <w:rsid w:val="00196EEE"/>
    <w:rsid w:val="001A0764"/>
    <w:rsid w:val="001A1803"/>
    <w:rsid w:val="001A1D12"/>
    <w:rsid w:val="001A5BE0"/>
    <w:rsid w:val="001A672A"/>
    <w:rsid w:val="001A691B"/>
    <w:rsid w:val="001A6C7A"/>
    <w:rsid w:val="001A7960"/>
    <w:rsid w:val="001B2282"/>
    <w:rsid w:val="001B34E7"/>
    <w:rsid w:val="001B6E8D"/>
    <w:rsid w:val="001C15B6"/>
    <w:rsid w:val="001C1DA8"/>
    <w:rsid w:val="001C1F55"/>
    <w:rsid w:val="001C24CA"/>
    <w:rsid w:val="001C30DC"/>
    <w:rsid w:val="001C4569"/>
    <w:rsid w:val="001C4A77"/>
    <w:rsid w:val="001D0A7E"/>
    <w:rsid w:val="001D4C03"/>
    <w:rsid w:val="001D5FE8"/>
    <w:rsid w:val="001D69D0"/>
    <w:rsid w:val="001E0C92"/>
    <w:rsid w:val="001E3FFA"/>
    <w:rsid w:val="001E406B"/>
    <w:rsid w:val="001E6414"/>
    <w:rsid w:val="001F41C6"/>
    <w:rsid w:val="002030B0"/>
    <w:rsid w:val="00204DE0"/>
    <w:rsid w:val="00210E30"/>
    <w:rsid w:val="00212814"/>
    <w:rsid w:val="00213AF7"/>
    <w:rsid w:val="0021575E"/>
    <w:rsid w:val="00220437"/>
    <w:rsid w:val="0022340A"/>
    <w:rsid w:val="00223FC3"/>
    <w:rsid w:val="00227DF5"/>
    <w:rsid w:val="0023686B"/>
    <w:rsid w:val="00236FDA"/>
    <w:rsid w:val="0023775D"/>
    <w:rsid w:val="00240669"/>
    <w:rsid w:val="00244440"/>
    <w:rsid w:val="00251781"/>
    <w:rsid w:val="0025317D"/>
    <w:rsid w:val="0026054E"/>
    <w:rsid w:val="00260729"/>
    <w:rsid w:val="002622ED"/>
    <w:rsid w:val="00262F01"/>
    <w:rsid w:val="00266A9B"/>
    <w:rsid w:val="002731BE"/>
    <w:rsid w:val="00281E7D"/>
    <w:rsid w:val="002825E8"/>
    <w:rsid w:val="00283BD4"/>
    <w:rsid w:val="00286886"/>
    <w:rsid w:val="002875DC"/>
    <w:rsid w:val="00290F5B"/>
    <w:rsid w:val="002962F9"/>
    <w:rsid w:val="00296B78"/>
    <w:rsid w:val="00296E40"/>
    <w:rsid w:val="00297140"/>
    <w:rsid w:val="002A301B"/>
    <w:rsid w:val="002A48FA"/>
    <w:rsid w:val="002A6CD6"/>
    <w:rsid w:val="002B0343"/>
    <w:rsid w:val="002B0805"/>
    <w:rsid w:val="002B28EB"/>
    <w:rsid w:val="002B70F2"/>
    <w:rsid w:val="002C054D"/>
    <w:rsid w:val="002C2AE1"/>
    <w:rsid w:val="002C3A8C"/>
    <w:rsid w:val="002C569C"/>
    <w:rsid w:val="002C6447"/>
    <w:rsid w:val="002D1D9B"/>
    <w:rsid w:val="002D35E0"/>
    <w:rsid w:val="002D3D2A"/>
    <w:rsid w:val="002E1761"/>
    <w:rsid w:val="002E3A4F"/>
    <w:rsid w:val="002E3CA8"/>
    <w:rsid w:val="002E50A3"/>
    <w:rsid w:val="002F730C"/>
    <w:rsid w:val="0030072C"/>
    <w:rsid w:val="003017AE"/>
    <w:rsid w:val="003019A5"/>
    <w:rsid w:val="00303441"/>
    <w:rsid w:val="00304AC0"/>
    <w:rsid w:val="00305439"/>
    <w:rsid w:val="00307A49"/>
    <w:rsid w:val="00310D94"/>
    <w:rsid w:val="00311F5E"/>
    <w:rsid w:val="0031288D"/>
    <w:rsid w:val="00317CD5"/>
    <w:rsid w:val="003204E2"/>
    <w:rsid w:val="00320619"/>
    <w:rsid w:val="003229D0"/>
    <w:rsid w:val="00322A2F"/>
    <w:rsid w:val="00322C31"/>
    <w:rsid w:val="00324168"/>
    <w:rsid w:val="003267C6"/>
    <w:rsid w:val="00327CCF"/>
    <w:rsid w:val="003335D5"/>
    <w:rsid w:val="00334110"/>
    <w:rsid w:val="003341A3"/>
    <w:rsid w:val="0033624F"/>
    <w:rsid w:val="00342ABB"/>
    <w:rsid w:val="00343DFF"/>
    <w:rsid w:val="00346E15"/>
    <w:rsid w:val="00351FC5"/>
    <w:rsid w:val="003528E6"/>
    <w:rsid w:val="003537DF"/>
    <w:rsid w:val="0035457A"/>
    <w:rsid w:val="00362281"/>
    <w:rsid w:val="0036427B"/>
    <w:rsid w:val="003647EE"/>
    <w:rsid w:val="0037150B"/>
    <w:rsid w:val="00372DAE"/>
    <w:rsid w:val="00373054"/>
    <w:rsid w:val="003730FF"/>
    <w:rsid w:val="00373548"/>
    <w:rsid w:val="00377296"/>
    <w:rsid w:val="003868AA"/>
    <w:rsid w:val="003915BF"/>
    <w:rsid w:val="003942EC"/>
    <w:rsid w:val="00397111"/>
    <w:rsid w:val="003A07C9"/>
    <w:rsid w:val="003A4E61"/>
    <w:rsid w:val="003A5084"/>
    <w:rsid w:val="003A5232"/>
    <w:rsid w:val="003A6746"/>
    <w:rsid w:val="003B1FC3"/>
    <w:rsid w:val="003B30A0"/>
    <w:rsid w:val="003B6739"/>
    <w:rsid w:val="003B7578"/>
    <w:rsid w:val="003B7C3A"/>
    <w:rsid w:val="003C128A"/>
    <w:rsid w:val="003C1AF7"/>
    <w:rsid w:val="003C1B05"/>
    <w:rsid w:val="003C21EC"/>
    <w:rsid w:val="003C2CF9"/>
    <w:rsid w:val="003C5203"/>
    <w:rsid w:val="003C58D8"/>
    <w:rsid w:val="003C603E"/>
    <w:rsid w:val="003C6583"/>
    <w:rsid w:val="003C7B01"/>
    <w:rsid w:val="003D1C82"/>
    <w:rsid w:val="003D2CDC"/>
    <w:rsid w:val="003D3082"/>
    <w:rsid w:val="003D3C76"/>
    <w:rsid w:val="003D499D"/>
    <w:rsid w:val="003E0791"/>
    <w:rsid w:val="003F1276"/>
    <w:rsid w:val="003F1CFC"/>
    <w:rsid w:val="003F617F"/>
    <w:rsid w:val="003F7A2C"/>
    <w:rsid w:val="00401868"/>
    <w:rsid w:val="004019A4"/>
    <w:rsid w:val="00412743"/>
    <w:rsid w:val="004162E6"/>
    <w:rsid w:val="004202E6"/>
    <w:rsid w:val="00421DA0"/>
    <w:rsid w:val="004222CC"/>
    <w:rsid w:val="004246EC"/>
    <w:rsid w:val="00430883"/>
    <w:rsid w:val="00433A36"/>
    <w:rsid w:val="00433E1A"/>
    <w:rsid w:val="00440000"/>
    <w:rsid w:val="00441170"/>
    <w:rsid w:val="004413D3"/>
    <w:rsid w:val="00442DE1"/>
    <w:rsid w:val="00443747"/>
    <w:rsid w:val="00451652"/>
    <w:rsid w:val="004539A2"/>
    <w:rsid w:val="00453E1C"/>
    <w:rsid w:val="0045481C"/>
    <w:rsid w:val="004566B7"/>
    <w:rsid w:val="004577CD"/>
    <w:rsid w:val="00464101"/>
    <w:rsid w:val="00470CE7"/>
    <w:rsid w:val="00472C46"/>
    <w:rsid w:val="00472DE5"/>
    <w:rsid w:val="00472E52"/>
    <w:rsid w:val="00486A85"/>
    <w:rsid w:val="00486ECC"/>
    <w:rsid w:val="00491996"/>
    <w:rsid w:val="00493EE1"/>
    <w:rsid w:val="004951B1"/>
    <w:rsid w:val="00496E46"/>
    <w:rsid w:val="004A18D9"/>
    <w:rsid w:val="004A2505"/>
    <w:rsid w:val="004A2CBF"/>
    <w:rsid w:val="004A306A"/>
    <w:rsid w:val="004A3C32"/>
    <w:rsid w:val="004B3B40"/>
    <w:rsid w:val="004B4506"/>
    <w:rsid w:val="004B5BF8"/>
    <w:rsid w:val="004B5E4F"/>
    <w:rsid w:val="004B60A0"/>
    <w:rsid w:val="004C0BF1"/>
    <w:rsid w:val="004C2B03"/>
    <w:rsid w:val="004C2E0C"/>
    <w:rsid w:val="004C4484"/>
    <w:rsid w:val="004C4B8E"/>
    <w:rsid w:val="004C626B"/>
    <w:rsid w:val="004C68CD"/>
    <w:rsid w:val="004C7879"/>
    <w:rsid w:val="004D10ED"/>
    <w:rsid w:val="004D24EB"/>
    <w:rsid w:val="004E0351"/>
    <w:rsid w:val="004E099D"/>
    <w:rsid w:val="004E09F9"/>
    <w:rsid w:val="004E10B4"/>
    <w:rsid w:val="004E14AE"/>
    <w:rsid w:val="004E5002"/>
    <w:rsid w:val="004E5455"/>
    <w:rsid w:val="004E60A4"/>
    <w:rsid w:val="004E6376"/>
    <w:rsid w:val="004E7F31"/>
    <w:rsid w:val="004F3B3E"/>
    <w:rsid w:val="004F5E66"/>
    <w:rsid w:val="004F605C"/>
    <w:rsid w:val="004F7874"/>
    <w:rsid w:val="004FA002"/>
    <w:rsid w:val="00501A8D"/>
    <w:rsid w:val="005077EB"/>
    <w:rsid w:val="00507B5F"/>
    <w:rsid w:val="00522C43"/>
    <w:rsid w:val="00522DB7"/>
    <w:rsid w:val="005230BE"/>
    <w:rsid w:val="005232F8"/>
    <w:rsid w:val="00523AC5"/>
    <w:rsid w:val="005240DB"/>
    <w:rsid w:val="00525056"/>
    <w:rsid w:val="00526204"/>
    <w:rsid w:val="00527B8D"/>
    <w:rsid w:val="00532489"/>
    <w:rsid w:val="005370F1"/>
    <w:rsid w:val="00540FEE"/>
    <w:rsid w:val="005410E5"/>
    <w:rsid w:val="0054214D"/>
    <w:rsid w:val="00543789"/>
    <w:rsid w:val="00544CB9"/>
    <w:rsid w:val="0054612C"/>
    <w:rsid w:val="005470B9"/>
    <w:rsid w:val="005563A8"/>
    <w:rsid w:val="0056430D"/>
    <w:rsid w:val="00567128"/>
    <w:rsid w:val="00571E97"/>
    <w:rsid w:val="00572579"/>
    <w:rsid w:val="00575E5A"/>
    <w:rsid w:val="00576C4F"/>
    <w:rsid w:val="005778E4"/>
    <w:rsid w:val="005809A6"/>
    <w:rsid w:val="005847C2"/>
    <w:rsid w:val="0058784E"/>
    <w:rsid w:val="005938EE"/>
    <w:rsid w:val="005963EB"/>
    <w:rsid w:val="005A390F"/>
    <w:rsid w:val="005A51C8"/>
    <w:rsid w:val="005A6DC5"/>
    <w:rsid w:val="005B25D8"/>
    <w:rsid w:val="005B6EFD"/>
    <w:rsid w:val="005C10F3"/>
    <w:rsid w:val="005C466A"/>
    <w:rsid w:val="005C567B"/>
    <w:rsid w:val="005C757F"/>
    <w:rsid w:val="005D022D"/>
    <w:rsid w:val="005D04BC"/>
    <w:rsid w:val="005D46E3"/>
    <w:rsid w:val="005D4F4A"/>
    <w:rsid w:val="005E33A9"/>
    <w:rsid w:val="005E617E"/>
    <w:rsid w:val="005E6F38"/>
    <w:rsid w:val="005F2B2B"/>
    <w:rsid w:val="005F2C0F"/>
    <w:rsid w:val="005F2E9C"/>
    <w:rsid w:val="005F2ED0"/>
    <w:rsid w:val="005F3B65"/>
    <w:rsid w:val="005F4BFC"/>
    <w:rsid w:val="005F4DE7"/>
    <w:rsid w:val="005F57F1"/>
    <w:rsid w:val="005F7654"/>
    <w:rsid w:val="005F798A"/>
    <w:rsid w:val="0060217E"/>
    <w:rsid w:val="0060380F"/>
    <w:rsid w:val="0060450F"/>
    <w:rsid w:val="00607774"/>
    <w:rsid w:val="00610465"/>
    <w:rsid w:val="00612311"/>
    <w:rsid w:val="00613B8B"/>
    <w:rsid w:val="00615488"/>
    <w:rsid w:val="00616A02"/>
    <w:rsid w:val="00621443"/>
    <w:rsid w:val="00622856"/>
    <w:rsid w:val="00623D64"/>
    <w:rsid w:val="00627068"/>
    <w:rsid w:val="00635BF6"/>
    <w:rsid w:val="00635FED"/>
    <w:rsid w:val="00644A2C"/>
    <w:rsid w:val="00644BE7"/>
    <w:rsid w:val="00645610"/>
    <w:rsid w:val="00647595"/>
    <w:rsid w:val="00647E4B"/>
    <w:rsid w:val="00651E53"/>
    <w:rsid w:val="00653CB2"/>
    <w:rsid w:val="00671DF8"/>
    <w:rsid w:val="006770CD"/>
    <w:rsid w:val="006803EE"/>
    <w:rsid w:val="00680EB5"/>
    <w:rsid w:val="00683D15"/>
    <w:rsid w:val="00686256"/>
    <w:rsid w:val="006945BE"/>
    <w:rsid w:val="00694E04"/>
    <w:rsid w:val="006A2944"/>
    <w:rsid w:val="006B2502"/>
    <w:rsid w:val="006B69D9"/>
    <w:rsid w:val="006C0CF4"/>
    <w:rsid w:val="006C7199"/>
    <w:rsid w:val="006C7D6B"/>
    <w:rsid w:val="006D1749"/>
    <w:rsid w:val="006D3841"/>
    <w:rsid w:val="006D6A16"/>
    <w:rsid w:val="006E245F"/>
    <w:rsid w:val="006E5212"/>
    <w:rsid w:val="006E6BC8"/>
    <w:rsid w:val="006E71C7"/>
    <w:rsid w:val="006F1992"/>
    <w:rsid w:val="006F2C07"/>
    <w:rsid w:val="006F4AD7"/>
    <w:rsid w:val="006F6589"/>
    <w:rsid w:val="006F7751"/>
    <w:rsid w:val="006F7CFB"/>
    <w:rsid w:val="0070245E"/>
    <w:rsid w:val="0070310C"/>
    <w:rsid w:val="00707CB9"/>
    <w:rsid w:val="0071373A"/>
    <w:rsid w:val="007141F9"/>
    <w:rsid w:val="00720D05"/>
    <w:rsid w:val="0072200E"/>
    <w:rsid w:val="00724CB1"/>
    <w:rsid w:val="00727D45"/>
    <w:rsid w:val="00732628"/>
    <w:rsid w:val="007356D6"/>
    <w:rsid w:val="0073647D"/>
    <w:rsid w:val="00740231"/>
    <w:rsid w:val="007410F4"/>
    <w:rsid w:val="00744118"/>
    <w:rsid w:val="0074515B"/>
    <w:rsid w:val="007459AC"/>
    <w:rsid w:val="00750605"/>
    <w:rsid w:val="00762CA0"/>
    <w:rsid w:val="007644B1"/>
    <w:rsid w:val="0077021E"/>
    <w:rsid w:val="00773444"/>
    <w:rsid w:val="0077687F"/>
    <w:rsid w:val="00776D57"/>
    <w:rsid w:val="0077727D"/>
    <w:rsid w:val="0078147F"/>
    <w:rsid w:val="00781980"/>
    <w:rsid w:val="00781C84"/>
    <w:rsid w:val="00781EFC"/>
    <w:rsid w:val="0078205C"/>
    <w:rsid w:val="00784D49"/>
    <w:rsid w:val="007861D0"/>
    <w:rsid w:val="0079136A"/>
    <w:rsid w:val="007946F1"/>
    <w:rsid w:val="00796F91"/>
    <w:rsid w:val="007A4D13"/>
    <w:rsid w:val="007A7366"/>
    <w:rsid w:val="007A74C1"/>
    <w:rsid w:val="007B0EDA"/>
    <w:rsid w:val="007B1574"/>
    <w:rsid w:val="007B1880"/>
    <w:rsid w:val="007B37B7"/>
    <w:rsid w:val="007B4D3D"/>
    <w:rsid w:val="007B7C73"/>
    <w:rsid w:val="007C15D7"/>
    <w:rsid w:val="007C181E"/>
    <w:rsid w:val="007C2B0C"/>
    <w:rsid w:val="007C3760"/>
    <w:rsid w:val="007C77DE"/>
    <w:rsid w:val="007D0093"/>
    <w:rsid w:val="007D1000"/>
    <w:rsid w:val="007D2633"/>
    <w:rsid w:val="007D3101"/>
    <w:rsid w:val="007D3DBB"/>
    <w:rsid w:val="007D40FF"/>
    <w:rsid w:val="007D4888"/>
    <w:rsid w:val="007D57D2"/>
    <w:rsid w:val="007D60BB"/>
    <w:rsid w:val="007E7B40"/>
    <w:rsid w:val="007F1A30"/>
    <w:rsid w:val="008023DF"/>
    <w:rsid w:val="00803B19"/>
    <w:rsid w:val="0080583E"/>
    <w:rsid w:val="0080726D"/>
    <w:rsid w:val="00815E16"/>
    <w:rsid w:val="00817D4D"/>
    <w:rsid w:val="008211D5"/>
    <w:rsid w:val="0082353B"/>
    <w:rsid w:val="008240FB"/>
    <w:rsid w:val="00824CEC"/>
    <w:rsid w:val="00825060"/>
    <w:rsid w:val="00826178"/>
    <w:rsid w:val="008261A7"/>
    <w:rsid w:val="00826B4A"/>
    <w:rsid w:val="00826EA7"/>
    <w:rsid w:val="008305C5"/>
    <w:rsid w:val="0083076B"/>
    <w:rsid w:val="008329D4"/>
    <w:rsid w:val="008355DE"/>
    <w:rsid w:val="008361E9"/>
    <w:rsid w:val="00842848"/>
    <w:rsid w:val="00843978"/>
    <w:rsid w:val="008445D0"/>
    <w:rsid w:val="00847441"/>
    <w:rsid w:val="008553B1"/>
    <w:rsid w:val="00857CD3"/>
    <w:rsid w:val="00857FD9"/>
    <w:rsid w:val="00860AA0"/>
    <w:rsid w:val="008611FD"/>
    <w:rsid w:val="008618D6"/>
    <w:rsid w:val="00866205"/>
    <w:rsid w:val="008676BC"/>
    <w:rsid w:val="0086775C"/>
    <w:rsid w:val="0087072B"/>
    <w:rsid w:val="00873B48"/>
    <w:rsid w:val="00877092"/>
    <w:rsid w:val="00882E96"/>
    <w:rsid w:val="00884416"/>
    <w:rsid w:val="008847B0"/>
    <w:rsid w:val="008877C9"/>
    <w:rsid w:val="00887848"/>
    <w:rsid w:val="008903C7"/>
    <w:rsid w:val="00890C3A"/>
    <w:rsid w:val="00891DB6"/>
    <w:rsid w:val="008926D7"/>
    <w:rsid w:val="00892BB0"/>
    <w:rsid w:val="008948FC"/>
    <w:rsid w:val="008949C0"/>
    <w:rsid w:val="00895065"/>
    <w:rsid w:val="00896249"/>
    <w:rsid w:val="0089677B"/>
    <w:rsid w:val="0089749D"/>
    <w:rsid w:val="00897DFF"/>
    <w:rsid w:val="008A196C"/>
    <w:rsid w:val="008A26A2"/>
    <w:rsid w:val="008A4D2A"/>
    <w:rsid w:val="008B71C6"/>
    <w:rsid w:val="008B73C2"/>
    <w:rsid w:val="008B7FA9"/>
    <w:rsid w:val="008C205D"/>
    <w:rsid w:val="008C34BB"/>
    <w:rsid w:val="008C598D"/>
    <w:rsid w:val="008D37D8"/>
    <w:rsid w:val="008D3FFC"/>
    <w:rsid w:val="008D608D"/>
    <w:rsid w:val="008D6371"/>
    <w:rsid w:val="008D637A"/>
    <w:rsid w:val="008D71BC"/>
    <w:rsid w:val="008E00AD"/>
    <w:rsid w:val="008E24EE"/>
    <w:rsid w:val="008E464A"/>
    <w:rsid w:val="008F17AF"/>
    <w:rsid w:val="008F1CA0"/>
    <w:rsid w:val="008F2409"/>
    <w:rsid w:val="008F26FD"/>
    <w:rsid w:val="008F51E8"/>
    <w:rsid w:val="008F5E2C"/>
    <w:rsid w:val="00902DDF"/>
    <w:rsid w:val="00903C25"/>
    <w:rsid w:val="00904791"/>
    <w:rsid w:val="009047A6"/>
    <w:rsid w:val="00907EFA"/>
    <w:rsid w:val="00913147"/>
    <w:rsid w:val="00913481"/>
    <w:rsid w:val="00915638"/>
    <w:rsid w:val="0091623C"/>
    <w:rsid w:val="00916D78"/>
    <w:rsid w:val="0091710A"/>
    <w:rsid w:val="009173D4"/>
    <w:rsid w:val="00920EB1"/>
    <w:rsid w:val="00926DE1"/>
    <w:rsid w:val="009271C6"/>
    <w:rsid w:val="009334C0"/>
    <w:rsid w:val="00936A9C"/>
    <w:rsid w:val="00936AEE"/>
    <w:rsid w:val="0093770A"/>
    <w:rsid w:val="00946172"/>
    <w:rsid w:val="00950156"/>
    <w:rsid w:val="0095299F"/>
    <w:rsid w:val="0095432E"/>
    <w:rsid w:val="00956E78"/>
    <w:rsid w:val="009604AA"/>
    <w:rsid w:val="00961703"/>
    <w:rsid w:val="009644BF"/>
    <w:rsid w:val="00964830"/>
    <w:rsid w:val="0096514F"/>
    <w:rsid w:val="00971D49"/>
    <w:rsid w:val="0097267F"/>
    <w:rsid w:val="00973B22"/>
    <w:rsid w:val="009775F9"/>
    <w:rsid w:val="009807AB"/>
    <w:rsid w:val="0098181D"/>
    <w:rsid w:val="009831DC"/>
    <w:rsid w:val="00986B78"/>
    <w:rsid w:val="0099692C"/>
    <w:rsid w:val="009A0E42"/>
    <w:rsid w:val="009A1FAF"/>
    <w:rsid w:val="009A4316"/>
    <w:rsid w:val="009A7BE6"/>
    <w:rsid w:val="009B1D69"/>
    <w:rsid w:val="009B2D5B"/>
    <w:rsid w:val="009B3944"/>
    <w:rsid w:val="009B65B1"/>
    <w:rsid w:val="009C11CF"/>
    <w:rsid w:val="009C42F9"/>
    <w:rsid w:val="009D0A73"/>
    <w:rsid w:val="009D5E7F"/>
    <w:rsid w:val="009E1697"/>
    <w:rsid w:val="009E2160"/>
    <w:rsid w:val="009E2928"/>
    <w:rsid w:val="009E34F9"/>
    <w:rsid w:val="009E6B4A"/>
    <w:rsid w:val="009F01FE"/>
    <w:rsid w:val="009F1EA8"/>
    <w:rsid w:val="009F1F54"/>
    <w:rsid w:val="009F3A66"/>
    <w:rsid w:val="009F3EB4"/>
    <w:rsid w:val="009F4A89"/>
    <w:rsid w:val="009F510F"/>
    <w:rsid w:val="00A01946"/>
    <w:rsid w:val="00A024C3"/>
    <w:rsid w:val="00A02A79"/>
    <w:rsid w:val="00A05F7E"/>
    <w:rsid w:val="00A06A7D"/>
    <w:rsid w:val="00A132C6"/>
    <w:rsid w:val="00A14E6C"/>
    <w:rsid w:val="00A30E63"/>
    <w:rsid w:val="00A32D71"/>
    <w:rsid w:val="00A4216E"/>
    <w:rsid w:val="00A426E5"/>
    <w:rsid w:val="00A43527"/>
    <w:rsid w:val="00A4386E"/>
    <w:rsid w:val="00A451BB"/>
    <w:rsid w:val="00A5291E"/>
    <w:rsid w:val="00A53A56"/>
    <w:rsid w:val="00A53E49"/>
    <w:rsid w:val="00A55186"/>
    <w:rsid w:val="00A566D0"/>
    <w:rsid w:val="00A6301A"/>
    <w:rsid w:val="00A638C4"/>
    <w:rsid w:val="00A6482B"/>
    <w:rsid w:val="00A73C07"/>
    <w:rsid w:val="00A76CC4"/>
    <w:rsid w:val="00A8089F"/>
    <w:rsid w:val="00A812AB"/>
    <w:rsid w:val="00A823F0"/>
    <w:rsid w:val="00A91163"/>
    <w:rsid w:val="00A91518"/>
    <w:rsid w:val="00A9310C"/>
    <w:rsid w:val="00A93C70"/>
    <w:rsid w:val="00A97B65"/>
    <w:rsid w:val="00AA3295"/>
    <w:rsid w:val="00AA5FC7"/>
    <w:rsid w:val="00AB1AF4"/>
    <w:rsid w:val="00AB7C18"/>
    <w:rsid w:val="00AC0207"/>
    <w:rsid w:val="00AC2114"/>
    <w:rsid w:val="00AC2E25"/>
    <w:rsid w:val="00AC64AA"/>
    <w:rsid w:val="00AC6E28"/>
    <w:rsid w:val="00AC6EC2"/>
    <w:rsid w:val="00AD0CCE"/>
    <w:rsid w:val="00AD11F5"/>
    <w:rsid w:val="00AD2538"/>
    <w:rsid w:val="00AD46C1"/>
    <w:rsid w:val="00AD4D78"/>
    <w:rsid w:val="00AD5035"/>
    <w:rsid w:val="00AE160E"/>
    <w:rsid w:val="00AE39A1"/>
    <w:rsid w:val="00AE4AD5"/>
    <w:rsid w:val="00AF12E9"/>
    <w:rsid w:val="00B0126A"/>
    <w:rsid w:val="00B0745A"/>
    <w:rsid w:val="00B1116D"/>
    <w:rsid w:val="00B1321E"/>
    <w:rsid w:val="00B179B5"/>
    <w:rsid w:val="00B2051A"/>
    <w:rsid w:val="00B207D9"/>
    <w:rsid w:val="00B23DA0"/>
    <w:rsid w:val="00B26EAF"/>
    <w:rsid w:val="00B273DF"/>
    <w:rsid w:val="00B32A76"/>
    <w:rsid w:val="00B44E34"/>
    <w:rsid w:val="00B45772"/>
    <w:rsid w:val="00B47FE9"/>
    <w:rsid w:val="00B51B20"/>
    <w:rsid w:val="00B5572D"/>
    <w:rsid w:val="00B57D8B"/>
    <w:rsid w:val="00B62E72"/>
    <w:rsid w:val="00B636E8"/>
    <w:rsid w:val="00B63748"/>
    <w:rsid w:val="00B67588"/>
    <w:rsid w:val="00B721D3"/>
    <w:rsid w:val="00B73589"/>
    <w:rsid w:val="00B74E84"/>
    <w:rsid w:val="00B751F6"/>
    <w:rsid w:val="00B80FB5"/>
    <w:rsid w:val="00B82706"/>
    <w:rsid w:val="00B87800"/>
    <w:rsid w:val="00B917DE"/>
    <w:rsid w:val="00B93D12"/>
    <w:rsid w:val="00B942F7"/>
    <w:rsid w:val="00B94BCB"/>
    <w:rsid w:val="00B95492"/>
    <w:rsid w:val="00BA0848"/>
    <w:rsid w:val="00BA4614"/>
    <w:rsid w:val="00BB1F8E"/>
    <w:rsid w:val="00BB2600"/>
    <w:rsid w:val="00BB40EF"/>
    <w:rsid w:val="00BB5E9A"/>
    <w:rsid w:val="00BB6969"/>
    <w:rsid w:val="00BB7D7D"/>
    <w:rsid w:val="00BB7FF5"/>
    <w:rsid w:val="00BC11ED"/>
    <w:rsid w:val="00BC2DDE"/>
    <w:rsid w:val="00BC36EE"/>
    <w:rsid w:val="00BD2BFC"/>
    <w:rsid w:val="00BD49EC"/>
    <w:rsid w:val="00BD7932"/>
    <w:rsid w:val="00BE095A"/>
    <w:rsid w:val="00BE5F87"/>
    <w:rsid w:val="00BE6607"/>
    <w:rsid w:val="00BE7910"/>
    <w:rsid w:val="00C011DC"/>
    <w:rsid w:val="00C02715"/>
    <w:rsid w:val="00C03C76"/>
    <w:rsid w:val="00C04ACF"/>
    <w:rsid w:val="00C06880"/>
    <w:rsid w:val="00C06F9F"/>
    <w:rsid w:val="00C0742E"/>
    <w:rsid w:val="00C15B44"/>
    <w:rsid w:val="00C15F64"/>
    <w:rsid w:val="00C21F47"/>
    <w:rsid w:val="00C25416"/>
    <w:rsid w:val="00C259DE"/>
    <w:rsid w:val="00C277F1"/>
    <w:rsid w:val="00C349DC"/>
    <w:rsid w:val="00C4055C"/>
    <w:rsid w:val="00C435DF"/>
    <w:rsid w:val="00C443D3"/>
    <w:rsid w:val="00C44B2B"/>
    <w:rsid w:val="00C50ABA"/>
    <w:rsid w:val="00C50D49"/>
    <w:rsid w:val="00C5136E"/>
    <w:rsid w:val="00C52F6B"/>
    <w:rsid w:val="00C60519"/>
    <w:rsid w:val="00C62212"/>
    <w:rsid w:val="00C62229"/>
    <w:rsid w:val="00C66094"/>
    <w:rsid w:val="00C660C3"/>
    <w:rsid w:val="00C67BBE"/>
    <w:rsid w:val="00C72832"/>
    <w:rsid w:val="00C72AD4"/>
    <w:rsid w:val="00C73D80"/>
    <w:rsid w:val="00C747CA"/>
    <w:rsid w:val="00C80574"/>
    <w:rsid w:val="00C809C9"/>
    <w:rsid w:val="00C8123F"/>
    <w:rsid w:val="00C812FA"/>
    <w:rsid w:val="00C84250"/>
    <w:rsid w:val="00C8460B"/>
    <w:rsid w:val="00C85239"/>
    <w:rsid w:val="00C8762F"/>
    <w:rsid w:val="00C9779B"/>
    <w:rsid w:val="00CA2443"/>
    <w:rsid w:val="00CA2ED7"/>
    <w:rsid w:val="00CA5DCA"/>
    <w:rsid w:val="00CA66A8"/>
    <w:rsid w:val="00CA6875"/>
    <w:rsid w:val="00CB08E9"/>
    <w:rsid w:val="00CB33C0"/>
    <w:rsid w:val="00CB3F23"/>
    <w:rsid w:val="00CB7294"/>
    <w:rsid w:val="00CB79D1"/>
    <w:rsid w:val="00CC0F75"/>
    <w:rsid w:val="00CC405E"/>
    <w:rsid w:val="00CC6353"/>
    <w:rsid w:val="00CD0FE9"/>
    <w:rsid w:val="00CD3F2B"/>
    <w:rsid w:val="00CD4D9A"/>
    <w:rsid w:val="00CD574B"/>
    <w:rsid w:val="00CD5B3C"/>
    <w:rsid w:val="00CE29AD"/>
    <w:rsid w:val="00CE36F0"/>
    <w:rsid w:val="00CF0398"/>
    <w:rsid w:val="00CF6B93"/>
    <w:rsid w:val="00D05AD5"/>
    <w:rsid w:val="00D12F97"/>
    <w:rsid w:val="00D142CD"/>
    <w:rsid w:val="00D14955"/>
    <w:rsid w:val="00D21EFE"/>
    <w:rsid w:val="00D235E0"/>
    <w:rsid w:val="00D243C2"/>
    <w:rsid w:val="00D246FF"/>
    <w:rsid w:val="00D2504E"/>
    <w:rsid w:val="00D26074"/>
    <w:rsid w:val="00D316F6"/>
    <w:rsid w:val="00D32D34"/>
    <w:rsid w:val="00D3306A"/>
    <w:rsid w:val="00D33F7A"/>
    <w:rsid w:val="00D34286"/>
    <w:rsid w:val="00D3731A"/>
    <w:rsid w:val="00D469CC"/>
    <w:rsid w:val="00D50930"/>
    <w:rsid w:val="00D61936"/>
    <w:rsid w:val="00D6411A"/>
    <w:rsid w:val="00D653B6"/>
    <w:rsid w:val="00D662B3"/>
    <w:rsid w:val="00D6659D"/>
    <w:rsid w:val="00D67DF9"/>
    <w:rsid w:val="00D7073F"/>
    <w:rsid w:val="00D718C2"/>
    <w:rsid w:val="00D722C1"/>
    <w:rsid w:val="00D74052"/>
    <w:rsid w:val="00D76154"/>
    <w:rsid w:val="00D763B8"/>
    <w:rsid w:val="00D801E8"/>
    <w:rsid w:val="00D8126D"/>
    <w:rsid w:val="00D820B0"/>
    <w:rsid w:val="00D8298C"/>
    <w:rsid w:val="00D84422"/>
    <w:rsid w:val="00D865BF"/>
    <w:rsid w:val="00D8CC1A"/>
    <w:rsid w:val="00D92277"/>
    <w:rsid w:val="00D924E2"/>
    <w:rsid w:val="00D9486E"/>
    <w:rsid w:val="00D95CF5"/>
    <w:rsid w:val="00D96895"/>
    <w:rsid w:val="00DA07AD"/>
    <w:rsid w:val="00DA1246"/>
    <w:rsid w:val="00DA3765"/>
    <w:rsid w:val="00DA5B92"/>
    <w:rsid w:val="00DC1E0D"/>
    <w:rsid w:val="00DC252A"/>
    <w:rsid w:val="00DC304F"/>
    <w:rsid w:val="00DC3149"/>
    <w:rsid w:val="00DD0E6F"/>
    <w:rsid w:val="00DD1C5D"/>
    <w:rsid w:val="00DD4F59"/>
    <w:rsid w:val="00DD7563"/>
    <w:rsid w:val="00DD75C2"/>
    <w:rsid w:val="00DE014B"/>
    <w:rsid w:val="00DE0817"/>
    <w:rsid w:val="00DE1D56"/>
    <w:rsid w:val="00DE62DE"/>
    <w:rsid w:val="00DE78CB"/>
    <w:rsid w:val="00DF1D0D"/>
    <w:rsid w:val="00DF2A48"/>
    <w:rsid w:val="00DF2D85"/>
    <w:rsid w:val="00DF3E0E"/>
    <w:rsid w:val="00DF728D"/>
    <w:rsid w:val="00E00D45"/>
    <w:rsid w:val="00E0426A"/>
    <w:rsid w:val="00E05D2B"/>
    <w:rsid w:val="00E0709C"/>
    <w:rsid w:val="00E0747F"/>
    <w:rsid w:val="00E113A2"/>
    <w:rsid w:val="00E1460B"/>
    <w:rsid w:val="00E1487E"/>
    <w:rsid w:val="00E178B5"/>
    <w:rsid w:val="00E17E72"/>
    <w:rsid w:val="00E23CE7"/>
    <w:rsid w:val="00E2743A"/>
    <w:rsid w:val="00E430F4"/>
    <w:rsid w:val="00E46D3C"/>
    <w:rsid w:val="00E503EE"/>
    <w:rsid w:val="00E508C1"/>
    <w:rsid w:val="00E53F44"/>
    <w:rsid w:val="00E54D62"/>
    <w:rsid w:val="00E54E48"/>
    <w:rsid w:val="00E603EC"/>
    <w:rsid w:val="00E62791"/>
    <w:rsid w:val="00E66123"/>
    <w:rsid w:val="00E66524"/>
    <w:rsid w:val="00E7046E"/>
    <w:rsid w:val="00E70636"/>
    <w:rsid w:val="00E71966"/>
    <w:rsid w:val="00E72B60"/>
    <w:rsid w:val="00E7585F"/>
    <w:rsid w:val="00E7629C"/>
    <w:rsid w:val="00E76BB8"/>
    <w:rsid w:val="00E7763D"/>
    <w:rsid w:val="00E77AA2"/>
    <w:rsid w:val="00E8008A"/>
    <w:rsid w:val="00E807CF"/>
    <w:rsid w:val="00E812AD"/>
    <w:rsid w:val="00E8358A"/>
    <w:rsid w:val="00E860E6"/>
    <w:rsid w:val="00E93606"/>
    <w:rsid w:val="00E96594"/>
    <w:rsid w:val="00E96A1C"/>
    <w:rsid w:val="00E97F2F"/>
    <w:rsid w:val="00EA24FF"/>
    <w:rsid w:val="00EA5F0E"/>
    <w:rsid w:val="00EA6AE0"/>
    <w:rsid w:val="00EB04CA"/>
    <w:rsid w:val="00EB1194"/>
    <w:rsid w:val="00EB2675"/>
    <w:rsid w:val="00EC610F"/>
    <w:rsid w:val="00EC7AD4"/>
    <w:rsid w:val="00ED53B0"/>
    <w:rsid w:val="00EE33F1"/>
    <w:rsid w:val="00EE4A5E"/>
    <w:rsid w:val="00EE6230"/>
    <w:rsid w:val="00EF220F"/>
    <w:rsid w:val="00EF3ACD"/>
    <w:rsid w:val="00F016BF"/>
    <w:rsid w:val="00F045F5"/>
    <w:rsid w:val="00F046BD"/>
    <w:rsid w:val="00F10E95"/>
    <w:rsid w:val="00F12022"/>
    <w:rsid w:val="00F12619"/>
    <w:rsid w:val="00F15615"/>
    <w:rsid w:val="00F17666"/>
    <w:rsid w:val="00F17A27"/>
    <w:rsid w:val="00F21D31"/>
    <w:rsid w:val="00F2323C"/>
    <w:rsid w:val="00F24B0D"/>
    <w:rsid w:val="00F24FEC"/>
    <w:rsid w:val="00F447DA"/>
    <w:rsid w:val="00F44ABA"/>
    <w:rsid w:val="00F46ECC"/>
    <w:rsid w:val="00F478C5"/>
    <w:rsid w:val="00F47A62"/>
    <w:rsid w:val="00F50713"/>
    <w:rsid w:val="00F531D1"/>
    <w:rsid w:val="00F536F7"/>
    <w:rsid w:val="00F56924"/>
    <w:rsid w:val="00F651FE"/>
    <w:rsid w:val="00F677BF"/>
    <w:rsid w:val="00F702FA"/>
    <w:rsid w:val="00F70606"/>
    <w:rsid w:val="00F75A41"/>
    <w:rsid w:val="00F80D4A"/>
    <w:rsid w:val="00F8141F"/>
    <w:rsid w:val="00F83A2D"/>
    <w:rsid w:val="00F86F9A"/>
    <w:rsid w:val="00F901CF"/>
    <w:rsid w:val="00F905B1"/>
    <w:rsid w:val="00F927AD"/>
    <w:rsid w:val="00F94311"/>
    <w:rsid w:val="00FA0CC7"/>
    <w:rsid w:val="00FA36B7"/>
    <w:rsid w:val="00FA7EAA"/>
    <w:rsid w:val="00FB2688"/>
    <w:rsid w:val="00FB59AF"/>
    <w:rsid w:val="00FB5E17"/>
    <w:rsid w:val="00FB6CFB"/>
    <w:rsid w:val="00FB735D"/>
    <w:rsid w:val="00FC2F59"/>
    <w:rsid w:val="00FC3B6B"/>
    <w:rsid w:val="00FC7C02"/>
    <w:rsid w:val="00FE2C89"/>
    <w:rsid w:val="00FF43D3"/>
    <w:rsid w:val="00FF4BA3"/>
    <w:rsid w:val="011F0BAF"/>
    <w:rsid w:val="015798C3"/>
    <w:rsid w:val="015E5638"/>
    <w:rsid w:val="016F9B73"/>
    <w:rsid w:val="01ABF34D"/>
    <w:rsid w:val="01D61759"/>
    <w:rsid w:val="01E7D082"/>
    <w:rsid w:val="01F272D6"/>
    <w:rsid w:val="0260BB3F"/>
    <w:rsid w:val="02714606"/>
    <w:rsid w:val="031332D6"/>
    <w:rsid w:val="033D9A2C"/>
    <w:rsid w:val="03448E0A"/>
    <w:rsid w:val="0362D433"/>
    <w:rsid w:val="036CD9C7"/>
    <w:rsid w:val="0375A510"/>
    <w:rsid w:val="0389FF1B"/>
    <w:rsid w:val="03921A29"/>
    <w:rsid w:val="03E6858A"/>
    <w:rsid w:val="042113BA"/>
    <w:rsid w:val="0435D836"/>
    <w:rsid w:val="04D2C4D4"/>
    <w:rsid w:val="04F0CCA5"/>
    <w:rsid w:val="04F35417"/>
    <w:rsid w:val="05060006"/>
    <w:rsid w:val="0528C20F"/>
    <w:rsid w:val="053ED03F"/>
    <w:rsid w:val="05550DCD"/>
    <w:rsid w:val="057BCBDE"/>
    <w:rsid w:val="05A0D9F8"/>
    <w:rsid w:val="05A50B03"/>
    <w:rsid w:val="05A6690E"/>
    <w:rsid w:val="05D865CD"/>
    <w:rsid w:val="0655135A"/>
    <w:rsid w:val="066AE9BA"/>
    <w:rsid w:val="06ACE515"/>
    <w:rsid w:val="06D0BB5B"/>
    <w:rsid w:val="071F9112"/>
    <w:rsid w:val="07323922"/>
    <w:rsid w:val="0766B1A5"/>
    <w:rsid w:val="078BEE45"/>
    <w:rsid w:val="0791BCCB"/>
    <w:rsid w:val="07974D01"/>
    <w:rsid w:val="07D36295"/>
    <w:rsid w:val="0827D18D"/>
    <w:rsid w:val="08BA1120"/>
    <w:rsid w:val="08CE68F5"/>
    <w:rsid w:val="08D4F326"/>
    <w:rsid w:val="094A3155"/>
    <w:rsid w:val="09C88102"/>
    <w:rsid w:val="0A27832A"/>
    <w:rsid w:val="0A6BBA1C"/>
    <w:rsid w:val="0A9AF1DD"/>
    <w:rsid w:val="0A9B228C"/>
    <w:rsid w:val="0AB091BD"/>
    <w:rsid w:val="0B040742"/>
    <w:rsid w:val="0C12A64B"/>
    <w:rsid w:val="0C1C4771"/>
    <w:rsid w:val="0C316274"/>
    <w:rsid w:val="0CD43B21"/>
    <w:rsid w:val="0CE913F2"/>
    <w:rsid w:val="0D292715"/>
    <w:rsid w:val="0D66AA36"/>
    <w:rsid w:val="0DD7E0E4"/>
    <w:rsid w:val="0E176CAB"/>
    <w:rsid w:val="0E52B8B9"/>
    <w:rsid w:val="0E639BC1"/>
    <w:rsid w:val="0E8369C5"/>
    <w:rsid w:val="0E913641"/>
    <w:rsid w:val="0E98E05D"/>
    <w:rsid w:val="0E9D2F17"/>
    <w:rsid w:val="0EAEE79F"/>
    <w:rsid w:val="0EB1B461"/>
    <w:rsid w:val="0F89155E"/>
    <w:rsid w:val="1050DA8E"/>
    <w:rsid w:val="10584867"/>
    <w:rsid w:val="106194D1"/>
    <w:rsid w:val="10A13079"/>
    <w:rsid w:val="10A83B0D"/>
    <w:rsid w:val="10AFF767"/>
    <w:rsid w:val="110D1CBE"/>
    <w:rsid w:val="112D731C"/>
    <w:rsid w:val="115F0501"/>
    <w:rsid w:val="1169090C"/>
    <w:rsid w:val="119DB212"/>
    <w:rsid w:val="11A39B83"/>
    <w:rsid w:val="11A891B5"/>
    <w:rsid w:val="1217317B"/>
    <w:rsid w:val="1257AEA0"/>
    <w:rsid w:val="1276CCC8"/>
    <w:rsid w:val="12C9974E"/>
    <w:rsid w:val="12E8CEE7"/>
    <w:rsid w:val="12FCC42A"/>
    <w:rsid w:val="13416CC9"/>
    <w:rsid w:val="139559A6"/>
    <w:rsid w:val="13CB40C6"/>
    <w:rsid w:val="13DBC768"/>
    <w:rsid w:val="14195261"/>
    <w:rsid w:val="143C8DDC"/>
    <w:rsid w:val="1465688A"/>
    <w:rsid w:val="14878D0B"/>
    <w:rsid w:val="14AA17BA"/>
    <w:rsid w:val="14B76363"/>
    <w:rsid w:val="14D9E4B1"/>
    <w:rsid w:val="153F0270"/>
    <w:rsid w:val="154F9645"/>
    <w:rsid w:val="15543A77"/>
    <w:rsid w:val="15ACC099"/>
    <w:rsid w:val="15D40442"/>
    <w:rsid w:val="15FBFE57"/>
    <w:rsid w:val="15FCBD36"/>
    <w:rsid w:val="16192B7A"/>
    <w:rsid w:val="16256829"/>
    <w:rsid w:val="168CD22E"/>
    <w:rsid w:val="17033811"/>
    <w:rsid w:val="1725A4AC"/>
    <w:rsid w:val="174BC620"/>
    <w:rsid w:val="174CCD7E"/>
    <w:rsid w:val="177BA806"/>
    <w:rsid w:val="17A8BA34"/>
    <w:rsid w:val="17C8B0F8"/>
    <w:rsid w:val="17D65D06"/>
    <w:rsid w:val="17E4D2D5"/>
    <w:rsid w:val="180C08F6"/>
    <w:rsid w:val="180D1459"/>
    <w:rsid w:val="187EB04C"/>
    <w:rsid w:val="188F9910"/>
    <w:rsid w:val="18A69662"/>
    <w:rsid w:val="19589B78"/>
    <w:rsid w:val="195CA070"/>
    <w:rsid w:val="196B6530"/>
    <w:rsid w:val="19704EEE"/>
    <w:rsid w:val="19CAEDC0"/>
    <w:rsid w:val="19D7B897"/>
    <w:rsid w:val="1A11F77E"/>
    <w:rsid w:val="1A3B074C"/>
    <w:rsid w:val="1A6BE014"/>
    <w:rsid w:val="1AA9E163"/>
    <w:rsid w:val="1AAC98AC"/>
    <w:rsid w:val="1AD36881"/>
    <w:rsid w:val="1AF5E46A"/>
    <w:rsid w:val="1B311841"/>
    <w:rsid w:val="1B371CE8"/>
    <w:rsid w:val="1B8970FB"/>
    <w:rsid w:val="1BC5A55B"/>
    <w:rsid w:val="1BDC2A36"/>
    <w:rsid w:val="1BE2ED96"/>
    <w:rsid w:val="1BEED13C"/>
    <w:rsid w:val="1BFBCA15"/>
    <w:rsid w:val="1C150084"/>
    <w:rsid w:val="1C29BCEF"/>
    <w:rsid w:val="1C55CF93"/>
    <w:rsid w:val="1CA4FC72"/>
    <w:rsid w:val="1CB0E942"/>
    <w:rsid w:val="1CB79901"/>
    <w:rsid w:val="1CDFADA3"/>
    <w:rsid w:val="1CF38175"/>
    <w:rsid w:val="1D413175"/>
    <w:rsid w:val="1D416926"/>
    <w:rsid w:val="1D4CBC22"/>
    <w:rsid w:val="1D5C8777"/>
    <w:rsid w:val="1D741399"/>
    <w:rsid w:val="1D984D0F"/>
    <w:rsid w:val="1DBEB2EA"/>
    <w:rsid w:val="1E00E8EA"/>
    <w:rsid w:val="1E033882"/>
    <w:rsid w:val="1E054484"/>
    <w:rsid w:val="1E16125D"/>
    <w:rsid w:val="1E68BBD3"/>
    <w:rsid w:val="1E762235"/>
    <w:rsid w:val="1E97A16F"/>
    <w:rsid w:val="1E9C2491"/>
    <w:rsid w:val="1EB5D367"/>
    <w:rsid w:val="1EF1E4E7"/>
    <w:rsid w:val="1F40585C"/>
    <w:rsid w:val="1F6F455B"/>
    <w:rsid w:val="1F84E78A"/>
    <w:rsid w:val="20435EE9"/>
    <w:rsid w:val="20641CDD"/>
    <w:rsid w:val="20686836"/>
    <w:rsid w:val="20751798"/>
    <w:rsid w:val="209AF719"/>
    <w:rsid w:val="20B4B692"/>
    <w:rsid w:val="20C07B1C"/>
    <w:rsid w:val="20C88254"/>
    <w:rsid w:val="20DE3FD6"/>
    <w:rsid w:val="20E1757A"/>
    <w:rsid w:val="20F236DA"/>
    <w:rsid w:val="210D0973"/>
    <w:rsid w:val="212CD244"/>
    <w:rsid w:val="214822BC"/>
    <w:rsid w:val="215EBBBC"/>
    <w:rsid w:val="2164CB1B"/>
    <w:rsid w:val="21C04ABB"/>
    <w:rsid w:val="21E30AF7"/>
    <w:rsid w:val="22084ED3"/>
    <w:rsid w:val="2272CF59"/>
    <w:rsid w:val="22B899CC"/>
    <w:rsid w:val="22BF1173"/>
    <w:rsid w:val="22D7F3C5"/>
    <w:rsid w:val="22F60CA3"/>
    <w:rsid w:val="232CBAE5"/>
    <w:rsid w:val="2345F151"/>
    <w:rsid w:val="236F0A99"/>
    <w:rsid w:val="23AA2ED9"/>
    <w:rsid w:val="23CF4615"/>
    <w:rsid w:val="23E07CCB"/>
    <w:rsid w:val="245CEC0A"/>
    <w:rsid w:val="24CB805F"/>
    <w:rsid w:val="24D7D183"/>
    <w:rsid w:val="24EF3CBB"/>
    <w:rsid w:val="251322EB"/>
    <w:rsid w:val="2528C7CF"/>
    <w:rsid w:val="255466ED"/>
    <w:rsid w:val="25993FD4"/>
    <w:rsid w:val="25C54382"/>
    <w:rsid w:val="25E906A6"/>
    <w:rsid w:val="25E99643"/>
    <w:rsid w:val="25F642F7"/>
    <w:rsid w:val="260820AD"/>
    <w:rsid w:val="261085F4"/>
    <w:rsid w:val="2643054B"/>
    <w:rsid w:val="2643C46F"/>
    <w:rsid w:val="26606D4C"/>
    <w:rsid w:val="2662E129"/>
    <w:rsid w:val="266F5CB4"/>
    <w:rsid w:val="268E2BC2"/>
    <w:rsid w:val="26A4EC6D"/>
    <w:rsid w:val="26F91D86"/>
    <w:rsid w:val="2737A879"/>
    <w:rsid w:val="273939DF"/>
    <w:rsid w:val="279FE173"/>
    <w:rsid w:val="284DA051"/>
    <w:rsid w:val="2898886E"/>
    <w:rsid w:val="28A2438A"/>
    <w:rsid w:val="28DA0670"/>
    <w:rsid w:val="28F7F337"/>
    <w:rsid w:val="2904482A"/>
    <w:rsid w:val="29931887"/>
    <w:rsid w:val="29A6F892"/>
    <w:rsid w:val="29B6FAB0"/>
    <w:rsid w:val="29C73363"/>
    <w:rsid w:val="2A7AC5AC"/>
    <w:rsid w:val="2AD0B665"/>
    <w:rsid w:val="2AFF0787"/>
    <w:rsid w:val="2B0FE7E2"/>
    <w:rsid w:val="2B29DD34"/>
    <w:rsid w:val="2B76E51F"/>
    <w:rsid w:val="2B8F3FCF"/>
    <w:rsid w:val="2BF7ED54"/>
    <w:rsid w:val="2C417BA8"/>
    <w:rsid w:val="2C584B0F"/>
    <w:rsid w:val="2CA6D515"/>
    <w:rsid w:val="2D0ED805"/>
    <w:rsid w:val="2DB7BB20"/>
    <w:rsid w:val="2E254CC3"/>
    <w:rsid w:val="2E2CBC71"/>
    <w:rsid w:val="2E6B70D6"/>
    <w:rsid w:val="2EA07DC6"/>
    <w:rsid w:val="2EC3DAE4"/>
    <w:rsid w:val="2ECA5876"/>
    <w:rsid w:val="2EF19092"/>
    <w:rsid w:val="2F1FD02C"/>
    <w:rsid w:val="2F7D6631"/>
    <w:rsid w:val="2F9169F2"/>
    <w:rsid w:val="2F91A006"/>
    <w:rsid w:val="2FB50145"/>
    <w:rsid w:val="2FBC11E2"/>
    <w:rsid w:val="2FDD3D90"/>
    <w:rsid w:val="2FDED678"/>
    <w:rsid w:val="300880CF"/>
    <w:rsid w:val="30099084"/>
    <w:rsid w:val="301CEB8D"/>
    <w:rsid w:val="301DB147"/>
    <w:rsid w:val="301EDBB8"/>
    <w:rsid w:val="3038FCA9"/>
    <w:rsid w:val="3041EAB6"/>
    <w:rsid w:val="305030E3"/>
    <w:rsid w:val="30658255"/>
    <w:rsid w:val="30731647"/>
    <w:rsid w:val="30925DC1"/>
    <w:rsid w:val="30AFC6F5"/>
    <w:rsid w:val="30AFD532"/>
    <w:rsid w:val="30F77F9B"/>
    <w:rsid w:val="31058CD0"/>
    <w:rsid w:val="315342C3"/>
    <w:rsid w:val="317FA827"/>
    <w:rsid w:val="3208BABF"/>
    <w:rsid w:val="3222DD35"/>
    <w:rsid w:val="32657E28"/>
    <w:rsid w:val="32897984"/>
    <w:rsid w:val="328DBFC8"/>
    <w:rsid w:val="328EA30A"/>
    <w:rsid w:val="3296FD65"/>
    <w:rsid w:val="32F1527E"/>
    <w:rsid w:val="33306C36"/>
    <w:rsid w:val="3339D3F1"/>
    <w:rsid w:val="333F896F"/>
    <w:rsid w:val="336AC081"/>
    <w:rsid w:val="33DA2DE7"/>
    <w:rsid w:val="3428A09B"/>
    <w:rsid w:val="343623D9"/>
    <w:rsid w:val="344D8AF0"/>
    <w:rsid w:val="3463D717"/>
    <w:rsid w:val="349223A6"/>
    <w:rsid w:val="34989909"/>
    <w:rsid w:val="34CBA59F"/>
    <w:rsid w:val="351A02D2"/>
    <w:rsid w:val="355DF42B"/>
    <w:rsid w:val="3575CE6A"/>
    <w:rsid w:val="35B5BBFF"/>
    <w:rsid w:val="35C5EC80"/>
    <w:rsid w:val="35D1F547"/>
    <w:rsid w:val="364E2AED"/>
    <w:rsid w:val="36612A30"/>
    <w:rsid w:val="366A8180"/>
    <w:rsid w:val="368D5CDE"/>
    <w:rsid w:val="368D9395"/>
    <w:rsid w:val="37185C6D"/>
    <w:rsid w:val="3724B09D"/>
    <w:rsid w:val="37542265"/>
    <w:rsid w:val="37658267"/>
    <w:rsid w:val="378951B3"/>
    <w:rsid w:val="379B532A"/>
    <w:rsid w:val="37ACA4B1"/>
    <w:rsid w:val="37C33D46"/>
    <w:rsid w:val="37D6EB6E"/>
    <w:rsid w:val="385106AF"/>
    <w:rsid w:val="3858D9C0"/>
    <w:rsid w:val="385F7B2D"/>
    <w:rsid w:val="38D145CA"/>
    <w:rsid w:val="3918997D"/>
    <w:rsid w:val="3928C905"/>
    <w:rsid w:val="3956B843"/>
    <w:rsid w:val="395CA6BD"/>
    <w:rsid w:val="39795B8D"/>
    <w:rsid w:val="39A1EBCF"/>
    <w:rsid w:val="39C09FF7"/>
    <w:rsid w:val="3A28D438"/>
    <w:rsid w:val="3A2F0320"/>
    <w:rsid w:val="3A4D3B28"/>
    <w:rsid w:val="3A748625"/>
    <w:rsid w:val="3A8012E4"/>
    <w:rsid w:val="3A8DDB19"/>
    <w:rsid w:val="3ABC1DCC"/>
    <w:rsid w:val="3AEAABF7"/>
    <w:rsid w:val="3B213D9E"/>
    <w:rsid w:val="3B651E7B"/>
    <w:rsid w:val="3B95BB01"/>
    <w:rsid w:val="3BCA85AD"/>
    <w:rsid w:val="3C656E9D"/>
    <w:rsid w:val="3C677B6F"/>
    <w:rsid w:val="3C7DBFF4"/>
    <w:rsid w:val="3CBD8934"/>
    <w:rsid w:val="3D116843"/>
    <w:rsid w:val="3D167268"/>
    <w:rsid w:val="3D9ACB23"/>
    <w:rsid w:val="3E0B223E"/>
    <w:rsid w:val="3E2311DB"/>
    <w:rsid w:val="3E52DEE6"/>
    <w:rsid w:val="3E5C8DB0"/>
    <w:rsid w:val="3E6D3ABD"/>
    <w:rsid w:val="3FBA4D99"/>
    <w:rsid w:val="3FEBFD99"/>
    <w:rsid w:val="3FEC1003"/>
    <w:rsid w:val="3FF0B4BB"/>
    <w:rsid w:val="4006366B"/>
    <w:rsid w:val="400F387A"/>
    <w:rsid w:val="409D6D7E"/>
    <w:rsid w:val="40CA946A"/>
    <w:rsid w:val="40D62B13"/>
    <w:rsid w:val="41029AFF"/>
    <w:rsid w:val="41042923"/>
    <w:rsid w:val="410E3771"/>
    <w:rsid w:val="41160824"/>
    <w:rsid w:val="4141A238"/>
    <w:rsid w:val="4188B471"/>
    <w:rsid w:val="41A8CFB8"/>
    <w:rsid w:val="41F439E2"/>
    <w:rsid w:val="41F53624"/>
    <w:rsid w:val="420EA085"/>
    <w:rsid w:val="4226FCCD"/>
    <w:rsid w:val="42353FC8"/>
    <w:rsid w:val="4266D080"/>
    <w:rsid w:val="426B29D2"/>
    <w:rsid w:val="42D5EF0A"/>
    <w:rsid w:val="43057787"/>
    <w:rsid w:val="43195307"/>
    <w:rsid w:val="4322BA45"/>
    <w:rsid w:val="432DA013"/>
    <w:rsid w:val="433C9BA9"/>
    <w:rsid w:val="433FFBE7"/>
    <w:rsid w:val="4351BB32"/>
    <w:rsid w:val="43894A7F"/>
    <w:rsid w:val="43BC4B39"/>
    <w:rsid w:val="43C3FE70"/>
    <w:rsid w:val="43D308B3"/>
    <w:rsid w:val="43E9ABA1"/>
    <w:rsid w:val="43F7885D"/>
    <w:rsid w:val="441DBC21"/>
    <w:rsid w:val="44361DBC"/>
    <w:rsid w:val="443D08EB"/>
    <w:rsid w:val="447193EE"/>
    <w:rsid w:val="447A0A93"/>
    <w:rsid w:val="4492822E"/>
    <w:rsid w:val="44A2AF36"/>
    <w:rsid w:val="44C85C6E"/>
    <w:rsid w:val="451F366D"/>
    <w:rsid w:val="45334182"/>
    <w:rsid w:val="4541D4B4"/>
    <w:rsid w:val="456D1EBE"/>
    <w:rsid w:val="45ADE97E"/>
    <w:rsid w:val="45B02D52"/>
    <w:rsid w:val="45F5A265"/>
    <w:rsid w:val="4601877A"/>
    <w:rsid w:val="460D743D"/>
    <w:rsid w:val="464A7B02"/>
    <w:rsid w:val="464C2251"/>
    <w:rsid w:val="46943E1B"/>
    <w:rsid w:val="46C6BE5E"/>
    <w:rsid w:val="471DA0A8"/>
    <w:rsid w:val="4795F301"/>
    <w:rsid w:val="47AFBB4A"/>
    <w:rsid w:val="47D41860"/>
    <w:rsid w:val="47EA7854"/>
    <w:rsid w:val="47EAFC22"/>
    <w:rsid w:val="480F3A4D"/>
    <w:rsid w:val="4821BFDD"/>
    <w:rsid w:val="48359577"/>
    <w:rsid w:val="48BA12D6"/>
    <w:rsid w:val="48C18402"/>
    <w:rsid w:val="48ED9A45"/>
    <w:rsid w:val="49125DE4"/>
    <w:rsid w:val="491AFF09"/>
    <w:rsid w:val="499A8066"/>
    <w:rsid w:val="49BFE3F6"/>
    <w:rsid w:val="49CFD3E2"/>
    <w:rsid w:val="49DF282B"/>
    <w:rsid w:val="4A114C7B"/>
    <w:rsid w:val="4A4D3ECD"/>
    <w:rsid w:val="4AAEAF69"/>
    <w:rsid w:val="4ABC3044"/>
    <w:rsid w:val="4ADDCCE2"/>
    <w:rsid w:val="4AF8E34D"/>
    <w:rsid w:val="4AFDC70C"/>
    <w:rsid w:val="4B63D0A0"/>
    <w:rsid w:val="4BBD7888"/>
    <w:rsid w:val="4BC8080A"/>
    <w:rsid w:val="4BF1BCE7"/>
    <w:rsid w:val="4C08D944"/>
    <w:rsid w:val="4C111BC0"/>
    <w:rsid w:val="4C2BE700"/>
    <w:rsid w:val="4C499DCA"/>
    <w:rsid w:val="4C7253FF"/>
    <w:rsid w:val="4C7E15DC"/>
    <w:rsid w:val="4C8B7CE4"/>
    <w:rsid w:val="4C902D18"/>
    <w:rsid w:val="4CACE2B9"/>
    <w:rsid w:val="4CADFA03"/>
    <w:rsid w:val="4CC7DD27"/>
    <w:rsid w:val="4CD6DAA6"/>
    <w:rsid w:val="4D2930BE"/>
    <w:rsid w:val="4D5825BB"/>
    <w:rsid w:val="4D9E953C"/>
    <w:rsid w:val="4DBFC49F"/>
    <w:rsid w:val="4DFEBB3B"/>
    <w:rsid w:val="4DFF7B31"/>
    <w:rsid w:val="4E55203C"/>
    <w:rsid w:val="4E64D609"/>
    <w:rsid w:val="4E6C6437"/>
    <w:rsid w:val="4EB4C901"/>
    <w:rsid w:val="4EC663FC"/>
    <w:rsid w:val="4ECDDFA6"/>
    <w:rsid w:val="4EDD12CE"/>
    <w:rsid w:val="4F1DC04D"/>
    <w:rsid w:val="4F253DB4"/>
    <w:rsid w:val="4F4C9162"/>
    <w:rsid w:val="4F4D4153"/>
    <w:rsid w:val="4F4EBBA7"/>
    <w:rsid w:val="4F81F0C5"/>
    <w:rsid w:val="501501B3"/>
    <w:rsid w:val="507AF656"/>
    <w:rsid w:val="50B3E03A"/>
    <w:rsid w:val="5115AA29"/>
    <w:rsid w:val="5131B646"/>
    <w:rsid w:val="513A8BE8"/>
    <w:rsid w:val="51470989"/>
    <w:rsid w:val="514DBD31"/>
    <w:rsid w:val="519C774A"/>
    <w:rsid w:val="51AA73EF"/>
    <w:rsid w:val="51C802A5"/>
    <w:rsid w:val="51F216A9"/>
    <w:rsid w:val="51F4D78D"/>
    <w:rsid w:val="51FE5CEC"/>
    <w:rsid w:val="52230B33"/>
    <w:rsid w:val="523AACA1"/>
    <w:rsid w:val="523D8801"/>
    <w:rsid w:val="5255484D"/>
    <w:rsid w:val="5258E78C"/>
    <w:rsid w:val="52CB64FF"/>
    <w:rsid w:val="52EA2D49"/>
    <w:rsid w:val="530BFE7A"/>
    <w:rsid w:val="535D6865"/>
    <w:rsid w:val="535F7F12"/>
    <w:rsid w:val="53BA46B1"/>
    <w:rsid w:val="54009B8E"/>
    <w:rsid w:val="5430D6B7"/>
    <w:rsid w:val="54369355"/>
    <w:rsid w:val="54A4245F"/>
    <w:rsid w:val="54A9E248"/>
    <w:rsid w:val="55154A9B"/>
    <w:rsid w:val="551A2CDE"/>
    <w:rsid w:val="55504987"/>
    <w:rsid w:val="5552BAFF"/>
    <w:rsid w:val="555E325D"/>
    <w:rsid w:val="55AE3DF2"/>
    <w:rsid w:val="55CB1232"/>
    <w:rsid w:val="55FC90C2"/>
    <w:rsid w:val="561A8B92"/>
    <w:rsid w:val="564D7CEF"/>
    <w:rsid w:val="566E62A1"/>
    <w:rsid w:val="56813CCA"/>
    <w:rsid w:val="5687BA43"/>
    <w:rsid w:val="568B7D3B"/>
    <w:rsid w:val="568C9DB8"/>
    <w:rsid w:val="56A77D50"/>
    <w:rsid w:val="56D0F83B"/>
    <w:rsid w:val="56F65281"/>
    <w:rsid w:val="57320E2A"/>
    <w:rsid w:val="57481252"/>
    <w:rsid w:val="575CE5BA"/>
    <w:rsid w:val="5767AD19"/>
    <w:rsid w:val="576FA09D"/>
    <w:rsid w:val="57BA6372"/>
    <w:rsid w:val="58394DFE"/>
    <w:rsid w:val="588C0D0B"/>
    <w:rsid w:val="58A140C8"/>
    <w:rsid w:val="58D728A4"/>
    <w:rsid w:val="58E0B12E"/>
    <w:rsid w:val="5902E072"/>
    <w:rsid w:val="59390989"/>
    <w:rsid w:val="59A54955"/>
    <w:rsid w:val="59B8B870"/>
    <w:rsid w:val="59C69EAC"/>
    <w:rsid w:val="59D131E6"/>
    <w:rsid w:val="5A1B0DB6"/>
    <w:rsid w:val="5A4A60D8"/>
    <w:rsid w:val="5A52BC17"/>
    <w:rsid w:val="5A617A40"/>
    <w:rsid w:val="5A68B6B0"/>
    <w:rsid w:val="5AAFE0B2"/>
    <w:rsid w:val="5B28B2A7"/>
    <w:rsid w:val="5B2E9DC3"/>
    <w:rsid w:val="5B34EC0C"/>
    <w:rsid w:val="5B5D47A9"/>
    <w:rsid w:val="5B710362"/>
    <w:rsid w:val="5B80B27E"/>
    <w:rsid w:val="5BB5E9D8"/>
    <w:rsid w:val="5BB7CAF6"/>
    <w:rsid w:val="5BDD2C7F"/>
    <w:rsid w:val="5C540C5D"/>
    <w:rsid w:val="5C6A3178"/>
    <w:rsid w:val="5C90E8BE"/>
    <w:rsid w:val="5C912D44"/>
    <w:rsid w:val="5CB5F54F"/>
    <w:rsid w:val="5CCEF5DA"/>
    <w:rsid w:val="5CF4EED0"/>
    <w:rsid w:val="5CF89882"/>
    <w:rsid w:val="5CFA3ABF"/>
    <w:rsid w:val="5D11D4FB"/>
    <w:rsid w:val="5D12A739"/>
    <w:rsid w:val="5D44B89F"/>
    <w:rsid w:val="5D90CBB0"/>
    <w:rsid w:val="5D961B32"/>
    <w:rsid w:val="5D9B333C"/>
    <w:rsid w:val="5DA79803"/>
    <w:rsid w:val="5DA8FDF2"/>
    <w:rsid w:val="5DBA4ECF"/>
    <w:rsid w:val="5DBFD9FD"/>
    <w:rsid w:val="5DC6302A"/>
    <w:rsid w:val="5DCB6428"/>
    <w:rsid w:val="5DD89A25"/>
    <w:rsid w:val="5E0D2FE6"/>
    <w:rsid w:val="5E334F23"/>
    <w:rsid w:val="5E468BE7"/>
    <w:rsid w:val="5E54CB6D"/>
    <w:rsid w:val="5EB41030"/>
    <w:rsid w:val="5EBBA711"/>
    <w:rsid w:val="5EC89301"/>
    <w:rsid w:val="5F3794B9"/>
    <w:rsid w:val="5F5EF61E"/>
    <w:rsid w:val="5F60D8BC"/>
    <w:rsid w:val="5F73AE74"/>
    <w:rsid w:val="5F74005A"/>
    <w:rsid w:val="5FE88FFC"/>
    <w:rsid w:val="5FFA94BB"/>
    <w:rsid w:val="600DC077"/>
    <w:rsid w:val="6051E190"/>
    <w:rsid w:val="606F7BAD"/>
    <w:rsid w:val="606FE911"/>
    <w:rsid w:val="6081049E"/>
    <w:rsid w:val="60B1D694"/>
    <w:rsid w:val="60C9F04F"/>
    <w:rsid w:val="61076ED9"/>
    <w:rsid w:val="61285FF7"/>
    <w:rsid w:val="615F75CB"/>
    <w:rsid w:val="617CF842"/>
    <w:rsid w:val="617EB29B"/>
    <w:rsid w:val="61885702"/>
    <w:rsid w:val="61EB44CC"/>
    <w:rsid w:val="6211DAB0"/>
    <w:rsid w:val="62708EC8"/>
    <w:rsid w:val="62C119E1"/>
    <w:rsid w:val="62E92027"/>
    <w:rsid w:val="63670E77"/>
    <w:rsid w:val="638DD611"/>
    <w:rsid w:val="639FB77D"/>
    <w:rsid w:val="63B7A876"/>
    <w:rsid w:val="63DE5744"/>
    <w:rsid w:val="63FB4AF7"/>
    <w:rsid w:val="641628C7"/>
    <w:rsid w:val="64BF6AE7"/>
    <w:rsid w:val="64DE8D82"/>
    <w:rsid w:val="65112B91"/>
    <w:rsid w:val="6549123C"/>
    <w:rsid w:val="6561B476"/>
    <w:rsid w:val="6565882A"/>
    <w:rsid w:val="657743D1"/>
    <w:rsid w:val="65962E1A"/>
    <w:rsid w:val="659FE175"/>
    <w:rsid w:val="65ABB301"/>
    <w:rsid w:val="65C27AFA"/>
    <w:rsid w:val="65D05CDA"/>
    <w:rsid w:val="6614CADF"/>
    <w:rsid w:val="662138F0"/>
    <w:rsid w:val="66531071"/>
    <w:rsid w:val="6666A1CE"/>
    <w:rsid w:val="666BB2E9"/>
    <w:rsid w:val="6672A759"/>
    <w:rsid w:val="66CF8CDC"/>
    <w:rsid w:val="66E50A43"/>
    <w:rsid w:val="66ED9F71"/>
    <w:rsid w:val="670E4BDD"/>
    <w:rsid w:val="676A6370"/>
    <w:rsid w:val="678D9E2E"/>
    <w:rsid w:val="68218278"/>
    <w:rsid w:val="682A1BC7"/>
    <w:rsid w:val="683AE95A"/>
    <w:rsid w:val="686312DC"/>
    <w:rsid w:val="690762FD"/>
    <w:rsid w:val="692D6857"/>
    <w:rsid w:val="693219A5"/>
    <w:rsid w:val="696218E5"/>
    <w:rsid w:val="6977359A"/>
    <w:rsid w:val="69C22B93"/>
    <w:rsid w:val="69F29EC5"/>
    <w:rsid w:val="69FD2332"/>
    <w:rsid w:val="6A13CD5A"/>
    <w:rsid w:val="6A1845EE"/>
    <w:rsid w:val="6A2F9EF1"/>
    <w:rsid w:val="6A423F84"/>
    <w:rsid w:val="6ACB62FD"/>
    <w:rsid w:val="6AFCCADD"/>
    <w:rsid w:val="6B62560E"/>
    <w:rsid w:val="6BB2EB8B"/>
    <w:rsid w:val="6BD8BFA5"/>
    <w:rsid w:val="6C20E20E"/>
    <w:rsid w:val="6C2E1E1E"/>
    <w:rsid w:val="6C3E48AD"/>
    <w:rsid w:val="6CA41DFE"/>
    <w:rsid w:val="6CB0FA4A"/>
    <w:rsid w:val="6D162A2F"/>
    <w:rsid w:val="6D208B94"/>
    <w:rsid w:val="6D239FC2"/>
    <w:rsid w:val="6D325A35"/>
    <w:rsid w:val="6D487738"/>
    <w:rsid w:val="6D48D4A8"/>
    <w:rsid w:val="6D641BF4"/>
    <w:rsid w:val="6D6AA1A0"/>
    <w:rsid w:val="6D83700B"/>
    <w:rsid w:val="6D95126F"/>
    <w:rsid w:val="6DC38A8E"/>
    <w:rsid w:val="6DCE6F4B"/>
    <w:rsid w:val="6DEFE171"/>
    <w:rsid w:val="6E03F138"/>
    <w:rsid w:val="6F1ABACD"/>
    <w:rsid w:val="6F5216F2"/>
    <w:rsid w:val="6F734B1C"/>
    <w:rsid w:val="6F7D8834"/>
    <w:rsid w:val="6FB06FAE"/>
    <w:rsid w:val="6FBC4A48"/>
    <w:rsid w:val="6FC24863"/>
    <w:rsid w:val="6FD270FF"/>
    <w:rsid w:val="6FE17138"/>
    <w:rsid w:val="700C611C"/>
    <w:rsid w:val="702B6D60"/>
    <w:rsid w:val="7053EE1F"/>
    <w:rsid w:val="709220C6"/>
    <w:rsid w:val="70978AFE"/>
    <w:rsid w:val="7111E8F0"/>
    <w:rsid w:val="7118E42A"/>
    <w:rsid w:val="713106C2"/>
    <w:rsid w:val="714D2916"/>
    <w:rsid w:val="7179C30B"/>
    <w:rsid w:val="718C3F6B"/>
    <w:rsid w:val="71B8DB94"/>
    <w:rsid w:val="71E04DC4"/>
    <w:rsid w:val="720C84DE"/>
    <w:rsid w:val="723A9A30"/>
    <w:rsid w:val="725C0D9B"/>
    <w:rsid w:val="726BE4B6"/>
    <w:rsid w:val="72716BC2"/>
    <w:rsid w:val="72D3B783"/>
    <w:rsid w:val="72DC2B4D"/>
    <w:rsid w:val="72F129F5"/>
    <w:rsid w:val="73656509"/>
    <w:rsid w:val="7386FF5D"/>
    <w:rsid w:val="73A0E605"/>
    <w:rsid w:val="73AC7985"/>
    <w:rsid w:val="73B74726"/>
    <w:rsid w:val="7421B230"/>
    <w:rsid w:val="7495F3DA"/>
    <w:rsid w:val="74C5FA43"/>
    <w:rsid w:val="74D27747"/>
    <w:rsid w:val="7556E19B"/>
    <w:rsid w:val="755E25B0"/>
    <w:rsid w:val="7579DAD7"/>
    <w:rsid w:val="75868AB8"/>
    <w:rsid w:val="759F09E5"/>
    <w:rsid w:val="762D1B74"/>
    <w:rsid w:val="76404A30"/>
    <w:rsid w:val="7641A3CA"/>
    <w:rsid w:val="7644FDBB"/>
    <w:rsid w:val="767A8B67"/>
    <w:rsid w:val="7696985C"/>
    <w:rsid w:val="771D1406"/>
    <w:rsid w:val="775183F8"/>
    <w:rsid w:val="775C802D"/>
    <w:rsid w:val="77611D18"/>
    <w:rsid w:val="77D591D1"/>
    <w:rsid w:val="7800C39C"/>
    <w:rsid w:val="7801648F"/>
    <w:rsid w:val="780D3474"/>
    <w:rsid w:val="78FA8B56"/>
    <w:rsid w:val="7962DC53"/>
    <w:rsid w:val="799ADF1D"/>
    <w:rsid w:val="79FE2D5A"/>
    <w:rsid w:val="7A147CA3"/>
    <w:rsid w:val="7A2867DB"/>
    <w:rsid w:val="7A2D8BF6"/>
    <w:rsid w:val="7A34DA76"/>
    <w:rsid w:val="7A3E941F"/>
    <w:rsid w:val="7A578739"/>
    <w:rsid w:val="7A972B80"/>
    <w:rsid w:val="7AAAEF5F"/>
    <w:rsid w:val="7AADC12B"/>
    <w:rsid w:val="7AB455CC"/>
    <w:rsid w:val="7AE0AA52"/>
    <w:rsid w:val="7B003AE1"/>
    <w:rsid w:val="7B0FEAD2"/>
    <w:rsid w:val="7B54E66D"/>
    <w:rsid w:val="7B5C7D08"/>
    <w:rsid w:val="7B77DB23"/>
    <w:rsid w:val="7B7A1943"/>
    <w:rsid w:val="7BDAB74A"/>
    <w:rsid w:val="7C05A282"/>
    <w:rsid w:val="7C34A42B"/>
    <w:rsid w:val="7C675008"/>
    <w:rsid w:val="7C9B2F60"/>
    <w:rsid w:val="7CA421FE"/>
    <w:rsid w:val="7CBE79FE"/>
    <w:rsid w:val="7CCFE060"/>
    <w:rsid w:val="7CF2B375"/>
    <w:rsid w:val="7CF7F0DF"/>
    <w:rsid w:val="7D0C88BB"/>
    <w:rsid w:val="7D137D06"/>
    <w:rsid w:val="7D20D4F1"/>
    <w:rsid w:val="7D8E9753"/>
    <w:rsid w:val="7DB2A483"/>
    <w:rsid w:val="7DF611DA"/>
    <w:rsid w:val="7DFEB3AC"/>
    <w:rsid w:val="7E326930"/>
    <w:rsid w:val="7E370715"/>
    <w:rsid w:val="7E71E8E0"/>
    <w:rsid w:val="7E7A8BF2"/>
    <w:rsid w:val="7EA2DB62"/>
    <w:rsid w:val="7EB4896F"/>
    <w:rsid w:val="7ED07EA7"/>
    <w:rsid w:val="7ED68175"/>
    <w:rsid w:val="7EE30935"/>
    <w:rsid w:val="7EE9CB38"/>
    <w:rsid w:val="7F049DB1"/>
    <w:rsid w:val="7F135E2B"/>
    <w:rsid w:val="7F7A6DF7"/>
    <w:rsid w:val="7FACDADA"/>
    <w:rsid w:val="7FB7327C"/>
    <w:rsid w:val="7FD0EB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DECB13D"/>
  <w15:chartTrackingRefBased/>
  <w15:docId w15:val="{9ED929A6-CD4D-4C5A-85AC-8227147E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sid w:val="00322C31"/>
    <w:rPr>
      <w:b/>
      <w:bCs/>
      <w:sz w:val="20"/>
      <w:szCs w:val="20"/>
    </w:rPr>
  </w:style>
  <w:style w:type="paragraph" w:styleId="ListNumber">
    <w:name w:val="List Number"/>
    <w:basedOn w:val="Normal"/>
    <w:rsid w:val="00251781"/>
    <w:pPr>
      <w:numPr>
        <w:numId w:val="1"/>
      </w:numPr>
      <w:contextualSpacing/>
    </w:pPr>
  </w:style>
  <w:style w:type="paragraph" w:styleId="ListNumber2">
    <w:name w:val="List Number 2"/>
    <w:basedOn w:val="Normal"/>
    <w:rsid w:val="00251781"/>
    <w:pPr>
      <w:numPr>
        <w:numId w:val="2"/>
      </w:numPr>
      <w:contextualSpacing/>
    </w:pPr>
  </w:style>
  <w:style w:type="paragraph" w:styleId="ListNumber3">
    <w:name w:val="List Number 3"/>
    <w:basedOn w:val="Normal"/>
    <w:rsid w:val="00251781"/>
    <w:pPr>
      <w:numPr>
        <w:numId w:val="3"/>
      </w:numPr>
      <w:contextualSpacing/>
    </w:pPr>
  </w:style>
  <w:style w:type="paragraph" w:styleId="ListNumber4">
    <w:name w:val="List Number 4"/>
    <w:basedOn w:val="Normal"/>
    <w:rsid w:val="00251781"/>
    <w:pPr>
      <w:numPr>
        <w:numId w:val="4"/>
      </w:numPr>
      <w:contextualSpacing/>
    </w:pPr>
  </w:style>
  <w:style w:type="paragraph" w:styleId="ListBullet">
    <w:name w:val="List Bullet"/>
    <w:basedOn w:val="Normal"/>
    <w:rsid w:val="00251781"/>
    <w:pPr>
      <w:numPr>
        <w:numId w:val="5"/>
      </w:numPr>
      <w:contextualSpacing/>
    </w:pPr>
  </w:style>
  <w:style w:type="paragraph" w:styleId="ListBullet2">
    <w:name w:val="List Bullet 2"/>
    <w:basedOn w:val="Normal"/>
    <w:rsid w:val="00251781"/>
    <w:pPr>
      <w:numPr>
        <w:numId w:val="6"/>
      </w:numPr>
      <w:contextualSpacing/>
    </w:pPr>
  </w:style>
  <w:style w:type="paragraph" w:styleId="ListBullet3">
    <w:name w:val="List Bullet 3"/>
    <w:basedOn w:val="Normal"/>
    <w:rsid w:val="00251781"/>
    <w:pPr>
      <w:numPr>
        <w:numId w:val="7"/>
      </w:numPr>
      <w:contextualSpacing/>
    </w:pPr>
  </w:style>
  <w:style w:type="paragraph" w:styleId="ListBullet4">
    <w:name w:val="List Bullet 4"/>
    <w:basedOn w:val="Normal"/>
    <w:rsid w:val="00251781"/>
    <w:pPr>
      <w:numPr>
        <w:numId w:val="8"/>
      </w:numPr>
      <w:contextualSpacing/>
    </w:pPr>
  </w:style>
  <w:style w:type="paragraph" w:styleId="TableofFigures">
    <w:name w:val="table of figures"/>
    <w:basedOn w:val="Normal"/>
    <w:next w:val="Normal"/>
    <w:rsid w:val="00322C31"/>
  </w:style>
  <w:style w:type="character" w:styleId="CommentReference">
    <w:name w:val="annotation reference"/>
    <w:rsid w:val="006E6BC8"/>
    <w:rPr>
      <w:sz w:val="16"/>
      <w:szCs w:val="16"/>
    </w:rPr>
  </w:style>
  <w:style w:type="paragraph" w:styleId="CommentText">
    <w:name w:val="annotation text"/>
    <w:basedOn w:val="Normal"/>
    <w:link w:val="CommentTextChar"/>
    <w:rsid w:val="006E6BC8"/>
    <w:rPr>
      <w:sz w:val="20"/>
      <w:szCs w:val="20"/>
    </w:rPr>
  </w:style>
  <w:style w:type="character" w:customStyle="1" w:styleId="CommentTextChar">
    <w:name w:val="Comment Text Char"/>
    <w:link w:val="CommentText"/>
    <w:rsid w:val="006E6BC8"/>
    <w:rPr>
      <w:lang w:eastAsia="en-US"/>
    </w:rPr>
  </w:style>
  <w:style w:type="paragraph" w:styleId="CommentSubject">
    <w:name w:val="annotation subject"/>
    <w:basedOn w:val="CommentText"/>
    <w:next w:val="CommentText"/>
    <w:link w:val="CommentSubjectChar"/>
    <w:rsid w:val="006E6BC8"/>
    <w:rPr>
      <w:b/>
      <w:bCs/>
    </w:rPr>
  </w:style>
  <w:style w:type="character" w:customStyle="1" w:styleId="CommentSubjectChar">
    <w:name w:val="Comment Subject Char"/>
    <w:link w:val="CommentSubject"/>
    <w:rsid w:val="006E6BC8"/>
    <w:rPr>
      <w:b/>
      <w:bCs/>
      <w:lang w:eastAsia="en-US"/>
    </w:rPr>
  </w:style>
  <w:style w:type="character" w:styleId="Hyperlink">
    <w:name w:val="Hyperlink"/>
    <w:rsid w:val="006E6BC8"/>
    <w:rPr>
      <w:color w:val="0000FF"/>
      <w:u w:val="single"/>
    </w:rPr>
  </w:style>
  <w:style w:type="paragraph" w:styleId="BalloonText">
    <w:name w:val="Balloon Text"/>
    <w:basedOn w:val="Normal"/>
    <w:link w:val="BalloonTextChar"/>
    <w:rsid w:val="006E6BC8"/>
    <w:pPr>
      <w:spacing w:before="0" w:after="0"/>
    </w:pPr>
    <w:rPr>
      <w:rFonts w:ascii="Tahoma" w:hAnsi="Tahoma" w:cs="Tahoma"/>
      <w:sz w:val="16"/>
      <w:szCs w:val="16"/>
    </w:rPr>
  </w:style>
  <w:style w:type="character" w:customStyle="1" w:styleId="BalloonTextChar">
    <w:name w:val="Balloon Text Char"/>
    <w:link w:val="BalloonText"/>
    <w:rsid w:val="006E6BC8"/>
    <w:rPr>
      <w:rFonts w:ascii="Tahoma" w:hAnsi="Tahoma" w:cs="Tahoma"/>
      <w:sz w:val="16"/>
      <w:szCs w:val="16"/>
      <w:lang w:eastAsia="en-US"/>
    </w:rPr>
  </w:style>
  <w:style w:type="character" w:styleId="FollowedHyperlink">
    <w:name w:val="FollowedHyperlink"/>
    <w:rsid w:val="006E6BC8"/>
    <w:rPr>
      <w:color w:val="800080"/>
      <w:u w:val="single"/>
    </w:rPr>
  </w:style>
  <w:style w:type="paragraph" w:customStyle="1" w:styleId="Sous-titreobjet">
    <w:name w:val="Sous-titre objet"/>
    <w:basedOn w:val="Normal"/>
    <w:rsid w:val="007D53B6"/>
    <w:pPr>
      <w:spacing w:before="0" w:after="0"/>
      <w:jc w:val="center"/>
    </w:pPr>
    <w:rPr>
      <w:b/>
    </w:rPr>
  </w:style>
  <w:style w:type="paragraph" w:customStyle="1" w:styleId="Sous-titreobjetPagedecouverture">
    <w:name w:val="Sous-titre objet (Page de couverture)"/>
    <w:basedOn w:val="Sous-titreobjet"/>
    <w:rsid w:val="007D53B6"/>
  </w:style>
  <w:style w:type="paragraph" w:styleId="Revision">
    <w:name w:val="Revision"/>
    <w:hidden/>
    <w:uiPriority w:val="99"/>
    <w:semiHidden/>
    <w:rsid w:val="0072200E"/>
    <w:pPr>
      <w:spacing w:after="0" w:line="240" w:lineRule="auto"/>
    </w:pPr>
    <w:rPr>
      <w:rFonts w:ascii="Times New Roman" w:hAnsi="Times New Roman" w:cs="Times New Roman"/>
      <w:sz w:val="24"/>
      <w:lang w:val="en-GB"/>
    </w:rPr>
  </w:style>
  <w:style w:type="character" w:customStyle="1" w:styleId="UnresolvedMention1">
    <w:name w:val="Unresolved Mention1"/>
    <w:basedOn w:val="DefaultParagraphFont"/>
    <w:uiPriority w:val="99"/>
    <w:semiHidden/>
    <w:unhideWhenUsed/>
    <w:rsid w:val="00283BD4"/>
    <w:rPr>
      <w:color w:val="605E5C"/>
      <w:shd w:val="clear" w:color="auto" w:fill="E1DFDD"/>
    </w:rPr>
  </w:style>
  <w:style w:type="paragraph" w:styleId="Header">
    <w:name w:val="header"/>
    <w:basedOn w:val="Normal"/>
    <w:link w:val="HeaderChar"/>
    <w:uiPriority w:val="99"/>
    <w:unhideWhenUsed/>
    <w:rsid w:val="00E8358A"/>
    <w:pPr>
      <w:tabs>
        <w:tab w:val="center" w:pos="4535"/>
        <w:tab w:val="right" w:pos="9071"/>
      </w:tabs>
      <w:spacing w:before="0"/>
    </w:pPr>
  </w:style>
  <w:style w:type="character" w:customStyle="1" w:styleId="HeaderChar">
    <w:name w:val="Header Char"/>
    <w:basedOn w:val="DefaultParagraphFont"/>
    <w:link w:val="Header"/>
    <w:uiPriority w:val="99"/>
    <w:rsid w:val="00E8358A"/>
    <w:rPr>
      <w:rFonts w:ascii="Times New Roman" w:hAnsi="Times New Roman" w:cs="Times New Roman"/>
      <w:sz w:val="24"/>
      <w:lang w:val="en-GB"/>
    </w:rPr>
  </w:style>
  <w:style w:type="paragraph" w:styleId="Footer">
    <w:name w:val="footer"/>
    <w:basedOn w:val="Normal"/>
    <w:link w:val="FooterChar"/>
    <w:uiPriority w:val="99"/>
    <w:unhideWhenUsed/>
    <w:rsid w:val="00E8358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8358A"/>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8358A"/>
    <w:pPr>
      <w:tabs>
        <w:tab w:val="center" w:pos="7285"/>
        <w:tab w:val="right" w:pos="14003"/>
      </w:tabs>
      <w:spacing w:before="0"/>
    </w:pPr>
  </w:style>
  <w:style w:type="paragraph" w:customStyle="1" w:styleId="FooterLandscape">
    <w:name w:val="FooterLandscape"/>
    <w:basedOn w:val="Normal"/>
    <w:rsid w:val="00E8358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8358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8358A"/>
    <w:pPr>
      <w:spacing w:before="0"/>
      <w:jc w:val="right"/>
    </w:pPr>
    <w:rPr>
      <w:sz w:val="28"/>
    </w:rPr>
  </w:style>
  <w:style w:type="paragraph" w:customStyle="1" w:styleId="FooterSensitivity">
    <w:name w:val="Footer Sensitivity"/>
    <w:basedOn w:val="Normal"/>
    <w:rsid w:val="00E8358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057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3c966-cb45-4885-93fc-2ce78a94204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c131f03-315b-4cd8-8e3a-6189969fd4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13" ma:contentTypeDescription="Create a new document." ma:contentTypeScope="" ma:versionID="c1fe114fd752ad9ccc310c1b1b03b0e4">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4a49f1ae8b27401b4ba562f83e91bdf2"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0c5cd3-642e-4cca-8698-4a581b2b2d57}" ma:internalName="TaxCatchAll" ma:showField="CatchAllData" ma:web="ac131f03-315b-4cd8-8e3a-6189969fd4f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C38AF-390F-42BE-A80E-37C8D3F0E14B}">
  <ds:schemaRefs>
    <ds:schemaRef ds:uri="http://schemas.microsoft.com/office/2006/metadata/properties"/>
    <ds:schemaRef ds:uri="http://schemas.microsoft.com/office/infopath/2007/PartnerControls"/>
    <ds:schemaRef ds:uri="5843c966-cb45-4885-93fc-2ce78a94204b"/>
    <ds:schemaRef ds:uri="ac131f03-315b-4cd8-8e3a-6189969fd4f0"/>
  </ds:schemaRefs>
</ds:datastoreItem>
</file>

<file path=customXml/itemProps2.xml><?xml version="1.0" encoding="utf-8"?>
<ds:datastoreItem xmlns:ds="http://schemas.openxmlformats.org/officeDocument/2006/customXml" ds:itemID="{8FE99184-A853-46FD-9572-166DD4F56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B49DE-5B57-4119-9C2C-AA3D01B01B82}">
  <ds:schemaRefs>
    <ds:schemaRef ds:uri="http://schemas.openxmlformats.org/officeDocument/2006/bibliography"/>
  </ds:schemaRefs>
</ds:datastoreItem>
</file>

<file path=customXml/itemProps4.xml><?xml version="1.0" encoding="utf-8"?>
<ds:datastoreItem xmlns:ds="http://schemas.openxmlformats.org/officeDocument/2006/customXml" ds:itemID="{B9BD3842-D426-4EEE-B622-9FD9AB08C8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23</TotalTime>
  <Pages>8</Pages>
  <Words>2548</Words>
  <Characters>13765</Characters>
  <Application>Microsoft Office Word</Application>
  <DocSecurity>0</DocSecurity>
  <Lines>254</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GROPE Ina (SG)</cp:lastModifiedBy>
  <cp:revision>55</cp:revision>
  <cp:lastPrinted>2014-05-14T06:35:00Z</cp:lastPrinted>
  <dcterms:created xsi:type="dcterms:W3CDTF">2025-05-26T08:19:00Z</dcterms:created>
  <dcterms:modified xsi:type="dcterms:W3CDTF">2025-06-04T09:24:00Z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5.8.64.0</vt:lpwstr>
  </property>
  <property fmtid="{D5CDD505-2E9C-101B-9397-08002B2CF9AE}" pid="4" name="Last edited using">
    <vt:lpwstr>LW 9.1, Build 20240808</vt:lpwstr>
  </property>
  <property fmtid="{D5CDD505-2E9C-101B-9397-08002B2CF9AE}" pid="5" name="Created using">
    <vt:lpwstr>LW 5.8.2, Build 20120919</vt:lpwstr>
  </property>
  <property fmtid="{D5CDD505-2E9C-101B-9397-08002B2CF9AE}" pid="6" name="_NewReviewCycle">
    <vt:lpwstr/>
  </property>
  <property fmtid="{D5CDD505-2E9C-101B-9397-08002B2CF9AE}" pid="7" name="LWTemplateID">
    <vt:lpwstr>SJ-019</vt:lpwstr>
  </property>
  <property fmtid="{D5CDD505-2E9C-101B-9397-08002B2CF9AE}" pid="8" name="Part">
    <vt:lpwstr>1</vt:lpwstr>
  </property>
  <property fmtid="{D5CDD505-2E9C-101B-9397-08002B2CF9AE}" pid="9" name="Total parts">
    <vt:lpwstr>1</vt:lpwstr>
  </property>
  <property fmtid="{D5CDD505-2E9C-101B-9397-08002B2CF9AE}" pid="10" name="Level of sensitivity">
    <vt:lpwstr>Standard treatment</vt:lpwstr>
  </property>
  <property fmtid="{D5CDD505-2E9C-101B-9397-08002B2CF9AE}" pid="11" name="MSIP_Label_6bd9ddd1-4d20-43f6-abfa-fc3c07406f94_Enabled">
    <vt:lpwstr>true</vt:lpwstr>
  </property>
  <property fmtid="{D5CDD505-2E9C-101B-9397-08002B2CF9AE}" pid="12" name="MSIP_Label_6bd9ddd1-4d20-43f6-abfa-fc3c07406f94_SetDate">
    <vt:lpwstr>2025-03-11T13:54:43Z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92a49775-e75e-454c-9082-a07e6c627aa3</vt:lpwstr>
  </property>
  <property fmtid="{D5CDD505-2E9C-101B-9397-08002B2CF9AE}" pid="17" name="MSIP_Label_6bd9ddd1-4d20-43f6-abfa-fc3c07406f94_ContentBits">
    <vt:lpwstr>0</vt:lpwstr>
  </property>
  <property fmtid="{D5CDD505-2E9C-101B-9397-08002B2CF9AE}" pid="18" name="ContentTypeId">
    <vt:lpwstr>0x010100199782AF6692CB4E8097BF428225D135</vt:lpwstr>
  </property>
  <property fmtid="{D5CDD505-2E9C-101B-9397-08002B2CF9AE}" pid="19" name="MediaServiceImageTags">
    <vt:lpwstr/>
  </property>
  <property fmtid="{D5CDD505-2E9C-101B-9397-08002B2CF9AE}" pid="20" name="DQCStatus">
    <vt:lpwstr>Yellow (DQC version 03)</vt:lpwstr>
  </property>
</Properties>
</file>