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C71DE" w14:textId="783351E0" w:rsidR="008E6595" w:rsidRDefault="00951DB2" w:rsidP="00951DB2">
      <w:pPr>
        <w:pStyle w:val="Pagedecouverture"/>
        <w:rPr>
          <w:noProof/>
        </w:rPr>
      </w:pPr>
      <w:r>
        <w:rPr>
          <w:noProof/>
        </w:rPr>
        <w:pict w14:anchorId="7036C9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C7BB4DE7-AF54-49C6-AE33-6C6052218775" style="width:455.4pt;height:355.8pt">
            <v:imagedata r:id="rId11" o:title=""/>
          </v:shape>
        </w:pict>
      </w:r>
    </w:p>
    <w:p w14:paraId="254AE5DC" w14:textId="15F5CC81" w:rsidR="00D4411B" w:rsidRPr="00E12037" w:rsidRDefault="00D4411B" w:rsidP="00D4411B">
      <w:pPr>
        <w:rPr>
          <w:noProof/>
        </w:rPr>
        <w:sectPr w:rsidR="00D4411B" w:rsidRPr="00E12037" w:rsidSect="00951DB2">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4560EFCE" w14:textId="77777777" w:rsidR="00B35235" w:rsidRPr="00E12037" w:rsidRDefault="00B35235" w:rsidP="00B35235">
      <w:pPr>
        <w:pStyle w:val="Exposdesmotifstitre"/>
        <w:rPr>
          <w:noProof/>
        </w:rPr>
      </w:pPr>
      <w:r w:rsidRPr="00E12037">
        <w:rPr>
          <w:noProof/>
        </w:rPr>
        <w:lastRenderedPageBreak/>
        <w:t>EXPLANATORY MEMORANDUM</w:t>
      </w:r>
    </w:p>
    <w:p w14:paraId="32DC853B" w14:textId="77777777" w:rsidR="00B35235" w:rsidRPr="00E12037" w:rsidRDefault="006B1DE0" w:rsidP="006B1DE0">
      <w:pPr>
        <w:pStyle w:val="ManualHeading1"/>
        <w:rPr>
          <w:noProof/>
        </w:rPr>
      </w:pPr>
      <w:bookmarkStart w:id="0" w:name="DQPStarAt1DQPStarAt0F4D73E20FBC44DA84C53"/>
      <w:bookmarkEnd w:id="0"/>
      <w:r w:rsidRPr="00E12037">
        <w:rPr>
          <w:noProof/>
        </w:rPr>
        <w:t>1.</w:t>
      </w:r>
      <w:r w:rsidRPr="00E12037">
        <w:rPr>
          <w:noProof/>
        </w:rPr>
        <w:tab/>
      </w:r>
      <w:r w:rsidR="00B35235" w:rsidRPr="00E12037">
        <w:rPr>
          <w:noProof/>
        </w:rPr>
        <w:t>CONTEXT OF THE PROPOSAL</w:t>
      </w:r>
    </w:p>
    <w:p w14:paraId="50F008A4" w14:textId="77777777" w:rsidR="00B35235" w:rsidRPr="00E12037" w:rsidRDefault="30BAC377" w:rsidP="00B35235">
      <w:pPr>
        <w:pStyle w:val="Text1"/>
        <w:rPr>
          <w:noProof/>
        </w:rPr>
      </w:pPr>
      <w:r w:rsidRPr="005603A1">
        <w:rPr>
          <w:noProof/>
        </w:rPr>
        <w:t xml:space="preserve">On </w:t>
      </w:r>
      <w:r w:rsidR="4EBE6D42" w:rsidRPr="005603A1">
        <w:rPr>
          <w:noProof/>
        </w:rPr>
        <w:t>4</w:t>
      </w:r>
      <w:r w:rsidR="00E12037" w:rsidRPr="005603A1">
        <w:rPr>
          <w:noProof/>
        </w:rPr>
        <w:t> </w:t>
      </w:r>
      <w:r w:rsidRPr="005603A1">
        <w:rPr>
          <w:noProof/>
        </w:rPr>
        <w:t>June 202</w:t>
      </w:r>
      <w:r w:rsidR="00CF421A" w:rsidRPr="005603A1">
        <w:rPr>
          <w:noProof/>
        </w:rPr>
        <w:t>5</w:t>
      </w:r>
      <w:r w:rsidRPr="005603A1">
        <w:rPr>
          <w:noProof/>
        </w:rPr>
        <w:t>, the Commission released a proposal for a Council Decision in accordance with Article</w:t>
      </w:r>
      <w:r w:rsidR="00E12037" w:rsidRPr="005603A1">
        <w:rPr>
          <w:noProof/>
        </w:rPr>
        <w:t> </w:t>
      </w:r>
      <w:r w:rsidRPr="005603A1">
        <w:rPr>
          <w:noProof/>
        </w:rPr>
        <w:t xml:space="preserve">140(2) of the Treaty on the Functioning of the European Union (the </w:t>
      </w:r>
      <w:r w:rsidR="00EF3F1C" w:rsidRPr="005603A1">
        <w:rPr>
          <w:noProof/>
        </w:rPr>
        <w:t>TFEU</w:t>
      </w:r>
      <w:r w:rsidRPr="005603A1">
        <w:rPr>
          <w:noProof/>
        </w:rPr>
        <w:t>)</w:t>
      </w:r>
      <w:r w:rsidR="009D499C" w:rsidRPr="005603A1">
        <w:rPr>
          <w:noProof/>
        </w:rPr>
        <w:t>. The proposal</w:t>
      </w:r>
      <w:r w:rsidRPr="005603A1">
        <w:rPr>
          <w:noProof/>
        </w:rPr>
        <w:t xml:space="preserve"> indicat</w:t>
      </w:r>
      <w:r w:rsidR="009D499C" w:rsidRPr="005603A1">
        <w:rPr>
          <w:noProof/>
        </w:rPr>
        <w:t>es</w:t>
      </w:r>
      <w:r w:rsidRPr="005603A1">
        <w:rPr>
          <w:noProof/>
        </w:rPr>
        <w:t xml:space="preserve"> that </w:t>
      </w:r>
      <w:r w:rsidR="214619D9" w:rsidRPr="005603A1">
        <w:rPr>
          <w:noProof/>
        </w:rPr>
        <w:t xml:space="preserve">Bulgaria </w:t>
      </w:r>
      <w:r w:rsidRPr="005603A1">
        <w:rPr>
          <w:noProof/>
        </w:rPr>
        <w:t xml:space="preserve">fulfils the necessary conditions </w:t>
      </w:r>
      <w:r w:rsidR="00411D37" w:rsidRPr="005603A1">
        <w:rPr>
          <w:noProof/>
        </w:rPr>
        <w:t>to</w:t>
      </w:r>
      <w:r w:rsidRPr="005603A1">
        <w:rPr>
          <w:noProof/>
        </w:rPr>
        <w:t xml:space="preserve"> adopt the euro and that the derogation of </w:t>
      </w:r>
      <w:r w:rsidR="115F7B20" w:rsidRPr="005603A1">
        <w:rPr>
          <w:noProof/>
        </w:rPr>
        <w:t xml:space="preserve">Bulgaria </w:t>
      </w:r>
      <w:r w:rsidRPr="005603A1">
        <w:rPr>
          <w:noProof/>
        </w:rPr>
        <w:t>is abrogated with effect from 1</w:t>
      </w:r>
      <w:r w:rsidR="005603A1" w:rsidRPr="005603A1">
        <w:rPr>
          <w:noProof/>
        </w:rPr>
        <w:t xml:space="preserve"> </w:t>
      </w:r>
      <w:r w:rsidRPr="005603A1">
        <w:rPr>
          <w:noProof/>
        </w:rPr>
        <w:t>January 202</w:t>
      </w:r>
      <w:r w:rsidR="4F53BEB4" w:rsidRPr="005603A1">
        <w:rPr>
          <w:noProof/>
        </w:rPr>
        <w:t>6</w:t>
      </w:r>
      <w:r w:rsidRPr="005603A1">
        <w:rPr>
          <w:noProof/>
        </w:rPr>
        <w:t>.</w:t>
      </w:r>
    </w:p>
    <w:p w14:paraId="23885E1C" w14:textId="77777777" w:rsidR="00B35235" w:rsidRPr="00E12037" w:rsidRDefault="30BAC377" w:rsidP="00B35235">
      <w:pPr>
        <w:pStyle w:val="Text1"/>
        <w:rPr>
          <w:noProof/>
        </w:rPr>
      </w:pPr>
      <w:r w:rsidRPr="00E12037">
        <w:rPr>
          <w:noProof/>
        </w:rPr>
        <w:t xml:space="preserve">In </w:t>
      </w:r>
      <w:r w:rsidR="105E361A" w:rsidRPr="00E12037">
        <w:rPr>
          <w:noProof/>
        </w:rPr>
        <w:t xml:space="preserve">the event </w:t>
      </w:r>
      <w:r w:rsidRPr="00E12037">
        <w:rPr>
          <w:noProof/>
        </w:rPr>
        <w:t xml:space="preserve">of a positive decision, the Council will subsequently have to take the other measures </w:t>
      </w:r>
      <w:r w:rsidR="00E12037">
        <w:rPr>
          <w:noProof/>
        </w:rPr>
        <w:t xml:space="preserve">needed </w:t>
      </w:r>
      <w:r w:rsidRPr="00E12037">
        <w:rPr>
          <w:noProof/>
        </w:rPr>
        <w:t>for introduc</w:t>
      </w:r>
      <w:r w:rsidR="00E12037">
        <w:rPr>
          <w:noProof/>
        </w:rPr>
        <w:t>ing</w:t>
      </w:r>
      <w:r w:rsidRPr="00E12037">
        <w:rPr>
          <w:noProof/>
        </w:rPr>
        <w:t xml:space="preserve"> the euro in </w:t>
      </w:r>
      <w:r w:rsidR="2B8888F2" w:rsidRPr="00E12037">
        <w:rPr>
          <w:noProof/>
        </w:rPr>
        <w:t>Bulgaria</w:t>
      </w:r>
      <w:r w:rsidRPr="00E12037">
        <w:rPr>
          <w:noProof/>
        </w:rPr>
        <w:t>.</w:t>
      </w:r>
    </w:p>
    <w:p w14:paraId="418F2C8B" w14:textId="77777777" w:rsidR="00B35235" w:rsidRPr="00E12037" w:rsidRDefault="00B35235" w:rsidP="00B35235">
      <w:pPr>
        <w:pStyle w:val="Text1"/>
        <w:rPr>
          <w:noProof/>
        </w:rPr>
      </w:pPr>
      <w:r w:rsidRPr="00E12037">
        <w:rPr>
          <w:noProof/>
        </w:rPr>
        <w:t>Council Regulation (EC) No</w:t>
      </w:r>
      <w:r w:rsidR="005603A1">
        <w:rPr>
          <w:noProof/>
        </w:rPr>
        <w:t xml:space="preserve"> </w:t>
      </w:r>
      <w:r w:rsidRPr="00E12037">
        <w:rPr>
          <w:noProof/>
        </w:rPr>
        <w:t>974/98 on the introduction of the euro</w:t>
      </w:r>
      <w:r w:rsidR="00351177" w:rsidRPr="00E12037">
        <w:rPr>
          <w:noProof/>
        </w:rPr>
        <w:t xml:space="preserve"> (</w:t>
      </w:r>
      <w:r w:rsidRPr="00E12037">
        <w:rPr>
          <w:rStyle w:val="FootnoteReference"/>
          <w:noProof/>
        </w:rPr>
        <w:footnoteReference w:id="2"/>
      </w:r>
      <w:r w:rsidR="00351177" w:rsidRPr="00E12037">
        <w:rPr>
          <w:noProof/>
        </w:rPr>
        <w:t>)</w:t>
      </w:r>
      <w:r w:rsidRPr="00E12037">
        <w:rPr>
          <w:rStyle w:val="FootnoteReference"/>
          <w:noProof/>
        </w:rPr>
        <w:t xml:space="preserve"> </w:t>
      </w:r>
      <w:r w:rsidRPr="00E12037">
        <w:rPr>
          <w:noProof/>
        </w:rPr>
        <w:t>governs the initial introduction of the euro in the first</w:t>
      </w:r>
      <w:r w:rsidR="00DB7B65" w:rsidRPr="00E12037">
        <w:rPr>
          <w:noProof/>
        </w:rPr>
        <w:t>-</w:t>
      </w:r>
      <w:r w:rsidRPr="00E12037">
        <w:rPr>
          <w:noProof/>
        </w:rPr>
        <w:t>wave euro-area Member States and Greece</w:t>
      </w:r>
      <w:r w:rsidR="00351177" w:rsidRPr="00E12037">
        <w:rPr>
          <w:noProof/>
        </w:rPr>
        <w:t xml:space="preserve"> (</w:t>
      </w:r>
      <w:r w:rsidRPr="00E12037">
        <w:rPr>
          <w:rStyle w:val="FootnoteReference"/>
          <w:noProof/>
        </w:rPr>
        <w:footnoteReference w:id="3"/>
      </w:r>
      <w:r w:rsidR="00351177" w:rsidRPr="00E12037">
        <w:rPr>
          <w:noProof/>
        </w:rPr>
        <w:t>)</w:t>
      </w:r>
      <w:r w:rsidRPr="00E12037">
        <w:rPr>
          <w:noProof/>
        </w:rPr>
        <w:t>. Th</w:t>
      </w:r>
      <w:r w:rsidR="004379E8" w:rsidRPr="00E12037">
        <w:rPr>
          <w:noProof/>
        </w:rPr>
        <w:t>at</w:t>
      </w:r>
      <w:r w:rsidRPr="00E12037">
        <w:rPr>
          <w:noProof/>
        </w:rPr>
        <w:t xml:space="preserve"> Regulation was amended by:</w:t>
      </w:r>
    </w:p>
    <w:p w14:paraId="2CAC9834" w14:textId="77777777" w:rsidR="00B35235" w:rsidRPr="00E12037" w:rsidRDefault="009D499C" w:rsidP="00B35235">
      <w:pPr>
        <w:pStyle w:val="Text1"/>
        <w:rPr>
          <w:noProof/>
        </w:rPr>
      </w:pPr>
      <w:r w:rsidRPr="00E12037">
        <w:rPr>
          <w:noProof/>
        </w:rPr>
        <w:t>–</w:t>
      </w:r>
      <w:r w:rsidR="00B35235" w:rsidRPr="00E12037">
        <w:rPr>
          <w:noProof/>
        </w:rPr>
        <w:t xml:space="preserve"> Regulation (EC) No</w:t>
      </w:r>
      <w:r w:rsidR="00E12037">
        <w:rPr>
          <w:noProof/>
        </w:rPr>
        <w:t> </w:t>
      </w:r>
      <w:r w:rsidR="00B35235" w:rsidRPr="00E12037">
        <w:rPr>
          <w:noProof/>
        </w:rPr>
        <w:t>2169/2005, to prepare for future enlargements of the euro area</w:t>
      </w:r>
    </w:p>
    <w:p w14:paraId="7457D635" w14:textId="77777777" w:rsidR="00B35235" w:rsidRPr="00E12037" w:rsidRDefault="009D499C" w:rsidP="00B35235">
      <w:pPr>
        <w:pStyle w:val="Text1"/>
        <w:rPr>
          <w:noProof/>
        </w:rPr>
      </w:pPr>
      <w:r w:rsidRPr="00E12037">
        <w:rPr>
          <w:noProof/>
        </w:rPr>
        <w:t>–</w:t>
      </w:r>
      <w:r w:rsidR="00B35235" w:rsidRPr="00E12037">
        <w:rPr>
          <w:noProof/>
        </w:rPr>
        <w:t xml:space="preserve"> Regulation (EC) No</w:t>
      </w:r>
      <w:r w:rsidR="00E12037">
        <w:rPr>
          <w:noProof/>
        </w:rPr>
        <w:t> </w:t>
      </w:r>
      <w:r w:rsidR="00B35235" w:rsidRPr="00E12037">
        <w:rPr>
          <w:noProof/>
        </w:rPr>
        <w:t>1647/2006, to cover Slovenia (which adopted the euro on 1</w:t>
      </w:r>
      <w:r w:rsidR="00E12037">
        <w:rPr>
          <w:noProof/>
        </w:rPr>
        <w:t> </w:t>
      </w:r>
      <w:r w:rsidR="00B35235" w:rsidRPr="00E12037">
        <w:rPr>
          <w:noProof/>
        </w:rPr>
        <w:t>January 2007)</w:t>
      </w:r>
    </w:p>
    <w:p w14:paraId="68C1AEDB" w14:textId="77777777" w:rsidR="00B35235" w:rsidRPr="00E12037" w:rsidRDefault="009D499C" w:rsidP="00B35235">
      <w:pPr>
        <w:pStyle w:val="Text1"/>
        <w:rPr>
          <w:noProof/>
        </w:rPr>
      </w:pPr>
      <w:r w:rsidRPr="00E12037">
        <w:rPr>
          <w:noProof/>
        </w:rPr>
        <w:t>–</w:t>
      </w:r>
      <w:r w:rsidR="00B35235" w:rsidRPr="00E12037">
        <w:rPr>
          <w:noProof/>
        </w:rPr>
        <w:t xml:space="preserve"> Regulation (EC) No</w:t>
      </w:r>
      <w:r w:rsidR="00E12037">
        <w:rPr>
          <w:noProof/>
        </w:rPr>
        <w:t> </w:t>
      </w:r>
      <w:r w:rsidR="00B35235" w:rsidRPr="00E12037">
        <w:rPr>
          <w:noProof/>
        </w:rPr>
        <w:t>835/2007, to cover Cyprus (which adopted the euro on 1</w:t>
      </w:r>
      <w:r w:rsidR="00E12037">
        <w:rPr>
          <w:noProof/>
        </w:rPr>
        <w:t> </w:t>
      </w:r>
      <w:r w:rsidR="00B35235" w:rsidRPr="00E12037">
        <w:rPr>
          <w:noProof/>
        </w:rPr>
        <w:t>January 2008)</w:t>
      </w:r>
    </w:p>
    <w:p w14:paraId="695DEE48" w14:textId="77777777" w:rsidR="00B35235" w:rsidRPr="00E12037" w:rsidRDefault="009D499C" w:rsidP="00B35235">
      <w:pPr>
        <w:pStyle w:val="Text1"/>
        <w:rPr>
          <w:noProof/>
        </w:rPr>
      </w:pPr>
      <w:r w:rsidRPr="00E12037">
        <w:rPr>
          <w:noProof/>
        </w:rPr>
        <w:t>–</w:t>
      </w:r>
      <w:r w:rsidR="00B35235" w:rsidRPr="00E12037">
        <w:rPr>
          <w:noProof/>
        </w:rPr>
        <w:t xml:space="preserve"> Regulation (EC) No</w:t>
      </w:r>
      <w:r w:rsidR="00E12037">
        <w:rPr>
          <w:noProof/>
        </w:rPr>
        <w:t> </w:t>
      </w:r>
      <w:r w:rsidR="00B35235" w:rsidRPr="00E12037">
        <w:rPr>
          <w:noProof/>
        </w:rPr>
        <w:t>836/2007, to cover Malta (which adopted the euro on 1</w:t>
      </w:r>
      <w:r w:rsidR="00E12037">
        <w:rPr>
          <w:noProof/>
        </w:rPr>
        <w:t> </w:t>
      </w:r>
      <w:r w:rsidR="00B35235" w:rsidRPr="00E12037">
        <w:rPr>
          <w:noProof/>
        </w:rPr>
        <w:t>January 2008)</w:t>
      </w:r>
    </w:p>
    <w:p w14:paraId="538B417B" w14:textId="77777777" w:rsidR="00B35235" w:rsidRPr="00E12037" w:rsidRDefault="009D499C" w:rsidP="00B35235">
      <w:pPr>
        <w:pStyle w:val="Text1"/>
        <w:rPr>
          <w:noProof/>
        </w:rPr>
      </w:pPr>
      <w:r w:rsidRPr="00E12037">
        <w:rPr>
          <w:noProof/>
        </w:rPr>
        <w:t>–</w:t>
      </w:r>
      <w:r w:rsidR="00B35235" w:rsidRPr="00E12037">
        <w:rPr>
          <w:noProof/>
        </w:rPr>
        <w:t xml:space="preserve"> Regulation (EC) No</w:t>
      </w:r>
      <w:r w:rsidR="00E12037">
        <w:rPr>
          <w:noProof/>
        </w:rPr>
        <w:t> </w:t>
      </w:r>
      <w:r w:rsidR="00B35235" w:rsidRPr="00E12037">
        <w:rPr>
          <w:noProof/>
        </w:rPr>
        <w:t>693/2008, to cover Slovakia (which adopted the euro in January 2009)</w:t>
      </w:r>
    </w:p>
    <w:p w14:paraId="205BF928" w14:textId="77777777" w:rsidR="00B35235" w:rsidRPr="00E12037" w:rsidRDefault="009D499C" w:rsidP="00B35235">
      <w:pPr>
        <w:pStyle w:val="Text1"/>
        <w:rPr>
          <w:noProof/>
        </w:rPr>
      </w:pPr>
      <w:r w:rsidRPr="00E12037">
        <w:rPr>
          <w:noProof/>
        </w:rPr>
        <w:t>–</w:t>
      </w:r>
      <w:r w:rsidR="00B35235" w:rsidRPr="00E12037">
        <w:rPr>
          <w:noProof/>
        </w:rPr>
        <w:t xml:space="preserve"> Regulation (EU) No</w:t>
      </w:r>
      <w:r w:rsidR="00E12037">
        <w:rPr>
          <w:noProof/>
        </w:rPr>
        <w:t> </w:t>
      </w:r>
      <w:r w:rsidR="00B35235" w:rsidRPr="00E12037">
        <w:rPr>
          <w:noProof/>
        </w:rPr>
        <w:t>670/2010, to cover Estonia (which adopted the euro in January 2011)</w:t>
      </w:r>
    </w:p>
    <w:p w14:paraId="03723579" w14:textId="77777777" w:rsidR="00B35235" w:rsidRPr="00E12037" w:rsidRDefault="009D499C" w:rsidP="00B35235">
      <w:pPr>
        <w:pStyle w:val="Text1"/>
        <w:rPr>
          <w:noProof/>
        </w:rPr>
      </w:pPr>
      <w:r w:rsidRPr="00E12037">
        <w:rPr>
          <w:noProof/>
        </w:rPr>
        <w:t>–</w:t>
      </w:r>
      <w:r w:rsidR="00B35235" w:rsidRPr="00E12037">
        <w:rPr>
          <w:noProof/>
        </w:rPr>
        <w:t xml:space="preserve"> Regulation (EU) No</w:t>
      </w:r>
      <w:r w:rsidR="00E12037">
        <w:rPr>
          <w:noProof/>
        </w:rPr>
        <w:t> </w:t>
      </w:r>
      <w:r w:rsidR="00B35235" w:rsidRPr="00E12037">
        <w:rPr>
          <w:noProof/>
        </w:rPr>
        <w:t>678/2013, to cover Latvia (which adopted the euro in January 2014)</w:t>
      </w:r>
    </w:p>
    <w:p w14:paraId="4F7A1070" w14:textId="77777777" w:rsidR="00B35235" w:rsidRPr="00E12037" w:rsidRDefault="009D499C" w:rsidP="2B01EE09">
      <w:pPr>
        <w:pStyle w:val="Text1"/>
        <w:rPr>
          <w:noProof/>
        </w:rPr>
      </w:pPr>
      <w:r w:rsidRPr="00E12037">
        <w:rPr>
          <w:noProof/>
        </w:rPr>
        <w:t>–</w:t>
      </w:r>
      <w:r w:rsidR="30BAC377" w:rsidRPr="00E12037">
        <w:rPr>
          <w:noProof/>
        </w:rPr>
        <w:t xml:space="preserve"> Regulation (EU) No</w:t>
      </w:r>
      <w:r w:rsidR="00E12037">
        <w:rPr>
          <w:noProof/>
        </w:rPr>
        <w:t> </w:t>
      </w:r>
      <w:r w:rsidR="30BAC377" w:rsidRPr="00E12037">
        <w:rPr>
          <w:noProof/>
        </w:rPr>
        <w:t>827/2014, to cover Lithuania (which adopted the euro in January 2015)</w:t>
      </w:r>
    </w:p>
    <w:p w14:paraId="18D57C58" w14:textId="77777777" w:rsidR="00EF3F1C" w:rsidRPr="00E12037" w:rsidRDefault="009D499C" w:rsidP="00B35235">
      <w:pPr>
        <w:pStyle w:val="Text1"/>
        <w:rPr>
          <w:noProof/>
        </w:rPr>
      </w:pPr>
      <w:r w:rsidRPr="00E12037">
        <w:rPr>
          <w:noProof/>
        </w:rPr>
        <w:t>–</w:t>
      </w:r>
      <w:r w:rsidR="00EF3F1C" w:rsidRPr="00E12037">
        <w:rPr>
          <w:noProof/>
        </w:rPr>
        <w:t xml:space="preserve"> </w:t>
      </w:r>
      <w:r w:rsidR="279AE6EE" w:rsidRPr="00E12037">
        <w:rPr>
          <w:noProof/>
        </w:rPr>
        <w:t>Regulation (EU) No</w:t>
      </w:r>
      <w:r w:rsidR="00E12037">
        <w:rPr>
          <w:noProof/>
        </w:rPr>
        <w:t> </w:t>
      </w:r>
      <w:r w:rsidR="279AE6EE" w:rsidRPr="00E12037">
        <w:rPr>
          <w:noProof/>
        </w:rPr>
        <w:t xml:space="preserve">2022/1207, to cover Croatia </w:t>
      </w:r>
      <w:r w:rsidR="2BFF265F" w:rsidRPr="00E12037">
        <w:rPr>
          <w:noProof/>
        </w:rPr>
        <w:t>(which adopted the euro in January 2023)</w:t>
      </w:r>
      <w:r w:rsidR="00DA03A8">
        <w:rPr>
          <w:noProof/>
        </w:rPr>
        <w:t>.</w:t>
      </w:r>
    </w:p>
    <w:p w14:paraId="511005C6" w14:textId="77777777" w:rsidR="00B35235" w:rsidRPr="00E12037" w:rsidRDefault="36734E36" w:rsidP="00B35235">
      <w:pPr>
        <w:pStyle w:val="Text1"/>
        <w:rPr>
          <w:noProof/>
        </w:rPr>
      </w:pPr>
      <w:r w:rsidRPr="00E12037">
        <w:rPr>
          <w:noProof/>
        </w:rPr>
        <w:t>F</w:t>
      </w:r>
      <w:r w:rsidR="30BAC377" w:rsidRPr="00E12037">
        <w:rPr>
          <w:noProof/>
        </w:rPr>
        <w:t xml:space="preserve">or </w:t>
      </w:r>
      <w:r w:rsidR="4823C773" w:rsidRPr="00E12037">
        <w:rPr>
          <w:noProof/>
        </w:rPr>
        <w:t xml:space="preserve">Bulgaria </w:t>
      </w:r>
      <w:r w:rsidR="30BAC377" w:rsidRPr="00E12037">
        <w:rPr>
          <w:noProof/>
        </w:rPr>
        <w:t>to also be covered by Regulation (EC) No 974/98, a reference to this Member State needs to be added to th</w:t>
      </w:r>
      <w:r w:rsidRPr="00E12037">
        <w:rPr>
          <w:noProof/>
        </w:rPr>
        <w:t>at</w:t>
      </w:r>
      <w:r w:rsidR="30BAC377" w:rsidRPr="00E12037">
        <w:rPr>
          <w:noProof/>
        </w:rPr>
        <w:t xml:space="preserve"> Regulation. Th</w:t>
      </w:r>
      <w:r w:rsidRPr="00E12037">
        <w:rPr>
          <w:noProof/>
        </w:rPr>
        <w:t>is</w:t>
      </w:r>
      <w:r w:rsidR="30BAC377" w:rsidRPr="00E12037">
        <w:rPr>
          <w:noProof/>
        </w:rPr>
        <w:t xml:space="preserve"> proposal contains the necessary amendments to th</w:t>
      </w:r>
      <w:r w:rsidRPr="00E12037">
        <w:rPr>
          <w:noProof/>
        </w:rPr>
        <w:t>at</w:t>
      </w:r>
      <w:r w:rsidR="30BAC377" w:rsidRPr="00E12037">
        <w:rPr>
          <w:noProof/>
        </w:rPr>
        <w:t xml:space="preserve"> Regulation.</w:t>
      </w:r>
    </w:p>
    <w:p w14:paraId="6EBA538B" w14:textId="77777777" w:rsidR="00B35235" w:rsidRPr="00E12037" w:rsidRDefault="07E85C85" w:rsidP="00B35235">
      <w:pPr>
        <w:pStyle w:val="Text1"/>
        <w:rPr>
          <w:noProof/>
        </w:rPr>
      </w:pPr>
      <w:r w:rsidRPr="00E12037">
        <w:rPr>
          <w:noProof/>
        </w:rPr>
        <w:t>Bulgaria</w:t>
      </w:r>
      <w:r w:rsidR="001C4B70" w:rsidRPr="00E12037">
        <w:rPr>
          <w:noProof/>
        </w:rPr>
        <w:t>’</w:t>
      </w:r>
      <w:r w:rsidR="008F609D" w:rsidRPr="00E12037">
        <w:rPr>
          <w:noProof/>
        </w:rPr>
        <w:t>s</w:t>
      </w:r>
      <w:r w:rsidR="00351177" w:rsidRPr="00E12037">
        <w:rPr>
          <w:noProof/>
        </w:rPr>
        <w:t xml:space="preserve"> </w:t>
      </w:r>
      <w:r w:rsidR="30BAC377" w:rsidRPr="00E12037">
        <w:rPr>
          <w:noProof/>
        </w:rPr>
        <w:t xml:space="preserve">National Euro Changeover Plan specifies that the adoption of the euro as the currency of </w:t>
      </w:r>
      <w:r w:rsidR="36106ADE" w:rsidRPr="00E12037">
        <w:rPr>
          <w:noProof/>
        </w:rPr>
        <w:t>Bulga</w:t>
      </w:r>
      <w:r w:rsidR="37BB2F23" w:rsidRPr="00E12037">
        <w:rPr>
          <w:noProof/>
        </w:rPr>
        <w:t>ria</w:t>
      </w:r>
      <w:r w:rsidR="30BAC377" w:rsidRPr="00E12037">
        <w:rPr>
          <w:noProof/>
        </w:rPr>
        <w:t xml:space="preserve"> </w:t>
      </w:r>
      <w:r w:rsidR="009D499C" w:rsidRPr="00E12037">
        <w:rPr>
          <w:noProof/>
        </w:rPr>
        <w:t>should coincide with</w:t>
      </w:r>
      <w:r w:rsidR="30BAC377" w:rsidRPr="00E12037">
        <w:rPr>
          <w:noProof/>
        </w:rPr>
        <w:t xml:space="preserve"> the introduction of euro banknotes and coins in </w:t>
      </w:r>
      <w:r w:rsidR="5ECF69A4" w:rsidRPr="00E12037">
        <w:rPr>
          <w:noProof/>
        </w:rPr>
        <w:t>Bulgaria</w:t>
      </w:r>
      <w:r w:rsidR="30BAC377" w:rsidRPr="00E12037">
        <w:rPr>
          <w:noProof/>
        </w:rPr>
        <w:t>.</w:t>
      </w:r>
    </w:p>
    <w:p w14:paraId="7D23FACC" w14:textId="77777777" w:rsidR="00B35235" w:rsidRPr="00E12037" w:rsidRDefault="006B1DE0" w:rsidP="006B1DE0">
      <w:pPr>
        <w:pStyle w:val="ManualHeading1"/>
        <w:rPr>
          <w:noProof/>
        </w:rPr>
      </w:pPr>
      <w:r w:rsidRPr="00E12037">
        <w:rPr>
          <w:noProof/>
        </w:rPr>
        <w:lastRenderedPageBreak/>
        <w:t>2.</w:t>
      </w:r>
      <w:r w:rsidRPr="00E12037">
        <w:rPr>
          <w:noProof/>
        </w:rPr>
        <w:tab/>
      </w:r>
      <w:r w:rsidR="00B35235" w:rsidRPr="00E12037">
        <w:rPr>
          <w:noProof/>
        </w:rPr>
        <w:t>RESULTS OF CONSULTATIONS WITH THE INTERESTED PARTIES AND IMPACT ASSESSMENT</w:t>
      </w:r>
    </w:p>
    <w:p w14:paraId="68595553" w14:textId="77777777" w:rsidR="00B35235" w:rsidRPr="00E12037" w:rsidRDefault="0C4E6C78" w:rsidP="00B35235">
      <w:pPr>
        <w:pStyle w:val="Text1"/>
        <w:rPr>
          <w:noProof/>
        </w:rPr>
      </w:pPr>
      <w:r w:rsidRPr="00E12037">
        <w:rPr>
          <w:noProof/>
        </w:rPr>
        <w:t xml:space="preserve">Discussions with Member States on </w:t>
      </w:r>
      <w:r w:rsidR="001B6E63">
        <w:rPr>
          <w:noProof/>
        </w:rPr>
        <w:t xml:space="preserve">the </w:t>
      </w:r>
      <w:r w:rsidRPr="00E12037">
        <w:rPr>
          <w:noProof/>
        </w:rPr>
        <w:t>economic policy challenges</w:t>
      </w:r>
      <w:r w:rsidR="001B6E63">
        <w:rPr>
          <w:noProof/>
        </w:rPr>
        <w:t xml:space="preserve"> </w:t>
      </w:r>
      <w:r w:rsidR="00DA03A8">
        <w:rPr>
          <w:noProof/>
        </w:rPr>
        <w:t xml:space="preserve">in Member States </w:t>
      </w:r>
      <w:r w:rsidRPr="00E12037">
        <w:rPr>
          <w:noProof/>
        </w:rPr>
        <w:t xml:space="preserve">are </w:t>
      </w:r>
      <w:r w:rsidR="001B6E63">
        <w:rPr>
          <w:noProof/>
        </w:rPr>
        <w:t xml:space="preserve">regularly </w:t>
      </w:r>
      <w:r w:rsidRPr="00E12037">
        <w:rPr>
          <w:noProof/>
        </w:rPr>
        <w:t xml:space="preserve">held under various headings in the Economic and Financial Committee </w:t>
      </w:r>
      <w:r w:rsidR="47AD3749" w:rsidRPr="00E12037">
        <w:rPr>
          <w:noProof/>
        </w:rPr>
        <w:t xml:space="preserve">(EFC) </w:t>
      </w:r>
      <w:r w:rsidRPr="00E12037">
        <w:rPr>
          <w:noProof/>
        </w:rPr>
        <w:t xml:space="preserve">and </w:t>
      </w:r>
      <w:r w:rsidR="47AD3749" w:rsidRPr="00E12037">
        <w:rPr>
          <w:noProof/>
        </w:rPr>
        <w:t xml:space="preserve">the </w:t>
      </w:r>
      <w:r w:rsidRPr="00E12037">
        <w:rPr>
          <w:noProof/>
        </w:rPr>
        <w:t>ECOFIN/Eurogroup.</w:t>
      </w:r>
      <w:r w:rsidR="003C734A">
        <w:rPr>
          <w:noProof/>
        </w:rPr>
        <w:t xml:space="preserve"> </w:t>
      </w:r>
      <w:r w:rsidRPr="00E12037">
        <w:rPr>
          <w:noProof/>
        </w:rPr>
        <w:t>These include informal discussions on issues specifically relevant to prepar</w:t>
      </w:r>
      <w:r w:rsidR="001B6E63">
        <w:rPr>
          <w:noProof/>
        </w:rPr>
        <w:t xml:space="preserve">ing for </w:t>
      </w:r>
      <w:r w:rsidRPr="00E12037">
        <w:rPr>
          <w:noProof/>
        </w:rPr>
        <w:t xml:space="preserve">eventual </w:t>
      </w:r>
      <w:r w:rsidR="001B6E63">
        <w:rPr>
          <w:noProof/>
        </w:rPr>
        <w:t xml:space="preserve">entry into the </w:t>
      </w:r>
      <w:r w:rsidRPr="00E12037">
        <w:rPr>
          <w:noProof/>
        </w:rPr>
        <w:t>euro area (incl</w:t>
      </w:r>
      <w:r w:rsidR="47AD3749" w:rsidRPr="00E12037">
        <w:rPr>
          <w:noProof/>
        </w:rPr>
        <w:t>uding</w:t>
      </w:r>
      <w:r w:rsidRPr="00E12037">
        <w:rPr>
          <w:noProof/>
        </w:rPr>
        <w:t xml:space="preserve"> exchange rate policies).</w:t>
      </w:r>
    </w:p>
    <w:p w14:paraId="462B3CAD" w14:textId="77777777" w:rsidR="00B35235" w:rsidRPr="00E12037" w:rsidRDefault="00B35235" w:rsidP="00B35235">
      <w:pPr>
        <w:pStyle w:val="Text1"/>
        <w:rPr>
          <w:noProof/>
        </w:rPr>
      </w:pPr>
      <w:r w:rsidRPr="00E12037">
        <w:rPr>
          <w:noProof/>
        </w:rPr>
        <w:t xml:space="preserve">Economic developments in the euro area and the Member States are assessed </w:t>
      </w:r>
      <w:r w:rsidR="004379E8" w:rsidRPr="00E12037">
        <w:rPr>
          <w:noProof/>
        </w:rPr>
        <w:t xml:space="preserve">through </w:t>
      </w:r>
      <w:r w:rsidRPr="00E12037">
        <w:rPr>
          <w:noProof/>
        </w:rPr>
        <w:t>the</w:t>
      </w:r>
      <w:r w:rsidR="003C734A">
        <w:rPr>
          <w:noProof/>
        </w:rPr>
        <w:t xml:space="preserve"> </w:t>
      </w:r>
      <w:r w:rsidRPr="00E12037">
        <w:rPr>
          <w:noProof/>
        </w:rPr>
        <w:t>various procedures of economic policy coordination and surveillance (</w:t>
      </w:r>
      <w:r w:rsidR="00411D37">
        <w:rPr>
          <w:noProof/>
        </w:rPr>
        <w:t>specifically</w:t>
      </w:r>
      <w:r w:rsidR="001B6E63">
        <w:rPr>
          <w:noProof/>
        </w:rPr>
        <w:t xml:space="preserve"> </w:t>
      </w:r>
      <w:r w:rsidRPr="00E12037">
        <w:rPr>
          <w:noProof/>
        </w:rPr>
        <w:t>under Art</w:t>
      </w:r>
      <w:r w:rsidR="00697DA2" w:rsidRPr="00E12037">
        <w:rPr>
          <w:noProof/>
        </w:rPr>
        <w:t>icle</w:t>
      </w:r>
      <w:r w:rsidR="00E12037">
        <w:rPr>
          <w:noProof/>
        </w:rPr>
        <w:t> </w:t>
      </w:r>
      <w:r w:rsidRPr="00E12037">
        <w:rPr>
          <w:noProof/>
        </w:rPr>
        <w:t>121</w:t>
      </w:r>
      <w:r w:rsidR="00697DA2" w:rsidRPr="00E12037">
        <w:rPr>
          <w:noProof/>
        </w:rPr>
        <w:t xml:space="preserve"> TFEU</w:t>
      </w:r>
      <w:r w:rsidRPr="00E12037">
        <w:rPr>
          <w:noProof/>
        </w:rPr>
        <w:t>), a</w:t>
      </w:r>
      <w:r w:rsidR="001B6E63">
        <w:rPr>
          <w:noProof/>
        </w:rPr>
        <w:t>nd</w:t>
      </w:r>
      <w:r w:rsidRPr="00E12037">
        <w:rPr>
          <w:noProof/>
        </w:rPr>
        <w:t xml:space="preserve"> as </w:t>
      </w:r>
      <w:r w:rsidR="001B6E63">
        <w:rPr>
          <w:noProof/>
        </w:rPr>
        <w:t xml:space="preserve">part </w:t>
      </w:r>
      <w:r w:rsidRPr="00E12037">
        <w:rPr>
          <w:noProof/>
        </w:rPr>
        <w:t>of the Commission’s regular monitoring and analysis of country-specific and area-wide developments (incl</w:t>
      </w:r>
      <w:r w:rsidR="004379E8" w:rsidRPr="00E12037">
        <w:rPr>
          <w:noProof/>
        </w:rPr>
        <w:t>uding</w:t>
      </w:r>
      <w:r w:rsidRPr="00E12037">
        <w:rPr>
          <w:noProof/>
        </w:rPr>
        <w:t xml:space="preserve"> forecasts, regular publication series, </w:t>
      </w:r>
      <w:r w:rsidR="004379E8" w:rsidRPr="00E12037">
        <w:rPr>
          <w:noProof/>
        </w:rPr>
        <w:t xml:space="preserve">and </w:t>
      </w:r>
      <w:r w:rsidRPr="00E12037">
        <w:rPr>
          <w:noProof/>
        </w:rPr>
        <w:t xml:space="preserve">input to </w:t>
      </w:r>
      <w:r w:rsidR="004379E8" w:rsidRPr="00E12037">
        <w:rPr>
          <w:noProof/>
        </w:rPr>
        <w:t xml:space="preserve">the </w:t>
      </w:r>
      <w:r w:rsidRPr="00E12037">
        <w:rPr>
          <w:noProof/>
        </w:rPr>
        <w:t xml:space="preserve">EFC and ECOFIN/Eurogroup). In </w:t>
      </w:r>
      <w:r w:rsidR="000E488C">
        <w:rPr>
          <w:noProof/>
        </w:rPr>
        <w:t>line</w:t>
      </w:r>
      <w:r w:rsidRPr="00E12037">
        <w:rPr>
          <w:noProof/>
        </w:rPr>
        <w:t xml:space="preserve"> with the proportionality principle and with past practice, no formal impact assessment is ne</w:t>
      </w:r>
      <w:r w:rsidR="000E488C">
        <w:rPr>
          <w:noProof/>
        </w:rPr>
        <w:t>eded</w:t>
      </w:r>
      <w:r w:rsidRPr="00E12037">
        <w:rPr>
          <w:noProof/>
        </w:rPr>
        <w:t>.</w:t>
      </w:r>
    </w:p>
    <w:p w14:paraId="03C3856E" w14:textId="77777777" w:rsidR="00B35235" w:rsidRPr="00E12037" w:rsidRDefault="006B1DE0" w:rsidP="006B1DE0">
      <w:pPr>
        <w:pStyle w:val="ManualHeading1"/>
        <w:rPr>
          <w:noProof/>
        </w:rPr>
      </w:pPr>
      <w:r w:rsidRPr="00E12037">
        <w:rPr>
          <w:noProof/>
        </w:rPr>
        <w:t>3.</w:t>
      </w:r>
      <w:r w:rsidRPr="00E12037">
        <w:rPr>
          <w:noProof/>
        </w:rPr>
        <w:tab/>
      </w:r>
      <w:r w:rsidR="00B35235" w:rsidRPr="00E12037">
        <w:rPr>
          <w:noProof/>
        </w:rPr>
        <w:t>LEGAL ELEMENTS OF THE PROPOSAL</w:t>
      </w:r>
    </w:p>
    <w:p w14:paraId="7EE2727F" w14:textId="77777777" w:rsidR="00B35235" w:rsidRPr="00E12037" w:rsidRDefault="006B1DE0" w:rsidP="006B1DE0">
      <w:pPr>
        <w:pStyle w:val="ManualHeading2"/>
        <w:rPr>
          <w:noProof/>
        </w:rPr>
      </w:pPr>
      <w:bookmarkStart w:id="1" w:name="DQPStarAt1DQPStarAt449D5EE33AEC4BCD9CA1F"/>
      <w:bookmarkEnd w:id="1"/>
      <w:r w:rsidRPr="00E12037">
        <w:rPr>
          <w:noProof/>
        </w:rPr>
        <w:t>3.1.</w:t>
      </w:r>
      <w:r w:rsidRPr="00E12037">
        <w:rPr>
          <w:noProof/>
        </w:rPr>
        <w:tab/>
      </w:r>
      <w:r w:rsidR="00B35235" w:rsidRPr="00E12037">
        <w:rPr>
          <w:noProof/>
        </w:rPr>
        <w:t>Legal basis</w:t>
      </w:r>
    </w:p>
    <w:p w14:paraId="504F726A" w14:textId="77777777" w:rsidR="00B35235" w:rsidRPr="00E12037" w:rsidRDefault="00B35235" w:rsidP="00B35235">
      <w:pPr>
        <w:pStyle w:val="Text1"/>
        <w:rPr>
          <w:noProof/>
        </w:rPr>
      </w:pPr>
      <w:r w:rsidRPr="00E12037">
        <w:rPr>
          <w:noProof/>
        </w:rPr>
        <w:t>The legal basis for th</w:t>
      </w:r>
      <w:r w:rsidR="004379E8" w:rsidRPr="00E12037">
        <w:rPr>
          <w:noProof/>
        </w:rPr>
        <w:t>is</w:t>
      </w:r>
      <w:r w:rsidRPr="00E12037">
        <w:rPr>
          <w:noProof/>
        </w:rPr>
        <w:t xml:space="preserve"> proposal is Article</w:t>
      </w:r>
      <w:r w:rsidR="00E12037">
        <w:rPr>
          <w:noProof/>
        </w:rPr>
        <w:t> </w:t>
      </w:r>
      <w:r w:rsidRPr="00E12037">
        <w:rPr>
          <w:noProof/>
        </w:rPr>
        <w:t>140(3)</w:t>
      </w:r>
      <w:r w:rsidR="00EF3F1C" w:rsidRPr="00E12037">
        <w:rPr>
          <w:noProof/>
        </w:rPr>
        <w:t xml:space="preserve"> </w:t>
      </w:r>
      <w:r w:rsidR="00697DA2" w:rsidRPr="00E12037">
        <w:rPr>
          <w:noProof/>
        </w:rPr>
        <w:t>TFEU</w:t>
      </w:r>
      <w:r w:rsidRPr="00E12037">
        <w:rPr>
          <w:noProof/>
        </w:rPr>
        <w:t>, which allows for the adoption of the other measures ne</w:t>
      </w:r>
      <w:r w:rsidR="000E488C">
        <w:rPr>
          <w:noProof/>
        </w:rPr>
        <w:t>eded</w:t>
      </w:r>
      <w:r w:rsidRPr="00E12037">
        <w:rPr>
          <w:noProof/>
        </w:rPr>
        <w:t xml:space="preserve"> for </w:t>
      </w:r>
      <w:r w:rsidR="000E488C">
        <w:rPr>
          <w:noProof/>
        </w:rPr>
        <w:t>introducing</w:t>
      </w:r>
      <w:r w:rsidRPr="00E12037">
        <w:rPr>
          <w:noProof/>
        </w:rPr>
        <w:t xml:space="preserve"> the euro in </w:t>
      </w:r>
      <w:r w:rsidR="000E488C">
        <w:rPr>
          <w:noProof/>
        </w:rPr>
        <w:t>a</w:t>
      </w:r>
      <w:r w:rsidRPr="00E12037">
        <w:rPr>
          <w:noProof/>
        </w:rPr>
        <w:t xml:space="preserve"> Member State</w:t>
      </w:r>
      <w:r w:rsidR="00ED3897">
        <w:rPr>
          <w:noProof/>
        </w:rPr>
        <w:t xml:space="preserve"> whose</w:t>
      </w:r>
      <w:r w:rsidRPr="00E12037">
        <w:rPr>
          <w:noProof/>
        </w:rPr>
        <w:t xml:space="preserve"> derogation has been abrogated under Article</w:t>
      </w:r>
      <w:r w:rsidR="00E12037">
        <w:rPr>
          <w:noProof/>
        </w:rPr>
        <w:t> </w:t>
      </w:r>
      <w:r w:rsidRPr="00E12037">
        <w:rPr>
          <w:noProof/>
        </w:rPr>
        <w:t>140(2)</w:t>
      </w:r>
      <w:r w:rsidR="001C4B70" w:rsidRPr="00E12037">
        <w:rPr>
          <w:noProof/>
        </w:rPr>
        <w:t xml:space="preserve"> </w:t>
      </w:r>
      <w:r w:rsidR="00697DA2" w:rsidRPr="00E12037">
        <w:rPr>
          <w:noProof/>
        </w:rPr>
        <w:t>TFEU</w:t>
      </w:r>
      <w:r w:rsidRPr="00E12037">
        <w:rPr>
          <w:noProof/>
        </w:rPr>
        <w:t>.</w:t>
      </w:r>
    </w:p>
    <w:p w14:paraId="12E52527" w14:textId="77777777" w:rsidR="00B35235" w:rsidRPr="00E12037" w:rsidRDefault="00B35235" w:rsidP="00B35235">
      <w:pPr>
        <w:pStyle w:val="Text1"/>
        <w:rPr>
          <w:noProof/>
        </w:rPr>
      </w:pPr>
      <w:r w:rsidRPr="00E12037">
        <w:rPr>
          <w:noProof/>
        </w:rPr>
        <w:t xml:space="preserve">The Council </w:t>
      </w:r>
      <w:r w:rsidR="00DA03A8">
        <w:rPr>
          <w:noProof/>
        </w:rPr>
        <w:t xml:space="preserve">shall </w:t>
      </w:r>
      <w:r w:rsidRPr="00E12037">
        <w:rPr>
          <w:noProof/>
        </w:rPr>
        <w:t>act with the unanimity of th</w:t>
      </w:r>
      <w:r w:rsidR="000E488C">
        <w:rPr>
          <w:noProof/>
        </w:rPr>
        <w:t>ose</w:t>
      </w:r>
      <w:r w:rsidRPr="00E12037">
        <w:rPr>
          <w:noProof/>
        </w:rPr>
        <w:t xml:space="preserve"> Member States whose currency is the euro and the Member State concerned</w:t>
      </w:r>
      <w:r w:rsidR="004379E8" w:rsidRPr="00E12037">
        <w:rPr>
          <w:noProof/>
        </w:rPr>
        <w:t>,</w:t>
      </w:r>
      <w:r w:rsidRPr="00E12037">
        <w:rPr>
          <w:noProof/>
        </w:rPr>
        <w:t xml:space="preserve"> on a proposal from the Commission and after consulting the ECB.</w:t>
      </w:r>
    </w:p>
    <w:p w14:paraId="7BCEF812" w14:textId="77777777" w:rsidR="00B35235" w:rsidRPr="00E12037" w:rsidRDefault="006B1DE0" w:rsidP="006B1DE0">
      <w:pPr>
        <w:pStyle w:val="ManualHeading2"/>
        <w:rPr>
          <w:noProof/>
        </w:rPr>
      </w:pPr>
      <w:r w:rsidRPr="00E12037">
        <w:rPr>
          <w:noProof/>
        </w:rPr>
        <w:t>3.2.</w:t>
      </w:r>
      <w:r w:rsidRPr="00E12037">
        <w:rPr>
          <w:noProof/>
        </w:rPr>
        <w:tab/>
      </w:r>
      <w:r w:rsidR="00B35235" w:rsidRPr="00E12037">
        <w:rPr>
          <w:noProof/>
        </w:rPr>
        <w:t>Subsidiarity and proportionality</w:t>
      </w:r>
    </w:p>
    <w:p w14:paraId="4E0FBF80" w14:textId="77777777" w:rsidR="00B35235" w:rsidRPr="00E12037" w:rsidRDefault="00B35235" w:rsidP="00B35235">
      <w:pPr>
        <w:pStyle w:val="Text1"/>
        <w:rPr>
          <w:noProof/>
        </w:rPr>
      </w:pPr>
      <w:r w:rsidRPr="00E12037">
        <w:rPr>
          <w:noProof/>
        </w:rPr>
        <w:t>The proposal falls under the exclusive competence of the Union. The</w:t>
      </w:r>
      <w:r w:rsidR="00411D37">
        <w:rPr>
          <w:noProof/>
        </w:rPr>
        <w:t>refore, the</w:t>
      </w:r>
      <w:r w:rsidRPr="00E12037">
        <w:rPr>
          <w:noProof/>
        </w:rPr>
        <w:t xml:space="preserve"> subsidiarity principle does not apply.</w:t>
      </w:r>
    </w:p>
    <w:p w14:paraId="4D32802B" w14:textId="77777777" w:rsidR="00B35235" w:rsidRPr="00E12037" w:rsidRDefault="00B35235" w:rsidP="00B35235">
      <w:pPr>
        <w:pStyle w:val="Text1"/>
        <w:rPr>
          <w:noProof/>
        </w:rPr>
      </w:pPr>
      <w:r w:rsidRPr="00E12037">
        <w:rPr>
          <w:noProof/>
        </w:rPr>
        <w:t>Th</w:t>
      </w:r>
      <w:r w:rsidR="004379E8" w:rsidRPr="00E12037">
        <w:rPr>
          <w:noProof/>
        </w:rPr>
        <w:t>is</w:t>
      </w:r>
      <w:r w:rsidRPr="00E12037">
        <w:rPr>
          <w:noProof/>
        </w:rPr>
        <w:t xml:space="preserve"> initiative does not go beyond what is ne</w:t>
      </w:r>
      <w:r w:rsidR="000E488C">
        <w:rPr>
          <w:noProof/>
        </w:rPr>
        <w:t>eded</w:t>
      </w:r>
      <w:r w:rsidRPr="00E12037">
        <w:rPr>
          <w:noProof/>
        </w:rPr>
        <w:t xml:space="preserve"> to achieve its objective and, therefore, complies with the proportionality principle.</w:t>
      </w:r>
    </w:p>
    <w:p w14:paraId="256BD654" w14:textId="77777777" w:rsidR="00B35235" w:rsidRPr="00E12037" w:rsidRDefault="006B1DE0" w:rsidP="006B1DE0">
      <w:pPr>
        <w:pStyle w:val="ManualHeading2"/>
        <w:rPr>
          <w:noProof/>
        </w:rPr>
      </w:pPr>
      <w:r w:rsidRPr="00E12037">
        <w:rPr>
          <w:noProof/>
        </w:rPr>
        <w:t>3.3.</w:t>
      </w:r>
      <w:r w:rsidRPr="00E12037">
        <w:rPr>
          <w:noProof/>
        </w:rPr>
        <w:tab/>
      </w:r>
      <w:r w:rsidR="00B35235" w:rsidRPr="00E12037">
        <w:rPr>
          <w:noProof/>
        </w:rPr>
        <w:t>Choice of legal instrument</w:t>
      </w:r>
    </w:p>
    <w:p w14:paraId="350A0CCA" w14:textId="77777777" w:rsidR="00B35235" w:rsidRPr="00E12037" w:rsidRDefault="004379E8" w:rsidP="00B35235">
      <w:pPr>
        <w:pStyle w:val="Text1"/>
        <w:rPr>
          <w:noProof/>
        </w:rPr>
      </w:pPr>
      <w:r w:rsidRPr="00E12037">
        <w:rPr>
          <w:noProof/>
        </w:rPr>
        <w:t>A</w:t>
      </w:r>
      <w:r w:rsidR="00D90716" w:rsidRPr="00E12037">
        <w:rPr>
          <w:noProof/>
        </w:rPr>
        <w:t xml:space="preserve"> </w:t>
      </w:r>
      <w:r w:rsidR="00B35235" w:rsidRPr="00E12037">
        <w:rPr>
          <w:noProof/>
        </w:rPr>
        <w:t>Regulation is the</w:t>
      </w:r>
      <w:r w:rsidR="003C734A">
        <w:rPr>
          <w:noProof/>
        </w:rPr>
        <w:t xml:space="preserve"> </w:t>
      </w:r>
      <w:r w:rsidR="00B35235" w:rsidRPr="00E12037">
        <w:rPr>
          <w:noProof/>
        </w:rPr>
        <w:t xml:space="preserve">appropriate legal instrument </w:t>
      </w:r>
      <w:r w:rsidRPr="00E12037">
        <w:rPr>
          <w:noProof/>
        </w:rPr>
        <w:t xml:space="preserve">for </w:t>
      </w:r>
      <w:r w:rsidR="00B35235" w:rsidRPr="00E12037">
        <w:rPr>
          <w:noProof/>
        </w:rPr>
        <w:t>amend</w:t>
      </w:r>
      <w:r w:rsidRPr="00E12037">
        <w:rPr>
          <w:noProof/>
        </w:rPr>
        <w:t>ing</w:t>
      </w:r>
      <w:r w:rsidR="00B35235" w:rsidRPr="00E12037">
        <w:rPr>
          <w:noProof/>
        </w:rPr>
        <w:t xml:space="preserve"> Council Regulation (EC) No</w:t>
      </w:r>
      <w:r w:rsidR="003C734A">
        <w:rPr>
          <w:noProof/>
        </w:rPr>
        <w:t xml:space="preserve"> </w:t>
      </w:r>
      <w:r w:rsidR="00B35235" w:rsidRPr="00E12037">
        <w:rPr>
          <w:noProof/>
        </w:rPr>
        <w:t>974/98 on the introduction of the euro.</w:t>
      </w:r>
    </w:p>
    <w:p w14:paraId="5D9964AB" w14:textId="77777777" w:rsidR="00B35235" w:rsidRPr="00E12037" w:rsidRDefault="006B1DE0" w:rsidP="006B1DE0">
      <w:pPr>
        <w:pStyle w:val="ManualHeading1"/>
        <w:rPr>
          <w:noProof/>
        </w:rPr>
      </w:pPr>
      <w:r w:rsidRPr="00E12037">
        <w:rPr>
          <w:noProof/>
        </w:rPr>
        <w:t>4.</w:t>
      </w:r>
      <w:r w:rsidRPr="00E12037">
        <w:rPr>
          <w:noProof/>
        </w:rPr>
        <w:tab/>
      </w:r>
      <w:r w:rsidR="00B35235" w:rsidRPr="00E12037">
        <w:rPr>
          <w:noProof/>
        </w:rPr>
        <w:t>BUDGETARY IMPLICATION</w:t>
      </w:r>
    </w:p>
    <w:p w14:paraId="60B7D24E" w14:textId="77777777" w:rsidR="00B35235" w:rsidRPr="00E12037" w:rsidRDefault="00B35235" w:rsidP="00B35235">
      <w:pPr>
        <w:pStyle w:val="Text1"/>
        <w:rPr>
          <w:noProof/>
        </w:rPr>
      </w:pPr>
      <w:r w:rsidRPr="00E12037">
        <w:rPr>
          <w:noProof/>
        </w:rPr>
        <w:t>The proposal has no implications for the budget of the Union.</w:t>
      </w:r>
    </w:p>
    <w:p w14:paraId="070BE08B" w14:textId="77777777" w:rsidR="00B35235" w:rsidRPr="00E12037" w:rsidRDefault="006B1DE0" w:rsidP="006B1DE0">
      <w:pPr>
        <w:pStyle w:val="ManualHeading1"/>
        <w:rPr>
          <w:noProof/>
        </w:rPr>
      </w:pPr>
      <w:r w:rsidRPr="00E12037">
        <w:rPr>
          <w:noProof/>
        </w:rPr>
        <w:t>5.</w:t>
      </w:r>
      <w:r w:rsidRPr="00E12037">
        <w:rPr>
          <w:noProof/>
        </w:rPr>
        <w:tab/>
      </w:r>
      <w:r w:rsidR="00B35235" w:rsidRPr="00E12037">
        <w:rPr>
          <w:noProof/>
        </w:rPr>
        <w:t>COMMENTARY ON INDIVIDUAL ARTICLES</w:t>
      </w:r>
    </w:p>
    <w:p w14:paraId="6DB1DEAE" w14:textId="77777777" w:rsidR="00B35235" w:rsidRPr="00E12037" w:rsidRDefault="006B1DE0" w:rsidP="006B1DE0">
      <w:pPr>
        <w:pStyle w:val="ManualHeading2"/>
        <w:rPr>
          <w:noProof/>
        </w:rPr>
      </w:pPr>
      <w:bookmarkStart w:id="2" w:name="DQPStarAt1DQPStarAt55093608EF8147D681E05"/>
      <w:bookmarkEnd w:id="2"/>
      <w:r w:rsidRPr="00E12037">
        <w:rPr>
          <w:noProof/>
        </w:rPr>
        <w:t>5.1.</w:t>
      </w:r>
      <w:r w:rsidRPr="00E12037">
        <w:rPr>
          <w:noProof/>
        </w:rPr>
        <w:tab/>
      </w:r>
      <w:r w:rsidR="00B35235" w:rsidRPr="00E12037">
        <w:rPr>
          <w:noProof/>
        </w:rPr>
        <w:t>Article</w:t>
      </w:r>
      <w:r w:rsidR="003C734A">
        <w:rPr>
          <w:noProof/>
        </w:rPr>
        <w:t xml:space="preserve"> </w:t>
      </w:r>
      <w:r w:rsidR="00B35235" w:rsidRPr="00E12037">
        <w:rPr>
          <w:noProof/>
        </w:rPr>
        <w:t>1</w:t>
      </w:r>
    </w:p>
    <w:p w14:paraId="5BB89D2A" w14:textId="77777777" w:rsidR="00504383" w:rsidRPr="00E12037" w:rsidRDefault="00B35235" w:rsidP="00B35235">
      <w:pPr>
        <w:pStyle w:val="Text1"/>
        <w:rPr>
          <w:noProof/>
        </w:rPr>
      </w:pPr>
      <w:r w:rsidRPr="000A6618">
        <w:rPr>
          <w:noProof/>
        </w:rPr>
        <w:t>In accordance with Article</w:t>
      </w:r>
      <w:r w:rsidR="003C734A" w:rsidRPr="000A6618">
        <w:rPr>
          <w:noProof/>
        </w:rPr>
        <w:t xml:space="preserve"> </w:t>
      </w:r>
      <w:r w:rsidRPr="000A6618">
        <w:rPr>
          <w:noProof/>
        </w:rPr>
        <w:t>1 lit. (a) and with Article</w:t>
      </w:r>
      <w:r w:rsidR="003C734A" w:rsidRPr="000A6618">
        <w:rPr>
          <w:noProof/>
        </w:rPr>
        <w:t xml:space="preserve"> </w:t>
      </w:r>
      <w:r w:rsidRPr="000A6618">
        <w:rPr>
          <w:noProof/>
        </w:rPr>
        <w:t>1a of Regulation</w:t>
      </w:r>
      <w:r w:rsidRPr="00E12037">
        <w:rPr>
          <w:noProof/>
        </w:rPr>
        <w:t xml:space="preserve"> (EC) No</w:t>
      </w:r>
      <w:r w:rsidR="00DA03A8">
        <w:rPr>
          <w:noProof/>
        </w:rPr>
        <w:t xml:space="preserve"> </w:t>
      </w:r>
      <w:r w:rsidRPr="00E12037">
        <w:rPr>
          <w:noProof/>
        </w:rPr>
        <w:t xml:space="preserve">974/98, the table in the Annex to that Regulation lists the participating Member States </w:t>
      </w:r>
      <w:r w:rsidRPr="000A6618">
        <w:rPr>
          <w:noProof/>
        </w:rPr>
        <w:t>and defines the euro adoption date, the</w:t>
      </w:r>
      <w:r w:rsidRPr="00E12037">
        <w:rPr>
          <w:noProof/>
        </w:rPr>
        <w:t xml:space="preserve"> cash changeover date, and the ‘phasing-out’ period, if applicable, for all these Member States.</w:t>
      </w:r>
    </w:p>
    <w:p w14:paraId="54723A16" w14:textId="77777777" w:rsidR="00504383" w:rsidRPr="00E12037" w:rsidRDefault="00B35235" w:rsidP="00B35235">
      <w:pPr>
        <w:pStyle w:val="Text1"/>
        <w:rPr>
          <w:noProof/>
        </w:rPr>
      </w:pPr>
      <w:r w:rsidRPr="00E12037">
        <w:rPr>
          <w:noProof/>
        </w:rPr>
        <w:t>According to Article</w:t>
      </w:r>
      <w:r w:rsidR="003C734A">
        <w:rPr>
          <w:noProof/>
        </w:rPr>
        <w:t xml:space="preserve"> </w:t>
      </w:r>
      <w:r w:rsidRPr="00E12037">
        <w:rPr>
          <w:noProof/>
        </w:rPr>
        <w:t>1 lit. (i) of Regulation (EC) No</w:t>
      </w:r>
      <w:r w:rsidR="003C734A">
        <w:rPr>
          <w:noProof/>
        </w:rPr>
        <w:t xml:space="preserve"> </w:t>
      </w:r>
      <w:r w:rsidRPr="00E12037">
        <w:rPr>
          <w:noProof/>
        </w:rPr>
        <w:t>974/98, a ‘phasing-out’ period can only apply to Member States where the euro adoption date and the cash changeover date fall on the same day. This was n</w:t>
      </w:r>
      <w:r w:rsidR="000E488C">
        <w:rPr>
          <w:noProof/>
        </w:rPr>
        <w:t>either</w:t>
      </w:r>
      <w:r w:rsidRPr="00E12037">
        <w:rPr>
          <w:noProof/>
        </w:rPr>
        <w:t xml:space="preserve"> the case for the </w:t>
      </w:r>
      <w:r w:rsidR="00B673E5">
        <w:rPr>
          <w:noProof/>
        </w:rPr>
        <w:t xml:space="preserve">eleven </w:t>
      </w:r>
      <w:r w:rsidR="00B673E5" w:rsidRPr="00E12037">
        <w:rPr>
          <w:noProof/>
        </w:rPr>
        <w:lastRenderedPageBreak/>
        <w:t>Member</w:t>
      </w:r>
      <w:r w:rsidRPr="00E12037">
        <w:rPr>
          <w:noProof/>
        </w:rPr>
        <w:t xml:space="preserve"> States </w:t>
      </w:r>
      <w:r w:rsidR="00504383" w:rsidRPr="00E12037">
        <w:rPr>
          <w:noProof/>
        </w:rPr>
        <w:t xml:space="preserve">that </w:t>
      </w:r>
      <w:r w:rsidRPr="00E12037">
        <w:rPr>
          <w:noProof/>
        </w:rPr>
        <w:t>adopted the euro on 1</w:t>
      </w:r>
      <w:r w:rsidR="00E12037">
        <w:rPr>
          <w:noProof/>
        </w:rPr>
        <w:t> </w:t>
      </w:r>
      <w:r w:rsidRPr="00E12037">
        <w:rPr>
          <w:noProof/>
        </w:rPr>
        <w:t>January 1999</w:t>
      </w:r>
      <w:r w:rsidR="00504383" w:rsidRPr="00E12037">
        <w:rPr>
          <w:noProof/>
        </w:rPr>
        <w:t>,</w:t>
      </w:r>
      <w:r w:rsidRPr="00E12037">
        <w:rPr>
          <w:noProof/>
        </w:rPr>
        <w:t xml:space="preserve"> </w:t>
      </w:r>
      <w:r w:rsidR="00504383" w:rsidRPr="00E12037">
        <w:rPr>
          <w:noProof/>
        </w:rPr>
        <w:t xml:space="preserve">nor </w:t>
      </w:r>
      <w:r w:rsidRPr="00E12037">
        <w:rPr>
          <w:noProof/>
        </w:rPr>
        <w:t>for Greece</w:t>
      </w:r>
      <w:r w:rsidR="00504383" w:rsidRPr="00E12037">
        <w:rPr>
          <w:noProof/>
        </w:rPr>
        <w:t>,</w:t>
      </w:r>
      <w:r w:rsidRPr="00E12037">
        <w:rPr>
          <w:noProof/>
        </w:rPr>
        <w:t xml:space="preserve"> which adopted the euro on 1</w:t>
      </w:r>
      <w:r w:rsidR="00E12037">
        <w:rPr>
          <w:noProof/>
        </w:rPr>
        <w:t> </w:t>
      </w:r>
      <w:r w:rsidRPr="00E12037">
        <w:rPr>
          <w:noProof/>
        </w:rPr>
        <w:t>January 2001.</w:t>
      </w:r>
    </w:p>
    <w:p w14:paraId="3D2B3210" w14:textId="77777777" w:rsidR="00504383" w:rsidRPr="002D47D2" w:rsidRDefault="000E488C" w:rsidP="00B35235">
      <w:pPr>
        <w:pStyle w:val="Text1"/>
        <w:rPr>
          <w:noProof/>
        </w:rPr>
      </w:pPr>
      <w:r>
        <w:rPr>
          <w:noProof/>
        </w:rPr>
        <w:t>The dates fo</w:t>
      </w:r>
      <w:r w:rsidR="003A5DEF">
        <w:rPr>
          <w:noProof/>
        </w:rPr>
        <w:t xml:space="preserve">r </w:t>
      </w:r>
      <w:r>
        <w:rPr>
          <w:noProof/>
        </w:rPr>
        <w:t>adopti</w:t>
      </w:r>
      <w:r w:rsidR="003A5DEF">
        <w:rPr>
          <w:noProof/>
        </w:rPr>
        <w:t>ng the euro</w:t>
      </w:r>
      <w:r>
        <w:rPr>
          <w:noProof/>
        </w:rPr>
        <w:t xml:space="preserve"> and </w:t>
      </w:r>
      <w:r w:rsidR="003A5DEF">
        <w:rPr>
          <w:noProof/>
        </w:rPr>
        <w:t xml:space="preserve">the </w:t>
      </w:r>
      <w:r>
        <w:rPr>
          <w:noProof/>
        </w:rPr>
        <w:t xml:space="preserve">cash changeover coincided in </w:t>
      </w:r>
      <w:r w:rsidR="30BAC377" w:rsidRPr="00E12037">
        <w:rPr>
          <w:noProof/>
        </w:rPr>
        <w:t>Slovenia, Cyprus, Malta, Slovakia, Estonia, Latvia</w:t>
      </w:r>
      <w:r w:rsidR="3AE97763" w:rsidRPr="00E12037">
        <w:rPr>
          <w:noProof/>
        </w:rPr>
        <w:t>,</w:t>
      </w:r>
      <w:r w:rsidR="30BAC377" w:rsidRPr="00E12037">
        <w:rPr>
          <w:noProof/>
        </w:rPr>
        <w:t xml:space="preserve"> Lithuania</w:t>
      </w:r>
      <w:r w:rsidR="000735F1" w:rsidRPr="00E12037">
        <w:rPr>
          <w:noProof/>
        </w:rPr>
        <w:t xml:space="preserve"> and</w:t>
      </w:r>
      <w:r w:rsidR="21CEB72D" w:rsidRPr="00E12037">
        <w:rPr>
          <w:noProof/>
        </w:rPr>
        <w:t xml:space="preserve"> Croatia</w:t>
      </w:r>
      <w:r w:rsidR="30BAC377" w:rsidRPr="00E12037">
        <w:rPr>
          <w:noProof/>
        </w:rPr>
        <w:t xml:space="preserve"> (1</w:t>
      </w:r>
      <w:r w:rsidR="00E12037">
        <w:rPr>
          <w:noProof/>
        </w:rPr>
        <w:t> </w:t>
      </w:r>
      <w:r w:rsidR="30BAC377" w:rsidRPr="00E12037">
        <w:rPr>
          <w:noProof/>
        </w:rPr>
        <w:t>January 2007 for Slovenia, 1</w:t>
      </w:r>
      <w:r w:rsidR="00E12037">
        <w:rPr>
          <w:noProof/>
        </w:rPr>
        <w:t> </w:t>
      </w:r>
      <w:r w:rsidR="30BAC377" w:rsidRPr="00E12037">
        <w:rPr>
          <w:noProof/>
        </w:rPr>
        <w:t>January 2008 for Cyprus and Malta, 1</w:t>
      </w:r>
      <w:r w:rsidR="00E12037">
        <w:rPr>
          <w:noProof/>
        </w:rPr>
        <w:t> </w:t>
      </w:r>
      <w:r w:rsidR="30BAC377" w:rsidRPr="00E12037">
        <w:rPr>
          <w:noProof/>
        </w:rPr>
        <w:t>January 2009 for Slovakia, 1</w:t>
      </w:r>
      <w:r w:rsidR="00E12037">
        <w:rPr>
          <w:noProof/>
        </w:rPr>
        <w:t> </w:t>
      </w:r>
      <w:r w:rsidR="30BAC377" w:rsidRPr="00E12037">
        <w:rPr>
          <w:noProof/>
        </w:rPr>
        <w:t>January 2011 for Estonia, 1</w:t>
      </w:r>
      <w:r w:rsidR="00E12037">
        <w:rPr>
          <w:noProof/>
        </w:rPr>
        <w:t> </w:t>
      </w:r>
      <w:r w:rsidR="30BAC377" w:rsidRPr="00E12037">
        <w:rPr>
          <w:noProof/>
        </w:rPr>
        <w:t>January 2014 for Latvia, 1</w:t>
      </w:r>
      <w:r w:rsidR="00E12037">
        <w:rPr>
          <w:noProof/>
        </w:rPr>
        <w:t> </w:t>
      </w:r>
      <w:r w:rsidR="30BAC377" w:rsidRPr="00E12037">
        <w:rPr>
          <w:noProof/>
        </w:rPr>
        <w:t>January 2015 for Lithuania</w:t>
      </w:r>
      <w:r w:rsidR="5395E386" w:rsidRPr="00E12037">
        <w:rPr>
          <w:noProof/>
        </w:rPr>
        <w:t>, 1</w:t>
      </w:r>
      <w:r w:rsidR="00E12037">
        <w:rPr>
          <w:noProof/>
        </w:rPr>
        <w:t> </w:t>
      </w:r>
      <w:r w:rsidR="5395E386" w:rsidRPr="00E12037">
        <w:rPr>
          <w:noProof/>
        </w:rPr>
        <w:t>January 2023 for Croatia</w:t>
      </w:r>
      <w:r w:rsidR="30BAC377" w:rsidRPr="00E12037">
        <w:rPr>
          <w:noProof/>
        </w:rPr>
        <w:t>)</w:t>
      </w:r>
      <w:r w:rsidR="003A5DEF">
        <w:rPr>
          <w:noProof/>
        </w:rPr>
        <w:t>. However</w:t>
      </w:r>
      <w:r w:rsidR="003A5DEF" w:rsidRPr="002D47D2">
        <w:rPr>
          <w:noProof/>
        </w:rPr>
        <w:t>,</w:t>
      </w:r>
      <w:r w:rsidR="30BAC377" w:rsidRPr="002D47D2">
        <w:rPr>
          <w:noProof/>
        </w:rPr>
        <w:t xml:space="preserve"> the</w:t>
      </w:r>
      <w:r w:rsidR="003A5DEF" w:rsidRPr="002D47D2">
        <w:rPr>
          <w:noProof/>
        </w:rPr>
        <w:t>se</w:t>
      </w:r>
      <w:r w:rsidR="30BAC377" w:rsidRPr="002D47D2">
        <w:rPr>
          <w:noProof/>
        </w:rPr>
        <w:t xml:space="preserve"> countries chose not to have a ‘phasing-out’ period.</w:t>
      </w:r>
    </w:p>
    <w:p w14:paraId="3D2C6202" w14:textId="77777777" w:rsidR="00B35235" w:rsidRPr="00E12037" w:rsidRDefault="7E6E52C5" w:rsidP="00B35235">
      <w:pPr>
        <w:pStyle w:val="Text1"/>
        <w:rPr>
          <w:noProof/>
        </w:rPr>
      </w:pPr>
      <w:r w:rsidRPr="002D47D2">
        <w:rPr>
          <w:noProof/>
        </w:rPr>
        <w:t>Bulgaria</w:t>
      </w:r>
      <w:r w:rsidR="00E12037" w:rsidRPr="002D47D2">
        <w:rPr>
          <w:noProof/>
        </w:rPr>
        <w:t>’</w:t>
      </w:r>
      <w:r w:rsidR="30BAC377" w:rsidRPr="002D47D2">
        <w:rPr>
          <w:noProof/>
        </w:rPr>
        <w:t xml:space="preserve">s National Euro Changeover Plan </w:t>
      </w:r>
      <w:r w:rsidR="003A5DEF" w:rsidRPr="002D47D2">
        <w:rPr>
          <w:noProof/>
        </w:rPr>
        <w:t xml:space="preserve">also </w:t>
      </w:r>
      <w:r w:rsidR="30BAC377" w:rsidRPr="002D47D2">
        <w:rPr>
          <w:noProof/>
        </w:rPr>
        <w:t>sets the same date for the</w:t>
      </w:r>
      <w:r w:rsidR="003A5DEF" w:rsidRPr="002D47D2">
        <w:rPr>
          <w:noProof/>
        </w:rPr>
        <w:t xml:space="preserve"> country's</w:t>
      </w:r>
      <w:r w:rsidR="30BAC377" w:rsidRPr="002D47D2">
        <w:rPr>
          <w:noProof/>
        </w:rPr>
        <w:t xml:space="preserve"> adoption </w:t>
      </w:r>
      <w:r w:rsidR="003A5DEF" w:rsidRPr="002D47D2">
        <w:rPr>
          <w:noProof/>
        </w:rPr>
        <w:t>of the euro</w:t>
      </w:r>
      <w:r w:rsidR="30BAC377" w:rsidRPr="002D47D2">
        <w:rPr>
          <w:noProof/>
        </w:rPr>
        <w:t xml:space="preserve"> and the cash changeover (1 January 202</w:t>
      </w:r>
      <w:r w:rsidR="139E5448" w:rsidRPr="002D47D2">
        <w:rPr>
          <w:noProof/>
        </w:rPr>
        <w:t>6</w:t>
      </w:r>
      <w:r w:rsidR="30BAC377" w:rsidRPr="002D47D2">
        <w:rPr>
          <w:noProof/>
        </w:rPr>
        <w:t xml:space="preserve">), </w:t>
      </w:r>
      <w:r w:rsidR="71F72E58" w:rsidRPr="002D47D2">
        <w:rPr>
          <w:noProof/>
        </w:rPr>
        <w:t xml:space="preserve">and </w:t>
      </w:r>
      <w:r w:rsidR="3024BB73" w:rsidRPr="002D47D2">
        <w:rPr>
          <w:noProof/>
        </w:rPr>
        <w:t>Bulgaria</w:t>
      </w:r>
      <w:r w:rsidR="00EF3F1C" w:rsidRPr="002D47D2">
        <w:rPr>
          <w:noProof/>
        </w:rPr>
        <w:t xml:space="preserve"> </w:t>
      </w:r>
      <w:r w:rsidR="30BAC377" w:rsidRPr="002D47D2">
        <w:rPr>
          <w:noProof/>
        </w:rPr>
        <w:t>chose not to have a ‘phasing-out’ period.</w:t>
      </w:r>
    </w:p>
    <w:p w14:paraId="6AB8CA87" w14:textId="77777777" w:rsidR="00B35235" w:rsidRPr="00E12037" w:rsidRDefault="30BAC377" w:rsidP="00B35235">
      <w:pPr>
        <w:pStyle w:val="Text1"/>
        <w:rPr>
          <w:noProof/>
        </w:rPr>
      </w:pPr>
      <w:r w:rsidRPr="00E12037">
        <w:rPr>
          <w:noProof/>
        </w:rPr>
        <w:t xml:space="preserve">This Article adds </w:t>
      </w:r>
      <w:r w:rsidR="23069C42" w:rsidRPr="00E12037">
        <w:rPr>
          <w:noProof/>
        </w:rPr>
        <w:t xml:space="preserve">Bulgaria </w:t>
      </w:r>
      <w:r w:rsidRPr="00E12037">
        <w:rPr>
          <w:noProof/>
        </w:rPr>
        <w:t>and the following relevant data for this Member State to the table in the Annex to Regulation (EC) No</w:t>
      </w:r>
      <w:r w:rsidR="00494896">
        <w:rPr>
          <w:noProof/>
        </w:rPr>
        <w:t xml:space="preserve"> </w:t>
      </w:r>
      <w:r w:rsidRPr="00E12037">
        <w:rPr>
          <w:noProof/>
        </w:rPr>
        <w:t>974/98 in protocol order.</w:t>
      </w:r>
    </w:p>
    <w:tbl>
      <w:tblPr>
        <w:tblW w:w="6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1"/>
        <w:gridCol w:w="1521"/>
        <w:gridCol w:w="1695"/>
        <w:gridCol w:w="1809"/>
      </w:tblGrid>
      <w:tr w:rsidR="00B35235" w:rsidRPr="00E12037" w14:paraId="287F79CD" w14:textId="77777777" w:rsidTr="2B01EE09">
        <w:trPr>
          <w:jc w:val="center"/>
        </w:trPr>
        <w:tc>
          <w:tcPr>
            <w:tcW w:w="1521" w:type="dxa"/>
          </w:tcPr>
          <w:p w14:paraId="4E3E9B26" w14:textId="77777777" w:rsidR="00B35235" w:rsidRPr="00E12037" w:rsidRDefault="00B35235" w:rsidP="00956B6B">
            <w:pPr>
              <w:jc w:val="center"/>
              <w:rPr>
                <w:rFonts w:cs="Arial"/>
                <w:noProof/>
                <w:sz w:val="16"/>
                <w:szCs w:val="16"/>
              </w:rPr>
            </w:pPr>
            <w:r w:rsidRPr="00E12037">
              <w:rPr>
                <w:rFonts w:cs="Arial"/>
                <w:noProof/>
                <w:sz w:val="16"/>
                <w:szCs w:val="16"/>
              </w:rPr>
              <w:t>Member State</w:t>
            </w:r>
          </w:p>
        </w:tc>
        <w:tc>
          <w:tcPr>
            <w:tcW w:w="1521" w:type="dxa"/>
          </w:tcPr>
          <w:p w14:paraId="52D2CF2E" w14:textId="77777777" w:rsidR="00B35235" w:rsidRPr="00E12037" w:rsidRDefault="00B35235" w:rsidP="00956B6B">
            <w:pPr>
              <w:jc w:val="center"/>
              <w:rPr>
                <w:rFonts w:cs="Arial"/>
                <w:noProof/>
                <w:sz w:val="16"/>
                <w:szCs w:val="16"/>
              </w:rPr>
            </w:pPr>
            <w:r w:rsidRPr="00E12037">
              <w:rPr>
                <w:rFonts w:cs="Arial"/>
                <w:noProof/>
                <w:sz w:val="16"/>
                <w:szCs w:val="16"/>
              </w:rPr>
              <w:t>Euro adoption date</w:t>
            </w:r>
          </w:p>
        </w:tc>
        <w:tc>
          <w:tcPr>
            <w:tcW w:w="1695" w:type="dxa"/>
          </w:tcPr>
          <w:p w14:paraId="7C62F166" w14:textId="77777777" w:rsidR="00B35235" w:rsidRPr="00E12037" w:rsidRDefault="00B35235" w:rsidP="00956B6B">
            <w:pPr>
              <w:jc w:val="center"/>
              <w:rPr>
                <w:rFonts w:cs="Arial"/>
                <w:noProof/>
                <w:sz w:val="16"/>
                <w:szCs w:val="16"/>
              </w:rPr>
            </w:pPr>
            <w:r w:rsidRPr="00E12037">
              <w:rPr>
                <w:rFonts w:cs="Arial"/>
                <w:noProof/>
                <w:sz w:val="16"/>
                <w:szCs w:val="16"/>
              </w:rPr>
              <w:t>Cash changeover date</w:t>
            </w:r>
          </w:p>
        </w:tc>
        <w:tc>
          <w:tcPr>
            <w:tcW w:w="1809" w:type="dxa"/>
          </w:tcPr>
          <w:p w14:paraId="7AD3C026" w14:textId="77777777" w:rsidR="00B35235" w:rsidRPr="00E12037" w:rsidRDefault="00B35235" w:rsidP="00956B6B">
            <w:pPr>
              <w:jc w:val="center"/>
              <w:rPr>
                <w:rFonts w:cs="Arial"/>
                <w:noProof/>
                <w:sz w:val="16"/>
                <w:szCs w:val="16"/>
              </w:rPr>
            </w:pPr>
            <w:r w:rsidRPr="00E12037">
              <w:rPr>
                <w:rFonts w:cs="Arial"/>
                <w:noProof/>
                <w:sz w:val="16"/>
                <w:szCs w:val="16"/>
              </w:rPr>
              <w:t>Member State with a ‘phasing-out’ period</w:t>
            </w:r>
          </w:p>
        </w:tc>
      </w:tr>
      <w:tr w:rsidR="00B35235" w:rsidRPr="00E12037" w14:paraId="6299FE7E" w14:textId="77777777" w:rsidTr="2B01EE09">
        <w:trPr>
          <w:jc w:val="center"/>
        </w:trPr>
        <w:tc>
          <w:tcPr>
            <w:tcW w:w="1521" w:type="dxa"/>
          </w:tcPr>
          <w:p w14:paraId="3D707B06" w14:textId="77777777" w:rsidR="00B35235" w:rsidRPr="00E12037" w:rsidRDefault="30BAC377" w:rsidP="00956B6B">
            <w:pPr>
              <w:jc w:val="center"/>
              <w:rPr>
                <w:rFonts w:cs="Arial"/>
                <w:noProof/>
                <w:sz w:val="16"/>
                <w:szCs w:val="16"/>
              </w:rPr>
            </w:pPr>
            <w:r w:rsidRPr="00E12037">
              <w:rPr>
                <w:rFonts w:cs="Arial"/>
                <w:noProof/>
                <w:sz w:val="16"/>
                <w:szCs w:val="16"/>
              </w:rPr>
              <w:t>‘</w:t>
            </w:r>
            <w:r w:rsidR="6E64D417" w:rsidRPr="00E12037">
              <w:rPr>
                <w:rFonts w:cs="Arial"/>
                <w:noProof/>
                <w:sz w:val="16"/>
                <w:szCs w:val="16"/>
              </w:rPr>
              <w:t>Bulgaria</w:t>
            </w:r>
          </w:p>
        </w:tc>
        <w:tc>
          <w:tcPr>
            <w:tcW w:w="1521" w:type="dxa"/>
          </w:tcPr>
          <w:p w14:paraId="1F2C6EF2" w14:textId="77777777" w:rsidR="00B35235" w:rsidRPr="00E12037" w:rsidRDefault="30BAC377" w:rsidP="00956B6B">
            <w:pPr>
              <w:jc w:val="center"/>
              <w:rPr>
                <w:rFonts w:cs="Arial"/>
                <w:noProof/>
                <w:sz w:val="16"/>
                <w:szCs w:val="16"/>
              </w:rPr>
            </w:pPr>
            <w:r w:rsidRPr="00E12037">
              <w:rPr>
                <w:rFonts w:cs="Arial"/>
                <w:noProof/>
                <w:sz w:val="16"/>
                <w:szCs w:val="16"/>
              </w:rPr>
              <w:t>1</w:t>
            </w:r>
            <w:r w:rsidR="002D47D2">
              <w:rPr>
                <w:rFonts w:cs="Arial"/>
                <w:noProof/>
                <w:sz w:val="16"/>
                <w:szCs w:val="16"/>
              </w:rPr>
              <w:t xml:space="preserve"> </w:t>
            </w:r>
            <w:r w:rsidRPr="00E12037">
              <w:rPr>
                <w:rFonts w:cs="Arial"/>
                <w:noProof/>
                <w:sz w:val="16"/>
                <w:szCs w:val="16"/>
              </w:rPr>
              <w:t>January 202</w:t>
            </w:r>
            <w:r w:rsidR="30590C91" w:rsidRPr="00E12037">
              <w:rPr>
                <w:rFonts w:cs="Arial"/>
                <w:noProof/>
                <w:sz w:val="16"/>
                <w:szCs w:val="16"/>
              </w:rPr>
              <w:t>6</w:t>
            </w:r>
          </w:p>
        </w:tc>
        <w:tc>
          <w:tcPr>
            <w:tcW w:w="1695" w:type="dxa"/>
          </w:tcPr>
          <w:p w14:paraId="06A9049F" w14:textId="77777777" w:rsidR="00B35235" w:rsidRPr="00E12037" w:rsidRDefault="30BAC377" w:rsidP="00956B6B">
            <w:pPr>
              <w:jc w:val="center"/>
              <w:rPr>
                <w:rFonts w:cs="Arial"/>
                <w:noProof/>
                <w:sz w:val="16"/>
                <w:szCs w:val="16"/>
              </w:rPr>
            </w:pPr>
            <w:r w:rsidRPr="00E12037">
              <w:rPr>
                <w:rFonts w:cs="Arial"/>
                <w:noProof/>
                <w:sz w:val="16"/>
                <w:szCs w:val="16"/>
              </w:rPr>
              <w:t>1</w:t>
            </w:r>
            <w:r w:rsidR="002D47D2">
              <w:rPr>
                <w:rFonts w:cs="Arial"/>
                <w:noProof/>
                <w:sz w:val="16"/>
                <w:szCs w:val="16"/>
              </w:rPr>
              <w:t xml:space="preserve"> </w:t>
            </w:r>
            <w:r w:rsidRPr="00E12037">
              <w:rPr>
                <w:rFonts w:cs="Arial"/>
                <w:noProof/>
                <w:sz w:val="16"/>
                <w:szCs w:val="16"/>
              </w:rPr>
              <w:t>January 202</w:t>
            </w:r>
            <w:r w:rsidR="6E6963D1" w:rsidRPr="00E12037">
              <w:rPr>
                <w:rFonts w:cs="Arial"/>
                <w:noProof/>
                <w:sz w:val="16"/>
                <w:szCs w:val="16"/>
              </w:rPr>
              <w:t>6</w:t>
            </w:r>
          </w:p>
        </w:tc>
        <w:tc>
          <w:tcPr>
            <w:tcW w:w="1809" w:type="dxa"/>
          </w:tcPr>
          <w:p w14:paraId="1D22FEE9" w14:textId="77777777" w:rsidR="00B35235" w:rsidRPr="00E12037" w:rsidRDefault="00B35235" w:rsidP="00956B6B">
            <w:pPr>
              <w:jc w:val="center"/>
              <w:rPr>
                <w:rFonts w:cs="Arial"/>
                <w:noProof/>
                <w:sz w:val="16"/>
                <w:szCs w:val="16"/>
              </w:rPr>
            </w:pPr>
            <w:r w:rsidRPr="00E12037">
              <w:rPr>
                <w:rFonts w:cs="Arial"/>
                <w:noProof/>
                <w:sz w:val="16"/>
                <w:szCs w:val="16"/>
              </w:rPr>
              <w:t>No’</w:t>
            </w:r>
          </w:p>
        </w:tc>
      </w:tr>
    </w:tbl>
    <w:p w14:paraId="48C51D69" w14:textId="77777777" w:rsidR="00B35235" w:rsidRPr="00E12037" w:rsidRDefault="00B35235" w:rsidP="00B35235">
      <w:pPr>
        <w:pStyle w:val="Text1"/>
        <w:rPr>
          <w:noProof/>
        </w:rPr>
      </w:pPr>
    </w:p>
    <w:p w14:paraId="4D0625BA" w14:textId="77777777" w:rsidR="00B35235" w:rsidRPr="00E12037" w:rsidRDefault="006B1DE0" w:rsidP="006B1DE0">
      <w:pPr>
        <w:pStyle w:val="ManualHeading2"/>
        <w:rPr>
          <w:noProof/>
        </w:rPr>
      </w:pPr>
      <w:r w:rsidRPr="00E12037">
        <w:rPr>
          <w:noProof/>
        </w:rPr>
        <w:t>5.2.</w:t>
      </w:r>
      <w:r w:rsidRPr="00E12037">
        <w:rPr>
          <w:noProof/>
        </w:rPr>
        <w:tab/>
      </w:r>
      <w:r w:rsidR="00B35235" w:rsidRPr="00E12037">
        <w:rPr>
          <w:noProof/>
        </w:rPr>
        <w:t>Article</w:t>
      </w:r>
      <w:r w:rsidR="002D47D2">
        <w:rPr>
          <w:noProof/>
        </w:rPr>
        <w:t xml:space="preserve"> </w:t>
      </w:r>
      <w:r w:rsidR="00B35235" w:rsidRPr="00E12037">
        <w:rPr>
          <w:noProof/>
        </w:rPr>
        <w:t>2</w:t>
      </w:r>
    </w:p>
    <w:p w14:paraId="7FE22F93" w14:textId="77777777" w:rsidR="0067565A" w:rsidRPr="00E12037" w:rsidRDefault="30BAC377" w:rsidP="00B35235">
      <w:pPr>
        <w:rPr>
          <w:noProof/>
        </w:rPr>
      </w:pPr>
      <w:r w:rsidRPr="00E12037">
        <w:rPr>
          <w:noProof/>
        </w:rPr>
        <w:t xml:space="preserve">This Article sets the </w:t>
      </w:r>
      <w:r w:rsidRPr="00494896">
        <w:rPr>
          <w:noProof/>
        </w:rPr>
        <w:t xml:space="preserve">date of </w:t>
      </w:r>
      <w:r w:rsidR="00340DAE" w:rsidRPr="00494896">
        <w:rPr>
          <w:noProof/>
        </w:rPr>
        <w:t>1 January 2026</w:t>
      </w:r>
      <w:r w:rsidR="00340DAE">
        <w:rPr>
          <w:noProof/>
        </w:rPr>
        <w:t xml:space="preserve"> for </w:t>
      </w:r>
      <w:r w:rsidR="003A5DEF">
        <w:rPr>
          <w:noProof/>
        </w:rPr>
        <w:t xml:space="preserve">the </w:t>
      </w:r>
      <w:r w:rsidRPr="00E12037">
        <w:rPr>
          <w:noProof/>
        </w:rPr>
        <w:t>entry into force of the Regulation, ensuring that it will be applicable in conformity with the timing of the other Council acts relat</w:t>
      </w:r>
      <w:r w:rsidR="003A5DEF">
        <w:rPr>
          <w:noProof/>
        </w:rPr>
        <w:t>ed</w:t>
      </w:r>
      <w:r w:rsidRPr="00E12037">
        <w:rPr>
          <w:noProof/>
        </w:rPr>
        <w:t xml:space="preserve"> to </w:t>
      </w:r>
      <w:r w:rsidR="003A5DEF">
        <w:rPr>
          <w:noProof/>
        </w:rPr>
        <w:t xml:space="preserve">Bulgaria's </w:t>
      </w:r>
      <w:r w:rsidRPr="00E12037">
        <w:rPr>
          <w:noProof/>
        </w:rPr>
        <w:t xml:space="preserve">adoption of the euro, i.e. the </w:t>
      </w:r>
      <w:r w:rsidR="003A5DEF">
        <w:rPr>
          <w:noProof/>
        </w:rPr>
        <w:t xml:space="preserve">same </w:t>
      </w:r>
      <w:r w:rsidRPr="00E12037">
        <w:rPr>
          <w:noProof/>
        </w:rPr>
        <w:t xml:space="preserve">date </w:t>
      </w:r>
      <w:r w:rsidR="003A5DEF">
        <w:rPr>
          <w:noProof/>
        </w:rPr>
        <w:t>when</w:t>
      </w:r>
      <w:r w:rsidR="71F72E58" w:rsidRPr="00E12037">
        <w:rPr>
          <w:noProof/>
        </w:rPr>
        <w:t xml:space="preserve"> </w:t>
      </w:r>
      <w:r w:rsidRPr="00E12037">
        <w:rPr>
          <w:noProof/>
        </w:rPr>
        <w:t>the derogation</w:t>
      </w:r>
      <w:r w:rsidR="71F72E58" w:rsidRPr="00E12037">
        <w:rPr>
          <w:noProof/>
        </w:rPr>
        <w:t xml:space="preserve"> </w:t>
      </w:r>
      <w:r w:rsidR="00340DAE">
        <w:rPr>
          <w:noProof/>
        </w:rPr>
        <w:t xml:space="preserve">is </w:t>
      </w:r>
      <w:r w:rsidR="71F72E58" w:rsidRPr="00E12037">
        <w:rPr>
          <w:noProof/>
        </w:rPr>
        <w:t xml:space="preserve">abrogated </w:t>
      </w:r>
      <w:r w:rsidRPr="00E12037">
        <w:rPr>
          <w:noProof/>
        </w:rPr>
        <w:t xml:space="preserve">and </w:t>
      </w:r>
      <w:r w:rsidR="71F72E58" w:rsidRPr="00E12037">
        <w:rPr>
          <w:noProof/>
        </w:rPr>
        <w:t>wh</w:t>
      </w:r>
      <w:r w:rsidR="003A5DEF">
        <w:rPr>
          <w:noProof/>
        </w:rPr>
        <w:t>en</w:t>
      </w:r>
      <w:r w:rsidR="71F72E58" w:rsidRPr="00E12037">
        <w:rPr>
          <w:noProof/>
        </w:rPr>
        <w:t xml:space="preserve"> </w:t>
      </w:r>
      <w:r w:rsidRPr="00E12037">
        <w:rPr>
          <w:noProof/>
        </w:rPr>
        <w:t>the conversion rate f</w:t>
      </w:r>
      <w:r w:rsidR="3FF27720" w:rsidRPr="00E12037">
        <w:rPr>
          <w:noProof/>
        </w:rPr>
        <w:t>or</w:t>
      </w:r>
      <w:r w:rsidRPr="00E12037">
        <w:rPr>
          <w:noProof/>
        </w:rPr>
        <w:t xml:space="preserve"> the </w:t>
      </w:r>
      <w:r w:rsidR="50FD7E52" w:rsidRPr="00E12037">
        <w:rPr>
          <w:noProof/>
        </w:rPr>
        <w:t xml:space="preserve">Bulgarian </w:t>
      </w:r>
      <w:r w:rsidR="5CB9206D" w:rsidRPr="00E12037">
        <w:rPr>
          <w:noProof/>
        </w:rPr>
        <w:t>lev</w:t>
      </w:r>
      <w:r w:rsidR="00EF3F1C" w:rsidRPr="00E12037">
        <w:rPr>
          <w:noProof/>
        </w:rPr>
        <w:t xml:space="preserve"> </w:t>
      </w:r>
      <w:r w:rsidR="3FF27720" w:rsidRPr="00E12037">
        <w:rPr>
          <w:noProof/>
        </w:rPr>
        <w:t>enters into force</w:t>
      </w:r>
      <w:r w:rsidRPr="00E12037">
        <w:rPr>
          <w:noProof/>
        </w:rPr>
        <w:t>.</w:t>
      </w:r>
    </w:p>
    <w:p w14:paraId="234826E5" w14:textId="77777777" w:rsidR="00414613" w:rsidRPr="00E12037" w:rsidRDefault="00414613" w:rsidP="00414613">
      <w:pPr>
        <w:rPr>
          <w:noProof/>
        </w:rPr>
        <w:sectPr w:rsidR="00414613" w:rsidRPr="00E12037" w:rsidSect="00951DB2">
          <w:headerReference w:type="even" r:id="rId18"/>
          <w:footerReference w:type="even" r:id="rId19"/>
          <w:footerReference w:type="default" r:id="rId20"/>
          <w:headerReference w:type="first" r:id="rId21"/>
          <w:footerReference w:type="first" r:id="rId22"/>
          <w:pgSz w:w="11907" w:h="16839"/>
          <w:pgMar w:top="1134" w:right="1417" w:bottom="1134" w:left="1417" w:header="709" w:footer="709" w:gutter="0"/>
          <w:pgNumType w:start="1"/>
          <w:cols w:space="720"/>
          <w:docGrid w:linePitch="360"/>
        </w:sectPr>
      </w:pPr>
    </w:p>
    <w:p w14:paraId="2208E8D9" w14:textId="273F260D" w:rsidR="005622A3" w:rsidRPr="00494896" w:rsidRDefault="00951DB2" w:rsidP="00951DB2">
      <w:pPr>
        <w:pStyle w:val="Rfrenceinterinstitutionnelle"/>
        <w:rPr>
          <w:noProof/>
        </w:rPr>
      </w:pPr>
      <w:r w:rsidRPr="00951DB2">
        <w:lastRenderedPageBreak/>
        <w:t>2025/0159 (NLE)</w:t>
      </w:r>
    </w:p>
    <w:p w14:paraId="4AD99583" w14:textId="0D7791B1" w:rsidR="00414613" w:rsidRPr="00E12037" w:rsidRDefault="009F686F" w:rsidP="009F686F">
      <w:pPr>
        <w:pStyle w:val="Statut"/>
        <w:rPr>
          <w:noProof/>
        </w:rPr>
      </w:pPr>
      <w:r w:rsidRPr="009F686F">
        <w:t>Proposal for a</w:t>
      </w:r>
    </w:p>
    <w:p w14:paraId="1849A3C6" w14:textId="53FEE441" w:rsidR="00414613" w:rsidRPr="00E12037" w:rsidRDefault="009F686F" w:rsidP="009F686F">
      <w:pPr>
        <w:pStyle w:val="Typedudocument"/>
        <w:rPr>
          <w:noProof/>
        </w:rPr>
      </w:pPr>
      <w:r w:rsidRPr="009F686F">
        <w:t>COUNCIL REGULATION</w:t>
      </w:r>
    </w:p>
    <w:p w14:paraId="5C1CACF5" w14:textId="0DA76AFC" w:rsidR="00414613" w:rsidRPr="00E12037" w:rsidRDefault="009F686F" w:rsidP="009F686F">
      <w:pPr>
        <w:pStyle w:val="Titreobjet"/>
        <w:rPr>
          <w:noProof/>
        </w:rPr>
      </w:pPr>
      <w:r w:rsidRPr="009F686F">
        <w:t>amending Regulation (EC) No 974/98 as regards the introduction of the euro in Bulgaria</w:t>
      </w:r>
    </w:p>
    <w:p w14:paraId="53241E86" w14:textId="77777777" w:rsidR="00414613" w:rsidRPr="00E12037" w:rsidRDefault="00414613">
      <w:pPr>
        <w:pStyle w:val="Institutionquiagit"/>
        <w:rPr>
          <w:noProof/>
        </w:rPr>
      </w:pPr>
      <w:r w:rsidRPr="00E12037">
        <w:rPr>
          <w:noProof/>
        </w:rPr>
        <w:t>THE COUNCIL OF THE EUROPEAN UNION,</w:t>
      </w:r>
    </w:p>
    <w:p w14:paraId="2BB3ED9F" w14:textId="77777777" w:rsidR="00414613" w:rsidRPr="00E12037" w:rsidRDefault="00414613">
      <w:pPr>
        <w:rPr>
          <w:noProof/>
        </w:rPr>
      </w:pPr>
      <w:r w:rsidRPr="00E12037">
        <w:rPr>
          <w:noProof/>
        </w:rPr>
        <w:t>Having regard to the Treaty on the Functioning of the European Union, and in particular Article</w:t>
      </w:r>
      <w:r w:rsidR="00494896">
        <w:rPr>
          <w:noProof/>
        </w:rPr>
        <w:t xml:space="preserve"> </w:t>
      </w:r>
      <w:r w:rsidRPr="00E12037">
        <w:rPr>
          <w:noProof/>
        </w:rPr>
        <w:t>140(3) thereof,</w:t>
      </w:r>
    </w:p>
    <w:p w14:paraId="30AFB8AA" w14:textId="77777777" w:rsidR="00414613" w:rsidRPr="00E12037" w:rsidRDefault="00414613">
      <w:pPr>
        <w:rPr>
          <w:noProof/>
        </w:rPr>
      </w:pPr>
      <w:r w:rsidRPr="00E12037">
        <w:rPr>
          <w:noProof/>
        </w:rPr>
        <w:t>Having regard to the proposal from the European Commission,</w:t>
      </w:r>
    </w:p>
    <w:p w14:paraId="604C2BAC" w14:textId="77777777" w:rsidR="00414613" w:rsidRPr="00E12037" w:rsidRDefault="7E087140">
      <w:pPr>
        <w:rPr>
          <w:noProof/>
        </w:rPr>
      </w:pPr>
      <w:r w:rsidRPr="00E12037">
        <w:rPr>
          <w:noProof/>
        </w:rPr>
        <w:t>Having regard to the opinion of the European Central Bank</w:t>
      </w:r>
      <w:r w:rsidR="00AB1C62" w:rsidRPr="00E12037">
        <w:rPr>
          <w:noProof/>
        </w:rPr>
        <w:t xml:space="preserve"> (</w:t>
      </w:r>
      <w:r w:rsidRPr="00E12037">
        <w:rPr>
          <w:rStyle w:val="FootnoteReference"/>
          <w:noProof/>
        </w:rPr>
        <w:footnoteReference w:id="4"/>
      </w:r>
      <w:r w:rsidR="00AB1C62" w:rsidRPr="00E12037">
        <w:rPr>
          <w:noProof/>
        </w:rPr>
        <w:t>)</w:t>
      </w:r>
      <w:r w:rsidRPr="00E12037">
        <w:rPr>
          <w:noProof/>
        </w:rPr>
        <w:t>,</w:t>
      </w:r>
    </w:p>
    <w:p w14:paraId="65343E1F" w14:textId="77777777" w:rsidR="00414613" w:rsidRPr="00E12037" w:rsidRDefault="00414613">
      <w:pPr>
        <w:rPr>
          <w:noProof/>
        </w:rPr>
      </w:pPr>
      <w:r w:rsidRPr="00E12037">
        <w:rPr>
          <w:noProof/>
        </w:rPr>
        <w:t>Whereas:</w:t>
      </w:r>
    </w:p>
    <w:p w14:paraId="204026E5" w14:textId="77777777" w:rsidR="00414613" w:rsidRPr="00E12037" w:rsidRDefault="383E4E3C" w:rsidP="006B1DE0">
      <w:pPr>
        <w:pStyle w:val="ManualConsidrant"/>
        <w:rPr>
          <w:noProof/>
        </w:rPr>
      </w:pPr>
      <w:r w:rsidRPr="00E12037">
        <w:rPr>
          <w:noProof/>
        </w:rPr>
        <w:t>(1)</w:t>
      </w:r>
      <w:r w:rsidR="006B1DE0" w:rsidRPr="00E12037">
        <w:rPr>
          <w:noProof/>
        </w:rPr>
        <w:tab/>
      </w:r>
      <w:r w:rsidR="7E087140" w:rsidRPr="00E12037">
        <w:rPr>
          <w:noProof/>
        </w:rPr>
        <w:t>Council Regulation (EC) No</w:t>
      </w:r>
      <w:r w:rsidR="00494896">
        <w:rPr>
          <w:noProof/>
        </w:rPr>
        <w:t xml:space="preserve"> </w:t>
      </w:r>
      <w:r w:rsidR="7E087140" w:rsidRPr="00E12037">
        <w:rPr>
          <w:noProof/>
        </w:rPr>
        <w:t>974/98</w:t>
      </w:r>
      <w:r w:rsidR="175487FB" w:rsidRPr="00E12037">
        <w:rPr>
          <w:noProof/>
        </w:rPr>
        <w:t xml:space="preserve"> (</w:t>
      </w:r>
      <w:r w:rsidR="00414613" w:rsidRPr="00E12037">
        <w:rPr>
          <w:rStyle w:val="FootnoteReference"/>
          <w:noProof/>
        </w:rPr>
        <w:footnoteReference w:id="5"/>
      </w:r>
      <w:r w:rsidR="175487FB" w:rsidRPr="00E12037">
        <w:rPr>
          <w:noProof/>
        </w:rPr>
        <w:t>)</w:t>
      </w:r>
      <w:r w:rsidR="7E087140" w:rsidRPr="00E12037">
        <w:rPr>
          <w:noProof/>
        </w:rPr>
        <w:t xml:space="preserve"> provides for the substitution of the euro for the currencies of the Member States which fulfil</w:t>
      </w:r>
      <w:r w:rsidR="00400F45">
        <w:rPr>
          <w:noProof/>
        </w:rPr>
        <w:t>l</w:t>
      </w:r>
      <w:r w:rsidR="7E087140" w:rsidRPr="00E12037">
        <w:rPr>
          <w:noProof/>
        </w:rPr>
        <w:t>ed the necessary conditions for the adoption of the euro at the time when the Community entered the third stage of economic and monetary union.</w:t>
      </w:r>
    </w:p>
    <w:p w14:paraId="5820EDCA" w14:textId="77777777" w:rsidR="00414613" w:rsidRPr="00494896" w:rsidRDefault="383E4E3C" w:rsidP="006B1DE0">
      <w:pPr>
        <w:pStyle w:val="ManualConsidrant"/>
        <w:rPr>
          <w:noProof/>
        </w:rPr>
      </w:pPr>
      <w:r w:rsidRPr="00E12037">
        <w:rPr>
          <w:noProof/>
        </w:rPr>
        <w:t>(2)</w:t>
      </w:r>
      <w:r w:rsidR="006B1DE0" w:rsidRPr="00E12037">
        <w:rPr>
          <w:noProof/>
        </w:rPr>
        <w:tab/>
      </w:r>
      <w:r w:rsidR="7E087140" w:rsidRPr="00E12037">
        <w:rPr>
          <w:noProof/>
        </w:rPr>
        <w:t xml:space="preserve">According to </w:t>
      </w:r>
      <w:r w:rsidR="2EC24744" w:rsidRPr="00E12037">
        <w:rPr>
          <w:noProof/>
        </w:rPr>
        <w:t>Article</w:t>
      </w:r>
      <w:r w:rsidR="00494896">
        <w:rPr>
          <w:noProof/>
        </w:rPr>
        <w:t xml:space="preserve"> </w:t>
      </w:r>
      <w:r w:rsidR="2EC24744" w:rsidRPr="00E12037">
        <w:rPr>
          <w:noProof/>
        </w:rPr>
        <w:t xml:space="preserve">5 of the </w:t>
      </w:r>
      <w:r w:rsidR="5EF203AC" w:rsidRPr="00494896">
        <w:rPr>
          <w:noProof/>
        </w:rPr>
        <w:t xml:space="preserve">2005 </w:t>
      </w:r>
      <w:r w:rsidR="7E087140" w:rsidRPr="00494896">
        <w:rPr>
          <w:noProof/>
        </w:rPr>
        <w:t>Act</w:t>
      </w:r>
      <w:r w:rsidR="00351177" w:rsidRPr="00494896">
        <w:rPr>
          <w:noProof/>
        </w:rPr>
        <w:t xml:space="preserve"> </w:t>
      </w:r>
      <w:r w:rsidR="7E087140" w:rsidRPr="00494896">
        <w:rPr>
          <w:noProof/>
        </w:rPr>
        <w:t>of Accession</w:t>
      </w:r>
      <w:r w:rsidR="00AB1C62" w:rsidRPr="00494896">
        <w:rPr>
          <w:noProof/>
        </w:rPr>
        <w:t xml:space="preserve"> (</w:t>
      </w:r>
      <w:r w:rsidR="00883AF9" w:rsidRPr="00494896">
        <w:rPr>
          <w:rStyle w:val="FootnoteReference"/>
          <w:noProof/>
        </w:rPr>
        <w:footnoteReference w:id="6"/>
      </w:r>
      <w:r w:rsidR="00AB1C62" w:rsidRPr="00494896">
        <w:rPr>
          <w:noProof/>
        </w:rPr>
        <w:t>)</w:t>
      </w:r>
      <w:r w:rsidR="7E087140" w:rsidRPr="00494896">
        <w:rPr>
          <w:noProof/>
        </w:rPr>
        <w:t xml:space="preserve">, </w:t>
      </w:r>
      <w:r w:rsidR="4C946F15" w:rsidRPr="00494896">
        <w:rPr>
          <w:noProof/>
        </w:rPr>
        <w:t xml:space="preserve">Bulgaria </w:t>
      </w:r>
      <w:r w:rsidR="00697DA2" w:rsidRPr="00494896">
        <w:rPr>
          <w:noProof/>
        </w:rPr>
        <w:t xml:space="preserve">participates in Economic and Monetary Union from the date of </w:t>
      </w:r>
      <w:r w:rsidR="00400F45" w:rsidRPr="00494896">
        <w:rPr>
          <w:noProof/>
        </w:rPr>
        <w:t>accession</w:t>
      </w:r>
      <w:r w:rsidR="00697DA2" w:rsidRPr="00494896">
        <w:rPr>
          <w:noProof/>
        </w:rPr>
        <w:t xml:space="preserve"> as</w:t>
      </w:r>
      <w:r w:rsidR="00697DA2" w:rsidRPr="00494896" w:rsidDel="0F6C2199">
        <w:rPr>
          <w:noProof/>
        </w:rPr>
        <w:t xml:space="preserve"> </w:t>
      </w:r>
      <w:r w:rsidR="7E087140" w:rsidRPr="00494896">
        <w:rPr>
          <w:noProof/>
        </w:rPr>
        <w:t>Member State with a derogation</w:t>
      </w:r>
      <w:r w:rsidR="3FF27720" w:rsidRPr="00494896">
        <w:rPr>
          <w:noProof/>
        </w:rPr>
        <w:t>,</w:t>
      </w:r>
      <w:r w:rsidR="7E087140" w:rsidRPr="00494896">
        <w:rPr>
          <w:noProof/>
        </w:rPr>
        <w:t xml:space="preserve"> </w:t>
      </w:r>
      <w:r w:rsidR="00697DA2" w:rsidRPr="00494896">
        <w:rPr>
          <w:noProof/>
        </w:rPr>
        <w:t xml:space="preserve">within the meaning of </w:t>
      </w:r>
      <w:r w:rsidR="7E087140" w:rsidRPr="00494896">
        <w:rPr>
          <w:noProof/>
        </w:rPr>
        <w:t>Article</w:t>
      </w:r>
      <w:r w:rsidR="00494896" w:rsidRPr="00494896">
        <w:rPr>
          <w:noProof/>
        </w:rPr>
        <w:t xml:space="preserve"> </w:t>
      </w:r>
      <w:r w:rsidR="7E087140" w:rsidRPr="00494896">
        <w:rPr>
          <w:noProof/>
        </w:rPr>
        <w:t>139(1) of the Treaty.</w:t>
      </w:r>
    </w:p>
    <w:p w14:paraId="024F4CFB" w14:textId="77777777" w:rsidR="00414613" w:rsidRPr="00E12037" w:rsidRDefault="6FB03243" w:rsidP="006B1DE0">
      <w:pPr>
        <w:pStyle w:val="ManualConsidrant"/>
        <w:rPr>
          <w:noProof/>
        </w:rPr>
      </w:pPr>
      <w:r w:rsidRPr="00494896">
        <w:rPr>
          <w:noProof/>
        </w:rPr>
        <w:t>(3)</w:t>
      </w:r>
      <w:r w:rsidR="006B1DE0" w:rsidRPr="00494896">
        <w:rPr>
          <w:noProof/>
        </w:rPr>
        <w:tab/>
      </w:r>
      <w:r w:rsidR="67D5149B" w:rsidRPr="00494896">
        <w:rPr>
          <w:noProof/>
        </w:rPr>
        <w:t>P</w:t>
      </w:r>
      <w:r w:rsidR="38C7EAA6" w:rsidRPr="00494896">
        <w:rPr>
          <w:noProof/>
        </w:rPr>
        <w:t xml:space="preserve">ursuant to Council Decision </w:t>
      </w:r>
      <w:r w:rsidR="313D3E66" w:rsidRPr="00494896">
        <w:rPr>
          <w:noProof/>
        </w:rPr>
        <w:t xml:space="preserve">(EU) </w:t>
      </w:r>
      <w:r w:rsidR="38C7EAA6" w:rsidRPr="00494896">
        <w:rPr>
          <w:noProof/>
        </w:rPr>
        <w:t>202</w:t>
      </w:r>
      <w:r w:rsidR="18CE57C6" w:rsidRPr="00494896">
        <w:rPr>
          <w:noProof/>
        </w:rPr>
        <w:t>5</w:t>
      </w:r>
      <w:r w:rsidR="67D5149B" w:rsidRPr="00494896">
        <w:rPr>
          <w:noProof/>
        </w:rPr>
        <w:t>/</w:t>
      </w:r>
      <w:r w:rsidR="06D08C30" w:rsidRPr="00494896">
        <w:rPr>
          <w:noProof/>
        </w:rPr>
        <w:t>…</w:t>
      </w:r>
      <w:r w:rsidR="00494896" w:rsidRPr="00494896">
        <w:rPr>
          <w:noProof/>
        </w:rPr>
        <w:t>.</w:t>
      </w:r>
      <w:r w:rsidR="67D5149B" w:rsidRPr="00494896">
        <w:rPr>
          <w:noProof/>
        </w:rPr>
        <w:t xml:space="preserve"> </w:t>
      </w:r>
      <w:r w:rsidR="4A7542B9" w:rsidRPr="00494896">
        <w:rPr>
          <w:noProof/>
        </w:rPr>
        <w:t>(</w:t>
      </w:r>
      <w:r w:rsidR="00414613" w:rsidRPr="00494896">
        <w:rPr>
          <w:rStyle w:val="FootnoteReference"/>
          <w:noProof/>
        </w:rPr>
        <w:footnoteReference w:id="7"/>
      </w:r>
      <w:r w:rsidR="4A7542B9" w:rsidRPr="00494896">
        <w:rPr>
          <w:noProof/>
        </w:rPr>
        <w:t>)</w:t>
      </w:r>
      <w:r w:rsidR="67D5149B" w:rsidRPr="00494896">
        <w:rPr>
          <w:noProof/>
        </w:rPr>
        <w:t xml:space="preserve">, </w:t>
      </w:r>
      <w:r w:rsidR="1DA8735A" w:rsidRPr="00494896">
        <w:rPr>
          <w:noProof/>
        </w:rPr>
        <w:t xml:space="preserve">Bulgaria </w:t>
      </w:r>
      <w:r w:rsidR="67D5149B" w:rsidRPr="00494896">
        <w:rPr>
          <w:noProof/>
        </w:rPr>
        <w:t xml:space="preserve">fulfils the necessary conditions for the adoption of the euro and the derogation </w:t>
      </w:r>
      <w:r w:rsidR="3AF36E54" w:rsidRPr="00494896">
        <w:rPr>
          <w:noProof/>
        </w:rPr>
        <w:t xml:space="preserve">regarding </w:t>
      </w:r>
      <w:r w:rsidR="260BF921" w:rsidRPr="00494896">
        <w:rPr>
          <w:noProof/>
        </w:rPr>
        <w:t xml:space="preserve">Bulgaria </w:t>
      </w:r>
      <w:r w:rsidR="67D5149B" w:rsidRPr="00494896">
        <w:rPr>
          <w:noProof/>
        </w:rPr>
        <w:t>is to be abrogated</w:t>
      </w:r>
      <w:r w:rsidR="38C7EAA6" w:rsidRPr="00494896">
        <w:rPr>
          <w:noProof/>
        </w:rPr>
        <w:t xml:space="preserve"> with effect from 1 January 202</w:t>
      </w:r>
      <w:r w:rsidR="5D1C4F91" w:rsidRPr="00494896">
        <w:rPr>
          <w:noProof/>
        </w:rPr>
        <w:t>6</w:t>
      </w:r>
      <w:r w:rsidR="67D5149B" w:rsidRPr="00494896">
        <w:rPr>
          <w:noProof/>
        </w:rPr>
        <w:t>.</w:t>
      </w:r>
    </w:p>
    <w:p w14:paraId="3748F08E" w14:textId="77777777" w:rsidR="00414613" w:rsidRPr="00E12037" w:rsidRDefault="383E4E3C" w:rsidP="006B1DE0">
      <w:pPr>
        <w:pStyle w:val="ManualConsidrant"/>
        <w:rPr>
          <w:noProof/>
        </w:rPr>
      </w:pPr>
      <w:r w:rsidRPr="00E12037">
        <w:rPr>
          <w:noProof/>
        </w:rPr>
        <w:t>(4)</w:t>
      </w:r>
      <w:r w:rsidR="006B1DE0" w:rsidRPr="00E12037">
        <w:rPr>
          <w:noProof/>
        </w:rPr>
        <w:tab/>
      </w:r>
      <w:r w:rsidR="7E087140" w:rsidRPr="00E12037">
        <w:rPr>
          <w:noProof/>
        </w:rPr>
        <w:t xml:space="preserve">The introduction of the euro in </w:t>
      </w:r>
      <w:r w:rsidR="6408E5E6" w:rsidRPr="00E12037">
        <w:rPr>
          <w:noProof/>
        </w:rPr>
        <w:t xml:space="preserve">Bulgaria </w:t>
      </w:r>
      <w:r w:rsidR="7E087140" w:rsidRPr="00E12037">
        <w:rPr>
          <w:noProof/>
        </w:rPr>
        <w:t xml:space="preserve">requires the extension to </w:t>
      </w:r>
      <w:r w:rsidR="1F0F5A2C" w:rsidRPr="00E12037">
        <w:rPr>
          <w:noProof/>
        </w:rPr>
        <w:t xml:space="preserve">Bulgaria </w:t>
      </w:r>
      <w:r w:rsidR="7E087140" w:rsidRPr="00E12037">
        <w:rPr>
          <w:noProof/>
        </w:rPr>
        <w:t xml:space="preserve">of the existing provisions on the introduction of the euro </w:t>
      </w:r>
      <w:r w:rsidR="3FF27720" w:rsidRPr="00E12037">
        <w:rPr>
          <w:noProof/>
        </w:rPr>
        <w:t xml:space="preserve">that are </w:t>
      </w:r>
      <w:r w:rsidR="7E087140" w:rsidRPr="00E12037">
        <w:rPr>
          <w:noProof/>
        </w:rPr>
        <w:t>set out in Regulation (EC) No</w:t>
      </w:r>
      <w:r w:rsidR="00494896">
        <w:rPr>
          <w:noProof/>
        </w:rPr>
        <w:t xml:space="preserve"> </w:t>
      </w:r>
      <w:r w:rsidR="7E087140" w:rsidRPr="00E12037">
        <w:rPr>
          <w:noProof/>
        </w:rPr>
        <w:t>974/98.</w:t>
      </w:r>
    </w:p>
    <w:p w14:paraId="04415A59" w14:textId="77777777" w:rsidR="00414613" w:rsidRPr="00E12037" w:rsidRDefault="383E4E3C" w:rsidP="006B1DE0">
      <w:pPr>
        <w:pStyle w:val="ManualConsidrant"/>
        <w:rPr>
          <w:noProof/>
        </w:rPr>
      </w:pPr>
      <w:r w:rsidRPr="00E12037">
        <w:rPr>
          <w:noProof/>
        </w:rPr>
        <w:t>(5)</w:t>
      </w:r>
      <w:r w:rsidR="006B1DE0" w:rsidRPr="00E12037">
        <w:rPr>
          <w:noProof/>
        </w:rPr>
        <w:tab/>
      </w:r>
      <w:r w:rsidR="3EF5099E" w:rsidRPr="00E12037">
        <w:rPr>
          <w:noProof/>
        </w:rPr>
        <w:t>Bulgari</w:t>
      </w:r>
      <w:r w:rsidR="00357418" w:rsidRPr="00E12037">
        <w:rPr>
          <w:noProof/>
        </w:rPr>
        <w:t xml:space="preserve">a </w:t>
      </w:r>
      <w:r w:rsidR="1052B144" w:rsidRPr="00E12037">
        <w:rPr>
          <w:noProof/>
        </w:rPr>
        <w:t xml:space="preserve">National </w:t>
      </w:r>
      <w:r w:rsidR="1052B144" w:rsidRPr="00494896">
        <w:rPr>
          <w:noProof/>
        </w:rPr>
        <w:t>Euro C</w:t>
      </w:r>
      <w:r w:rsidR="7E087140" w:rsidRPr="00494896">
        <w:rPr>
          <w:noProof/>
        </w:rPr>
        <w:t xml:space="preserve">hangeover </w:t>
      </w:r>
      <w:r w:rsidR="1052B144" w:rsidRPr="00494896">
        <w:rPr>
          <w:noProof/>
        </w:rPr>
        <w:t>P</w:t>
      </w:r>
      <w:r w:rsidR="7E087140" w:rsidRPr="00494896">
        <w:rPr>
          <w:noProof/>
        </w:rPr>
        <w:t>lan specifies that euro banknotes and coins should become legal tender in that Member State on the day of the introduction of the euro as its currency. Consequently, the euro adoption date and the cash changeo</w:t>
      </w:r>
      <w:r w:rsidR="360454FB" w:rsidRPr="00494896">
        <w:rPr>
          <w:noProof/>
        </w:rPr>
        <w:t xml:space="preserve">ver date </w:t>
      </w:r>
      <w:r w:rsidR="53F168C0" w:rsidRPr="00494896">
        <w:rPr>
          <w:noProof/>
        </w:rPr>
        <w:t xml:space="preserve">should </w:t>
      </w:r>
      <w:r w:rsidR="360454FB" w:rsidRPr="00494896">
        <w:rPr>
          <w:noProof/>
        </w:rPr>
        <w:t>be 1 January 202</w:t>
      </w:r>
      <w:r w:rsidR="1D856D3E" w:rsidRPr="00494896">
        <w:rPr>
          <w:noProof/>
        </w:rPr>
        <w:t>6</w:t>
      </w:r>
      <w:r w:rsidR="7E087140" w:rsidRPr="00E12037">
        <w:rPr>
          <w:noProof/>
        </w:rPr>
        <w:t xml:space="preserve">. No </w:t>
      </w:r>
      <w:r w:rsidR="1CD36796" w:rsidRPr="00E12037">
        <w:rPr>
          <w:noProof/>
        </w:rPr>
        <w:t>‘</w:t>
      </w:r>
      <w:r w:rsidR="7E087140" w:rsidRPr="00E12037">
        <w:rPr>
          <w:noProof/>
        </w:rPr>
        <w:t>phasing-out</w:t>
      </w:r>
      <w:r w:rsidR="1CD36796" w:rsidRPr="00E12037">
        <w:rPr>
          <w:noProof/>
        </w:rPr>
        <w:t>’</w:t>
      </w:r>
      <w:r w:rsidR="7E087140" w:rsidRPr="00E12037">
        <w:rPr>
          <w:noProof/>
        </w:rPr>
        <w:t xml:space="preserve"> period should apply.</w:t>
      </w:r>
    </w:p>
    <w:p w14:paraId="5A33BBE2" w14:textId="77777777" w:rsidR="00414613" w:rsidRPr="00E12037" w:rsidRDefault="006B1DE0" w:rsidP="006B1DE0">
      <w:pPr>
        <w:pStyle w:val="ManualConsidrant"/>
        <w:rPr>
          <w:noProof/>
        </w:rPr>
      </w:pPr>
      <w:r w:rsidRPr="00E12037">
        <w:rPr>
          <w:noProof/>
        </w:rPr>
        <w:t>(6)</w:t>
      </w:r>
      <w:r w:rsidRPr="00E12037">
        <w:rPr>
          <w:noProof/>
        </w:rPr>
        <w:tab/>
      </w:r>
      <w:r w:rsidR="00414613" w:rsidRPr="00E12037">
        <w:rPr>
          <w:noProof/>
        </w:rPr>
        <w:t>Regulation (EC) No</w:t>
      </w:r>
      <w:r w:rsidR="00494896">
        <w:rPr>
          <w:noProof/>
        </w:rPr>
        <w:t xml:space="preserve"> </w:t>
      </w:r>
      <w:r w:rsidR="00414613" w:rsidRPr="00E12037">
        <w:rPr>
          <w:noProof/>
        </w:rPr>
        <w:t>974/98 should therefore be amended accordingly,</w:t>
      </w:r>
    </w:p>
    <w:p w14:paraId="0DBBA5BF" w14:textId="77777777" w:rsidR="00414613" w:rsidRPr="00E12037" w:rsidRDefault="00414613">
      <w:pPr>
        <w:pStyle w:val="Formuledadoption"/>
        <w:rPr>
          <w:noProof/>
        </w:rPr>
      </w:pPr>
      <w:r w:rsidRPr="00E12037">
        <w:rPr>
          <w:noProof/>
        </w:rPr>
        <w:lastRenderedPageBreak/>
        <w:t>HAS ADOPTED THIS REGULATION:</w:t>
      </w:r>
    </w:p>
    <w:p w14:paraId="72D23F4A" w14:textId="77777777" w:rsidR="00414613" w:rsidRPr="00E12037" w:rsidRDefault="00414613">
      <w:pPr>
        <w:pStyle w:val="Titrearticle"/>
        <w:rPr>
          <w:noProof/>
        </w:rPr>
      </w:pPr>
      <w:r w:rsidRPr="00E12037">
        <w:rPr>
          <w:noProof/>
        </w:rPr>
        <w:t>Article 1</w:t>
      </w:r>
    </w:p>
    <w:p w14:paraId="06D2EEDA" w14:textId="77777777" w:rsidR="00414613" w:rsidRPr="00494896" w:rsidRDefault="56BE6612" w:rsidP="00B91EB1">
      <w:pPr>
        <w:spacing w:after="240"/>
        <w:rPr>
          <w:noProof/>
        </w:rPr>
      </w:pPr>
      <w:bookmarkStart w:id="3" w:name="texte"/>
      <w:r w:rsidRPr="00E12037">
        <w:rPr>
          <w:noProof/>
        </w:rPr>
        <w:t>In t</w:t>
      </w:r>
      <w:r w:rsidR="16DF2206" w:rsidRPr="00E12037">
        <w:rPr>
          <w:noProof/>
        </w:rPr>
        <w:t>he Annex to Regulation (EC) No</w:t>
      </w:r>
      <w:r w:rsidR="00494896">
        <w:rPr>
          <w:noProof/>
        </w:rPr>
        <w:t xml:space="preserve"> </w:t>
      </w:r>
      <w:r w:rsidR="16DF2206" w:rsidRPr="00E12037">
        <w:rPr>
          <w:noProof/>
        </w:rPr>
        <w:t>974/98</w:t>
      </w:r>
      <w:r w:rsidR="27B628EE" w:rsidRPr="00E12037">
        <w:rPr>
          <w:noProof/>
        </w:rPr>
        <w:t xml:space="preserve">, </w:t>
      </w:r>
      <w:r w:rsidR="16DF2206" w:rsidRPr="00E12037">
        <w:rPr>
          <w:noProof/>
        </w:rPr>
        <w:t xml:space="preserve">the following </w:t>
      </w:r>
      <w:r w:rsidR="1B4ECC49" w:rsidRPr="00E12037">
        <w:rPr>
          <w:noProof/>
        </w:rPr>
        <w:t xml:space="preserve">entry is inserted between the entry </w:t>
      </w:r>
      <w:r w:rsidR="1B4ECC49" w:rsidRPr="00494896">
        <w:rPr>
          <w:noProof/>
        </w:rPr>
        <w:t>for</w:t>
      </w:r>
      <w:r w:rsidR="62C90B80" w:rsidRPr="00494896">
        <w:rPr>
          <w:noProof/>
        </w:rPr>
        <w:t xml:space="preserve"> Belgium</w:t>
      </w:r>
      <w:r w:rsidR="1FA9BA76" w:rsidRPr="00494896">
        <w:rPr>
          <w:noProof/>
        </w:rPr>
        <w:t xml:space="preserve"> </w:t>
      </w:r>
      <w:r w:rsidR="1B4ECC49" w:rsidRPr="00494896">
        <w:rPr>
          <w:noProof/>
        </w:rPr>
        <w:t>and the entry for</w:t>
      </w:r>
      <w:r w:rsidR="15F747BE" w:rsidRPr="00494896">
        <w:rPr>
          <w:noProof/>
        </w:rPr>
        <w:t xml:space="preserve"> Germany</w:t>
      </w:r>
      <w:r w:rsidR="16DF2206" w:rsidRPr="00494896">
        <w:rPr>
          <w:noProof/>
        </w:rPr>
        <w:t>:</w:t>
      </w:r>
    </w:p>
    <w:tbl>
      <w:tblPr>
        <w:tblW w:w="6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9"/>
        <w:gridCol w:w="1520"/>
        <w:gridCol w:w="1696"/>
        <w:gridCol w:w="1808"/>
      </w:tblGrid>
      <w:tr w:rsidR="00D13AC3" w:rsidRPr="00E12037" w14:paraId="49FF46ED" w14:textId="77777777" w:rsidTr="2B01EE09">
        <w:tc>
          <w:tcPr>
            <w:tcW w:w="1519" w:type="dxa"/>
          </w:tcPr>
          <w:p w14:paraId="6521C323" w14:textId="77777777" w:rsidR="00805A9B" w:rsidRPr="00494896" w:rsidRDefault="16DF2206" w:rsidP="00DC3ED2">
            <w:pPr>
              <w:rPr>
                <w:rFonts w:cs="Arial"/>
                <w:noProof/>
                <w:sz w:val="18"/>
                <w:szCs w:val="18"/>
              </w:rPr>
            </w:pPr>
            <w:r w:rsidRPr="00494896">
              <w:rPr>
                <w:noProof/>
                <w:sz w:val="18"/>
                <w:szCs w:val="18"/>
              </w:rPr>
              <w:t>‘</w:t>
            </w:r>
            <w:r w:rsidR="1332EA5C" w:rsidRPr="00494896">
              <w:rPr>
                <w:noProof/>
                <w:sz w:val="18"/>
                <w:szCs w:val="18"/>
              </w:rPr>
              <w:t>Bulgaria</w:t>
            </w:r>
          </w:p>
        </w:tc>
        <w:tc>
          <w:tcPr>
            <w:tcW w:w="1520" w:type="dxa"/>
          </w:tcPr>
          <w:p w14:paraId="5B47FA6B" w14:textId="77777777" w:rsidR="00805A9B" w:rsidRPr="00494896" w:rsidRDefault="16DF2206" w:rsidP="00DC3ED2">
            <w:pPr>
              <w:rPr>
                <w:rFonts w:cs="Arial"/>
                <w:noProof/>
                <w:sz w:val="18"/>
                <w:szCs w:val="18"/>
              </w:rPr>
            </w:pPr>
            <w:r w:rsidRPr="00494896">
              <w:rPr>
                <w:rFonts w:cs="Arial"/>
                <w:noProof/>
                <w:sz w:val="18"/>
                <w:szCs w:val="18"/>
              </w:rPr>
              <w:t>1</w:t>
            </w:r>
            <w:r w:rsidR="00E12037" w:rsidRPr="00494896">
              <w:rPr>
                <w:rFonts w:cs="Arial"/>
                <w:noProof/>
                <w:sz w:val="18"/>
                <w:szCs w:val="18"/>
              </w:rPr>
              <w:t> </w:t>
            </w:r>
            <w:r w:rsidRPr="00494896">
              <w:rPr>
                <w:rFonts w:cs="Arial"/>
                <w:noProof/>
                <w:sz w:val="18"/>
                <w:szCs w:val="18"/>
              </w:rPr>
              <w:t>January 202</w:t>
            </w:r>
            <w:r w:rsidR="1FFBF4F9" w:rsidRPr="00494896">
              <w:rPr>
                <w:rFonts w:cs="Arial"/>
                <w:noProof/>
                <w:sz w:val="18"/>
                <w:szCs w:val="18"/>
              </w:rPr>
              <w:t>6</w:t>
            </w:r>
          </w:p>
        </w:tc>
        <w:tc>
          <w:tcPr>
            <w:tcW w:w="1696" w:type="dxa"/>
          </w:tcPr>
          <w:p w14:paraId="735EB981" w14:textId="77777777" w:rsidR="00805A9B" w:rsidRPr="00494896" w:rsidRDefault="16DF2206" w:rsidP="00DC3ED2">
            <w:pPr>
              <w:rPr>
                <w:rFonts w:cs="Arial"/>
                <w:noProof/>
                <w:sz w:val="18"/>
                <w:szCs w:val="18"/>
              </w:rPr>
            </w:pPr>
            <w:r w:rsidRPr="00494896">
              <w:rPr>
                <w:rFonts w:cs="Arial"/>
                <w:noProof/>
                <w:sz w:val="18"/>
                <w:szCs w:val="18"/>
              </w:rPr>
              <w:t>1</w:t>
            </w:r>
            <w:r w:rsidR="00E12037" w:rsidRPr="00494896">
              <w:rPr>
                <w:rFonts w:cs="Arial"/>
                <w:noProof/>
                <w:sz w:val="18"/>
                <w:szCs w:val="18"/>
              </w:rPr>
              <w:t> </w:t>
            </w:r>
            <w:r w:rsidRPr="00494896">
              <w:rPr>
                <w:rFonts w:cs="Arial"/>
                <w:noProof/>
                <w:sz w:val="18"/>
                <w:szCs w:val="18"/>
              </w:rPr>
              <w:t>January 202</w:t>
            </w:r>
            <w:r w:rsidR="251A4680" w:rsidRPr="00494896">
              <w:rPr>
                <w:rFonts w:cs="Arial"/>
                <w:noProof/>
                <w:sz w:val="18"/>
                <w:szCs w:val="18"/>
              </w:rPr>
              <w:t>6</w:t>
            </w:r>
          </w:p>
        </w:tc>
        <w:tc>
          <w:tcPr>
            <w:tcW w:w="1808" w:type="dxa"/>
          </w:tcPr>
          <w:p w14:paraId="13FF7384" w14:textId="77777777" w:rsidR="00805A9B" w:rsidRPr="00494896" w:rsidRDefault="00805A9B" w:rsidP="00DC3ED2">
            <w:pPr>
              <w:rPr>
                <w:rFonts w:cs="Arial"/>
                <w:noProof/>
                <w:sz w:val="18"/>
                <w:szCs w:val="18"/>
              </w:rPr>
            </w:pPr>
            <w:r w:rsidRPr="00494896">
              <w:rPr>
                <w:rFonts w:cs="Arial"/>
                <w:noProof/>
                <w:sz w:val="18"/>
                <w:szCs w:val="18"/>
              </w:rPr>
              <w:t>No</w:t>
            </w:r>
            <w:r w:rsidRPr="00494896">
              <w:rPr>
                <w:noProof/>
                <w:sz w:val="18"/>
                <w:szCs w:val="18"/>
              </w:rPr>
              <w:t>’</w:t>
            </w:r>
          </w:p>
        </w:tc>
      </w:tr>
    </w:tbl>
    <w:bookmarkEnd w:id="3"/>
    <w:p w14:paraId="6150BFDF" w14:textId="77777777" w:rsidR="00414613" w:rsidRPr="00E12037" w:rsidRDefault="00414613">
      <w:pPr>
        <w:pStyle w:val="Titrearticle"/>
        <w:rPr>
          <w:noProof/>
        </w:rPr>
      </w:pPr>
      <w:r w:rsidRPr="00E12037">
        <w:rPr>
          <w:noProof/>
        </w:rPr>
        <w:t>Article 2</w:t>
      </w:r>
    </w:p>
    <w:p w14:paraId="71DDBCAE" w14:textId="77777777" w:rsidR="008E6595" w:rsidRPr="00E12037" w:rsidRDefault="7E087140" w:rsidP="008E6595">
      <w:pPr>
        <w:rPr>
          <w:noProof/>
        </w:rPr>
      </w:pPr>
      <w:r w:rsidRPr="00E12037">
        <w:rPr>
          <w:noProof/>
        </w:rPr>
        <w:t xml:space="preserve">This Regulation shall </w:t>
      </w:r>
      <w:r w:rsidRPr="00494896">
        <w:rPr>
          <w:noProof/>
        </w:rPr>
        <w:t>e</w:t>
      </w:r>
      <w:r w:rsidR="0F6C2199" w:rsidRPr="00494896">
        <w:rPr>
          <w:noProof/>
        </w:rPr>
        <w:t>nter into force on 1</w:t>
      </w:r>
      <w:r w:rsidR="00494896">
        <w:rPr>
          <w:noProof/>
        </w:rPr>
        <w:t xml:space="preserve"> </w:t>
      </w:r>
      <w:r w:rsidR="0F6C2199" w:rsidRPr="00494896">
        <w:rPr>
          <w:noProof/>
        </w:rPr>
        <w:t>January 202</w:t>
      </w:r>
      <w:r w:rsidR="23916C1B" w:rsidRPr="00494896">
        <w:rPr>
          <w:noProof/>
        </w:rPr>
        <w:t>6</w:t>
      </w:r>
      <w:r w:rsidR="6788C66D" w:rsidRPr="00494896">
        <w:rPr>
          <w:noProof/>
        </w:rPr>
        <w:t>.</w:t>
      </w:r>
    </w:p>
    <w:p w14:paraId="629C43EA" w14:textId="77777777" w:rsidR="00414613" w:rsidRPr="00E12037" w:rsidRDefault="00414613" w:rsidP="008E6595">
      <w:pPr>
        <w:pStyle w:val="Applicationdirecte"/>
        <w:rPr>
          <w:noProof/>
        </w:rPr>
      </w:pPr>
      <w:r w:rsidRPr="00E12037">
        <w:rPr>
          <w:noProof/>
        </w:rPr>
        <w:t>This Regulation shall be binding in its entirety and directly applicable in all Member States.</w:t>
      </w:r>
    </w:p>
    <w:p w14:paraId="1FE646A5" w14:textId="34C88470" w:rsidR="00414613" w:rsidRPr="00E12037" w:rsidRDefault="00951DB2" w:rsidP="00951DB2">
      <w:pPr>
        <w:pStyle w:val="Fait"/>
        <w:rPr>
          <w:noProof/>
        </w:rPr>
      </w:pPr>
      <w:r w:rsidRPr="00951DB2">
        <w:t>Done at Brussels,</w:t>
      </w:r>
    </w:p>
    <w:p w14:paraId="6030EB3A" w14:textId="77777777" w:rsidR="00414613" w:rsidRPr="00E12037" w:rsidRDefault="00414613" w:rsidP="00A67ABD">
      <w:pPr>
        <w:pStyle w:val="Institutionquisigne"/>
        <w:rPr>
          <w:noProof/>
        </w:rPr>
      </w:pPr>
      <w:r w:rsidRPr="00E12037">
        <w:rPr>
          <w:noProof/>
        </w:rPr>
        <w:tab/>
        <w:t>For the Council</w:t>
      </w:r>
    </w:p>
    <w:p w14:paraId="4FBCEE41" w14:textId="77777777" w:rsidR="0048086E" w:rsidRPr="00E12037" w:rsidRDefault="00414613" w:rsidP="00A67ABD">
      <w:pPr>
        <w:pStyle w:val="Personnequisigne"/>
        <w:keepNext/>
        <w:rPr>
          <w:noProof/>
        </w:rPr>
      </w:pPr>
      <w:r w:rsidRPr="00E12037">
        <w:rPr>
          <w:noProof/>
        </w:rPr>
        <w:tab/>
        <w:t>The President</w:t>
      </w:r>
    </w:p>
    <w:p w14:paraId="1E0D19D1" w14:textId="77777777" w:rsidR="0048086E" w:rsidRPr="00E12037" w:rsidRDefault="0048086E" w:rsidP="0048086E">
      <w:pPr>
        <w:pStyle w:val="Personnequisigne"/>
        <w:rPr>
          <w:noProof/>
        </w:rPr>
      </w:pPr>
    </w:p>
    <w:sectPr w:rsidR="0048086E" w:rsidRPr="00E12037" w:rsidSect="00951DB2">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E6AA1" w14:textId="77777777" w:rsidR="00625D57" w:rsidRPr="00E12037" w:rsidRDefault="00625D57" w:rsidP="00414613">
      <w:pPr>
        <w:spacing w:before="0" w:after="0"/>
      </w:pPr>
      <w:r w:rsidRPr="00E12037">
        <w:separator/>
      </w:r>
    </w:p>
  </w:endnote>
  <w:endnote w:type="continuationSeparator" w:id="0">
    <w:p w14:paraId="3322CC90" w14:textId="77777777" w:rsidR="00625D57" w:rsidRPr="00E12037" w:rsidRDefault="00625D57" w:rsidP="00414613">
      <w:pPr>
        <w:spacing w:before="0" w:after="0"/>
      </w:pPr>
      <w:r w:rsidRPr="00E12037">
        <w:continuationSeparator/>
      </w:r>
    </w:p>
  </w:endnote>
  <w:endnote w:type="continuationNotice" w:id="1">
    <w:p w14:paraId="1C4FDD6E" w14:textId="77777777" w:rsidR="00625D57" w:rsidRPr="00E12037" w:rsidRDefault="00625D5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F1853" w14:textId="2778C43E" w:rsidR="00F62166" w:rsidRPr="00951DB2" w:rsidRDefault="00951DB2" w:rsidP="00951DB2">
    <w:pPr>
      <w:pStyle w:val="Footer"/>
      <w:rPr>
        <w:rFonts w:ascii="Arial" w:hAnsi="Arial" w:cs="Arial"/>
        <w:b/>
        <w:sz w:val="48"/>
      </w:rPr>
    </w:pPr>
    <w:r w:rsidRPr="00951DB2">
      <w:rPr>
        <w:rFonts w:ascii="Arial" w:hAnsi="Arial" w:cs="Arial"/>
        <w:b/>
        <w:sz w:val="48"/>
      </w:rPr>
      <w:t>EN</w:t>
    </w:r>
    <w:r w:rsidRPr="00951DB2">
      <w:rPr>
        <w:rFonts w:ascii="Arial" w:hAnsi="Arial" w:cs="Arial"/>
        <w:b/>
        <w:sz w:val="48"/>
      </w:rPr>
      <w:tab/>
    </w:r>
    <w:r w:rsidRPr="00951DB2">
      <w:rPr>
        <w:rFonts w:ascii="Arial" w:hAnsi="Arial" w:cs="Arial"/>
        <w:b/>
        <w:sz w:val="48"/>
      </w:rPr>
      <w:tab/>
    </w:r>
    <w:r w:rsidRPr="00951DB2">
      <w:tab/>
    </w:r>
    <w:r w:rsidRPr="00951DB2">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B79EC" w14:textId="4CA90FA0" w:rsidR="00F62166" w:rsidRPr="00951DB2" w:rsidRDefault="00951DB2" w:rsidP="00951DB2">
    <w:pPr>
      <w:pStyle w:val="Footer"/>
      <w:rPr>
        <w:rFonts w:ascii="Arial" w:hAnsi="Arial" w:cs="Arial"/>
        <w:b/>
        <w:sz w:val="48"/>
      </w:rPr>
    </w:pPr>
    <w:r w:rsidRPr="00951DB2">
      <w:rPr>
        <w:rFonts w:ascii="Arial" w:hAnsi="Arial" w:cs="Arial"/>
        <w:b/>
        <w:sz w:val="48"/>
      </w:rPr>
      <w:t>EN</w:t>
    </w:r>
    <w:r w:rsidRPr="00951DB2">
      <w:rPr>
        <w:rFonts w:ascii="Arial" w:hAnsi="Arial" w:cs="Arial"/>
        <w:b/>
        <w:sz w:val="48"/>
      </w:rPr>
      <w:tab/>
    </w:r>
    <w:r w:rsidRPr="00951DB2">
      <w:rPr>
        <w:rFonts w:ascii="Arial" w:hAnsi="Arial" w:cs="Arial"/>
        <w:b/>
        <w:sz w:val="48"/>
      </w:rPr>
      <w:tab/>
    </w:r>
    <w:r w:rsidRPr="00951DB2">
      <w:tab/>
    </w:r>
    <w:r w:rsidRPr="00951DB2">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9AD23" w14:textId="77777777" w:rsidR="00951DB2" w:rsidRPr="00951DB2" w:rsidRDefault="00951DB2" w:rsidP="00951D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1E5C2" w14:textId="77777777" w:rsidR="00F62166" w:rsidRDefault="00F6216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EEF70" w14:textId="69840093" w:rsidR="00951DB2" w:rsidRPr="00951DB2" w:rsidRDefault="00951DB2" w:rsidP="00951DB2">
    <w:pPr>
      <w:pStyle w:val="Footer"/>
      <w:rPr>
        <w:rFonts w:ascii="Arial" w:hAnsi="Arial" w:cs="Arial"/>
        <w:b/>
        <w:sz w:val="48"/>
      </w:rPr>
    </w:pPr>
    <w:r w:rsidRPr="00951DB2">
      <w:rPr>
        <w:rFonts w:ascii="Arial" w:hAnsi="Arial" w:cs="Arial"/>
        <w:b/>
        <w:sz w:val="48"/>
      </w:rPr>
      <w:t>EN</w:t>
    </w:r>
    <w:r w:rsidRPr="00951DB2">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51DB2">
      <w:tab/>
    </w:r>
    <w:r w:rsidRPr="00951DB2">
      <w:rPr>
        <w:rFonts w:ascii="Arial" w:hAnsi="Arial" w:cs="Arial"/>
        <w:b/>
        <w:sz w:val="48"/>
      </w:rPr>
      <w:t>EN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AA43A" w14:textId="77777777" w:rsidR="00F62166" w:rsidRDefault="00F62166" w:rsidP="00951D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01E90" w14:textId="77777777" w:rsidR="00625D57" w:rsidRPr="00E12037" w:rsidRDefault="00625D57" w:rsidP="00414613">
      <w:pPr>
        <w:spacing w:before="0" w:after="0"/>
      </w:pPr>
      <w:r w:rsidRPr="00E12037">
        <w:separator/>
      </w:r>
    </w:p>
  </w:footnote>
  <w:footnote w:type="continuationSeparator" w:id="0">
    <w:p w14:paraId="3AF85104" w14:textId="77777777" w:rsidR="00625D57" w:rsidRPr="00E12037" w:rsidRDefault="00625D57" w:rsidP="00414613">
      <w:pPr>
        <w:spacing w:before="0" w:after="0"/>
      </w:pPr>
      <w:r w:rsidRPr="00E12037">
        <w:continuationSeparator/>
      </w:r>
    </w:p>
  </w:footnote>
  <w:footnote w:type="continuationNotice" w:id="1">
    <w:p w14:paraId="7F022135" w14:textId="77777777" w:rsidR="00625D57" w:rsidRPr="00E12037" w:rsidRDefault="00625D57">
      <w:pPr>
        <w:spacing w:before="0" w:after="0"/>
      </w:pPr>
    </w:p>
  </w:footnote>
  <w:footnote w:id="2">
    <w:p w14:paraId="76A84485" w14:textId="77777777" w:rsidR="00B35235" w:rsidRPr="00E12037" w:rsidRDefault="00EF3F1C" w:rsidP="00B35235">
      <w:pPr>
        <w:pStyle w:val="FootnoteText"/>
      </w:pPr>
      <w:r w:rsidRPr="00E12037">
        <w:t>(</w:t>
      </w:r>
      <w:r w:rsidR="00B35235" w:rsidRPr="00E12037">
        <w:rPr>
          <w:rStyle w:val="FootnoteReference"/>
        </w:rPr>
        <w:footnoteRef/>
      </w:r>
      <w:r w:rsidRPr="00E12037">
        <w:t>)</w:t>
      </w:r>
      <w:r w:rsidR="00B35235" w:rsidRPr="00E12037">
        <w:tab/>
      </w:r>
      <w:r w:rsidR="00B35235" w:rsidRPr="00FE1F8E">
        <w:t>OJ L 139, 11.5.1998, p.</w:t>
      </w:r>
      <w:r w:rsidR="007674EE" w:rsidRPr="00FE1F8E">
        <w:t xml:space="preserve"> </w:t>
      </w:r>
      <w:r w:rsidR="00B35235" w:rsidRPr="00FE1F8E">
        <w:t>1.</w:t>
      </w:r>
    </w:p>
  </w:footnote>
  <w:footnote w:id="3">
    <w:p w14:paraId="3059A884" w14:textId="77777777" w:rsidR="00B35235" w:rsidRPr="00E12037" w:rsidRDefault="00EF3F1C" w:rsidP="00B35235">
      <w:pPr>
        <w:pStyle w:val="FootnoteText"/>
      </w:pPr>
      <w:r w:rsidRPr="00E12037">
        <w:t>(</w:t>
      </w:r>
      <w:r w:rsidR="00B35235" w:rsidRPr="00E12037">
        <w:rPr>
          <w:rStyle w:val="FootnoteReference"/>
        </w:rPr>
        <w:footnoteRef/>
      </w:r>
      <w:r w:rsidRPr="00E12037">
        <w:t>)</w:t>
      </w:r>
      <w:r w:rsidR="00B35235" w:rsidRPr="00E12037">
        <w:tab/>
        <w:t>Council Regulation (EC) No</w:t>
      </w:r>
      <w:r w:rsidR="007674EE">
        <w:t xml:space="preserve"> </w:t>
      </w:r>
      <w:r w:rsidR="00B35235" w:rsidRPr="00E12037">
        <w:t>2596/2000 of 27</w:t>
      </w:r>
      <w:r w:rsidR="007674EE">
        <w:t xml:space="preserve"> </w:t>
      </w:r>
      <w:r w:rsidR="00B35235" w:rsidRPr="00E12037">
        <w:t>November 2000 amending Council Regulation (EC) No</w:t>
      </w:r>
      <w:r w:rsidR="00494896">
        <w:t xml:space="preserve"> </w:t>
      </w:r>
      <w:r w:rsidR="00B35235" w:rsidRPr="00E12037">
        <w:t>974/98 on the introduction of the euro (OJ L 300, 29.11.2000, p</w:t>
      </w:r>
      <w:r w:rsidR="007674EE">
        <w:t>.</w:t>
      </w:r>
      <w:r w:rsidR="00B35235" w:rsidRPr="00E12037">
        <w:t xml:space="preserve"> 2).</w:t>
      </w:r>
    </w:p>
  </w:footnote>
  <w:footnote w:id="4">
    <w:p w14:paraId="7AA28FB7" w14:textId="0547F35B" w:rsidR="3211560E" w:rsidRPr="000A6618" w:rsidRDefault="00EF3F1C" w:rsidP="00F42E7E">
      <w:pPr>
        <w:pStyle w:val="FootnoteText"/>
      </w:pPr>
      <w:r w:rsidRPr="00D4411B">
        <w:rPr>
          <w:rStyle w:val="FootnoteReference"/>
        </w:rPr>
        <w:t>(</w:t>
      </w:r>
      <w:r w:rsidR="3211560E" w:rsidRPr="00D4411B">
        <w:rPr>
          <w:rStyle w:val="FootnoteReference"/>
        </w:rPr>
        <w:footnoteRef/>
      </w:r>
      <w:r w:rsidRPr="00D4411B">
        <w:rPr>
          <w:rStyle w:val="FootnoteReference"/>
        </w:rPr>
        <w:t>)</w:t>
      </w:r>
      <w:r w:rsidR="00D4411B">
        <w:tab/>
      </w:r>
      <w:r w:rsidR="3211560E" w:rsidRPr="000A6618">
        <w:t xml:space="preserve">Opinion of </w:t>
      </w:r>
      <w:r w:rsidR="7B8A9939" w:rsidRPr="000A6618">
        <w:t>[</w:t>
      </w:r>
      <w:r w:rsidR="00E12037" w:rsidRPr="000A6618">
        <w:t>…</w:t>
      </w:r>
      <w:r w:rsidR="7B8A9939" w:rsidRPr="000A6618">
        <w:t>]</w:t>
      </w:r>
      <w:r w:rsidR="00F42E7E" w:rsidRPr="000A6618">
        <w:t xml:space="preserve"> […] […]</w:t>
      </w:r>
      <w:r w:rsidR="00351177" w:rsidRPr="000A6618">
        <w:t>.</w:t>
      </w:r>
    </w:p>
  </w:footnote>
  <w:footnote w:id="5">
    <w:p w14:paraId="49704F6C" w14:textId="77777777" w:rsidR="00414613" w:rsidRPr="000A6618" w:rsidRDefault="00EF3F1C" w:rsidP="00B91EB1">
      <w:pPr>
        <w:pStyle w:val="FootnoteText"/>
      </w:pPr>
      <w:r w:rsidRPr="000A6618">
        <w:t>(</w:t>
      </w:r>
      <w:r w:rsidR="00414613" w:rsidRPr="000A6618">
        <w:rPr>
          <w:rStyle w:val="FootnoteReference"/>
        </w:rPr>
        <w:footnoteRef/>
      </w:r>
      <w:r w:rsidRPr="000A6618">
        <w:t>)</w:t>
      </w:r>
      <w:r w:rsidR="00414613" w:rsidRPr="000A6618">
        <w:tab/>
      </w:r>
      <w:r w:rsidR="007167FF" w:rsidRPr="000A6618">
        <w:t>Council Regulation (EC) No</w:t>
      </w:r>
      <w:r w:rsidR="00494896" w:rsidRPr="000A6618">
        <w:t xml:space="preserve"> </w:t>
      </w:r>
      <w:r w:rsidR="007167FF" w:rsidRPr="000A6618">
        <w:t>974/98 of 3</w:t>
      </w:r>
      <w:r w:rsidR="00494896" w:rsidRPr="000A6618">
        <w:t xml:space="preserve"> </w:t>
      </w:r>
      <w:r w:rsidR="007167FF" w:rsidRPr="000A6618">
        <w:t>May 1998 on the introduction of the euro (OJ L 139, 11.5.1998, p.</w:t>
      </w:r>
      <w:r w:rsidR="00E12037" w:rsidRPr="000A6618">
        <w:t> </w:t>
      </w:r>
      <w:r w:rsidR="007167FF" w:rsidRPr="000A6618">
        <w:t>1).</w:t>
      </w:r>
    </w:p>
  </w:footnote>
  <w:footnote w:id="6">
    <w:p w14:paraId="74A3CA75" w14:textId="492954FB" w:rsidR="00883AF9" w:rsidRPr="00494896" w:rsidRDefault="4D4D0E6B" w:rsidP="00883AF9">
      <w:pPr>
        <w:pStyle w:val="FootnoteText"/>
      </w:pPr>
      <w:r w:rsidRPr="00D4411B">
        <w:rPr>
          <w:rStyle w:val="FootnoteReference"/>
        </w:rPr>
        <w:t>(</w:t>
      </w:r>
      <w:r w:rsidR="00883AF9" w:rsidRPr="00D4411B">
        <w:rPr>
          <w:rStyle w:val="FootnoteReference"/>
        </w:rPr>
        <w:footnoteRef/>
      </w:r>
      <w:r w:rsidRPr="00D4411B">
        <w:rPr>
          <w:rStyle w:val="FootnoteReference"/>
        </w:rPr>
        <w:t>)</w:t>
      </w:r>
      <w:r w:rsidR="00D4411B">
        <w:tab/>
      </w:r>
      <w:r w:rsidRPr="000A6618">
        <w:t>Act concerning the conditions</w:t>
      </w:r>
      <w:r w:rsidRPr="00494896">
        <w:t xml:space="preserve"> of accession of the Republic of Bulgaria and Romania and the adjustments to the treaties on which the European Union is founded (OJ L 157, 21.6.2005, p.</w:t>
      </w:r>
      <w:r w:rsidR="00E12037" w:rsidRPr="00494896">
        <w:t> </w:t>
      </w:r>
      <w:r w:rsidRPr="00494896">
        <w:t>203).</w:t>
      </w:r>
    </w:p>
  </w:footnote>
  <w:footnote w:id="7">
    <w:p w14:paraId="4A9ADDBE" w14:textId="77777777" w:rsidR="00414613" w:rsidRPr="00E12037" w:rsidRDefault="00EF3F1C" w:rsidP="00B91EB1">
      <w:pPr>
        <w:pStyle w:val="FootnoteText"/>
        <w:rPr>
          <w:rFonts w:ascii="Arial" w:eastAsia="Arial" w:hAnsi="Arial" w:cs="Arial"/>
        </w:rPr>
      </w:pPr>
      <w:r w:rsidRPr="00494896">
        <w:t>(</w:t>
      </w:r>
      <w:r w:rsidR="00414613" w:rsidRPr="00494896">
        <w:rPr>
          <w:rStyle w:val="FootnoteReference"/>
          <w:rFonts w:ascii="Arial" w:eastAsia="Arial" w:hAnsi="Arial" w:cs="Arial"/>
        </w:rPr>
        <w:footnoteRef/>
      </w:r>
      <w:r w:rsidRPr="00494896">
        <w:t>)</w:t>
      </w:r>
      <w:r w:rsidR="00414613" w:rsidRPr="00494896">
        <w:tab/>
      </w:r>
      <w:r w:rsidR="4668468F" w:rsidRPr="00494896">
        <w:rPr>
          <w:rFonts w:eastAsia="Times New Roman"/>
          <w:color w:val="333333"/>
        </w:rPr>
        <w:t xml:space="preserve">Council Decision (EU) </w:t>
      </w:r>
      <w:r w:rsidRPr="00494896">
        <w:t xml:space="preserve">2025/… </w:t>
      </w:r>
      <w:r w:rsidR="4668468F" w:rsidRPr="00494896">
        <w:rPr>
          <w:rFonts w:eastAsia="Times New Roman"/>
          <w:color w:val="333333"/>
        </w:rPr>
        <w:t>on the adoption</w:t>
      </w:r>
      <w:r w:rsidR="4668468F" w:rsidRPr="00E12037">
        <w:rPr>
          <w:rFonts w:eastAsia="Times New Roman"/>
          <w:color w:val="333333"/>
        </w:rPr>
        <w:t xml:space="preserve"> by Bulgaria of the euro on 1</w:t>
      </w:r>
      <w:r w:rsidR="00E12037">
        <w:rPr>
          <w:rFonts w:eastAsia="Times New Roman"/>
          <w:color w:val="333333"/>
        </w:rPr>
        <w:t> </w:t>
      </w:r>
      <w:r w:rsidR="4668468F" w:rsidRPr="00E12037">
        <w:rPr>
          <w:rFonts w:eastAsia="Times New Roman"/>
          <w:color w:val="333333"/>
        </w:rPr>
        <w:t>January 2026</w:t>
      </w:r>
      <w:r w:rsidR="00351177" w:rsidRPr="00E12037">
        <w:rPr>
          <w:rFonts w:eastAsia="Times New Roman"/>
          <w:color w:val="33333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D7D7F" w14:textId="77777777" w:rsidR="00951DB2" w:rsidRPr="00951DB2" w:rsidRDefault="00951DB2" w:rsidP="00951D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BAAF4" w14:textId="77777777" w:rsidR="00951DB2" w:rsidRPr="00951DB2" w:rsidRDefault="00951DB2" w:rsidP="00951D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43F75" w14:textId="77777777" w:rsidR="00951DB2" w:rsidRPr="00951DB2" w:rsidRDefault="00951DB2" w:rsidP="00951D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4053C" w14:textId="77777777" w:rsidR="00F62166" w:rsidRDefault="00F6216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2B11E" w14:textId="77777777" w:rsidR="00F62166" w:rsidRDefault="00F62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DDD24DC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F7F4CFE6"/>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E94C8EB0"/>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90767D3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0B68E890"/>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1E0E65D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DFD0CA9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34F6249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732193914">
    <w:abstractNumId w:val="6"/>
  </w:num>
  <w:num w:numId="2" w16cid:durableId="2012222555">
    <w:abstractNumId w:val="2"/>
  </w:num>
  <w:num w:numId="3" w16cid:durableId="904074801">
    <w:abstractNumId w:val="1"/>
  </w:num>
  <w:num w:numId="4" w16cid:durableId="2059232909">
    <w:abstractNumId w:val="0"/>
  </w:num>
  <w:num w:numId="5" w16cid:durableId="1419517034">
    <w:abstractNumId w:val="7"/>
  </w:num>
  <w:num w:numId="6" w16cid:durableId="515266729">
    <w:abstractNumId w:val="5"/>
  </w:num>
  <w:num w:numId="7" w16cid:durableId="1037389753">
    <w:abstractNumId w:val="4"/>
  </w:num>
  <w:num w:numId="8" w16cid:durableId="1878472432">
    <w:abstractNumId w:val="3"/>
  </w:num>
  <w:num w:numId="9" w16cid:durableId="2098480507">
    <w:abstractNumId w:val="19"/>
  </w:num>
  <w:num w:numId="10" w16cid:durableId="2136479033">
    <w:abstractNumId w:val="12"/>
  </w:num>
  <w:num w:numId="11" w16cid:durableId="1366952692">
    <w:abstractNumId w:val="21"/>
  </w:num>
  <w:num w:numId="12" w16cid:durableId="1915504171">
    <w:abstractNumId w:val="11"/>
  </w:num>
  <w:num w:numId="13" w16cid:durableId="506821943">
    <w:abstractNumId w:val="13"/>
  </w:num>
  <w:num w:numId="14" w16cid:durableId="718557279">
    <w:abstractNumId w:val="14"/>
  </w:num>
  <w:num w:numId="15" w16cid:durableId="1527670317">
    <w:abstractNumId w:val="9"/>
  </w:num>
  <w:num w:numId="16" w16cid:durableId="92943293">
    <w:abstractNumId w:val="20"/>
  </w:num>
  <w:num w:numId="17" w16cid:durableId="1361736633">
    <w:abstractNumId w:val="8"/>
  </w:num>
  <w:num w:numId="18" w16cid:durableId="1391539188">
    <w:abstractNumId w:val="15"/>
  </w:num>
  <w:num w:numId="19" w16cid:durableId="1233277750">
    <w:abstractNumId w:val="17"/>
  </w:num>
  <w:num w:numId="20" w16cid:durableId="603850334">
    <w:abstractNumId w:val="18"/>
  </w:num>
  <w:num w:numId="21" w16cid:durableId="1664043511">
    <w:abstractNumId w:val="10"/>
  </w:num>
  <w:num w:numId="22" w16cid:durableId="715008276">
    <w:abstractNumId w:val="16"/>
  </w:num>
  <w:num w:numId="23" w16cid:durableId="219557072">
    <w:abstractNumId w:val="22"/>
  </w:num>
  <w:num w:numId="24" w16cid:durableId="33577170">
    <w:abstractNumId w:val="19"/>
  </w:num>
  <w:num w:numId="25" w16cid:durableId="2090495324">
    <w:abstractNumId w:val="12"/>
  </w:num>
  <w:num w:numId="26" w16cid:durableId="16011665">
    <w:abstractNumId w:val="21"/>
  </w:num>
  <w:num w:numId="27" w16cid:durableId="2059670618">
    <w:abstractNumId w:val="11"/>
  </w:num>
  <w:num w:numId="28" w16cid:durableId="1814828218">
    <w:abstractNumId w:val="13"/>
  </w:num>
  <w:num w:numId="29" w16cid:durableId="1977756897">
    <w:abstractNumId w:val="14"/>
  </w:num>
  <w:num w:numId="30" w16cid:durableId="1114441922">
    <w:abstractNumId w:val="9"/>
  </w:num>
  <w:num w:numId="31" w16cid:durableId="1026640059">
    <w:abstractNumId w:val="20"/>
  </w:num>
  <w:num w:numId="32" w16cid:durableId="363333495">
    <w:abstractNumId w:val="8"/>
  </w:num>
  <w:num w:numId="33" w16cid:durableId="50737336">
    <w:abstractNumId w:val="15"/>
  </w:num>
  <w:num w:numId="34" w16cid:durableId="1960143520">
    <w:abstractNumId w:val="17"/>
  </w:num>
  <w:num w:numId="35" w16cid:durableId="1233196894">
    <w:abstractNumId w:val="18"/>
  </w:num>
  <w:num w:numId="36" w16cid:durableId="147014462">
    <w:abstractNumId w:val="10"/>
  </w:num>
  <w:num w:numId="37" w16cid:durableId="1937899970">
    <w:abstractNumId w:val="16"/>
  </w:num>
  <w:num w:numId="38" w16cid:durableId="1065373160">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57"/>
  <w:characterSpacingControl w:val="doNotCompress"/>
  <w:hdrShapeDefaults>
    <o:shapedefaults v:ext="edit" spidmax="2051"/>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DQCDateTime" w:val="2025-06-03 16:41:3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EPKit_DocumentHasBeenSaved" w:val="true"/>
    <w:docVar w:name="LW_CORRIGENDUM" w:val="&lt;UNUSED&gt;"/>
    <w:docVar w:name="LW_COVERPAGE_EXISTS" w:val="True"/>
    <w:docVar w:name="LW_COVERPAGE_GUID" w:val="C7BB4DE7-AF54-49C6-AE33-6C6052218775"/>
    <w:docVar w:name="LW_COVERPAGE_TYPE" w:val="1"/>
    <w:docVar w:name="LW_CROSSREFERENCE" w:val="&lt;UNUSED&gt;"/>
    <w:docVar w:name="LW_DocType" w:val="COM"/>
    <w:docVar w:name="LW_EMISSION" w:val="4.6.2025"/>
    <w:docVar w:name="LW_EMISSION_ISODATE" w:val="2025-06-04"/>
    <w:docVar w:name="LW_EMISSION_LOCATION" w:val="BRX"/>
    <w:docVar w:name="LW_EMISSION_PREFIX" w:val="Brussels, "/>
    <w:docVar w:name="LW_EMISSION_SUFFIX" w:val=" "/>
    <w:docVar w:name="LW_FAITA" w:val="Done at Brussels,"/>
    <w:docVar w:name="LW_ID_DOCMODEL" w:val="SJ-016"/>
    <w:docVar w:name="LW_ID_DOCSIGNATURE" w:val="SJ-016"/>
    <w:docVar w:name="LW_ID_DOCSTRUCTURE" w:val="COM/PL/ORG"/>
    <w:docVar w:name="LW_ID_DOCTYPE" w:val="SJ-016"/>
    <w:docVar w:name="LW_ID_STATUT" w:val="SJ-016"/>
    <w:docVar w:name="LW_INST.SIGNE" w:val="_x0009_For the Council"/>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PERS.SIGNE" w:val="_x0009_The President"/>
    <w:docVar w:name="LW_REF.II.NEW.CP" w:val="NLE"/>
    <w:docVar w:name="LW_REF.II.NEW.CP_NUMBER" w:val="0159"/>
    <w:docVar w:name="LW_REF.II.NEW.CP_YEAR" w:val="2025"/>
    <w:docVar w:name="LW_REF.INST.NEW" w:val="COM"/>
    <w:docVar w:name="LW_REF.INST.NEW_ADOPTED" w:val="final/2     DOWNGRADED ON 4.6.2025"/>
    <w:docVar w:name="LW_REF.INST.NEW_TEXT" w:val="(2025) 301"/>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Regulation (EC) No 974/98 as regards the introduction of the euro in Bulgaria"/>
    <w:docVar w:name="LW_TYPE.DOC.CP" w:val="COUNCIL REGULATION"/>
    <w:docVar w:name="LwApiVersions" w:val="LW4CoDe 1.24.5.0; LW 9.0, Build 20240221"/>
  </w:docVars>
  <w:rsids>
    <w:rsidRoot w:val="00414613"/>
    <w:rsid w:val="00015150"/>
    <w:rsid w:val="00031F00"/>
    <w:rsid w:val="000322CC"/>
    <w:rsid w:val="00037EA6"/>
    <w:rsid w:val="000479AC"/>
    <w:rsid w:val="0005353E"/>
    <w:rsid w:val="00072404"/>
    <w:rsid w:val="000724B9"/>
    <w:rsid w:val="000735F1"/>
    <w:rsid w:val="000769C5"/>
    <w:rsid w:val="0008208F"/>
    <w:rsid w:val="00087BA4"/>
    <w:rsid w:val="00094F85"/>
    <w:rsid w:val="000A450C"/>
    <w:rsid w:val="000A59D6"/>
    <w:rsid w:val="000A6618"/>
    <w:rsid w:val="000A81F8"/>
    <w:rsid w:val="000B6E0F"/>
    <w:rsid w:val="000C4834"/>
    <w:rsid w:val="000C5D6E"/>
    <w:rsid w:val="000D0F11"/>
    <w:rsid w:val="000D4AF7"/>
    <w:rsid w:val="000D7B2F"/>
    <w:rsid w:val="000E2184"/>
    <w:rsid w:val="000E488C"/>
    <w:rsid w:val="000F03FA"/>
    <w:rsid w:val="000F05B0"/>
    <w:rsid w:val="000F1CFA"/>
    <w:rsid w:val="000F2033"/>
    <w:rsid w:val="000F3FA7"/>
    <w:rsid w:val="001023F5"/>
    <w:rsid w:val="001117C7"/>
    <w:rsid w:val="00116792"/>
    <w:rsid w:val="00127B7F"/>
    <w:rsid w:val="00133418"/>
    <w:rsid w:val="00141895"/>
    <w:rsid w:val="0014478C"/>
    <w:rsid w:val="00153A1D"/>
    <w:rsid w:val="001670FE"/>
    <w:rsid w:val="001678FE"/>
    <w:rsid w:val="00170B47"/>
    <w:rsid w:val="0019233E"/>
    <w:rsid w:val="001A5BE0"/>
    <w:rsid w:val="001B329E"/>
    <w:rsid w:val="001B3488"/>
    <w:rsid w:val="001B3A94"/>
    <w:rsid w:val="001B4B4E"/>
    <w:rsid w:val="001B6E63"/>
    <w:rsid w:val="001C43D5"/>
    <w:rsid w:val="001C4B0A"/>
    <w:rsid w:val="001C4B70"/>
    <w:rsid w:val="001C5FC8"/>
    <w:rsid w:val="001C6F47"/>
    <w:rsid w:val="001D2E78"/>
    <w:rsid w:val="001D4495"/>
    <w:rsid w:val="001D5676"/>
    <w:rsid w:val="001E4D1A"/>
    <w:rsid w:val="001E5484"/>
    <w:rsid w:val="001F089F"/>
    <w:rsid w:val="001F5225"/>
    <w:rsid w:val="00201328"/>
    <w:rsid w:val="0020283C"/>
    <w:rsid w:val="00204562"/>
    <w:rsid w:val="00210B66"/>
    <w:rsid w:val="00212814"/>
    <w:rsid w:val="00220178"/>
    <w:rsid w:val="002215D3"/>
    <w:rsid w:val="00230483"/>
    <w:rsid w:val="00233646"/>
    <w:rsid w:val="00246156"/>
    <w:rsid w:val="002468DA"/>
    <w:rsid w:val="0025317B"/>
    <w:rsid w:val="002536BC"/>
    <w:rsid w:val="00262F01"/>
    <w:rsid w:val="002665C5"/>
    <w:rsid w:val="00266C2A"/>
    <w:rsid w:val="00270125"/>
    <w:rsid w:val="00274434"/>
    <w:rsid w:val="00274732"/>
    <w:rsid w:val="002776D7"/>
    <w:rsid w:val="00283180"/>
    <w:rsid w:val="002911D8"/>
    <w:rsid w:val="0029613D"/>
    <w:rsid w:val="00297140"/>
    <w:rsid w:val="002971F9"/>
    <w:rsid w:val="002A0709"/>
    <w:rsid w:val="002A1BF7"/>
    <w:rsid w:val="002B1B57"/>
    <w:rsid w:val="002B373A"/>
    <w:rsid w:val="002B4191"/>
    <w:rsid w:val="002B7EF2"/>
    <w:rsid w:val="002C0139"/>
    <w:rsid w:val="002C3AD3"/>
    <w:rsid w:val="002D059C"/>
    <w:rsid w:val="002D4558"/>
    <w:rsid w:val="002D47D2"/>
    <w:rsid w:val="002D5723"/>
    <w:rsid w:val="002D5C5A"/>
    <w:rsid w:val="002E1A5B"/>
    <w:rsid w:val="002E7FED"/>
    <w:rsid w:val="002F0603"/>
    <w:rsid w:val="002F1708"/>
    <w:rsid w:val="002F3D2A"/>
    <w:rsid w:val="002F541C"/>
    <w:rsid w:val="002F7E47"/>
    <w:rsid w:val="00300DF9"/>
    <w:rsid w:val="00314FE0"/>
    <w:rsid w:val="00324168"/>
    <w:rsid w:val="00326F17"/>
    <w:rsid w:val="00327EA9"/>
    <w:rsid w:val="003360C3"/>
    <w:rsid w:val="00336DA5"/>
    <w:rsid w:val="00340DAE"/>
    <w:rsid w:val="00346971"/>
    <w:rsid w:val="00346E15"/>
    <w:rsid w:val="00351177"/>
    <w:rsid w:val="0035185F"/>
    <w:rsid w:val="003528E6"/>
    <w:rsid w:val="0035332F"/>
    <w:rsid w:val="00354564"/>
    <w:rsid w:val="00357418"/>
    <w:rsid w:val="00366762"/>
    <w:rsid w:val="003828BA"/>
    <w:rsid w:val="0038661C"/>
    <w:rsid w:val="003867A1"/>
    <w:rsid w:val="00387178"/>
    <w:rsid w:val="00393C3E"/>
    <w:rsid w:val="003942EC"/>
    <w:rsid w:val="003A3F89"/>
    <w:rsid w:val="003A5DEF"/>
    <w:rsid w:val="003B1407"/>
    <w:rsid w:val="003C70AA"/>
    <w:rsid w:val="003C72D4"/>
    <w:rsid w:val="003C734A"/>
    <w:rsid w:val="003D0A12"/>
    <w:rsid w:val="003D247D"/>
    <w:rsid w:val="003E4922"/>
    <w:rsid w:val="003E6161"/>
    <w:rsid w:val="003E626D"/>
    <w:rsid w:val="003F3D65"/>
    <w:rsid w:val="003F474D"/>
    <w:rsid w:val="003F600D"/>
    <w:rsid w:val="00400F45"/>
    <w:rsid w:val="00401A8D"/>
    <w:rsid w:val="00411D37"/>
    <w:rsid w:val="00414613"/>
    <w:rsid w:val="0041529B"/>
    <w:rsid w:val="00416F74"/>
    <w:rsid w:val="00424642"/>
    <w:rsid w:val="004317EF"/>
    <w:rsid w:val="00431D7B"/>
    <w:rsid w:val="0043404A"/>
    <w:rsid w:val="00435732"/>
    <w:rsid w:val="00436D75"/>
    <w:rsid w:val="004379E8"/>
    <w:rsid w:val="00440765"/>
    <w:rsid w:val="004413D3"/>
    <w:rsid w:val="00444191"/>
    <w:rsid w:val="00451D7F"/>
    <w:rsid w:val="00452242"/>
    <w:rsid w:val="00454EFE"/>
    <w:rsid w:val="00460941"/>
    <w:rsid w:val="0046173E"/>
    <w:rsid w:val="00462F55"/>
    <w:rsid w:val="00466E5B"/>
    <w:rsid w:val="004758A6"/>
    <w:rsid w:val="0048086E"/>
    <w:rsid w:val="00494896"/>
    <w:rsid w:val="00494E0A"/>
    <w:rsid w:val="004951B1"/>
    <w:rsid w:val="00497A79"/>
    <w:rsid w:val="004A0EE2"/>
    <w:rsid w:val="004A5F4C"/>
    <w:rsid w:val="004A5FCD"/>
    <w:rsid w:val="004B60A0"/>
    <w:rsid w:val="004C1FA8"/>
    <w:rsid w:val="004C37B9"/>
    <w:rsid w:val="004C4FE1"/>
    <w:rsid w:val="004D1664"/>
    <w:rsid w:val="004D1A88"/>
    <w:rsid w:val="004E02D3"/>
    <w:rsid w:val="004F348F"/>
    <w:rsid w:val="005003EC"/>
    <w:rsid w:val="00500D22"/>
    <w:rsid w:val="005026AA"/>
    <w:rsid w:val="005038A9"/>
    <w:rsid w:val="00504383"/>
    <w:rsid w:val="00504564"/>
    <w:rsid w:val="00506CB3"/>
    <w:rsid w:val="00507223"/>
    <w:rsid w:val="00510482"/>
    <w:rsid w:val="00514144"/>
    <w:rsid w:val="00514257"/>
    <w:rsid w:val="00515735"/>
    <w:rsid w:val="00517FFC"/>
    <w:rsid w:val="00520341"/>
    <w:rsid w:val="00520C23"/>
    <w:rsid w:val="005231DA"/>
    <w:rsid w:val="0052555D"/>
    <w:rsid w:val="0053037C"/>
    <w:rsid w:val="00535752"/>
    <w:rsid w:val="00541D79"/>
    <w:rsid w:val="0054273D"/>
    <w:rsid w:val="0054777B"/>
    <w:rsid w:val="005501B8"/>
    <w:rsid w:val="00553F6C"/>
    <w:rsid w:val="005563A8"/>
    <w:rsid w:val="005603A1"/>
    <w:rsid w:val="005622A3"/>
    <w:rsid w:val="005778E4"/>
    <w:rsid w:val="00585DF5"/>
    <w:rsid w:val="0059199E"/>
    <w:rsid w:val="005940AD"/>
    <w:rsid w:val="00597919"/>
    <w:rsid w:val="005A34C5"/>
    <w:rsid w:val="005A656D"/>
    <w:rsid w:val="005B1504"/>
    <w:rsid w:val="005B4BA0"/>
    <w:rsid w:val="005B5679"/>
    <w:rsid w:val="005B7805"/>
    <w:rsid w:val="005D2998"/>
    <w:rsid w:val="005D3FE2"/>
    <w:rsid w:val="005D46E3"/>
    <w:rsid w:val="005D76C3"/>
    <w:rsid w:val="005E48DF"/>
    <w:rsid w:val="005F0BC6"/>
    <w:rsid w:val="005F1A87"/>
    <w:rsid w:val="005F57F1"/>
    <w:rsid w:val="005F5E2D"/>
    <w:rsid w:val="00610465"/>
    <w:rsid w:val="00611698"/>
    <w:rsid w:val="0061310C"/>
    <w:rsid w:val="00615488"/>
    <w:rsid w:val="00620A9E"/>
    <w:rsid w:val="00621667"/>
    <w:rsid w:val="006229E4"/>
    <w:rsid w:val="006230CA"/>
    <w:rsid w:val="00624FC9"/>
    <w:rsid w:val="006255E8"/>
    <w:rsid w:val="00625D57"/>
    <w:rsid w:val="00627999"/>
    <w:rsid w:val="00627BD1"/>
    <w:rsid w:val="00627E49"/>
    <w:rsid w:val="00654B86"/>
    <w:rsid w:val="00656964"/>
    <w:rsid w:val="00660ECD"/>
    <w:rsid w:val="00661E6C"/>
    <w:rsid w:val="0066551C"/>
    <w:rsid w:val="00673F9E"/>
    <w:rsid w:val="0067565A"/>
    <w:rsid w:val="00675CE5"/>
    <w:rsid w:val="00681391"/>
    <w:rsid w:val="0068205C"/>
    <w:rsid w:val="00692466"/>
    <w:rsid w:val="00692703"/>
    <w:rsid w:val="00693B27"/>
    <w:rsid w:val="006945BE"/>
    <w:rsid w:val="00697315"/>
    <w:rsid w:val="00697DA2"/>
    <w:rsid w:val="006A7612"/>
    <w:rsid w:val="006B070A"/>
    <w:rsid w:val="006B13BC"/>
    <w:rsid w:val="006B1DE0"/>
    <w:rsid w:val="006C1681"/>
    <w:rsid w:val="006C59AA"/>
    <w:rsid w:val="006C7D6B"/>
    <w:rsid w:val="006E0215"/>
    <w:rsid w:val="006E2598"/>
    <w:rsid w:val="006F0223"/>
    <w:rsid w:val="006F4E1F"/>
    <w:rsid w:val="00702923"/>
    <w:rsid w:val="007167FF"/>
    <w:rsid w:val="00724CB1"/>
    <w:rsid w:val="0072553B"/>
    <w:rsid w:val="0072588C"/>
    <w:rsid w:val="00751331"/>
    <w:rsid w:val="00754F4C"/>
    <w:rsid w:val="00757695"/>
    <w:rsid w:val="0076163B"/>
    <w:rsid w:val="007659B6"/>
    <w:rsid w:val="007674EE"/>
    <w:rsid w:val="00774D8D"/>
    <w:rsid w:val="00774E48"/>
    <w:rsid w:val="0077684D"/>
    <w:rsid w:val="007810BF"/>
    <w:rsid w:val="007847B0"/>
    <w:rsid w:val="00790E27"/>
    <w:rsid w:val="00795BCE"/>
    <w:rsid w:val="007A74C6"/>
    <w:rsid w:val="007B1574"/>
    <w:rsid w:val="007B481A"/>
    <w:rsid w:val="007C181E"/>
    <w:rsid w:val="007C699B"/>
    <w:rsid w:val="007D4101"/>
    <w:rsid w:val="007D5E84"/>
    <w:rsid w:val="007E64C3"/>
    <w:rsid w:val="007F5699"/>
    <w:rsid w:val="0080583E"/>
    <w:rsid w:val="00805A9B"/>
    <w:rsid w:val="0082294E"/>
    <w:rsid w:val="0084189E"/>
    <w:rsid w:val="00843978"/>
    <w:rsid w:val="00853DDB"/>
    <w:rsid w:val="00864642"/>
    <w:rsid w:val="00876B67"/>
    <w:rsid w:val="00877092"/>
    <w:rsid w:val="00877E78"/>
    <w:rsid w:val="00883AF9"/>
    <w:rsid w:val="008915E2"/>
    <w:rsid w:val="008A19BB"/>
    <w:rsid w:val="008B3DA9"/>
    <w:rsid w:val="008C260B"/>
    <w:rsid w:val="008D37D8"/>
    <w:rsid w:val="008D4C58"/>
    <w:rsid w:val="008D6804"/>
    <w:rsid w:val="008D6C03"/>
    <w:rsid w:val="008E2727"/>
    <w:rsid w:val="008E5224"/>
    <w:rsid w:val="008E5BF0"/>
    <w:rsid w:val="008E6595"/>
    <w:rsid w:val="008F5BD4"/>
    <w:rsid w:val="008F609D"/>
    <w:rsid w:val="00900939"/>
    <w:rsid w:val="0091553B"/>
    <w:rsid w:val="00915EF7"/>
    <w:rsid w:val="009251B1"/>
    <w:rsid w:val="009313DF"/>
    <w:rsid w:val="0093653C"/>
    <w:rsid w:val="00937E78"/>
    <w:rsid w:val="00941F1D"/>
    <w:rsid w:val="009446F7"/>
    <w:rsid w:val="00951DB2"/>
    <w:rsid w:val="00956B6B"/>
    <w:rsid w:val="00957ED7"/>
    <w:rsid w:val="0096015A"/>
    <w:rsid w:val="00967D95"/>
    <w:rsid w:val="00972E2E"/>
    <w:rsid w:val="00981342"/>
    <w:rsid w:val="009A7080"/>
    <w:rsid w:val="009B57A5"/>
    <w:rsid w:val="009D0040"/>
    <w:rsid w:val="009D499C"/>
    <w:rsid w:val="009D5032"/>
    <w:rsid w:val="009D7964"/>
    <w:rsid w:val="009F0665"/>
    <w:rsid w:val="009F2412"/>
    <w:rsid w:val="009F3EBC"/>
    <w:rsid w:val="009F686F"/>
    <w:rsid w:val="00A06A7D"/>
    <w:rsid w:val="00A14E79"/>
    <w:rsid w:val="00A21985"/>
    <w:rsid w:val="00A245A9"/>
    <w:rsid w:val="00A30D56"/>
    <w:rsid w:val="00A35572"/>
    <w:rsid w:val="00A44FCE"/>
    <w:rsid w:val="00A47B5E"/>
    <w:rsid w:val="00A5270F"/>
    <w:rsid w:val="00A60413"/>
    <w:rsid w:val="00A60DA3"/>
    <w:rsid w:val="00A6282F"/>
    <w:rsid w:val="00A67ABD"/>
    <w:rsid w:val="00A71DD4"/>
    <w:rsid w:val="00A72FA3"/>
    <w:rsid w:val="00A74EE4"/>
    <w:rsid w:val="00A75D30"/>
    <w:rsid w:val="00A76D4A"/>
    <w:rsid w:val="00A84680"/>
    <w:rsid w:val="00A84D9D"/>
    <w:rsid w:val="00A85C59"/>
    <w:rsid w:val="00A96CA6"/>
    <w:rsid w:val="00AA5D6D"/>
    <w:rsid w:val="00AB1211"/>
    <w:rsid w:val="00AB1AF4"/>
    <w:rsid w:val="00AB1C62"/>
    <w:rsid w:val="00AB1D97"/>
    <w:rsid w:val="00AB3736"/>
    <w:rsid w:val="00AB3EF6"/>
    <w:rsid w:val="00AB527A"/>
    <w:rsid w:val="00AC10FF"/>
    <w:rsid w:val="00AC2F9B"/>
    <w:rsid w:val="00AC6EC2"/>
    <w:rsid w:val="00AC7CCC"/>
    <w:rsid w:val="00AD144F"/>
    <w:rsid w:val="00AD5D8F"/>
    <w:rsid w:val="00B03CDA"/>
    <w:rsid w:val="00B0508B"/>
    <w:rsid w:val="00B0781D"/>
    <w:rsid w:val="00B125CD"/>
    <w:rsid w:val="00B177EC"/>
    <w:rsid w:val="00B24F94"/>
    <w:rsid w:val="00B26B92"/>
    <w:rsid w:val="00B30548"/>
    <w:rsid w:val="00B35235"/>
    <w:rsid w:val="00B41CDA"/>
    <w:rsid w:val="00B421AF"/>
    <w:rsid w:val="00B5141C"/>
    <w:rsid w:val="00B570E4"/>
    <w:rsid w:val="00B65195"/>
    <w:rsid w:val="00B673E5"/>
    <w:rsid w:val="00B70AF6"/>
    <w:rsid w:val="00B72D8F"/>
    <w:rsid w:val="00B73B9F"/>
    <w:rsid w:val="00B74E84"/>
    <w:rsid w:val="00B91A86"/>
    <w:rsid w:val="00B91EB1"/>
    <w:rsid w:val="00BA32BD"/>
    <w:rsid w:val="00BA500B"/>
    <w:rsid w:val="00BA5C44"/>
    <w:rsid w:val="00BA76C1"/>
    <w:rsid w:val="00BB0B40"/>
    <w:rsid w:val="00BB18F3"/>
    <w:rsid w:val="00BC34BE"/>
    <w:rsid w:val="00BC43C3"/>
    <w:rsid w:val="00BC49B1"/>
    <w:rsid w:val="00BC4D0B"/>
    <w:rsid w:val="00BD1607"/>
    <w:rsid w:val="00BE0B08"/>
    <w:rsid w:val="00BE2217"/>
    <w:rsid w:val="00BE3FD0"/>
    <w:rsid w:val="00BF0193"/>
    <w:rsid w:val="00BF2F92"/>
    <w:rsid w:val="00C013C4"/>
    <w:rsid w:val="00C01583"/>
    <w:rsid w:val="00C0333A"/>
    <w:rsid w:val="00C0466B"/>
    <w:rsid w:val="00C10A76"/>
    <w:rsid w:val="00C20C1D"/>
    <w:rsid w:val="00C20CA0"/>
    <w:rsid w:val="00C21810"/>
    <w:rsid w:val="00C243E7"/>
    <w:rsid w:val="00C267AD"/>
    <w:rsid w:val="00C27AE0"/>
    <w:rsid w:val="00C34CA4"/>
    <w:rsid w:val="00C370C4"/>
    <w:rsid w:val="00C449AF"/>
    <w:rsid w:val="00C44E0E"/>
    <w:rsid w:val="00C52F4D"/>
    <w:rsid w:val="00C62BF6"/>
    <w:rsid w:val="00C63BF0"/>
    <w:rsid w:val="00CA001F"/>
    <w:rsid w:val="00CA6678"/>
    <w:rsid w:val="00CA7C8D"/>
    <w:rsid w:val="00CB33C0"/>
    <w:rsid w:val="00CC00B6"/>
    <w:rsid w:val="00CC48F0"/>
    <w:rsid w:val="00CD5D08"/>
    <w:rsid w:val="00CD6948"/>
    <w:rsid w:val="00CE5E90"/>
    <w:rsid w:val="00CF1A22"/>
    <w:rsid w:val="00CF1B78"/>
    <w:rsid w:val="00CF421A"/>
    <w:rsid w:val="00CF73B5"/>
    <w:rsid w:val="00D01D44"/>
    <w:rsid w:val="00D04E99"/>
    <w:rsid w:val="00D0510F"/>
    <w:rsid w:val="00D0651A"/>
    <w:rsid w:val="00D13AC3"/>
    <w:rsid w:val="00D20AE9"/>
    <w:rsid w:val="00D216E1"/>
    <w:rsid w:val="00D21EFE"/>
    <w:rsid w:val="00D2499B"/>
    <w:rsid w:val="00D319FB"/>
    <w:rsid w:val="00D31BD8"/>
    <w:rsid w:val="00D32D34"/>
    <w:rsid w:val="00D4293B"/>
    <w:rsid w:val="00D4411B"/>
    <w:rsid w:val="00D46981"/>
    <w:rsid w:val="00D46DA6"/>
    <w:rsid w:val="00D57E1D"/>
    <w:rsid w:val="00D6488F"/>
    <w:rsid w:val="00D64998"/>
    <w:rsid w:val="00D65572"/>
    <w:rsid w:val="00D7073F"/>
    <w:rsid w:val="00D753CE"/>
    <w:rsid w:val="00D83023"/>
    <w:rsid w:val="00D8303D"/>
    <w:rsid w:val="00D84050"/>
    <w:rsid w:val="00D862B8"/>
    <w:rsid w:val="00D90162"/>
    <w:rsid w:val="00D90716"/>
    <w:rsid w:val="00D91FE7"/>
    <w:rsid w:val="00D94ECD"/>
    <w:rsid w:val="00D9658C"/>
    <w:rsid w:val="00DA03A8"/>
    <w:rsid w:val="00DA4CC5"/>
    <w:rsid w:val="00DA5BC3"/>
    <w:rsid w:val="00DB7B65"/>
    <w:rsid w:val="00DC01E5"/>
    <w:rsid w:val="00DC1457"/>
    <w:rsid w:val="00DC3ED2"/>
    <w:rsid w:val="00DC5F27"/>
    <w:rsid w:val="00DD6DE8"/>
    <w:rsid w:val="00DE7148"/>
    <w:rsid w:val="00DE7DF5"/>
    <w:rsid w:val="00DF0FB0"/>
    <w:rsid w:val="00E00D45"/>
    <w:rsid w:val="00E00D66"/>
    <w:rsid w:val="00E017D4"/>
    <w:rsid w:val="00E042A2"/>
    <w:rsid w:val="00E06612"/>
    <w:rsid w:val="00E10A92"/>
    <w:rsid w:val="00E11CE6"/>
    <w:rsid w:val="00E12037"/>
    <w:rsid w:val="00E1460B"/>
    <w:rsid w:val="00E15509"/>
    <w:rsid w:val="00E40EA9"/>
    <w:rsid w:val="00E47845"/>
    <w:rsid w:val="00E47947"/>
    <w:rsid w:val="00E61539"/>
    <w:rsid w:val="00E74031"/>
    <w:rsid w:val="00E85246"/>
    <w:rsid w:val="00E8652D"/>
    <w:rsid w:val="00E95543"/>
    <w:rsid w:val="00E978FD"/>
    <w:rsid w:val="00EB58D6"/>
    <w:rsid w:val="00EC4277"/>
    <w:rsid w:val="00EC5743"/>
    <w:rsid w:val="00EC7C34"/>
    <w:rsid w:val="00ED19B8"/>
    <w:rsid w:val="00ED22D1"/>
    <w:rsid w:val="00ED3897"/>
    <w:rsid w:val="00ED7E79"/>
    <w:rsid w:val="00EE094C"/>
    <w:rsid w:val="00EE251B"/>
    <w:rsid w:val="00EE62E0"/>
    <w:rsid w:val="00EE662F"/>
    <w:rsid w:val="00EF0525"/>
    <w:rsid w:val="00EF3489"/>
    <w:rsid w:val="00EF3DAB"/>
    <w:rsid w:val="00EF3F1C"/>
    <w:rsid w:val="00EF612F"/>
    <w:rsid w:val="00F0751C"/>
    <w:rsid w:val="00F07ED1"/>
    <w:rsid w:val="00F1661F"/>
    <w:rsid w:val="00F236ED"/>
    <w:rsid w:val="00F3107E"/>
    <w:rsid w:val="00F32C55"/>
    <w:rsid w:val="00F42E7E"/>
    <w:rsid w:val="00F43D97"/>
    <w:rsid w:val="00F53D9F"/>
    <w:rsid w:val="00F54769"/>
    <w:rsid w:val="00F62166"/>
    <w:rsid w:val="00F62F4D"/>
    <w:rsid w:val="00F637C1"/>
    <w:rsid w:val="00F6414C"/>
    <w:rsid w:val="00F67301"/>
    <w:rsid w:val="00F83709"/>
    <w:rsid w:val="00F86A3A"/>
    <w:rsid w:val="00F92AC3"/>
    <w:rsid w:val="00FA1376"/>
    <w:rsid w:val="00FA14C1"/>
    <w:rsid w:val="00FB4F7B"/>
    <w:rsid w:val="00FC6508"/>
    <w:rsid w:val="00FC6559"/>
    <w:rsid w:val="00FD1B54"/>
    <w:rsid w:val="00FD5B59"/>
    <w:rsid w:val="00FD6215"/>
    <w:rsid w:val="00FE0DBA"/>
    <w:rsid w:val="00FE1F8E"/>
    <w:rsid w:val="00FE27CE"/>
    <w:rsid w:val="00FE3449"/>
    <w:rsid w:val="00FE4218"/>
    <w:rsid w:val="00FE74EB"/>
    <w:rsid w:val="00FF284A"/>
    <w:rsid w:val="00FF4B4A"/>
    <w:rsid w:val="01F6F810"/>
    <w:rsid w:val="04108180"/>
    <w:rsid w:val="047DA65C"/>
    <w:rsid w:val="05821E51"/>
    <w:rsid w:val="059F197D"/>
    <w:rsid w:val="06D08C30"/>
    <w:rsid w:val="07E85C85"/>
    <w:rsid w:val="08FFD9FB"/>
    <w:rsid w:val="09DE39B6"/>
    <w:rsid w:val="0A12FB08"/>
    <w:rsid w:val="0BEE72F7"/>
    <w:rsid w:val="0C4E6C78"/>
    <w:rsid w:val="0E095E8C"/>
    <w:rsid w:val="0F6C2199"/>
    <w:rsid w:val="102F3040"/>
    <w:rsid w:val="1052B144"/>
    <w:rsid w:val="105E361A"/>
    <w:rsid w:val="111FCF52"/>
    <w:rsid w:val="115F7B20"/>
    <w:rsid w:val="12D38F0B"/>
    <w:rsid w:val="130EFC04"/>
    <w:rsid w:val="1332EA5C"/>
    <w:rsid w:val="133691AB"/>
    <w:rsid w:val="139E5448"/>
    <w:rsid w:val="14E5F932"/>
    <w:rsid w:val="15F747BE"/>
    <w:rsid w:val="16DF2206"/>
    <w:rsid w:val="175487FB"/>
    <w:rsid w:val="17B94D5C"/>
    <w:rsid w:val="1828C22E"/>
    <w:rsid w:val="18CE57C6"/>
    <w:rsid w:val="191BC230"/>
    <w:rsid w:val="1A6EAC25"/>
    <w:rsid w:val="1AA5B339"/>
    <w:rsid w:val="1B4ECC49"/>
    <w:rsid w:val="1B99FF5D"/>
    <w:rsid w:val="1C93D9FD"/>
    <w:rsid w:val="1CD36796"/>
    <w:rsid w:val="1D7D5A2F"/>
    <w:rsid w:val="1D856D3E"/>
    <w:rsid w:val="1DA8735A"/>
    <w:rsid w:val="1E4F42E0"/>
    <w:rsid w:val="1E778DB4"/>
    <w:rsid w:val="1F0F5A2C"/>
    <w:rsid w:val="1F807819"/>
    <w:rsid w:val="1FA9BA76"/>
    <w:rsid w:val="1FC9B356"/>
    <w:rsid w:val="1FFBF4F9"/>
    <w:rsid w:val="214619D9"/>
    <w:rsid w:val="21CEB72D"/>
    <w:rsid w:val="23069C42"/>
    <w:rsid w:val="23547E23"/>
    <w:rsid w:val="23916C1B"/>
    <w:rsid w:val="24D5B613"/>
    <w:rsid w:val="251A4680"/>
    <w:rsid w:val="25CF5065"/>
    <w:rsid w:val="260BF921"/>
    <w:rsid w:val="262C6C35"/>
    <w:rsid w:val="279AE6EE"/>
    <w:rsid w:val="27B628EE"/>
    <w:rsid w:val="2818805B"/>
    <w:rsid w:val="2B01EE09"/>
    <w:rsid w:val="2B5456A4"/>
    <w:rsid w:val="2B776B46"/>
    <w:rsid w:val="2B8888F2"/>
    <w:rsid w:val="2BFF265F"/>
    <w:rsid w:val="2E35DE00"/>
    <w:rsid w:val="2E5DB8C8"/>
    <w:rsid w:val="2EC24744"/>
    <w:rsid w:val="2F05E92E"/>
    <w:rsid w:val="3024BB73"/>
    <w:rsid w:val="30590C91"/>
    <w:rsid w:val="30BAC377"/>
    <w:rsid w:val="313D3E66"/>
    <w:rsid w:val="3211560E"/>
    <w:rsid w:val="3401EA41"/>
    <w:rsid w:val="35FF2142"/>
    <w:rsid w:val="360454FB"/>
    <w:rsid w:val="36106ADE"/>
    <w:rsid w:val="36734E36"/>
    <w:rsid w:val="37729546"/>
    <w:rsid w:val="37871A14"/>
    <w:rsid w:val="37BB2F23"/>
    <w:rsid w:val="381717A5"/>
    <w:rsid w:val="383E4E3C"/>
    <w:rsid w:val="38C7EAA6"/>
    <w:rsid w:val="3ADC39D7"/>
    <w:rsid w:val="3AE97763"/>
    <w:rsid w:val="3AF36E54"/>
    <w:rsid w:val="3B1D5EF8"/>
    <w:rsid w:val="3BB8AB46"/>
    <w:rsid w:val="3CF9DF5C"/>
    <w:rsid w:val="3EF5099E"/>
    <w:rsid w:val="3FF27720"/>
    <w:rsid w:val="414F161C"/>
    <w:rsid w:val="439EB34F"/>
    <w:rsid w:val="44A19C7B"/>
    <w:rsid w:val="44E9FFFE"/>
    <w:rsid w:val="45D3E4C8"/>
    <w:rsid w:val="4668468F"/>
    <w:rsid w:val="4776BA5A"/>
    <w:rsid w:val="47AD3749"/>
    <w:rsid w:val="48185EEE"/>
    <w:rsid w:val="4823C773"/>
    <w:rsid w:val="482A77B1"/>
    <w:rsid w:val="48488DC2"/>
    <w:rsid w:val="495C699B"/>
    <w:rsid w:val="4A7542B9"/>
    <w:rsid w:val="4B618296"/>
    <w:rsid w:val="4B8F8D08"/>
    <w:rsid w:val="4BF2B2FE"/>
    <w:rsid w:val="4C946F15"/>
    <w:rsid w:val="4D4D0E6B"/>
    <w:rsid w:val="4EAF3245"/>
    <w:rsid w:val="4EBE6D42"/>
    <w:rsid w:val="4F53BEB4"/>
    <w:rsid w:val="50FD7E52"/>
    <w:rsid w:val="525FF67C"/>
    <w:rsid w:val="5395E386"/>
    <w:rsid w:val="53F168C0"/>
    <w:rsid w:val="54DB7DA6"/>
    <w:rsid w:val="5526C83A"/>
    <w:rsid w:val="5624A50F"/>
    <w:rsid w:val="56BE6612"/>
    <w:rsid w:val="57470430"/>
    <w:rsid w:val="587448F1"/>
    <w:rsid w:val="5896687F"/>
    <w:rsid w:val="59DDC970"/>
    <w:rsid w:val="5AF49A0C"/>
    <w:rsid w:val="5BC5E3AA"/>
    <w:rsid w:val="5CB9206D"/>
    <w:rsid w:val="5CEF1AED"/>
    <w:rsid w:val="5D1C4F91"/>
    <w:rsid w:val="5D490BB0"/>
    <w:rsid w:val="5ECF69A4"/>
    <w:rsid w:val="5EF203AC"/>
    <w:rsid w:val="5F6413BF"/>
    <w:rsid w:val="613B526A"/>
    <w:rsid w:val="62C90B80"/>
    <w:rsid w:val="63C78056"/>
    <w:rsid w:val="6408E5E6"/>
    <w:rsid w:val="6743DCCD"/>
    <w:rsid w:val="6788C66D"/>
    <w:rsid w:val="67AB9F1C"/>
    <w:rsid w:val="67D39140"/>
    <w:rsid w:val="67D5149B"/>
    <w:rsid w:val="6AEF29A0"/>
    <w:rsid w:val="6BCB3DA8"/>
    <w:rsid w:val="6D25D97D"/>
    <w:rsid w:val="6E64D417"/>
    <w:rsid w:val="6E6963D1"/>
    <w:rsid w:val="6FB03243"/>
    <w:rsid w:val="71F72E58"/>
    <w:rsid w:val="72AE1A5B"/>
    <w:rsid w:val="72D95452"/>
    <w:rsid w:val="7336EE51"/>
    <w:rsid w:val="73A6F5C9"/>
    <w:rsid w:val="75B845C8"/>
    <w:rsid w:val="765409D4"/>
    <w:rsid w:val="77ABA008"/>
    <w:rsid w:val="796BA963"/>
    <w:rsid w:val="798B4571"/>
    <w:rsid w:val="7B8A9939"/>
    <w:rsid w:val="7BB15089"/>
    <w:rsid w:val="7C0FA759"/>
    <w:rsid w:val="7CF3D942"/>
    <w:rsid w:val="7DFC5750"/>
    <w:rsid w:val="7E087140"/>
    <w:rsid w:val="7E6E52C5"/>
    <w:rsid w:val="7EACD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F50A27F"/>
  <w15:chartTrackingRefBased/>
  <w15:docId w15:val="{71168A51-722E-4A29-8523-CE50BC3CE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semiHidden/>
    <w:unhideWhenUsed/>
    <w:qFormat/>
    <w:rsid w:val="005A34C5"/>
    <w:rPr>
      <w:b/>
      <w:bCs/>
      <w:sz w:val="20"/>
    </w:rPr>
  </w:style>
  <w:style w:type="paragraph" w:styleId="TableofFigures">
    <w:name w:val="table of figures"/>
    <w:basedOn w:val="Normal"/>
    <w:next w:val="Normal"/>
    <w:rsid w:val="005A34C5"/>
  </w:style>
  <w:style w:type="paragraph" w:styleId="ListNumber">
    <w:name w:val="List Number"/>
    <w:basedOn w:val="Normal"/>
    <w:rsid w:val="00414613"/>
    <w:pPr>
      <w:numPr>
        <w:numId w:val="1"/>
      </w:numPr>
      <w:contextualSpacing/>
    </w:pPr>
  </w:style>
  <w:style w:type="paragraph" w:styleId="ListNumber2">
    <w:name w:val="List Number 2"/>
    <w:basedOn w:val="Normal"/>
    <w:rsid w:val="00414613"/>
    <w:pPr>
      <w:numPr>
        <w:numId w:val="2"/>
      </w:numPr>
      <w:contextualSpacing/>
    </w:pPr>
  </w:style>
  <w:style w:type="paragraph" w:styleId="ListNumber3">
    <w:name w:val="List Number 3"/>
    <w:basedOn w:val="Normal"/>
    <w:rsid w:val="00414613"/>
    <w:pPr>
      <w:numPr>
        <w:numId w:val="3"/>
      </w:numPr>
      <w:contextualSpacing/>
    </w:pPr>
  </w:style>
  <w:style w:type="paragraph" w:styleId="ListNumber4">
    <w:name w:val="List Number 4"/>
    <w:basedOn w:val="Normal"/>
    <w:rsid w:val="00414613"/>
    <w:pPr>
      <w:numPr>
        <w:numId w:val="4"/>
      </w:numPr>
      <w:contextualSpacing/>
    </w:pPr>
  </w:style>
  <w:style w:type="paragraph" w:styleId="ListBullet">
    <w:name w:val="List Bullet"/>
    <w:basedOn w:val="Normal"/>
    <w:rsid w:val="00414613"/>
    <w:pPr>
      <w:numPr>
        <w:numId w:val="5"/>
      </w:numPr>
      <w:contextualSpacing/>
    </w:pPr>
  </w:style>
  <w:style w:type="paragraph" w:styleId="ListBullet2">
    <w:name w:val="List Bullet 2"/>
    <w:basedOn w:val="Normal"/>
    <w:rsid w:val="00414613"/>
    <w:pPr>
      <w:numPr>
        <w:numId w:val="6"/>
      </w:numPr>
      <w:contextualSpacing/>
    </w:pPr>
  </w:style>
  <w:style w:type="paragraph" w:styleId="ListBullet3">
    <w:name w:val="List Bullet 3"/>
    <w:basedOn w:val="Normal"/>
    <w:rsid w:val="00414613"/>
    <w:pPr>
      <w:numPr>
        <w:numId w:val="7"/>
      </w:numPr>
      <w:contextualSpacing/>
    </w:pPr>
  </w:style>
  <w:style w:type="paragraph" w:styleId="ListBullet4">
    <w:name w:val="List Bullet 4"/>
    <w:basedOn w:val="Normal"/>
    <w:rsid w:val="00414613"/>
    <w:pPr>
      <w:numPr>
        <w:numId w:val="8"/>
      </w:numPr>
      <w:contextualSpacing/>
    </w:pPr>
  </w:style>
  <w:style w:type="paragraph" w:styleId="BalloonText">
    <w:name w:val="Balloon Text"/>
    <w:basedOn w:val="Normal"/>
    <w:link w:val="BalloonTextChar"/>
    <w:rsid w:val="009D7964"/>
    <w:pPr>
      <w:spacing w:before="0" w:after="0"/>
    </w:pPr>
    <w:rPr>
      <w:rFonts w:ascii="Tahoma" w:hAnsi="Tahoma" w:cs="Tahoma"/>
      <w:sz w:val="16"/>
      <w:szCs w:val="16"/>
    </w:rPr>
  </w:style>
  <w:style w:type="character" w:customStyle="1" w:styleId="BalloonTextChar">
    <w:name w:val="Balloon Text Char"/>
    <w:link w:val="BalloonText"/>
    <w:rsid w:val="009D7964"/>
    <w:rPr>
      <w:rFonts w:ascii="Tahoma" w:hAnsi="Tahoma" w:cs="Tahoma"/>
      <w:sz w:val="16"/>
      <w:szCs w:val="16"/>
      <w:lang w:eastAsia="en-US"/>
    </w:rPr>
  </w:style>
  <w:style w:type="character" w:styleId="CommentReference">
    <w:name w:val="annotation reference"/>
    <w:rsid w:val="00F637C1"/>
    <w:rPr>
      <w:sz w:val="16"/>
      <w:szCs w:val="16"/>
    </w:rPr>
  </w:style>
  <w:style w:type="paragraph" w:styleId="CommentText">
    <w:name w:val="annotation text"/>
    <w:basedOn w:val="Normal"/>
    <w:link w:val="CommentTextChar"/>
    <w:rsid w:val="00F637C1"/>
    <w:rPr>
      <w:sz w:val="20"/>
      <w:szCs w:val="20"/>
    </w:rPr>
  </w:style>
  <w:style w:type="character" w:customStyle="1" w:styleId="CommentTextChar">
    <w:name w:val="Comment Text Char"/>
    <w:basedOn w:val="DefaultParagraphFont"/>
    <w:link w:val="CommentText"/>
    <w:rsid w:val="00F637C1"/>
  </w:style>
  <w:style w:type="paragraph" w:styleId="CommentSubject">
    <w:name w:val="annotation subject"/>
    <w:basedOn w:val="CommentText"/>
    <w:next w:val="CommentText"/>
    <w:link w:val="CommentSubjectChar"/>
    <w:rsid w:val="00F637C1"/>
    <w:rPr>
      <w:b/>
      <w:bCs/>
    </w:rPr>
  </w:style>
  <w:style w:type="character" w:customStyle="1" w:styleId="CommentSubjectChar">
    <w:name w:val="Comment Subject Char"/>
    <w:link w:val="CommentSubject"/>
    <w:rsid w:val="00F637C1"/>
    <w:rPr>
      <w:b/>
      <w:bCs/>
    </w:rPr>
  </w:style>
  <w:style w:type="character" w:styleId="Hyperlink">
    <w:name w:val="Hyperlink"/>
    <w:rsid w:val="00F637C1"/>
    <w:rPr>
      <w:color w:val="0000FF"/>
      <w:u w:val="single"/>
    </w:rPr>
  </w:style>
  <w:style w:type="paragraph" w:customStyle="1" w:styleId="Sous-titreobjet">
    <w:name w:val="Sous-titre objet"/>
    <w:basedOn w:val="Normal"/>
    <w:rsid w:val="007D53B6"/>
    <w:pPr>
      <w:spacing w:before="0" w:after="0"/>
      <w:jc w:val="center"/>
    </w:pPr>
    <w:rPr>
      <w:b/>
    </w:rPr>
  </w:style>
  <w:style w:type="paragraph" w:customStyle="1" w:styleId="Sous-titreobjetPagedecouverture">
    <w:name w:val="Sous-titre objet (Page de couverture)"/>
    <w:basedOn w:val="Sous-titreobjet"/>
    <w:rsid w:val="007D53B6"/>
  </w:style>
  <w:style w:type="paragraph" w:styleId="Revision">
    <w:name w:val="Revision"/>
    <w:hidden/>
    <w:uiPriority w:val="99"/>
    <w:semiHidden/>
    <w:rsid w:val="00541D79"/>
    <w:rPr>
      <w:rFonts w:ascii="Times New Roman" w:hAnsi="Times New Roman"/>
      <w:sz w:val="24"/>
      <w:lang w:val="en-GB"/>
    </w:rPr>
  </w:style>
  <w:style w:type="character" w:customStyle="1" w:styleId="HeaderChar">
    <w:name w:val="Header Char"/>
    <w:link w:val="Header"/>
    <w:uiPriority w:val="99"/>
    <w:rsid w:val="00951DB2"/>
    <w:rPr>
      <w:rFonts w:ascii="Times New Roman" w:hAnsi="Times New Roman" w:cs="Times New Roman"/>
      <w:sz w:val="24"/>
      <w:lang w:val="en-GB"/>
    </w:rPr>
  </w:style>
  <w:style w:type="character" w:customStyle="1" w:styleId="FooterChar">
    <w:name w:val="Footer Char"/>
    <w:link w:val="Footer"/>
    <w:uiPriority w:val="99"/>
    <w:rsid w:val="00951DB2"/>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951DB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51DB2"/>
    <w:pPr>
      <w:spacing w:before="0"/>
      <w:jc w:val="right"/>
    </w:pPr>
    <w:rPr>
      <w:sz w:val="28"/>
    </w:rPr>
  </w:style>
  <w:style w:type="paragraph" w:customStyle="1" w:styleId="FooterSensitivity">
    <w:name w:val="Footer Sensitivity"/>
    <w:basedOn w:val="Normal"/>
    <w:rsid w:val="00951DB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Tiret5">
    <w:name w:val="Tiret 5"/>
    <w:basedOn w:val="Point5"/>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NumPar5">
    <w:name w:val="NumPar 5"/>
    <w:basedOn w:val="Normal"/>
    <w:next w:val="Text2"/>
    <w:pPr>
      <w:numPr>
        <w:ilvl w:val="4"/>
        <w:numId w:val="30"/>
      </w:numPr>
    </w:pPr>
  </w:style>
  <w:style w:type="paragraph" w:customStyle="1" w:styleId="NumPar6">
    <w:name w:val="NumPar 6"/>
    <w:basedOn w:val="Normal"/>
    <w:next w:val="Text2"/>
    <w:pPr>
      <w:numPr>
        <w:ilvl w:val="5"/>
        <w:numId w:val="30"/>
      </w:numPr>
    </w:pPr>
  </w:style>
  <w:style w:type="paragraph" w:customStyle="1" w:styleId="NumPar7">
    <w:name w:val="NumPar 7"/>
    <w:basedOn w:val="Normal"/>
    <w:next w:val="Text2"/>
    <w:pPr>
      <w:numPr>
        <w:ilvl w:val="6"/>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951DB2"/>
    <w:pPr>
      <w:tabs>
        <w:tab w:val="center" w:pos="4535"/>
        <w:tab w:val="right" w:pos="9071"/>
      </w:tabs>
      <w:spacing w:before="0"/>
    </w:pPr>
  </w:style>
  <w:style w:type="paragraph" w:customStyle="1" w:styleId="HeaderLandscape">
    <w:name w:val="HeaderLandscape"/>
    <w:basedOn w:val="Normal"/>
    <w:rsid w:val="00951DB2"/>
    <w:pPr>
      <w:tabs>
        <w:tab w:val="center" w:pos="7285"/>
        <w:tab w:val="right" w:pos="14003"/>
      </w:tabs>
      <w:spacing w:before="0"/>
    </w:pPr>
  </w:style>
  <w:style w:type="paragraph" w:styleId="Footer">
    <w:name w:val="footer"/>
    <w:basedOn w:val="Normal"/>
    <w:link w:val="FooterChar"/>
    <w:uiPriority w:val="99"/>
    <w:unhideWhenUsed/>
    <w:rsid w:val="00951DB2"/>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951DB2"/>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43c966-cb45-4885-93fc-2ce78a94204b">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ac131f03-315b-4cd8-8e3a-6189969fd4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9782AF6692CB4E8097BF428225D135" ma:contentTypeVersion="13" ma:contentTypeDescription="Create a new document." ma:contentTypeScope="" ma:versionID="c1fe114fd752ad9ccc310c1b1b03b0e4">
  <xsd:schema xmlns:xsd="http://www.w3.org/2001/XMLSchema" xmlns:xs="http://www.w3.org/2001/XMLSchema" xmlns:p="http://schemas.microsoft.com/office/2006/metadata/properties" xmlns:ns2="5843c966-cb45-4885-93fc-2ce78a94204b" xmlns:ns3="ac131f03-315b-4cd8-8e3a-6189969fd4f0" targetNamespace="http://schemas.microsoft.com/office/2006/metadata/properties" ma:root="true" ma:fieldsID="4a49f1ae8b27401b4ba562f83e91bdf2" ns2:_="" ns3:_="">
    <xsd:import namespace="5843c966-cb45-4885-93fc-2ce78a94204b"/>
    <xsd:import namespace="ac131f03-315b-4cd8-8e3a-6189969fd4f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3c966-cb45-4885-93fc-2ce78a9420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131f03-315b-4cd8-8e3a-6189969fd4f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80c5cd3-642e-4cca-8698-4a581b2b2d57}" ma:internalName="TaxCatchAll" ma:showField="CatchAllData" ma:web="ac131f03-315b-4cd8-8e3a-6189969fd4f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ECFINStandard.xsl" StyleName="ECFIN - Standard" Version="2021.02"/>
</file>

<file path=customXml/itemProps1.xml><?xml version="1.0" encoding="utf-8"?>
<ds:datastoreItem xmlns:ds="http://schemas.openxmlformats.org/officeDocument/2006/customXml" ds:itemID="{0A6755DF-4ACE-4E95-939C-86530C19F84C}">
  <ds:schemaRefs>
    <ds:schemaRef ds:uri="http://schemas.microsoft.com/office/2006/metadata/properties"/>
    <ds:schemaRef ds:uri="http://schemas.microsoft.com/office/infopath/2007/PartnerControls"/>
    <ds:schemaRef ds:uri="5843c966-cb45-4885-93fc-2ce78a94204b"/>
    <ds:schemaRef ds:uri="ac131f03-315b-4cd8-8e3a-6189969fd4f0"/>
  </ds:schemaRefs>
</ds:datastoreItem>
</file>

<file path=customXml/itemProps2.xml><?xml version="1.0" encoding="utf-8"?>
<ds:datastoreItem xmlns:ds="http://schemas.openxmlformats.org/officeDocument/2006/customXml" ds:itemID="{CBA21B03-9DAE-40E7-A92F-DD0CDF9783AD}">
  <ds:schemaRefs>
    <ds:schemaRef ds:uri="http://schemas.microsoft.com/sharepoint/v3/contenttype/forms"/>
  </ds:schemaRefs>
</ds:datastoreItem>
</file>

<file path=customXml/itemProps3.xml><?xml version="1.0" encoding="utf-8"?>
<ds:datastoreItem xmlns:ds="http://schemas.openxmlformats.org/officeDocument/2006/customXml" ds:itemID="{1A51C30F-824B-4B24-A081-D54E77FE9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3c966-cb45-4885-93fc-2ce78a94204b"/>
    <ds:schemaRef ds:uri="ac131f03-315b-4cd8-8e3a-6189969fd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23BD1C-80B5-445A-A45E-20082BA7B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14</TotalTime>
  <Pages>6</Pages>
  <Words>1184</Words>
  <Characters>6822</Characters>
  <Application>Microsoft Office Word</Application>
  <DocSecurity>0</DocSecurity>
  <Lines>151</Lines>
  <Paragraphs>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WOJCIECHOWSKA Eliza (SG)</cp:lastModifiedBy>
  <cp:revision>44</cp:revision>
  <cp:lastPrinted>2013-04-25T18:19:00Z</cp:lastPrinted>
  <dcterms:created xsi:type="dcterms:W3CDTF">2025-05-26T08:37:00Z</dcterms:created>
  <dcterms:modified xsi:type="dcterms:W3CDTF">2025-06-04T08:44:00Z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5.8.64.0</vt:lpwstr>
  </property>
  <property fmtid="{D5CDD505-2E9C-101B-9397-08002B2CF9AE}" pid="4" name="Last edited using">
    <vt:lpwstr>LW 9.1, Build 20240808</vt:lpwstr>
  </property>
  <property fmtid="{D5CDD505-2E9C-101B-9397-08002B2CF9AE}" pid="5" name="Created using">
    <vt:lpwstr>LW 5.8.2, Build 20120919</vt:lpwstr>
  </property>
  <property fmtid="{D5CDD505-2E9C-101B-9397-08002B2CF9AE}" pid="6" name="_NewReviewCycle">
    <vt:lpwstr/>
  </property>
  <property fmtid="{D5CDD505-2E9C-101B-9397-08002B2CF9AE}" pid="7" name="LWTemplateID">
    <vt:lpwstr>SJ-016</vt:lpwstr>
  </property>
  <property fmtid="{D5CDD505-2E9C-101B-9397-08002B2CF9AE}" pid="8" name="Part">
    <vt:lpwstr>1</vt:lpwstr>
  </property>
  <property fmtid="{D5CDD505-2E9C-101B-9397-08002B2CF9AE}" pid="9" name="Total parts">
    <vt:lpwstr>1</vt:lpwstr>
  </property>
  <property fmtid="{D5CDD505-2E9C-101B-9397-08002B2CF9AE}" pid="10" name="Level of sensitivity">
    <vt:lpwstr>Standard treatment</vt:lpwstr>
  </property>
  <property fmtid="{D5CDD505-2E9C-101B-9397-08002B2CF9AE}" pid="11" name="MSIP_Label_6bd9ddd1-4d20-43f6-abfa-fc3c07406f94_Enabled">
    <vt:lpwstr>true</vt:lpwstr>
  </property>
  <property fmtid="{D5CDD505-2E9C-101B-9397-08002B2CF9AE}" pid="12" name="MSIP_Label_6bd9ddd1-4d20-43f6-abfa-fc3c07406f94_SetDate">
    <vt:lpwstr>2025-03-11T13:53:40Z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ae1bf1ba-f335-4abf-8164-6bc6de051467</vt:lpwstr>
  </property>
  <property fmtid="{D5CDD505-2E9C-101B-9397-08002B2CF9AE}" pid="17" name="MSIP_Label_6bd9ddd1-4d20-43f6-abfa-fc3c07406f94_ContentBits">
    <vt:lpwstr>0</vt:lpwstr>
  </property>
  <property fmtid="{D5CDD505-2E9C-101B-9397-08002B2CF9AE}" pid="18" name="ContentTypeId">
    <vt:lpwstr>0x010100199782AF6692CB4E8097BF428225D135</vt:lpwstr>
  </property>
  <property fmtid="{D5CDD505-2E9C-101B-9397-08002B2CF9AE}" pid="19" name="MediaServiceImageTags">
    <vt:lpwstr/>
  </property>
  <property fmtid="{D5CDD505-2E9C-101B-9397-08002B2CF9AE}" pid="20" name="DQCStatus">
    <vt:lpwstr>Yellow (DQC version 03)</vt:lpwstr>
  </property>
</Properties>
</file>