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1DA" w:rsidRDefault="001B1F0B" w:rsidP="001B1F0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DA4BF42-0183-4363-9DDF-C59FAE6E1934" style="width:455.25pt;height:426pt">
            <v:imagedata r:id="rId8" o:title=""/>
          </v:shape>
        </w:pict>
      </w:r>
    </w:p>
    <w:p w:rsidR="00D761DA" w:rsidRDefault="00D761DA" w:rsidP="00D761DA">
      <w:pPr>
        <w:rPr>
          <w:noProof/>
        </w:rPr>
        <w:sectPr w:rsidR="00D761DA" w:rsidSect="001B1F0B">
          <w:footerReference w:type="even" r:id="rId9"/>
          <w:footerReference w:type="default" r:id="rId10"/>
          <w:pgSz w:w="11907" w:h="16839"/>
          <w:pgMar w:top="1134" w:right="1417" w:bottom="1134" w:left="1417" w:header="709" w:footer="709" w:gutter="0"/>
          <w:pgNumType w:start="0"/>
          <w:cols w:space="720"/>
          <w:docGrid w:linePitch="360"/>
        </w:sectPr>
      </w:pPr>
    </w:p>
    <w:p w:rsidR="00D761DA" w:rsidRDefault="00D761DA">
      <w:pPr>
        <w:pStyle w:val="Exposdesmotifstitre"/>
        <w:rPr>
          <w:noProof/>
        </w:rPr>
      </w:pPr>
      <w:bookmarkStart w:id="0" w:name="_GoBack"/>
      <w:bookmarkEnd w:id="0"/>
      <w:r w:rsidRPr="006F770D">
        <w:rPr>
          <w:noProof/>
        </w:rPr>
        <w:lastRenderedPageBreak/>
        <w:t>EXPLANATORY MEMORANDUM</w:t>
      </w:r>
    </w:p>
    <w:p w:rsidR="00D761DA" w:rsidRPr="006F770D" w:rsidRDefault="00D761DA">
      <w:pPr>
        <w:pStyle w:val="ManualHeading1"/>
        <w:rPr>
          <w:noProof/>
        </w:rPr>
      </w:pPr>
      <w:bookmarkStart w:id="1" w:name="_Toc198557732"/>
      <w:r w:rsidRPr="00C567EE">
        <w:rPr>
          <w:noProof/>
        </w:rPr>
        <w:t>1.</w:t>
      </w:r>
      <w:r w:rsidRPr="00C567EE">
        <w:rPr>
          <w:noProof/>
        </w:rPr>
        <w:tab/>
      </w:r>
      <w:r w:rsidRPr="006F770D">
        <w:rPr>
          <w:noProof/>
        </w:rPr>
        <w:t>CONTEXT OF THE PROPOSAL</w:t>
      </w:r>
      <w:bookmarkEnd w:id="1"/>
    </w:p>
    <w:p w:rsidR="00D761DA" w:rsidRPr="00044058" w:rsidRDefault="00D761DA">
      <w:pPr>
        <w:pStyle w:val="ManualHeading2"/>
        <w:rPr>
          <w:rFonts w:eastAsia="Arial Unicode MS"/>
          <w:noProof/>
        </w:rPr>
      </w:pPr>
      <w:bookmarkStart w:id="2" w:name="_Toc198557733"/>
      <w:r w:rsidRPr="0029266A">
        <w:rPr>
          <w:rFonts w:eastAsia="Arial Unicode MS"/>
          <w:noProof/>
          <w:color w:val="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Reasons for and objectives of the proposal</w:t>
      </w:r>
      <w:bookmarkEnd w:id="2"/>
    </w:p>
    <w:p w:rsidR="216ACF02" w:rsidRDefault="00FE636F" w:rsidP="009C51B9">
      <w:pPr>
        <w:tabs>
          <w:tab w:val="left" w:pos="720"/>
        </w:tabs>
        <w:spacing w:before="0"/>
        <w:rPr>
          <w:rFonts w:eastAsia="Times New Roman"/>
          <w:noProof/>
          <w:color w:val="000000" w:themeColor="text1"/>
          <w:lang w:eastAsia="en-IE"/>
        </w:rPr>
      </w:pPr>
      <w:r w:rsidRPr="68A00996">
        <w:rPr>
          <w:rFonts w:eastAsia="Times New Roman"/>
          <w:noProof/>
          <w:color w:val="000000" w:themeColor="text1"/>
          <w:lang w:eastAsia="en-IE"/>
        </w:rPr>
        <w:t xml:space="preserve">Relaunching the European securitisation market </w:t>
      </w:r>
      <w:r w:rsidR="00953E0D">
        <w:rPr>
          <w:rFonts w:eastAsia="Times New Roman"/>
          <w:noProof/>
          <w:color w:val="000000" w:themeColor="text1"/>
          <w:lang w:eastAsia="en-IE"/>
        </w:rPr>
        <w:t xml:space="preserve">can </w:t>
      </w:r>
      <w:r w:rsidR="006477DD" w:rsidRPr="3FA484E5">
        <w:rPr>
          <w:rFonts w:eastAsia="Times New Roman"/>
          <w:noProof/>
          <w:color w:val="000000" w:themeColor="text1"/>
          <w:lang w:eastAsia="en-IE"/>
        </w:rPr>
        <w:t>help increas</w:t>
      </w:r>
      <w:r w:rsidR="00953E0D">
        <w:rPr>
          <w:rFonts w:eastAsia="Times New Roman"/>
          <w:noProof/>
          <w:color w:val="000000" w:themeColor="text1"/>
          <w:lang w:eastAsia="en-IE"/>
        </w:rPr>
        <w:t>ing</w:t>
      </w:r>
      <w:r w:rsidR="006477DD" w:rsidRPr="3FA484E5">
        <w:rPr>
          <w:rFonts w:eastAsia="Times New Roman"/>
          <w:noProof/>
          <w:color w:val="000000" w:themeColor="text1"/>
          <w:lang w:eastAsia="en-IE"/>
        </w:rPr>
        <w:t xml:space="preserve"> </w:t>
      </w:r>
      <w:r w:rsidRPr="68A00996">
        <w:rPr>
          <w:rFonts w:eastAsia="Times New Roman"/>
          <w:noProof/>
          <w:color w:val="000000" w:themeColor="text1"/>
          <w:lang w:eastAsia="en-IE"/>
        </w:rPr>
        <w:t xml:space="preserve">the amount of financing available </w:t>
      </w:r>
      <w:r w:rsidR="173E8942" w:rsidRPr="481F866A">
        <w:rPr>
          <w:rFonts w:eastAsia="Times New Roman"/>
          <w:noProof/>
          <w:color w:val="000000" w:themeColor="text1"/>
          <w:lang w:eastAsia="en-IE"/>
        </w:rPr>
        <w:t>to</w:t>
      </w:r>
      <w:r w:rsidRPr="68A00996">
        <w:rPr>
          <w:rFonts w:eastAsia="Times New Roman"/>
          <w:noProof/>
          <w:color w:val="000000" w:themeColor="text1"/>
          <w:lang w:eastAsia="en-IE"/>
        </w:rPr>
        <w:t xml:space="preserve"> the real economy</w:t>
      </w:r>
      <w:r w:rsidR="009E008A" w:rsidRPr="68A00996">
        <w:rPr>
          <w:rFonts w:eastAsia="Times New Roman"/>
          <w:noProof/>
          <w:color w:val="000000" w:themeColor="text1"/>
          <w:lang w:eastAsia="en-IE"/>
        </w:rPr>
        <w:t xml:space="preserve">. </w:t>
      </w:r>
      <w:r w:rsidR="5EB56DB9" w:rsidRPr="481F866A">
        <w:rPr>
          <w:rFonts w:eastAsia="Times New Roman"/>
          <w:noProof/>
          <w:color w:val="000000" w:themeColor="text1"/>
          <w:lang w:eastAsia="en-IE"/>
        </w:rPr>
        <w:t>Th</w:t>
      </w:r>
      <w:r w:rsidR="00953E0D">
        <w:rPr>
          <w:rFonts w:eastAsia="Times New Roman"/>
          <w:noProof/>
          <w:color w:val="000000" w:themeColor="text1"/>
          <w:lang w:eastAsia="en-IE"/>
        </w:rPr>
        <w:t>at</w:t>
      </w:r>
      <w:r w:rsidR="5EB56DB9" w:rsidRPr="481F866A">
        <w:rPr>
          <w:rFonts w:eastAsia="Times New Roman"/>
          <w:noProof/>
          <w:color w:val="000000" w:themeColor="text1"/>
          <w:lang w:eastAsia="en-IE"/>
        </w:rPr>
        <w:t xml:space="preserve"> is </w:t>
      </w:r>
      <w:r w:rsidR="6975A649" w:rsidRPr="6A30DCFD">
        <w:rPr>
          <w:rFonts w:eastAsia="Times New Roman"/>
          <w:noProof/>
          <w:color w:val="000000" w:themeColor="text1"/>
          <w:lang w:eastAsia="en-IE"/>
        </w:rPr>
        <w:t>more important than ever i</w:t>
      </w:r>
      <w:r w:rsidR="216ACF02" w:rsidRPr="6A30DCFD">
        <w:rPr>
          <w:rFonts w:eastAsia="Times New Roman"/>
          <w:noProof/>
          <w:color w:val="000000" w:themeColor="text1"/>
        </w:rPr>
        <w:t>n</w:t>
      </w:r>
      <w:r w:rsidR="216ACF02" w:rsidRPr="611EFDF0">
        <w:rPr>
          <w:rFonts w:eastAsia="Times New Roman"/>
          <w:noProof/>
          <w:color w:val="000000" w:themeColor="text1"/>
        </w:rPr>
        <w:t xml:space="preserve"> the current economic and geopolitical environment</w:t>
      </w:r>
      <w:r w:rsidR="7A24CADF" w:rsidRPr="6A30DCFD">
        <w:rPr>
          <w:rFonts w:eastAsia="Times New Roman"/>
          <w:noProof/>
          <w:color w:val="000000" w:themeColor="text1"/>
        </w:rPr>
        <w:t xml:space="preserve"> where</w:t>
      </w:r>
      <w:r w:rsidR="216ACF02" w:rsidRPr="611EFDF0">
        <w:rPr>
          <w:rFonts w:eastAsia="Times New Roman"/>
          <w:noProof/>
          <w:color w:val="000000" w:themeColor="text1"/>
        </w:rPr>
        <w:t xml:space="preserve"> the Union faces significant investment needs to remain resilient and competitive. </w:t>
      </w:r>
      <w:r w:rsidR="03EF06C1" w:rsidRPr="30D9F364">
        <w:rPr>
          <w:rFonts w:eastAsia="Times New Roman"/>
          <w:noProof/>
          <w:color w:val="000000" w:themeColor="text1"/>
          <w:lang w:eastAsia="en-IE"/>
        </w:rPr>
        <w:t xml:space="preserve">Well-functioning securitisation markets can contribute to higher economic </w:t>
      </w:r>
      <w:r w:rsidR="03EF06C1" w:rsidRPr="014C704E">
        <w:rPr>
          <w:rFonts w:eastAsia="Times New Roman"/>
          <w:noProof/>
          <w:color w:val="000000" w:themeColor="text1"/>
          <w:lang w:eastAsia="en-IE"/>
        </w:rPr>
        <w:t>growth</w:t>
      </w:r>
      <w:r w:rsidR="03EF06C1" w:rsidRPr="30D9F364">
        <w:rPr>
          <w:rFonts w:eastAsia="Times New Roman"/>
          <w:noProof/>
          <w:color w:val="000000" w:themeColor="text1"/>
          <w:lang w:eastAsia="en-IE"/>
        </w:rPr>
        <w:t xml:space="preserve"> and facilitate funding of U</w:t>
      </w:r>
      <w:r w:rsidR="00953E0D">
        <w:rPr>
          <w:rFonts w:eastAsia="Times New Roman"/>
          <w:noProof/>
          <w:color w:val="000000" w:themeColor="text1"/>
          <w:lang w:eastAsia="en-IE"/>
        </w:rPr>
        <w:t>nion</w:t>
      </w:r>
      <w:r w:rsidR="03EF06C1" w:rsidRPr="30D9F364">
        <w:rPr>
          <w:rFonts w:eastAsia="Times New Roman"/>
          <w:noProof/>
          <w:color w:val="000000" w:themeColor="text1"/>
          <w:lang w:eastAsia="en-IE"/>
        </w:rPr>
        <w:t xml:space="preserve"> strategic objectives</w:t>
      </w:r>
      <w:r>
        <w:rPr>
          <w:rFonts w:eastAsia="Times New Roman"/>
          <w:noProof/>
          <w:color w:val="000000" w:themeColor="text1"/>
          <w:lang w:eastAsia="en-IE"/>
        </w:rPr>
        <w:t xml:space="preserve">, including </w:t>
      </w:r>
      <w:r>
        <w:rPr>
          <w:rFonts w:eastAsia="Times New Roman"/>
          <w:noProof/>
          <w:color w:val="000000" w:themeColor="text1"/>
          <w:lang w:val="en-US" w:eastAsia="en-IE"/>
        </w:rPr>
        <w:t>investments in the green, digital and social transition,</w:t>
      </w:r>
      <w:r w:rsidR="03EF06C1" w:rsidRPr="68804BC9">
        <w:rPr>
          <w:rFonts w:eastAsia="Times New Roman"/>
          <w:noProof/>
          <w:color w:val="000000" w:themeColor="text1"/>
          <w:lang w:eastAsia="en-IE"/>
        </w:rPr>
        <w:t xml:space="preserve"> </w:t>
      </w:r>
      <w:r w:rsidR="03EF06C1" w:rsidRPr="2AD58ABC">
        <w:rPr>
          <w:rFonts w:eastAsia="Times New Roman"/>
          <w:noProof/>
          <w:color w:val="000000" w:themeColor="text1"/>
        </w:rPr>
        <w:t xml:space="preserve">by allowing banks to transfer risks to those that are </w:t>
      </w:r>
      <w:r w:rsidR="6FAFAD4A" w:rsidRPr="7B5CB5DB">
        <w:rPr>
          <w:rFonts w:eastAsia="Times New Roman"/>
          <w:noProof/>
          <w:color w:val="000000" w:themeColor="text1"/>
        </w:rPr>
        <w:t>best suited</w:t>
      </w:r>
      <w:r w:rsidR="03EF06C1" w:rsidRPr="2AD58ABC">
        <w:rPr>
          <w:rFonts w:eastAsia="Times New Roman"/>
          <w:noProof/>
          <w:color w:val="000000" w:themeColor="text1"/>
        </w:rPr>
        <w:t xml:space="preserve"> to bear them and thereby free up their capital</w:t>
      </w:r>
      <w:r w:rsidR="00A20718">
        <w:rPr>
          <w:rFonts w:eastAsia="Times New Roman"/>
          <w:noProof/>
          <w:color w:val="000000" w:themeColor="text1"/>
        </w:rPr>
        <w:t xml:space="preserve">. </w:t>
      </w:r>
      <w:r w:rsidR="00A20718" w:rsidRPr="3FA484E5">
        <w:rPr>
          <w:rFonts w:eastAsia="Times New Roman"/>
          <w:noProof/>
          <w:color w:val="000000" w:themeColor="text1"/>
        </w:rPr>
        <w:t>Banks are expected to use this capital</w:t>
      </w:r>
      <w:r w:rsidR="03EF06C1" w:rsidRPr="2AD58ABC">
        <w:rPr>
          <w:rFonts w:eastAsia="Times New Roman"/>
          <w:noProof/>
          <w:color w:val="000000" w:themeColor="text1"/>
        </w:rPr>
        <w:t xml:space="preserve"> for additional lending</w:t>
      </w:r>
      <w:r w:rsidR="62B87668" w:rsidRPr="41D2659C">
        <w:rPr>
          <w:rFonts w:eastAsia="Times New Roman"/>
          <w:noProof/>
          <w:color w:val="000000" w:themeColor="text1"/>
        </w:rPr>
        <w:t xml:space="preserve"> to households and businesses, including </w:t>
      </w:r>
      <w:r w:rsidR="288E7875" w:rsidRPr="15D35157">
        <w:rPr>
          <w:rFonts w:eastAsia="Times New Roman"/>
          <w:noProof/>
          <w:color w:val="000000" w:themeColor="text1"/>
        </w:rPr>
        <w:t>small and medium-sized enterprises</w:t>
      </w:r>
      <w:r w:rsidR="62B87668" w:rsidRPr="15D35157">
        <w:rPr>
          <w:rFonts w:eastAsia="Times New Roman"/>
          <w:noProof/>
          <w:color w:val="000000" w:themeColor="text1"/>
        </w:rPr>
        <w:t xml:space="preserve"> </w:t>
      </w:r>
      <w:r w:rsidR="30C25EA5" w:rsidRPr="15D35157">
        <w:rPr>
          <w:rFonts w:eastAsia="Times New Roman"/>
          <w:noProof/>
          <w:color w:val="000000" w:themeColor="text1"/>
        </w:rPr>
        <w:t>(</w:t>
      </w:r>
      <w:r w:rsidR="62B87668" w:rsidRPr="72F1095B">
        <w:rPr>
          <w:rFonts w:eastAsia="Times New Roman"/>
          <w:noProof/>
          <w:color w:val="000000" w:themeColor="text1"/>
        </w:rPr>
        <w:t>SMEs</w:t>
      </w:r>
      <w:r w:rsidR="179274DD" w:rsidRPr="15D35157">
        <w:rPr>
          <w:rFonts w:eastAsia="Times New Roman"/>
          <w:noProof/>
          <w:color w:val="000000" w:themeColor="text1"/>
        </w:rPr>
        <w:t>)</w:t>
      </w:r>
      <w:r w:rsidR="03EF06C1" w:rsidRPr="15D35157">
        <w:rPr>
          <w:rFonts w:eastAsia="Times New Roman"/>
          <w:noProof/>
          <w:color w:val="000000" w:themeColor="text1"/>
          <w:lang w:eastAsia="en-IE"/>
        </w:rPr>
        <w:t>.</w:t>
      </w:r>
      <w:r w:rsidR="03EF06C1" w:rsidRPr="30D9F364">
        <w:rPr>
          <w:rFonts w:eastAsia="Times New Roman"/>
          <w:noProof/>
          <w:color w:val="000000" w:themeColor="text1"/>
          <w:lang w:eastAsia="en-IE"/>
        </w:rPr>
        <w:t xml:space="preserve"> </w:t>
      </w:r>
      <w:r w:rsidR="22EFFBC1" w:rsidRPr="3D674879">
        <w:rPr>
          <w:rFonts w:eastAsia="Times New Roman"/>
          <w:noProof/>
          <w:color w:val="000000" w:themeColor="text1"/>
          <w:lang w:eastAsia="en-IE"/>
        </w:rPr>
        <w:t xml:space="preserve">By redistributing risk within </w:t>
      </w:r>
      <w:r w:rsidR="22EFFBC1" w:rsidRPr="60AC632C">
        <w:rPr>
          <w:rFonts w:eastAsia="Times New Roman"/>
          <w:noProof/>
          <w:color w:val="000000" w:themeColor="text1"/>
          <w:lang w:eastAsia="en-IE"/>
        </w:rPr>
        <w:t xml:space="preserve">the wider financial system, securitisation </w:t>
      </w:r>
      <w:r w:rsidR="22EFFBC1" w:rsidRPr="14A949C6">
        <w:rPr>
          <w:rFonts w:eastAsia="Times New Roman"/>
          <w:noProof/>
          <w:color w:val="000000" w:themeColor="text1"/>
          <w:lang w:eastAsia="en-IE"/>
        </w:rPr>
        <w:t>can</w:t>
      </w:r>
      <w:r w:rsidR="00C45465">
        <w:rPr>
          <w:rFonts w:eastAsia="Times New Roman"/>
          <w:noProof/>
          <w:color w:val="000000" w:themeColor="text1"/>
          <w:lang w:eastAsia="en-IE"/>
        </w:rPr>
        <w:t xml:space="preserve"> also</w:t>
      </w:r>
      <w:r w:rsidR="22EFFBC1" w:rsidRPr="14A949C6">
        <w:rPr>
          <w:rFonts w:eastAsia="Times New Roman"/>
          <w:noProof/>
          <w:color w:val="000000" w:themeColor="text1"/>
          <w:lang w:eastAsia="en-IE"/>
        </w:rPr>
        <w:t xml:space="preserve"> </w:t>
      </w:r>
      <w:r w:rsidR="22EFFBC1" w:rsidRPr="71CD060A">
        <w:rPr>
          <w:rFonts w:eastAsia="Times New Roman"/>
          <w:noProof/>
          <w:color w:val="000000" w:themeColor="text1"/>
          <w:lang w:eastAsia="en-IE"/>
        </w:rPr>
        <w:t>provide</w:t>
      </w:r>
      <w:r w:rsidR="22EFFBC1" w:rsidRPr="14A949C6">
        <w:rPr>
          <w:rFonts w:eastAsia="Times New Roman"/>
          <w:noProof/>
          <w:color w:val="000000" w:themeColor="text1"/>
          <w:lang w:eastAsia="en-IE"/>
        </w:rPr>
        <w:t xml:space="preserve"> capital market investors</w:t>
      </w:r>
      <w:r w:rsidR="22EFFBC1" w:rsidRPr="71CD060A">
        <w:rPr>
          <w:rFonts w:eastAsia="Times New Roman"/>
          <w:noProof/>
          <w:color w:val="000000" w:themeColor="text1"/>
          <w:lang w:eastAsia="en-IE"/>
        </w:rPr>
        <w:t xml:space="preserve"> with more </w:t>
      </w:r>
      <w:r w:rsidR="22EFFBC1" w:rsidRPr="36CE2F73">
        <w:rPr>
          <w:rFonts w:eastAsia="Times New Roman"/>
          <w:noProof/>
          <w:color w:val="000000" w:themeColor="text1"/>
          <w:lang w:eastAsia="en-IE"/>
        </w:rPr>
        <w:t>investment opportunities.</w:t>
      </w:r>
      <w:r w:rsidR="22EFFBC1" w:rsidRPr="14A949C6">
        <w:rPr>
          <w:rFonts w:eastAsia="Times New Roman"/>
          <w:noProof/>
          <w:color w:val="000000" w:themeColor="text1"/>
          <w:lang w:eastAsia="en-IE"/>
        </w:rPr>
        <w:t xml:space="preserve"> </w:t>
      </w:r>
      <w:r w:rsidR="00134163">
        <w:rPr>
          <w:rFonts w:eastAsia="Times New Roman"/>
          <w:noProof/>
          <w:color w:val="000000" w:themeColor="text1"/>
          <w:lang w:eastAsia="en-IE"/>
        </w:rPr>
        <w:t>T</w:t>
      </w:r>
      <w:r w:rsidR="00134163" w:rsidRPr="47758E3F">
        <w:rPr>
          <w:rFonts w:eastAsia="Times New Roman"/>
          <w:noProof/>
          <w:color w:val="000000" w:themeColor="text1"/>
          <w:lang w:eastAsia="en-IE"/>
        </w:rPr>
        <w:t xml:space="preserve">he current EU securitisation framework is keeping the EU economy from reaping many of the benefits that </w:t>
      </w:r>
      <w:r w:rsidR="00134163" w:rsidRPr="1F11749C">
        <w:rPr>
          <w:rFonts w:eastAsia="Times New Roman"/>
          <w:noProof/>
          <w:color w:val="000000" w:themeColor="text1"/>
          <w:lang w:eastAsia="en-IE"/>
        </w:rPr>
        <w:t>securitisation can offer.</w:t>
      </w:r>
    </w:p>
    <w:p w:rsidR="216ACF02" w:rsidRDefault="00A20718" w:rsidP="009C51B9">
      <w:pPr>
        <w:tabs>
          <w:tab w:val="left" w:pos="720"/>
        </w:tabs>
        <w:spacing w:before="0"/>
        <w:rPr>
          <w:rFonts w:eastAsia="Times New Roman"/>
          <w:noProof/>
          <w:color w:val="000000" w:themeColor="text1"/>
          <w:lang w:eastAsia="en-IE"/>
        </w:rPr>
      </w:pPr>
      <w:r>
        <w:rPr>
          <w:rFonts w:eastAsia="Times New Roman"/>
          <w:noProof/>
          <w:color w:val="000000" w:themeColor="text1"/>
          <w:lang w:eastAsia="en-IE"/>
        </w:rPr>
        <w:t>The</w:t>
      </w:r>
      <w:r w:rsidR="03EF06C1" w:rsidRPr="30D9F364">
        <w:rPr>
          <w:rFonts w:eastAsia="Times New Roman"/>
          <w:noProof/>
          <w:color w:val="000000" w:themeColor="text1"/>
          <w:lang w:eastAsia="en-IE"/>
        </w:rPr>
        <w:t xml:space="preserve"> reports from Enrico Letta</w:t>
      </w:r>
      <w:r w:rsidR="00722A42">
        <w:rPr>
          <w:rStyle w:val="FootnoteReference"/>
          <w:rFonts w:eastAsia="Times New Roman"/>
          <w:noProof/>
          <w:color w:val="000000" w:themeColor="text1"/>
          <w:lang w:eastAsia="en-IE"/>
        </w:rPr>
        <w:footnoteReference w:id="2"/>
      </w:r>
      <w:r w:rsidR="03EF06C1" w:rsidRPr="30D9F364">
        <w:rPr>
          <w:rFonts w:eastAsia="Times New Roman"/>
          <w:noProof/>
          <w:color w:val="000000" w:themeColor="text1"/>
          <w:lang w:eastAsia="en-IE"/>
        </w:rPr>
        <w:t xml:space="preserve"> and Mario Draghi</w:t>
      </w:r>
      <w:r w:rsidR="00722A42">
        <w:rPr>
          <w:rStyle w:val="FootnoteReference"/>
          <w:rFonts w:eastAsia="Times New Roman"/>
          <w:noProof/>
          <w:color w:val="000000" w:themeColor="text1"/>
          <w:lang w:eastAsia="en-IE"/>
        </w:rPr>
        <w:footnoteReference w:id="3"/>
      </w:r>
      <w:r w:rsidR="03EF06C1" w:rsidRPr="30D9F364">
        <w:rPr>
          <w:rFonts w:eastAsia="Times New Roman"/>
          <w:noProof/>
          <w:color w:val="000000" w:themeColor="text1"/>
          <w:lang w:eastAsia="en-IE"/>
        </w:rPr>
        <w:t xml:space="preserve"> </w:t>
      </w:r>
      <w:r w:rsidR="16D5FB39" w:rsidRPr="39D55131">
        <w:rPr>
          <w:rFonts w:eastAsia="Times New Roman"/>
          <w:noProof/>
          <w:color w:val="000000" w:themeColor="text1"/>
          <w:lang w:eastAsia="en-IE"/>
        </w:rPr>
        <w:t xml:space="preserve">have recommended </w:t>
      </w:r>
      <w:r w:rsidR="16D5FB39" w:rsidRPr="3A5DA061">
        <w:rPr>
          <w:rFonts w:eastAsia="Times New Roman"/>
          <w:noProof/>
          <w:color w:val="000000" w:themeColor="text1"/>
          <w:lang w:eastAsia="en-IE"/>
        </w:rPr>
        <w:t xml:space="preserve">securitisation </w:t>
      </w:r>
      <w:r w:rsidR="03EF06C1" w:rsidRPr="3A5DA061">
        <w:rPr>
          <w:rFonts w:eastAsia="Times New Roman"/>
          <w:noProof/>
          <w:color w:val="000000" w:themeColor="text1"/>
          <w:lang w:eastAsia="en-IE"/>
        </w:rPr>
        <w:t>as</w:t>
      </w:r>
      <w:r w:rsidR="03EF06C1" w:rsidRPr="30D9F364">
        <w:rPr>
          <w:rFonts w:eastAsia="Times New Roman"/>
          <w:noProof/>
          <w:color w:val="000000" w:themeColor="text1"/>
          <w:lang w:eastAsia="en-IE"/>
        </w:rPr>
        <w:t xml:space="preserve"> a means of strengthening the lending capacity of European </w:t>
      </w:r>
      <w:r w:rsidR="00B339B9">
        <w:rPr>
          <w:rFonts w:eastAsia="Times New Roman"/>
          <w:noProof/>
          <w:color w:val="000000" w:themeColor="text1"/>
          <w:lang w:eastAsia="en-IE"/>
        </w:rPr>
        <w:t xml:space="preserve">Union’s </w:t>
      </w:r>
      <w:r w:rsidR="03EF06C1" w:rsidRPr="30D9F364">
        <w:rPr>
          <w:rFonts w:eastAsia="Times New Roman"/>
          <w:noProof/>
          <w:color w:val="000000" w:themeColor="text1"/>
          <w:lang w:eastAsia="en-IE"/>
        </w:rPr>
        <w:t>banks for the financing needs of EU priorities including defence, creating deeper capital markets, building the Savings and Investments Union and increasing the EU’s competitiveness.</w:t>
      </w:r>
    </w:p>
    <w:p w:rsidR="009F2C6B" w:rsidRDefault="009F2C6B" w:rsidP="009C51B9">
      <w:pPr>
        <w:tabs>
          <w:tab w:val="left" w:pos="720"/>
        </w:tabs>
        <w:spacing w:before="0"/>
        <w:textAlignment w:val="baseline"/>
        <w:rPr>
          <w:rFonts w:eastAsia="Times New Roman"/>
          <w:noProof/>
          <w:color w:val="000000" w:themeColor="text1"/>
          <w:lang w:eastAsia="en-IE"/>
        </w:rPr>
      </w:pPr>
      <w:r w:rsidRPr="68A00996">
        <w:rPr>
          <w:rFonts w:eastAsia="Times New Roman"/>
          <w:noProof/>
          <w:color w:val="000000" w:themeColor="text1"/>
          <w:lang w:eastAsia="en-IE"/>
        </w:rPr>
        <w:t>The European Council has asked the European Commission to identify measures to relaunch the European securitisation market, including “through regulatory and prudential changes, using available room for manoeuvre”</w:t>
      </w:r>
      <w:r w:rsidR="00722A42">
        <w:rPr>
          <w:rStyle w:val="FootnoteReference"/>
          <w:rFonts w:eastAsia="Times New Roman"/>
          <w:noProof/>
          <w:color w:val="000000" w:themeColor="text1"/>
          <w:lang w:eastAsia="en-IE"/>
        </w:rPr>
        <w:footnoteReference w:id="4"/>
      </w:r>
      <w:r w:rsidR="00DF068D">
        <w:rPr>
          <w:rFonts w:eastAsia="Times New Roman"/>
          <w:noProof/>
          <w:color w:val="000000" w:themeColor="text1"/>
          <w:lang w:eastAsia="en-IE"/>
        </w:rPr>
        <w:t xml:space="preserve"> and </w:t>
      </w:r>
      <w:r w:rsidR="00DF068D" w:rsidRPr="00DF068D">
        <w:rPr>
          <w:rFonts w:eastAsia="Times New Roman"/>
          <w:noProof/>
          <w:color w:val="000000" w:themeColor="text1"/>
          <w:lang w:eastAsia="en-IE"/>
        </w:rPr>
        <w:t>to swiftly propose, in 2025, a revised securitisation framework</w:t>
      </w:r>
      <w:r w:rsidR="00F83315">
        <w:rPr>
          <w:rStyle w:val="FootnoteReference"/>
          <w:rFonts w:eastAsia="Times New Roman"/>
          <w:noProof/>
          <w:color w:val="000000" w:themeColor="text1"/>
          <w:lang w:eastAsia="en-IE"/>
        </w:rPr>
        <w:footnoteReference w:id="5"/>
      </w:r>
      <w:r w:rsidRPr="68A00996">
        <w:rPr>
          <w:rFonts w:eastAsia="Times New Roman"/>
          <w:noProof/>
          <w:color w:val="000000" w:themeColor="text1"/>
          <w:lang w:eastAsia="en-IE"/>
        </w:rPr>
        <w:t xml:space="preserve">. There is also a call for action by many stakeholders, </w:t>
      </w:r>
      <w:r w:rsidRPr="27CB86ED">
        <w:rPr>
          <w:rFonts w:eastAsia="Times New Roman"/>
          <w:noProof/>
          <w:color w:val="000000" w:themeColor="text1"/>
          <w:lang w:eastAsia="en-IE"/>
        </w:rPr>
        <w:t xml:space="preserve">including </w:t>
      </w:r>
      <w:r w:rsidRPr="68A00996">
        <w:rPr>
          <w:rFonts w:eastAsia="Times New Roman"/>
          <w:noProof/>
          <w:color w:val="000000" w:themeColor="text1"/>
          <w:lang w:eastAsia="en-IE"/>
        </w:rPr>
        <w:t>issuers</w:t>
      </w:r>
      <w:r w:rsidRPr="27CB86ED">
        <w:rPr>
          <w:rFonts w:eastAsia="Times New Roman"/>
          <w:noProof/>
          <w:color w:val="000000" w:themeColor="text1"/>
          <w:lang w:eastAsia="en-IE"/>
        </w:rPr>
        <w:t>,</w:t>
      </w:r>
      <w:r>
        <w:rPr>
          <w:rFonts w:eastAsia="Times New Roman"/>
          <w:noProof/>
          <w:color w:val="000000" w:themeColor="text1"/>
          <w:lang w:eastAsia="en-IE"/>
        </w:rPr>
        <w:t xml:space="preserve"> </w:t>
      </w:r>
      <w:r w:rsidRPr="68A00996">
        <w:rPr>
          <w:rFonts w:eastAsia="Times New Roman"/>
          <w:noProof/>
          <w:color w:val="000000" w:themeColor="text1"/>
          <w:lang w:eastAsia="en-IE"/>
        </w:rPr>
        <w:t xml:space="preserve">investors </w:t>
      </w:r>
      <w:r w:rsidRPr="6C4E0C55">
        <w:rPr>
          <w:rFonts w:eastAsia="Times New Roman"/>
          <w:noProof/>
          <w:color w:val="000000" w:themeColor="text1"/>
          <w:lang w:eastAsia="en-IE"/>
        </w:rPr>
        <w:t>and</w:t>
      </w:r>
      <w:r w:rsidRPr="68A00996">
        <w:rPr>
          <w:rFonts w:eastAsia="Times New Roman"/>
          <w:noProof/>
          <w:color w:val="000000" w:themeColor="text1"/>
          <w:lang w:eastAsia="en-IE"/>
        </w:rPr>
        <w:t xml:space="preserve"> supervisors, to address barriers that are hindering the development of the EU securitisation market</w:t>
      </w:r>
      <w:r w:rsidR="00722A42">
        <w:rPr>
          <w:rStyle w:val="FootnoteReference"/>
          <w:rFonts w:eastAsia="Times New Roman"/>
          <w:noProof/>
          <w:color w:val="000000" w:themeColor="text1"/>
          <w:lang w:eastAsia="en-IE"/>
        </w:rPr>
        <w:footnoteReference w:id="6"/>
      </w:r>
      <w:r w:rsidRPr="68A00996">
        <w:rPr>
          <w:rFonts w:eastAsia="Times New Roman"/>
          <w:noProof/>
          <w:color w:val="000000" w:themeColor="text1"/>
          <w:lang w:eastAsia="en-IE"/>
        </w:rPr>
        <w:t xml:space="preserve">. </w:t>
      </w:r>
    </w:p>
    <w:p w:rsidR="00FE3182" w:rsidRPr="00FE3182" w:rsidRDefault="00FE3182" w:rsidP="009C51B9">
      <w:pPr>
        <w:spacing w:before="0"/>
        <w:textAlignment w:val="baseline"/>
        <w:rPr>
          <w:rFonts w:eastAsia="Times New Roman"/>
          <w:noProof/>
          <w:szCs w:val="24"/>
          <w:lang w:eastAsia="en-IE"/>
        </w:rPr>
      </w:pPr>
      <w:r w:rsidRPr="00FE3182">
        <w:rPr>
          <w:rFonts w:eastAsia="Times New Roman"/>
          <w:noProof/>
          <w:szCs w:val="24"/>
          <w:lang w:eastAsia="en-IE"/>
        </w:rPr>
        <w:t xml:space="preserve">The EU securitisation framework was put in place in the aftermath of the 2008 financial crisis and responded to concerns about risky US securitisations. </w:t>
      </w:r>
      <w:r w:rsidR="00E72B04" w:rsidRPr="7724AE5F">
        <w:rPr>
          <w:rFonts w:eastAsia="Calibri"/>
          <w:noProof/>
          <w:lang w:val="en-IE"/>
        </w:rPr>
        <w:t>At the time, strict requirements were considered necessary to restore the reputation of the securitisation market which had been suffering from inadequate protections and severe investor distrust. Now that appropriate safeguards have been firmly embedded in the market’s organisation and securitisation is gaining back investors’ trust, a better balance between safeguards and growth opportunities - both for investments and issuance- needs to be found.</w:t>
      </w:r>
      <w:r w:rsidR="00E72B04">
        <w:rPr>
          <w:rFonts w:eastAsia="Calibri"/>
          <w:noProof/>
          <w:lang w:val="en-IE"/>
        </w:rPr>
        <w:t xml:space="preserve"> </w:t>
      </w:r>
      <w:r w:rsidRPr="00FE3182">
        <w:rPr>
          <w:rFonts w:eastAsia="Times New Roman"/>
          <w:noProof/>
          <w:szCs w:val="24"/>
          <w:lang w:eastAsia="en-IE"/>
        </w:rPr>
        <w:t xml:space="preserve">The experience with the framework indicates that it is too conservative and limits the potential use of securitisations in the EU. </w:t>
      </w:r>
      <w:r w:rsidR="007D3B14">
        <w:rPr>
          <w:rFonts w:eastAsia="Times New Roman"/>
          <w:noProof/>
          <w:szCs w:val="24"/>
          <w:lang w:eastAsia="en-IE"/>
        </w:rPr>
        <w:t xml:space="preserve">High operational costs and </w:t>
      </w:r>
      <w:r w:rsidR="003206D0">
        <w:rPr>
          <w:rFonts w:eastAsia="Times New Roman"/>
          <w:noProof/>
          <w:szCs w:val="24"/>
          <w:lang w:eastAsia="en-IE"/>
        </w:rPr>
        <w:t>overly</w:t>
      </w:r>
      <w:r w:rsidR="009E06D3">
        <w:rPr>
          <w:rFonts w:eastAsia="Times New Roman"/>
          <w:noProof/>
          <w:szCs w:val="24"/>
          <w:lang w:eastAsia="en-IE"/>
        </w:rPr>
        <w:t xml:space="preserve"> conservative capital requirements keep </w:t>
      </w:r>
      <w:r w:rsidR="008557BD">
        <w:rPr>
          <w:rFonts w:eastAsia="Times New Roman"/>
          <w:noProof/>
          <w:szCs w:val="24"/>
          <w:lang w:eastAsia="en-IE"/>
        </w:rPr>
        <w:t xml:space="preserve">many issuers and investors out of the </w:t>
      </w:r>
      <w:r w:rsidR="003206D0">
        <w:rPr>
          <w:rFonts w:eastAsia="Times New Roman"/>
          <w:noProof/>
          <w:szCs w:val="24"/>
          <w:lang w:eastAsia="en-IE"/>
        </w:rPr>
        <w:t xml:space="preserve">securitisation </w:t>
      </w:r>
      <w:r w:rsidR="008557BD">
        <w:rPr>
          <w:rFonts w:eastAsia="Times New Roman"/>
          <w:noProof/>
          <w:szCs w:val="24"/>
          <w:lang w:eastAsia="en-IE"/>
        </w:rPr>
        <w:t>market.</w:t>
      </w:r>
      <w:r w:rsidR="003206D0">
        <w:rPr>
          <w:rFonts w:eastAsia="Times New Roman"/>
          <w:noProof/>
          <w:szCs w:val="24"/>
          <w:lang w:eastAsia="en-IE"/>
        </w:rPr>
        <w:t xml:space="preserve"> </w:t>
      </w:r>
    </w:p>
    <w:p w:rsidR="00F208B3" w:rsidRPr="00F208B3" w:rsidRDefault="005A34A0" w:rsidP="009C51B9">
      <w:pPr>
        <w:spacing w:before="0"/>
        <w:rPr>
          <w:rFonts w:eastAsia="Times New Roman"/>
          <w:noProof/>
          <w:lang w:val="en-IE"/>
        </w:rPr>
      </w:pPr>
      <w:r w:rsidRPr="192C2C19">
        <w:rPr>
          <w:rFonts w:eastAsia="Times New Roman"/>
          <w:noProof/>
          <w:color w:val="000000" w:themeColor="text1"/>
          <w:lang w:val="en-IE" w:eastAsia="en-IE"/>
        </w:rPr>
        <w:t xml:space="preserve">The review aims to recognise the risk mitigants implemented in the EU securitisation regulatory and supervisory frameworks, which have significantly reduced the risks embedded in securitisation transactions, as well as the good credit performance of EU securitisations. </w:t>
      </w:r>
      <w:r w:rsidR="00E00CE0">
        <w:rPr>
          <w:rFonts w:eastAsia="Times New Roman"/>
          <w:noProof/>
          <w:lang w:val="en-IE"/>
        </w:rPr>
        <w:t>This proposal contributes to the 2024-2029 Commission</w:t>
      </w:r>
      <w:r>
        <w:rPr>
          <w:rFonts w:eastAsia="Times New Roman"/>
          <w:noProof/>
          <w:lang w:val="en-IE"/>
        </w:rPr>
        <w:t>’s</w:t>
      </w:r>
      <w:r w:rsidR="00E00CE0">
        <w:rPr>
          <w:rFonts w:eastAsia="Times New Roman"/>
          <w:noProof/>
          <w:lang w:val="en-IE"/>
        </w:rPr>
        <w:t xml:space="preserve"> priority of ‘A new plan for Europe’s sustainable prosperity and competitiveness’. </w:t>
      </w:r>
      <w:r w:rsidR="00E00CE0" w:rsidRPr="009D1371">
        <w:rPr>
          <w:rFonts w:eastAsia="Times New Roman"/>
          <w:noProof/>
          <w:lang w:val="en-IE"/>
        </w:rPr>
        <w:t>Th</w:t>
      </w:r>
      <w:r w:rsidR="00E00CE0">
        <w:rPr>
          <w:rFonts w:eastAsia="Times New Roman"/>
          <w:noProof/>
          <w:lang w:val="en-IE"/>
        </w:rPr>
        <w:t xml:space="preserve">e proposal </w:t>
      </w:r>
      <w:r w:rsidR="00E00CE0" w:rsidRPr="009D1371">
        <w:rPr>
          <w:rFonts w:eastAsia="Times New Roman"/>
          <w:noProof/>
          <w:lang w:val="en-IE"/>
        </w:rPr>
        <w:t>is</w:t>
      </w:r>
      <w:r w:rsidR="00E00CE0">
        <w:rPr>
          <w:rFonts w:eastAsia="Times New Roman"/>
          <w:noProof/>
          <w:lang w:val="en-IE"/>
        </w:rPr>
        <w:t xml:space="preserve"> a component of the Savings and Investments Union</w:t>
      </w:r>
      <w:r w:rsidR="00E00CE0" w:rsidRPr="0C5E5BFB">
        <w:rPr>
          <w:rStyle w:val="FootnoteReference"/>
          <w:rFonts w:eastAsia="Times New Roman"/>
          <w:noProof/>
          <w:lang w:val="en-IE"/>
        </w:rPr>
        <w:footnoteReference w:id="7"/>
      </w:r>
      <w:r w:rsidR="00E00CE0">
        <w:rPr>
          <w:rFonts w:eastAsia="Times New Roman"/>
          <w:noProof/>
          <w:lang w:val="en-IE"/>
        </w:rPr>
        <w:t xml:space="preserve">, which is </w:t>
      </w:r>
      <w:r w:rsidR="00E00CE0" w:rsidRPr="30D9F364">
        <w:rPr>
          <w:rFonts w:eastAsia="Times New Roman"/>
          <w:noProof/>
          <w:lang w:val="en-IE"/>
        </w:rPr>
        <w:t>a cornerstone of the 2024-2029 Commission mandate</w:t>
      </w:r>
      <w:r w:rsidR="00E00CE0">
        <w:rPr>
          <w:rFonts w:eastAsia="Times New Roman"/>
          <w:noProof/>
          <w:lang w:val="en-IE"/>
        </w:rPr>
        <w:t xml:space="preserve">, and it </w:t>
      </w:r>
      <w:r w:rsidR="00E00CE0" w:rsidRPr="009D1371">
        <w:rPr>
          <w:rFonts w:eastAsia="Times New Roman"/>
          <w:noProof/>
          <w:lang w:val="en-IE"/>
        </w:rPr>
        <w:t>is the first legislative initiative under the Savings and Investments Union.</w:t>
      </w:r>
      <w:r w:rsidR="00E00CE0" w:rsidRPr="30D9F364">
        <w:rPr>
          <w:rFonts w:eastAsia="Times New Roman"/>
          <w:noProof/>
          <w:lang w:val="en-IE"/>
        </w:rPr>
        <w:t xml:space="preserve"> </w:t>
      </w:r>
      <w:r w:rsidRPr="192C2C19">
        <w:rPr>
          <w:rFonts w:eastAsia="Times New Roman"/>
          <w:noProof/>
          <w:color w:val="000000" w:themeColor="text1"/>
          <w:lang w:val="en-IE" w:eastAsia="en-IE"/>
        </w:rPr>
        <w:t>At the same time, it is important to recognise that the Securitisation Review is not a ‘silver bullet’ on its own. The SIU project encompasses a broad range of other and complementary measures to achieve its goals.</w:t>
      </w:r>
      <w:r w:rsidR="00F208B3">
        <w:rPr>
          <w:rFonts w:eastAsia="Times New Roman"/>
          <w:noProof/>
          <w:lang w:val="en-IE"/>
        </w:rPr>
        <w:t xml:space="preserve"> </w:t>
      </w:r>
      <w:r w:rsidR="00F208B3" w:rsidRPr="192C2C19">
        <w:rPr>
          <w:rFonts w:eastAsia="Times New Roman"/>
          <w:noProof/>
          <w:color w:val="000000"/>
          <w:lang w:eastAsia="en-IE"/>
        </w:rPr>
        <w:t xml:space="preserve">Nevertheless, the European Commission expects that the amendments to the non-prudential and prudential requirements envisaged in this package of proposals will lead financial institutions to engage in more securitisation activity and, importantly, to use the resultant capital relief for additional lending. </w:t>
      </w:r>
    </w:p>
    <w:p w:rsidR="00C12C9D" w:rsidRDefault="00C12C9D" w:rsidP="009C51B9">
      <w:pPr>
        <w:spacing w:before="0"/>
        <w:textAlignment w:val="baseline"/>
        <w:rPr>
          <w:rFonts w:eastAsia="Times New Roman"/>
          <w:noProof/>
          <w:color w:val="000000" w:themeColor="text1"/>
          <w:szCs w:val="24"/>
          <w:lang w:val="en-IE" w:eastAsia="en-IE"/>
        </w:rPr>
      </w:pPr>
      <w:r w:rsidRPr="00C12C9D">
        <w:rPr>
          <w:rFonts w:eastAsia="Times New Roman"/>
          <w:noProof/>
          <w:color w:val="000000" w:themeColor="text1"/>
          <w:szCs w:val="24"/>
          <w:lang w:val="en-IE" w:eastAsia="en-IE"/>
        </w:rPr>
        <w:t xml:space="preserve">The proposed review of the </w:t>
      </w:r>
      <w:r>
        <w:rPr>
          <w:rFonts w:eastAsia="Times New Roman"/>
          <w:noProof/>
          <w:color w:val="000000" w:themeColor="text1"/>
          <w:szCs w:val="24"/>
          <w:lang w:val="en-IE" w:eastAsia="en-IE"/>
        </w:rPr>
        <w:t>EU s</w:t>
      </w:r>
      <w:r w:rsidRPr="00C12C9D">
        <w:rPr>
          <w:rFonts w:eastAsia="Times New Roman"/>
          <w:noProof/>
          <w:color w:val="000000" w:themeColor="text1"/>
          <w:szCs w:val="24"/>
          <w:lang w:val="en-IE" w:eastAsia="en-IE"/>
        </w:rPr>
        <w:t xml:space="preserve">ecuritisation </w:t>
      </w:r>
      <w:r>
        <w:rPr>
          <w:rFonts w:eastAsia="Times New Roman"/>
          <w:noProof/>
          <w:color w:val="000000" w:themeColor="text1"/>
          <w:szCs w:val="24"/>
          <w:lang w:val="en-IE" w:eastAsia="en-IE"/>
        </w:rPr>
        <w:t>f</w:t>
      </w:r>
      <w:r w:rsidRPr="00C12C9D">
        <w:rPr>
          <w:rFonts w:eastAsia="Times New Roman"/>
          <w:noProof/>
          <w:color w:val="000000" w:themeColor="text1"/>
          <w:szCs w:val="24"/>
          <w:lang w:val="en-IE" w:eastAsia="en-IE"/>
        </w:rPr>
        <w:t xml:space="preserve">ramework aims to remove undue issuance and investment barriers in the EU securitisation market, </w:t>
      </w:r>
      <w:r w:rsidRPr="00C12C9D">
        <w:rPr>
          <w:rFonts w:eastAsia="Times New Roman"/>
          <w:noProof/>
          <w:color w:val="000000" w:themeColor="text1"/>
          <w:szCs w:val="24"/>
          <w:lang w:eastAsia="en-IE"/>
        </w:rPr>
        <w:t>specifically: </w:t>
      </w:r>
      <w:r w:rsidRPr="00C12C9D">
        <w:rPr>
          <w:rFonts w:eastAsia="Times New Roman"/>
          <w:noProof/>
          <w:color w:val="000000" w:themeColor="text1"/>
          <w:szCs w:val="24"/>
          <w:lang w:val="en-IE" w:eastAsia="en-IE"/>
        </w:rPr>
        <w:t> </w:t>
      </w:r>
    </w:p>
    <w:p w:rsidR="00C12C9D" w:rsidRPr="00C12C9D" w:rsidRDefault="00C12C9D">
      <w:pPr>
        <w:pStyle w:val="Bullet0"/>
        <w:rPr>
          <w:noProof/>
          <w:lang w:val="en-IE" w:eastAsia="en-IE"/>
        </w:rPr>
      </w:pPr>
      <w:r w:rsidRPr="00C12C9D">
        <w:rPr>
          <w:noProof/>
          <w:lang w:eastAsia="en-IE"/>
        </w:rPr>
        <w:t>To reduce undue operational costs for issuers and investors, balancing with adequate standards of transparency, investor protection and supervision. </w:t>
      </w:r>
      <w:r w:rsidRPr="00C12C9D">
        <w:rPr>
          <w:noProof/>
          <w:lang w:val="en-IE" w:eastAsia="en-IE"/>
        </w:rPr>
        <w:t> </w:t>
      </w:r>
    </w:p>
    <w:p w:rsidR="00C12C9D" w:rsidRPr="00C12C9D" w:rsidRDefault="00C12C9D">
      <w:pPr>
        <w:pStyle w:val="Bullet0"/>
        <w:rPr>
          <w:noProof/>
          <w:lang w:val="en-IE" w:eastAsia="en-IE"/>
        </w:rPr>
      </w:pPr>
      <w:r w:rsidRPr="00C12C9D">
        <w:rPr>
          <w:noProof/>
          <w:lang w:eastAsia="en-IE"/>
        </w:rPr>
        <w:t>To adjust the prudential framework for banks and insurers, to better account for actual risks and remove undue prudential costs when issuing and investing in securitisations, while at the same time safeguarding financial stability. </w:t>
      </w:r>
      <w:r w:rsidRPr="00C12C9D">
        <w:rPr>
          <w:noProof/>
          <w:lang w:val="en-IE" w:eastAsia="en-IE"/>
        </w:rPr>
        <w:t> </w:t>
      </w:r>
    </w:p>
    <w:p w:rsidR="00D45168" w:rsidRPr="00722A42" w:rsidRDefault="00A50E1C" w:rsidP="009C51B9">
      <w:pPr>
        <w:textAlignment w:val="baseline"/>
        <w:rPr>
          <w:rFonts w:eastAsia="Times New Roman"/>
          <w:noProof/>
          <w:color w:val="000000" w:themeColor="text1"/>
          <w:szCs w:val="24"/>
          <w:lang w:eastAsia="en-IE"/>
        </w:rPr>
      </w:pPr>
      <w:r>
        <w:rPr>
          <w:rFonts w:eastAsia="Times New Roman"/>
          <w:noProof/>
          <w:color w:val="000000" w:themeColor="text1"/>
          <w:szCs w:val="24"/>
          <w:lang w:eastAsia="en-IE"/>
        </w:rPr>
        <w:t>The</w:t>
      </w:r>
      <w:r w:rsidR="00FE3182" w:rsidRPr="00FE3182">
        <w:rPr>
          <w:rFonts w:eastAsia="Times New Roman"/>
          <w:noProof/>
          <w:color w:val="000000" w:themeColor="text1"/>
          <w:szCs w:val="24"/>
          <w:lang w:eastAsia="en-IE"/>
        </w:rPr>
        <w:t xml:space="preserve"> main </w:t>
      </w:r>
      <w:r w:rsidR="00C6103D">
        <w:rPr>
          <w:rFonts w:eastAsia="Times New Roman"/>
          <w:noProof/>
          <w:color w:val="000000" w:themeColor="text1"/>
          <w:szCs w:val="24"/>
          <w:lang w:eastAsia="en-IE"/>
        </w:rPr>
        <w:t xml:space="preserve">financial stability </w:t>
      </w:r>
      <w:r w:rsidR="00FE3182" w:rsidRPr="00FE3182">
        <w:rPr>
          <w:rFonts w:eastAsia="Times New Roman"/>
          <w:noProof/>
          <w:color w:val="000000" w:themeColor="text1"/>
          <w:szCs w:val="24"/>
          <w:lang w:eastAsia="en-IE"/>
        </w:rPr>
        <w:t xml:space="preserve">safeguards in the framework (risk retention, ban on re-securitisation, robust credit granting standards) </w:t>
      </w:r>
      <w:r w:rsidR="0083227C">
        <w:rPr>
          <w:rFonts w:eastAsia="Times New Roman"/>
          <w:noProof/>
          <w:color w:val="000000" w:themeColor="text1"/>
          <w:szCs w:val="24"/>
          <w:lang w:eastAsia="en-IE"/>
        </w:rPr>
        <w:t>will not be affected by this reform</w:t>
      </w:r>
      <w:r w:rsidR="00FE3182" w:rsidRPr="00FE3182">
        <w:rPr>
          <w:rFonts w:eastAsia="Times New Roman"/>
          <w:noProof/>
          <w:color w:val="000000" w:themeColor="text1"/>
          <w:szCs w:val="24"/>
          <w:lang w:eastAsia="en-IE"/>
        </w:rPr>
        <w:t>.</w:t>
      </w:r>
      <w:r w:rsidR="00F02D06">
        <w:rPr>
          <w:rFonts w:eastAsia="Times New Roman"/>
          <w:noProof/>
          <w:color w:val="000000" w:themeColor="text1"/>
          <w:szCs w:val="24"/>
          <w:lang w:eastAsia="en-IE"/>
        </w:rPr>
        <w:t xml:space="preserve"> Moreover, the proposed changes are </w:t>
      </w:r>
      <w:r w:rsidR="00F32548">
        <w:rPr>
          <w:rFonts w:eastAsia="Times New Roman"/>
          <w:noProof/>
          <w:color w:val="000000" w:themeColor="text1"/>
          <w:szCs w:val="24"/>
          <w:lang w:eastAsia="en-IE"/>
        </w:rPr>
        <w:t xml:space="preserve">accompanied </w:t>
      </w:r>
      <w:r w:rsidR="009A560C">
        <w:rPr>
          <w:rFonts w:eastAsia="Times New Roman"/>
          <w:noProof/>
          <w:color w:val="000000" w:themeColor="text1"/>
          <w:szCs w:val="24"/>
          <w:lang w:eastAsia="en-IE"/>
        </w:rPr>
        <w:t xml:space="preserve">by </w:t>
      </w:r>
      <w:r w:rsidR="00F32548">
        <w:rPr>
          <w:rFonts w:eastAsia="Times New Roman"/>
          <w:noProof/>
          <w:color w:val="000000" w:themeColor="text1"/>
          <w:szCs w:val="24"/>
          <w:lang w:eastAsia="en-IE"/>
        </w:rPr>
        <w:t xml:space="preserve">changes to the supervisory framework </w:t>
      </w:r>
      <w:r w:rsidR="0004612C">
        <w:rPr>
          <w:rFonts w:eastAsia="Times New Roman"/>
          <w:noProof/>
          <w:color w:val="000000" w:themeColor="text1"/>
          <w:szCs w:val="24"/>
          <w:lang w:eastAsia="en-IE"/>
        </w:rPr>
        <w:t>that improve</w:t>
      </w:r>
      <w:r w:rsidR="00F32548">
        <w:rPr>
          <w:rFonts w:eastAsia="Times New Roman"/>
          <w:noProof/>
          <w:color w:val="000000" w:themeColor="text1"/>
          <w:szCs w:val="24"/>
          <w:lang w:eastAsia="en-IE"/>
        </w:rPr>
        <w:t xml:space="preserve"> supervisory convergence and ensure that the supervisory framework is fit for a growing </w:t>
      </w:r>
      <w:r w:rsidR="001A6E98">
        <w:rPr>
          <w:rFonts w:eastAsia="Times New Roman"/>
          <w:noProof/>
          <w:color w:val="000000" w:themeColor="text1"/>
          <w:szCs w:val="24"/>
          <w:lang w:eastAsia="en-IE"/>
        </w:rPr>
        <w:t xml:space="preserve">EU </w:t>
      </w:r>
      <w:r w:rsidR="00F32548">
        <w:rPr>
          <w:rFonts w:eastAsia="Times New Roman"/>
          <w:noProof/>
          <w:color w:val="000000" w:themeColor="text1"/>
          <w:szCs w:val="24"/>
          <w:lang w:eastAsia="en-IE"/>
        </w:rPr>
        <w:t>securitisation market.</w:t>
      </w:r>
    </w:p>
    <w:p w:rsidR="001D7D21" w:rsidRDefault="001D7D21" w:rsidP="009C51B9">
      <w:pPr>
        <w:spacing w:before="0"/>
        <w:textAlignment w:val="baseline"/>
        <w:rPr>
          <w:noProof/>
          <w:lang w:val="en-IE"/>
        </w:rPr>
      </w:pPr>
      <w:r w:rsidRPr="21CE237E">
        <w:rPr>
          <w:noProof/>
          <w:lang w:val="en-IE"/>
        </w:rPr>
        <w:t>The</w:t>
      </w:r>
      <w:r w:rsidRPr="315F740B" w:rsidDel="4A63A69A">
        <w:rPr>
          <w:noProof/>
          <w:lang w:val="en-IE"/>
        </w:rPr>
        <w:t xml:space="preserve"> </w:t>
      </w:r>
      <w:r w:rsidRPr="315F740B">
        <w:rPr>
          <w:noProof/>
          <w:lang w:val="en-IE"/>
        </w:rPr>
        <w:t xml:space="preserve">review of the EU </w:t>
      </w:r>
      <w:r>
        <w:rPr>
          <w:noProof/>
          <w:lang w:val="en-IE"/>
        </w:rPr>
        <w:t>s</w:t>
      </w:r>
      <w:r w:rsidRPr="315F740B">
        <w:rPr>
          <w:noProof/>
          <w:lang w:val="en-IE"/>
        </w:rPr>
        <w:t xml:space="preserve">ecuritisation </w:t>
      </w:r>
      <w:r>
        <w:rPr>
          <w:noProof/>
          <w:lang w:val="en-IE"/>
        </w:rPr>
        <w:t>f</w:t>
      </w:r>
      <w:r w:rsidRPr="315F740B">
        <w:rPr>
          <w:noProof/>
          <w:lang w:val="en-IE"/>
        </w:rPr>
        <w:t>ramework aims to remove undue obstacles that hinder the growth and development of the EU securitisation market, but without introducing risks to financial stability, market integrity or investor protection. To achieve this, the proposed reforms are carefully targeted to address specific impediments to issuance and (non-bank) investment. The review envisages changes to four legal acts:</w:t>
      </w:r>
    </w:p>
    <w:p w:rsidR="001D7D21" w:rsidRPr="00535DD5" w:rsidRDefault="001D7D21">
      <w:pPr>
        <w:pStyle w:val="Bullet0"/>
        <w:numPr>
          <w:ilvl w:val="0"/>
          <w:numId w:val="51"/>
        </w:numPr>
        <w:rPr>
          <w:noProof/>
          <w:lang w:val="en-IE"/>
        </w:rPr>
      </w:pPr>
      <w:r w:rsidRPr="00535DD5">
        <w:rPr>
          <w:noProof/>
          <w:lang w:val="en-IE" w:eastAsia="en-IE"/>
        </w:rPr>
        <w:t xml:space="preserve">a legislative proposal amending the </w:t>
      </w:r>
      <w:r w:rsidRPr="0C5E5BFB">
        <w:rPr>
          <w:noProof/>
          <w:lang w:eastAsia="en-IE"/>
        </w:rPr>
        <w:t>Regulation (EU) 2017/2402 of the European Parliament and of the Council (the ‘</w:t>
      </w:r>
      <w:r w:rsidRPr="00535DD5">
        <w:rPr>
          <w:noProof/>
          <w:lang w:val="en-IE" w:eastAsia="en-IE"/>
        </w:rPr>
        <w:t>Securitisation Regulation’</w:t>
      </w:r>
      <w:r w:rsidRPr="00EF20F5">
        <w:rPr>
          <w:rStyle w:val="FootnoteReference"/>
          <w:rFonts w:eastAsia="Times New Roman"/>
          <w:noProof/>
          <w:lang w:val="en-IE" w:eastAsia="en-IE"/>
        </w:rPr>
        <w:footnoteReference w:id="8"/>
      </w:r>
      <w:r w:rsidRPr="00535DD5">
        <w:rPr>
          <w:noProof/>
          <w:lang w:val="en-IE" w:eastAsia="en-IE"/>
        </w:rPr>
        <w:t>),</w:t>
      </w:r>
      <w:r w:rsidRPr="00535DD5">
        <w:rPr>
          <w:noProof/>
          <w:lang w:val="en-IE"/>
        </w:rPr>
        <w:t xml:space="preserve"> which sets out product rules and conduct rules for issuers and investors </w:t>
      </w:r>
    </w:p>
    <w:p w:rsidR="001D7D21" w:rsidRPr="00C15097" w:rsidRDefault="001D7D21" w:rsidP="00E16CEA">
      <w:pPr>
        <w:pStyle w:val="Bullet0"/>
        <w:rPr>
          <w:noProof/>
          <w:lang w:val="en-IE"/>
        </w:rPr>
      </w:pPr>
      <w:r>
        <w:rPr>
          <w:rFonts w:eastAsia="Times New Roman"/>
          <w:noProof/>
          <w:color w:val="000000"/>
          <w:lang w:val="en-IE" w:eastAsia="en-IE"/>
        </w:rPr>
        <w:t xml:space="preserve">a proposal amending </w:t>
      </w:r>
      <w:r w:rsidRPr="0C5E5BFB">
        <w:rPr>
          <w:rFonts w:eastAsia="Times New Roman"/>
          <w:noProof/>
          <w:color w:val="000000"/>
          <w:lang w:eastAsia="en-IE"/>
        </w:rPr>
        <w:t xml:space="preserve">Regulation (EU) No 575/2013 </w:t>
      </w:r>
      <w:r w:rsidRPr="0C5E5BFB">
        <w:rPr>
          <w:noProof/>
        </w:rPr>
        <w:t>of the European Parliament and of the Council</w:t>
      </w:r>
      <w:r>
        <w:rPr>
          <w:noProof/>
          <w:szCs w:val="24"/>
        </w:rPr>
        <w:t xml:space="preserve"> (</w:t>
      </w:r>
      <w:r w:rsidRPr="0C5E5BFB">
        <w:rPr>
          <w:rFonts w:eastAsia="Times New Roman"/>
          <w:noProof/>
          <w:color w:val="000000"/>
          <w:lang w:eastAsia="en-IE"/>
        </w:rPr>
        <w:t>the ‘</w:t>
      </w:r>
      <w:r w:rsidRPr="0C5E5BFB">
        <w:rPr>
          <w:rFonts w:eastAsia="Calibri"/>
          <w:noProof/>
          <w14:ligatures w14:val="standardContextual"/>
        </w:rPr>
        <w:t>Capital Requirements Regulation’ or ‘CRR’</w:t>
      </w:r>
      <w:r>
        <w:rPr>
          <w:rStyle w:val="FootnoteReference"/>
          <w:rFonts w:eastAsia="Calibri"/>
          <w:noProof/>
          <w14:ligatures w14:val="standardContextual"/>
        </w:rPr>
        <w:footnoteReference w:id="9"/>
      </w:r>
      <w:r>
        <w:rPr>
          <w:rFonts w:eastAsia="Calibri"/>
          <w:noProof/>
          <w14:ligatures w14:val="standardContextual"/>
        </w:rPr>
        <w:t>)</w:t>
      </w:r>
      <w:r w:rsidRPr="4EB9AC46">
        <w:rPr>
          <w:noProof/>
          <w:lang w:val="en-IE"/>
        </w:rPr>
        <w:t xml:space="preserve">, which sets out the capital requirements for banks holding and investing into securitisation, as well as </w:t>
      </w:r>
    </w:p>
    <w:p w:rsidR="001D7D21" w:rsidRPr="00C15097" w:rsidRDefault="001D7D21" w:rsidP="00E16CEA">
      <w:pPr>
        <w:pStyle w:val="Bullet0"/>
        <w:rPr>
          <w:noProof/>
          <w:lang w:val="en-IE"/>
        </w:rPr>
      </w:pPr>
      <w:r w:rsidRPr="30D9F364">
        <w:rPr>
          <w:rFonts w:eastAsia="Calibri"/>
          <w:noProof/>
          <w14:ligatures w14:val="standardContextual"/>
        </w:rPr>
        <w:t xml:space="preserve">amendments to </w:t>
      </w:r>
      <w:r w:rsidRPr="2BB3C356">
        <w:rPr>
          <w:noProof/>
          <w:lang w:val="en-IE"/>
        </w:rPr>
        <w:t xml:space="preserve">two delegated Regulations: the </w:t>
      </w:r>
      <w:r w:rsidRPr="0C5E5BFB">
        <w:rPr>
          <w:noProof/>
        </w:rPr>
        <w:t>Commission Delegated Regulation (EU) 2015/61</w:t>
      </w:r>
      <w:r>
        <w:rPr>
          <w:noProof/>
          <w:szCs w:val="24"/>
        </w:rPr>
        <w:t xml:space="preserve"> (</w:t>
      </w:r>
      <w:r w:rsidRPr="30D9F364">
        <w:rPr>
          <w:rFonts w:eastAsia="Calibri"/>
          <w:noProof/>
          <w14:ligatures w14:val="standardContextual"/>
        </w:rPr>
        <w:t xml:space="preserve">the </w:t>
      </w:r>
      <w:r>
        <w:rPr>
          <w:rFonts w:eastAsia="Calibri"/>
          <w:noProof/>
          <w14:ligatures w14:val="standardContextual"/>
        </w:rPr>
        <w:t>‘</w:t>
      </w:r>
      <w:r w:rsidRPr="30D9F364">
        <w:rPr>
          <w:rFonts w:eastAsia="Calibri"/>
          <w:noProof/>
          <w14:ligatures w14:val="standardContextual"/>
        </w:rPr>
        <w:t>Liquidity Coverage Ratio (LCR)</w:t>
      </w:r>
      <w:r>
        <w:rPr>
          <w:rFonts w:eastAsia="Calibri"/>
          <w:noProof/>
          <w14:ligatures w14:val="standardContextual"/>
        </w:rPr>
        <w:t xml:space="preserve"> Delegated Act’</w:t>
      </w:r>
      <w:r>
        <w:rPr>
          <w:rStyle w:val="FootnoteReference"/>
          <w:rFonts w:eastAsia="Calibri"/>
          <w:noProof/>
          <w14:ligatures w14:val="standardContextual"/>
        </w:rPr>
        <w:footnoteReference w:id="10"/>
      </w:r>
      <w:r>
        <w:rPr>
          <w:rFonts w:eastAsia="Calibri"/>
          <w:noProof/>
          <w14:ligatures w14:val="standardContextual"/>
        </w:rPr>
        <w:t>)</w:t>
      </w:r>
      <w:r w:rsidRPr="2BB3C356">
        <w:rPr>
          <w:noProof/>
          <w:lang w:val="en-IE"/>
        </w:rPr>
        <w:t xml:space="preserve">, governing the eligibility criteria for assets to be included in banks’ </w:t>
      </w:r>
      <w:r w:rsidRPr="009DE316">
        <w:rPr>
          <w:noProof/>
          <w:lang w:val="en-IE"/>
        </w:rPr>
        <w:t>liquidity buffer</w:t>
      </w:r>
      <w:r w:rsidRPr="2BB3C356">
        <w:rPr>
          <w:noProof/>
          <w:lang w:val="en-IE"/>
        </w:rPr>
        <w:t xml:space="preserve">, and the </w:t>
      </w:r>
      <w:r>
        <w:rPr>
          <w:rFonts w:eastAsia="Calibri"/>
          <w:noProof/>
          <w14:ligatures w14:val="standardContextual"/>
        </w:rPr>
        <w:t xml:space="preserve">Commission Delegated Regulation </w:t>
      </w:r>
      <w:r w:rsidRPr="0C5E5BFB">
        <w:rPr>
          <w:noProof/>
          <w:lang w:val="en-IE"/>
        </w:rPr>
        <w:t>(EU) 2015/35 (the ‘</w:t>
      </w:r>
      <w:r w:rsidRPr="30D9F364">
        <w:rPr>
          <w:rFonts w:eastAsia="Calibri"/>
          <w:noProof/>
          <w14:ligatures w14:val="standardContextual"/>
        </w:rPr>
        <w:t>Solvency II (SII</w:t>
      </w:r>
      <w:r>
        <w:rPr>
          <w:rFonts w:eastAsia="Calibri"/>
          <w:noProof/>
          <w14:ligatures w14:val="standardContextual"/>
        </w:rPr>
        <w:t>)</w:t>
      </w:r>
      <w:r w:rsidRPr="009B51BB">
        <w:rPr>
          <w:rFonts w:eastAsia="Calibri"/>
          <w:noProof/>
          <w14:ligatures w14:val="standardContextual"/>
        </w:rPr>
        <w:t xml:space="preserve"> </w:t>
      </w:r>
      <w:r w:rsidRPr="30D9F364">
        <w:rPr>
          <w:rFonts w:eastAsia="Calibri"/>
          <w:noProof/>
          <w14:ligatures w14:val="standardContextual"/>
        </w:rPr>
        <w:t>Delegated</w:t>
      </w:r>
      <w:r>
        <w:rPr>
          <w:rFonts w:eastAsia="Calibri"/>
          <w:noProof/>
          <w14:ligatures w14:val="standardContextual"/>
        </w:rPr>
        <w:t xml:space="preserve"> Act’</w:t>
      </w:r>
      <w:r>
        <w:rPr>
          <w:rStyle w:val="FootnoteReference"/>
          <w:rFonts w:eastAsia="Calibri"/>
          <w:noProof/>
          <w14:ligatures w14:val="standardContextual"/>
        </w:rPr>
        <w:footnoteReference w:id="11"/>
      </w:r>
      <w:r>
        <w:rPr>
          <w:rFonts w:eastAsia="Calibri"/>
          <w:noProof/>
          <w14:ligatures w14:val="standardContextual"/>
        </w:rPr>
        <w:t>)</w:t>
      </w:r>
      <w:r w:rsidRPr="2BB3C356">
        <w:rPr>
          <w:noProof/>
          <w:lang w:val="en-IE"/>
        </w:rPr>
        <w:t>, governing the capital requirements for insurance and reinsurance undertakings.</w:t>
      </w:r>
    </w:p>
    <w:p w:rsidR="009137B6" w:rsidRPr="009137B6" w:rsidRDefault="009137B6" w:rsidP="009137B6">
      <w:pPr>
        <w:spacing w:before="0" w:after="240"/>
        <w:rPr>
          <w:rFonts w:eastAsia="Times New Roman"/>
          <w:noProof/>
          <w:color w:val="000000" w:themeColor="text1"/>
          <w:szCs w:val="24"/>
          <w:lang w:val="en-IE" w:eastAsia="en-IE"/>
        </w:rPr>
      </w:pPr>
      <w:r w:rsidRPr="00FE3182">
        <w:rPr>
          <w:rFonts w:eastAsia="Times New Roman"/>
          <w:noProof/>
          <w:color w:val="000000" w:themeColor="text1"/>
          <w:szCs w:val="24"/>
          <w:lang w:eastAsia="en-IE"/>
        </w:rPr>
        <w:t>The envisaged changes aim to make targeted improvements to the framework, rather than overhaul it</w:t>
      </w:r>
      <w:r>
        <w:rPr>
          <w:rFonts w:eastAsia="Times New Roman"/>
          <w:noProof/>
          <w:color w:val="000000" w:themeColor="text1"/>
          <w:szCs w:val="24"/>
          <w:lang w:eastAsia="en-IE"/>
        </w:rPr>
        <w:t xml:space="preserve">. </w:t>
      </w:r>
      <w:r w:rsidRPr="009137B6">
        <w:rPr>
          <w:rFonts w:eastAsia="Times New Roman"/>
          <w:noProof/>
          <w:color w:val="000000" w:themeColor="text1"/>
          <w:szCs w:val="24"/>
          <w:lang w:val="en-IE" w:eastAsia="en-IE"/>
        </w:rPr>
        <w:t>Th</w:t>
      </w:r>
      <w:r>
        <w:rPr>
          <w:rFonts w:eastAsia="Times New Roman"/>
          <w:noProof/>
          <w:color w:val="000000" w:themeColor="text1"/>
          <w:szCs w:val="24"/>
          <w:lang w:val="en-IE" w:eastAsia="en-IE"/>
        </w:rPr>
        <w:t>ose</w:t>
      </w:r>
      <w:r w:rsidRPr="009137B6">
        <w:rPr>
          <w:rFonts w:eastAsia="Times New Roman"/>
          <w:noProof/>
          <w:color w:val="000000" w:themeColor="text1"/>
          <w:szCs w:val="24"/>
          <w:lang w:val="en-IE" w:eastAsia="en-IE"/>
        </w:rPr>
        <w:t xml:space="preserve"> changes should be viewed as a package, as none of the individual components will achieve the desired outcome on its own. The elements of the package address both the supply and demand side of the market and reinforce each other to produce the desired impact. Streamlining reporting requirements and lowering capital requirements will both lower entry barriers and make it cheaper for banks to originate securitisations. Simplifying due diligence and amending the capital charges and liquidity treatment will make it easier and more attractive to invest in securitisation. A larger and more dynamic investor base will also incentivise more issuance. Relaunching the EU securitisation market is a complex issue that requires changes to be made in various parts of the framework to foster supply and demand in the securitisation market. </w:t>
      </w:r>
    </w:p>
    <w:p w:rsidR="009137B6" w:rsidRPr="009137B6" w:rsidRDefault="009137B6" w:rsidP="009137B6">
      <w:pPr>
        <w:spacing w:before="0" w:after="240"/>
        <w:rPr>
          <w:rFonts w:eastAsia="Times New Roman"/>
          <w:noProof/>
          <w:color w:val="000000" w:themeColor="text1"/>
          <w:szCs w:val="24"/>
          <w:lang w:val="en-IE" w:eastAsia="en-IE"/>
        </w:rPr>
      </w:pPr>
      <w:r w:rsidRPr="009137B6">
        <w:rPr>
          <w:rFonts w:eastAsia="Times New Roman"/>
          <w:noProof/>
          <w:color w:val="000000" w:themeColor="text1"/>
          <w:szCs w:val="24"/>
          <w:lang w:val="en-IE" w:eastAsia="en-IE"/>
        </w:rPr>
        <w:t>Regulation alone can only go so far in terms of stimulating this market’s development: market participants must also step in and do their part, e.g. by embracing standardisation and industry-wide initiatives towards specific segments – without market participant efforts, scaling up of the market will not be possible.</w:t>
      </w:r>
    </w:p>
    <w:p w:rsidR="00FE3182" w:rsidRDefault="00FE3182" w:rsidP="00FE3182">
      <w:pPr>
        <w:spacing w:before="0" w:after="0"/>
        <w:textAlignment w:val="baseline"/>
        <w:rPr>
          <w:rFonts w:eastAsia="Times New Roman"/>
          <w:noProof/>
          <w:color w:val="000000" w:themeColor="text1"/>
          <w:szCs w:val="24"/>
          <w:lang w:val="en-IE" w:eastAsia="en-IE"/>
        </w:rPr>
      </w:pPr>
      <w:r w:rsidRPr="00FE3182">
        <w:rPr>
          <w:rFonts w:eastAsia="Times New Roman"/>
          <w:noProof/>
          <w:color w:val="000000" w:themeColor="text1"/>
          <w:szCs w:val="24"/>
          <w:lang w:val="en-IE" w:eastAsia="en-IE"/>
        </w:rPr>
        <w:t xml:space="preserve">Various inputs have informed this review, including the </w:t>
      </w:r>
      <w:hyperlink r:id="rId11">
        <w:r w:rsidRPr="00FE3182">
          <w:rPr>
            <w:rFonts w:eastAsia="Times New Roman"/>
            <w:noProof/>
            <w:color w:val="0000FF" w:themeColor="hyperlink"/>
            <w:szCs w:val="24"/>
            <w:u w:val="single"/>
            <w:lang w:val="en-IE" w:eastAsia="en-IE"/>
          </w:rPr>
          <w:t>2020 EBA report on the significant risk transfer</w:t>
        </w:r>
      </w:hyperlink>
      <w:r w:rsidRPr="00FE3182">
        <w:rPr>
          <w:rFonts w:eastAsia="Times New Roman"/>
          <w:noProof/>
          <w:color w:val="000000" w:themeColor="text1"/>
          <w:szCs w:val="24"/>
          <w:lang w:val="en-IE" w:eastAsia="en-IE"/>
        </w:rPr>
        <w:t xml:space="preserve">, the 2020 </w:t>
      </w:r>
      <w:hyperlink r:id="rId12">
        <w:r w:rsidRPr="00FE3182">
          <w:rPr>
            <w:rFonts w:eastAsia="Times New Roman"/>
            <w:noProof/>
            <w:color w:val="0000FF" w:themeColor="hyperlink"/>
            <w:szCs w:val="24"/>
            <w:u w:val="single"/>
            <w:lang w:val="en-IE" w:eastAsia="en-IE"/>
          </w:rPr>
          <w:t>ESRB report on Monitoring systemic risks in the EU securitisation market</w:t>
        </w:r>
      </w:hyperlink>
      <w:r w:rsidRPr="00FE3182">
        <w:rPr>
          <w:rFonts w:eastAsia="Times New Roman"/>
          <w:noProof/>
          <w:color w:val="000000" w:themeColor="text1"/>
          <w:szCs w:val="24"/>
          <w:lang w:val="en-IE" w:eastAsia="en-IE"/>
        </w:rPr>
        <w:t xml:space="preserve">, the </w:t>
      </w:r>
      <w:hyperlink r:id="rId13">
        <w:r w:rsidRPr="00FE3182">
          <w:rPr>
            <w:rFonts w:eastAsia="Times New Roman"/>
            <w:noProof/>
            <w:color w:val="0000FF" w:themeColor="hyperlink"/>
            <w:szCs w:val="24"/>
            <w:u w:val="single"/>
            <w:lang w:val="en-IE" w:eastAsia="en-IE"/>
          </w:rPr>
          <w:t>2022 Commission Report on the Securitisation Regulation</w:t>
        </w:r>
      </w:hyperlink>
      <w:r w:rsidRPr="00FE3182">
        <w:rPr>
          <w:rFonts w:eastAsia="Times New Roman"/>
          <w:noProof/>
          <w:color w:val="000000" w:themeColor="text1"/>
          <w:szCs w:val="24"/>
          <w:lang w:val="en-IE" w:eastAsia="en-IE"/>
        </w:rPr>
        <w:t xml:space="preserve">, the </w:t>
      </w:r>
      <w:hyperlink r:id="rId14">
        <w:r w:rsidRPr="00FE3182">
          <w:rPr>
            <w:rFonts w:eastAsia="Times New Roman"/>
            <w:noProof/>
            <w:color w:val="0000FF" w:themeColor="hyperlink"/>
            <w:szCs w:val="24"/>
            <w:u w:val="single"/>
            <w:lang w:val="en-IE" w:eastAsia="en-IE"/>
          </w:rPr>
          <w:t>2022 Joint Committee of the ESAs advice on the prudential framework</w:t>
        </w:r>
      </w:hyperlink>
      <w:r w:rsidRPr="00FE3182">
        <w:rPr>
          <w:rFonts w:eastAsia="Times New Roman"/>
          <w:noProof/>
          <w:color w:val="000000" w:themeColor="text1"/>
          <w:szCs w:val="24"/>
          <w:lang w:val="en-IE" w:eastAsia="en-IE"/>
        </w:rPr>
        <w:t xml:space="preserve">, the </w:t>
      </w:r>
      <w:hyperlink r:id="rId15" w:history="1">
        <w:r w:rsidRPr="00FE3182">
          <w:rPr>
            <w:rFonts w:eastAsia="Times New Roman"/>
            <w:noProof/>
            <w:color w:val="0000FF" w:themeColor="hyperlink"/>
            <w:szCs w:val="24"/>
            <w:u w:val="single"/>
            <w:lang w:val="en-IE" w:eastAsia="en-IE"/>
          </w:rPr>
          <w:t>2024 targeted consultation on the functioning of the EU securitisation framework</w:t>
        </w:r>
      </w:hyperlink>
      <w:r w:rsidRPr="00FE3182">
        <w:rPr>
          <w:rFonts w:eastAsia="Times New Roman"/>
          <w:noProof/>
          <w:color w:val="000000" w:themeColor="text1"/>
          <w:szCs w:val="24"/>
          <w:lang w:val="en-IE" w:eastAsia="en-IE"/>
        </w:rPr>
        <w:t xml:space="preserve">, and the </w:t>
      </w:r>
      <w:bookmarkStart w:id="3" w:name="_Hlk196226652"/>
      <w:r w:rsidRPr="00FE3182">
        <w:rPr>
          <w:rFonts w:eastAsia="Times New Roman"/>
          <w:noProof/>
          <w:szCs w:val="24"/>
          <w:lang w:val="en-IE" w:eastAsia="en-IE"/>
        </w:rPr>
        <w:fldChar w:fldCharType="begin"/>
      </w:r>
      <w:r w:rsidRPr="00FE3182">
        <w:rPr>
          <w:rFonts w:eastAsia="Times New Roman"/>
          <w:noProof/>
          <w:szCs w:val="24"/>
          <w:lang w:val="en-IE" w:eastAsia="en-IE"/>
        </w:rPr>
        <w:instrText>HYPERLINK "https://www.eba.europa.eu/sites/default/files/2025-03/28543668-4cc9-449f-8a66-c95c9b92a44e/Joint%20Committee%20report%20on%20the%20functionning%20of%20the%20securitisation%20regulation.pdf"</w:instrText>
      </w:r>
      <w:r w:rsidRPr="00FE3182">
        <w:rPr>
          <w:rFonts w:eastAsia="Times New Roman"/>
          <w:noProof/>
          <w:szCs w:val="24"/>
          <w:lang w:val="en-IE" w:eastAsia="en-IE"/>
        </w:rPr>
        <w:fldChar w:fldCharType="separate"/>
      </w:r>
      <w:r w:rsidRPr="00FE3182">
        <w:rPr>
          <w:rFonts w:eastAsia="Times New Roman"/>
          <w:noProof/>
          <w:color w:val="0000FF" w:themeColor="hyperlink"/>
          <w:szCs w:val="24"/>
          <w:u w:val="single"/>
          <w:lang w:val="en-IE" w:eastAsia="en-IE"/>
        </w:rPr>
        <w:t>2025 Joint Committee Report on the implementation and functioning of the securitisation framework</w:t>
      </w:r>
      <w:r w:rsidRPr="00FE3182">
        <w:rPr>
          <w:rFonts w:eastAsia="Times New Roman"/>
          <w:noProof/>
          <w:szCs w:val="24"/>
          <w:lang w:val="en-IE" w:eastAsia="en-IE"/>
        </w:rPr>
        <w:fldChar w:fldCharType="end"/>
      </w:r>
      <w:bookmarkEnd w:id="3"/>
      <w:r w:rsidRPr="00FE3182">
        <w:rPr>
          <w:rFonts w:eastAsia="Times New Roman"/>
          <w:noProof/>
          <w:color w:val="000000" w:themeColor="text1"/>
          <w:szCs w:val="24"/>
          <w:lang w:val="en-IE" w:eastAsia="en-IE"/>
        </w:rPr>
        <w:t>. The Commission also held various bilateral meetings with stakeholders and organised a workshop in July 2024 to discuss stakeholder views about the EU securitisation framework.</w:t>
      </w:r>
    </w:p>
    <w:p w:rsidR="006138AC" w:rsidRPr="00C94F3E" w:rsidRDefault="006138AC" w:rsidP="006138AC">
      <w:pPr>
        <w:rPr>
          <w:noProof/>
          <w:lang w:val="en-IE"/>
        </w:rPr>
      </w:pPr>
      <w:r w:rsidRPr="00C94F3E">
        <w:rPr>
          <w:noProof/>
          <w:lang w:val="en-IE"/>
        </w:rPr>
        <w:t xml:space="preserve">In terms of timing, the amendments to the Securitisation Regulation and the Capital Requirements Regulation </w:t>
      </w:r>
      <w:r w:rsidR="00ED762A" w:rsidRPr="00C94F3E">
        <w:rPr>
          <w:noProof/>
          <w:lang w:val="en-IE"/>
        </w:rPr>
        <w:t xml:space="preserve">are </w:t>
      </w:r>
      <w:r w:rsidRPr="00C94F3E">
        <w:rPr>
          <w:noProof/>
          <w:lang w:val="en-IE"/>
        </w:rPr>
        <w:t xml:space="preserve">adopted </w:t>
      </w:r>
      <w:r w:rsidR="0013042A" w:rsidRPr="00C94F3E">
        <w:rPr>
          <w:noProof/>
          <w:lang w:val="en-IE"/>
        </w:rPr>
        <w:t xml:space="preserve">by the Commission </w:t>
      </w:r>
      <w:r w:rsidR="0055221B" w:rsidRPr="00C94F3E">
        <w:rPr>
          <w:noProof/>
          <w:lang w:val="en-IE"/>
        </w:rPr>
        <w:t>together</w:t>
      </w:r>
      <w:r w:rsidRPr="00C94F3E">
        <w:rPr>
          <w:noProof/>
          <w:lang w:val="en-IE"/>
        </w:rPr>
        <w:t xml:space="preserve">. On the same date, </w:t>
      </w:r>
      <w:bookmarkStart w:id="4" w:name="_Hlk199857713"/>
      <w:r w:rsidRPr="00C94F3E">
        <w:rPr>
          <w:noProof/>
          <w:lang w:val="en-IE"/>
        </w:rPr>
        <w:t xml:space="preserve">the draft amendments to the Liquidity Coverage Ratio Delegated Regulation </w:t>
      </w:r>
      <w:bookmarkEnd w:id="4"/>
      <w:r w:rsidR="00FB27B2" w:rsidRPr="00C94F3E">
        <w:rPr>
          <w:noProof/>
          <w:lang w:val="en-IE"/>
        </w:rPr>
        <w:t>should be</w:t>
      </w:r>
      <w:r w:rsidRPr="00C94F3E">
        <w:rPr>
          <w:noProof/>
          <w:lang w:val="en-IE"/>
        </w:rPr>
        <w:t xml:space="preserve"> published on Have Your Say for a four-week consultation. </w:t>
      </w:r>
      <w:r w:rsidR="00491274" w:rsidRPr="00491274">
        <w:rPr>
          <w:noProof/>
          <w:lang w:val="en-IE"/>
        </w:rPr>
        <w:t>The Commission plans to adopt</w:t>
      </w:r>
      <w:r w:rsidRPr="00491274">
        <w:rPr>
          <w:noProof/>
          <w:lang w:val="en-IE"/>
        </w:rPr>
        <w:t xml:space="preserve"> draft </w:t>
      </w:r>
      <w:r w:rsidRPr="00C94F3E">
        <w:rPr>
          <w:noProof/>
          <w:lang w:val="en-IE"/>
        </w:rPr>
        <w:t>amendments to the Solvency II Delegated Regulation in a broader package of amendments to that Regulation that is expected to be published for consultation in the second half of July</w:t>
      </w:r>
      <w:r w:rsidR="00B95A0E" w:rsidRPr="00C94F3E">
        <w:rPr>
          <w:noProof/>
          <w:lang w:val="en-IE"/>
        </w:rPr>
        <w:t xml:space="preserve"> of this year</w:t>
      </w:r>
      <w:r w:rsidRPr="00C94F3E">
        <w:rPr>
          <w:noProof/>
          <w:lang w:val="en-IE"/>
        </w:rPr>
        <w:t>.</w:t>
      </w:r>
    </w:p>
    <w:p w:rsidR="006138AC" w:rsidRDefault="006138AC" w:rsidP="00F41AB4">
      <w:pPr>
        <w:spacing w:after="0" w:line="259" w:lineRule="auto"/>
        <w:rPr>
          <w:noProof/>
        </w:rPr>
      </w:pPr>
    </w:p>
    <w:p w:rsidR="00FE3182" w:rsidRPr="00FE3182" w:rsidRDefault="00FE3182" w:rsidP="00FE3182">
      <w:pPr>
        <w:spacing w:before="0" w:after="0"/>
        <w:textAlignment w:val="baseline"/>
        <w:rPr>
          <w:rFonts w:ascii="Segoe UI" w:eastAsia="Times New Roman" w:hAnsi="Segoe UI" w:cs="Segoe UI"/>
          <w:noProof/>
          <w:sz w:val="18"/>
          <w:szCs w:val="18"/>
          <w:lang w:val="en-IE" w:eastAsia="en-IE"/>
        </w:rPr>
      </w:pPr>
    </w:p>
    <w:p w:rsidR="00D761DA" w:rsidRPr="002D5EE2" w:rsidRDefault="00D761DA">
      <w:pPr>
        <w:pStyle w:val="ManualHeading2"/>
        <w:rPr>
          <w:rFonts w:eastAsia="Arial Unicode MS"/>
          <w:noProof/>
          <w:color w:val="000000"/>
          <w:u w:color="000000"/>
          <w:bdr w:val="nil"/>
          <w:lang w:val="en-US" w:eastAsia="en-GB"/>
        </w:rPr>
      </w:pPr>
      <w:bookmarkStart w:id="5" w:name="_Toc198557734"/>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Consistency with existing policy provisions in the</w:t>
      </w:r>
      <w:r>
        <w:rPr>
          <w:rFonts w:eastAsia="Arial Unicode MS"/>
          <w:noProof/>
        </w:rPr>
        <w:t xml:space="preserve"> </w:t>
      </w:r>
      <w:r w:rsidRPr="002D5EE2">
        <w:rPr>
          <w:rFonts w:eastAsia="Arial Unicode MS"/>
          <w:noProof/>
        </w:rPr>
        <w:t>policy area</w:t>
      </w:r>
      <w:bookmarkEnd w:id="5"/>
    </w:p>
    <w:p w:rsidR="00C735DC" w:rsidRDefault="00300FF7" w:rsidP="009C51B9">
      <w:pPr>
        <w:pBdr>
          <w:top w:val="nil"/>
          <w:left w:val="nil"/>
          <w:bottom w:val="nil"/>
          <w:right w:val="nil"/>
          <w:between w:val="nil"/>
          <w:bar w:val="nil"/>
        </w:pBdr>
        <w:spacing w:before="0"/>
        <w:rPr>
          <w:rFonts w:eastAsia="Arial Unicode MS"/>
          <w:noProof/>
        </w:rPr>
      </w:pPr>
      <w:r w:rsidRPr="00256400">
        <w:rPr>
          <w:rFonts w:eastAsia="Arial Unicode MS"/>
          <w:noProof/>
        </w:rPr>
        <w:t xml:space="preserve">The revision </w:t>
      </w:r>
      <w:r w:rsidR="00827D3B" w:rsidRPr="00256400">
        <w:rPr>
          <w:rFonts w:eastAsia="Arial Unicode MS"/>
          <w:noProof/>
        </w:rPr>
        <w:t>to the</w:t>
      </w:r>
      <w:r w:rsidRPr="00256400">
        <w:rPr>
          <w:rFonts w:eastAsia="Arial Unicode MS"/>
          <w:noProof/>
        </w:rPr>
        <w:t xml:space="preserve"> non-prudential provisions of the</w:t>
      </w:r>
      <w:r w:rsidR="00490A5C" w:rsidRPr="00256400">
        <w:rPr>
          <w:rFonts w:eastAsia="Arial Unicode MS"/>
          <w:noProof/>
        </w:rPr>
        <w:t xml:space="preserve"> EU securitisation framework </w:t>
      </w:r>
      <w:r w:rsidR="008F6A5B" w:rsidRPr="00256400">
        <w:rPr>
          <w:rFonts w:eastAsia="Arial Unicode MS"/>
          <w:noProof/>
        </w:rPr>
        <w:t xml:space="preserve">under the Securitisation Regulation </w:t>
      </w:r>
      <w:r w:rsidRPr="00256400">
        <w:rPr>
          <w:rFonts w:eastAsia="Arial Unicode MS"/>
          <w:noProof/>
        </w:rPr>
        <w:t>are part of</w:t>
      </w:r>
      <w:r w:rsidR="007206FA">
        <w:rPr>
          <w:rFonts w:eastAsia="Arial Unicode MS"/>
          <w:noProof/>
        </w:rPr>
        <w:t xml:space="preserve"> a broader</w:t>
      </w:r>
      <w:r w:rsidRPr="00256400">
        <w:rPr>
          <w:rFonts w:eastAsia="Arial Unicode MS"/>
          <w:noProof/>
        </w:rPr>
        <w:t xml:space="preserve"> legislative package </w:t>
      </w:r>
      <w:r w:rsidR="007206FA">
        <w:rPr>
          <w:rFonts w:eastAsia="Arial Unicode MS"/>
          <w:noProof/>
        </w:rPr>
        <w:t>that</w:t>
      </w:r>
      <w:r w:rsidRPr="00256400">
        <w:rPr>
          <w:rFonts w:eastAsia="Arial Unicode MS"/>
          <w:noProof/>
        </w:rPr>
        <w:t xml:space="preserve"> includes amendments to the </w:t>
      </w:r>
      <w:r w:rsidR="008F6A5B" w:rsidRPr="00256400">
        <w:rPr>
          <w:rFonts w:eastAsia="Arial Unicode MS"/>
          <w:noProof/>
        </w:rPr>
        <w:t>Capital Requirements Regulation</w:t>
      </w:r>
      <w:r w:rsidR="00490A5C" w:rsidRPr="00256400">
        <w:rPr>
          <w:rFonts w:eastAsia="Arial Unicode MS"/>
          <w:noProof/>
        </w:rPr>
        <w:t xml:space="preserve">, </w:t>
      </w:r>
      <w:r w:rsidRPr="00256400">
        <w:rPr>
          <w:rFonts w:eastAsia="Arial Unicode MS"/>
          <w:noProof/>
        </w:rPr>
        <w:t xml:space="preserve">the Liquidity Coverage Ratio Delegated Act and the Solvency II Delegated Act. </w:t>
      </w:r>
      <w:r w:rsidR="007A535F">
        <w:rPr>
          <w:rFonts w:eastAsia="Arial Unicode MS"/>
          <w:noProof/>
        </w:rPr>
        <w:t>The proposed changes</w:t>
      </w:r>
      <w:r w:rsidR="00BB6386">
        <w:rPr>
          <w:rFonts w:eastAsia="Arial Unicode MS"/>
          <w:noProof/>
        </w:rPr>
        <w:t xml:space="preserve"> have been drafted to</w:t>
      </w:r>
      <w:r w:rsidR="007A535F">
        <w:rPr>
          <w:rFonts w:eastAsia="Arial Unicode MS"/>
          <w:noProof/>
        </w:rPr>
        <w:t xml:space="preserve"> ensure consistency across the various pieces of legislation</w:t>
      </w:r>
      <w:r w:rsidR="009B5B5A">
        <w:rPr>
          <w:rFonts w:eastAsia="Arial Unicode MS"/>
          <w:noProof/>
        </w:rPr>
        <w:t xml:space="preserve"> and</w:t>
      </w:r>
      <w:r w:rsidR="00F410A4">
        <w:rPr>
          <w:rFonts w:eastAsia="Arial Unicode MS"/>
          <w:noProof/>
        </w:rPr>
        <w:t xml:space="preserve"> with</w:t>
      </w:r>
      <w:r w:rsidR="009B5B5A">
        <w:rPr>
          <w:rFonts w:eastAsia="Arial Unicode MS"/>
          <w:noProof/>
        </w:rPr>
        <w:t xml:space="preserve"> th</w:t>
      </w:r>
      <w:r w:rsidR="00305DE2">
        <w:rPr>
          <w:rFonts w:eastAsia="Arial Unicode MS"/>
          <w:noProof/>
        </w:rPr>
        <w:t xml:space="preserve">e same </w:t>
      </w:r>
      <w:r w:rsidR="00FC2EFD">
        <w:rPr>
          <w:rFonts w:eastAsia="Arial Unicode MS"/>
          <w:noProof/>
        </w:rPr>
        <w:t>general objective in mind</w:t>
      </w:r>
      <w:r w:rsidR="00040B15">
        <w:rPr>
          <w:rFonts w:eastAsia="Arial Unicode MS"/>
          <w:noProof/>
        </w:rPr>
        <w:t xml:space="preserve">. </w:t>
      </w:r>
    </w:p>
    <w:p w:rsidR="00C735DC" w:rsidRDefault="005A1F91" w:rsidP="009C51B9">
      <w:pPr>
        <w:spacing w:before="0"/>
        <w:rPr>
          <w:rFonts w:eastAsia="Times New Roman"/>
          <w:noProof/>
          <w:lang w:val="en-IE"/>
        </w:rPr>
      </w:pPr>
      <w:r>
        <w:rPr>
          <w:rFonts w:eastAsia="Times New Roman"/>
          <w:noProof/>
          <w:lang w:val="en-IE"/>
        </w:rPr>
        <w:t xml:space="preserve">The current proposal </w:t>
      </w:r>
      <w:r w:rsidR="0001409F">
        <w:rPr>
          <w:rFonts w:eastAsia="Times New Roman"/>
          <w:noProof/>
          <w:lang w:val="en-IE"/>
        </w:rPr>
        <w:t>aligns the provision</w:t>
      </w:r>
      <w:r w:rsidR="00750B74">
        <w:rPr>
          <w:rFonts w:eastAsia="Times New Roman"/>
          <w:noProof/>
          <w:lang w:val="en-IE"/>
        </w:rPr>
        <w:t>s</w:t>
      </w:r>
      <w:r w:rsidR="0001409F">
        <w:rPr>
          <w:rFonts w:eastAsia="Times New Roman"/>
          <w:noProof/>
          <w:lang w:val="en-IE"/>
        </w:rPr>
        <w:t xml:space="preserve"> on the delegation of due diligence tasks with those </w:t>
      </w:r>
      <w:r w:rsidR="00750B74">
        <w:rPr>
          <w:rFonts w:eastAsia="Times New Roman"/>
          <w:noProof/>
          <w:lang w:val="en-IE"/>
        </w:rPr>
        <w:t xml:space="preserve">contained in </w:t>
      </w:r>
      <w:r w:rsidR="00FC6AE1" w:rsidRPr="00D97E16">
        <w:rPr>
          <w:rFonts w:eastAsia="Times New Roman"/>
          <w:noProof/>
          <w:szCs w:val="24"/>
        </w:rPr>
        <w:t>Directive 2011/61/EU of the European Parliament and of the Council</w:t>
      </w:r>
      <w:r w:rsidR="00C735DC" w:rsidRPr="30D9F364">
        <w:rPr>
          <w:rFonts w:eastAsia="Times New Roman"/>
          <w:noProof/>
          <w:lang w:val="en-IE"/>
        </w:rPr>
        <w:t xml:space="preserve"> (</w:t>
      </w:r>
      <w:r w:rsidR="00FC6AE1">
        <w:rPr>
          <w:rFonts w:eastAsia="Times New Roman"/>
          <w:noProof/>
          <w:lang w:val="en-IE"/>
        </w:rPr>
        <w:t>the ‘</w:t>
      </w:r>
      <w:r w:rsidR="00C735DC" w:rsidRPr="30D9F364">
        <w:rPr>
          <w:rFonts w:eastAsia="Times New Roman"/>
          <w:noProof/>
          <w:lang w:val="en-IE"/>
        </w:rPr>
        <w:t>AIFMD</w:t>
      </w:r>
      <w:r w:rsidR="00FC6AE1">
        <w:rPr>
          <w:rFonts w:eastAsia="Times New Roman"/>
          <w:noProof/>
          <w:lang w:val="en-IE"/>
        </w:rPr>
        <w:t>’</w:t>
      </w:r>
      <w:r w:rsidR="00C735DC">
        <w:rPr>
          <w:rFonts w:eastAsia="Times New Roman"/>
          <w:noProof/>
          <w:lang w:val="en-IE"/>
        </w:rPr>
        <w:t>)</w:t>
      </w:r>
      <w:r w:rsidR="008C77F9">
        <w:rPr>
          <w:rStyle w:val="FootnoteReference"/>
          <w:rFonts w:eastAsia="Times New Roman"/>
          <w:noProof/>
          <w:lang w:val="en-IE"/>
        </w:rPr>
        <w:footnoteReference w:id="12"/>
      </w:r>
      <w:r w:rsidR="00C735DC">
        <w:rPr>
          <w:rFonts w:eastAsia="Times New Roman"/>
          <w:noProof/>
          <w:lang w:val="en-IE"/>
        </w:rPr>
        <w:t>.</w:t>
      </w:r>
    </w:p>
    <w:p w:rsidR="00917797" w:rsidRDefault="00C735DC" w:rsidP="009C51B9">
      <w:pPr>
        <w:spacing w:before="0"/>
        <w:rPr>
          <w:rFonts w:eastAsia="Aptos"/>
          <w:noProof/>
        </w:rPr>
      </w:pPr>
      <w:r>
        <w:rPr>
          <w:rFonts w:eastAsia="Aptos"/>
          <w:noProof/>
        </w:rPr>
        <w:t xml:space="preserve">In addition to the legislative changes included in this package, the Commission is also considering amending the issuer limit in the Undertakings for Collective Investment in </w:t>
      </w:r>
      <w:r w:rsidR="00D41D82" w:rsidRPr="009E5876">
        <w:rPr>
          <w:rFonts w:eastAsia="Aptos"/>
          <w:noProof/>
          <w:szCs w:val="24"/>
        </w:rPr>
        <w:t>Directive 2009/65/EC of the European Parliament and of the Council</w:t>
      </w:r>
      <w:r w:rsidR="00D41D82">
        <w:rPr>
          <w:rFonts w:eastAsia="Aptos"/>
          <w:noProof/>
          <w:szCs w:val="24"/>
        </w:rPr>
        <w:t xml:space="preserve"> </w:t>
      </w:r>
      <w:r>
        <w:rPr>
          <w:rFonts w:eastAsia="Aptos"/>
          <w:noProof/>
        </w:rPr>
        <w:t>(</w:t>
      </w:r>
      <w:r w:rsidR="009E3DD4">
        <w:rPr>
          <w:rFonts w:eastAsia="Aptos"/>
          <w:noProof/>
        </w:rPr>
        <w:t>the ‘</w:t>
      </w:r>
      <w:r>
        <w:rPr>
          <w:rFonts w:eastAsia="Aptos"/>
          <w:noProof/>
        </w:rPr>
        <w:t>UCITS Directive</w:t>
      </w:r>
      <w:r w:rsidR="009E3DD4">
        <w:rPr>
          <w:rFonts w:eastAsia="Aptos"/>
          <w:noProof/>
        </w:rPr>
        <w:t>’)</w:t>
      </w:r>
      <w:r w:rsidR="009E3DD4">
        <w:rPr>
          <w:rStyle w:val="FootnoteReference"/>
          <w:rFonts w:eastAsia="Aptos"/>
          <w:noProof/>
        </w:rPr>
        <w:footnoteReference w:id="13"/>
      </w:r>
      <w:r w:rsidR="009E3DD4">
        <w:rPr>
          <w:rFonts w:eastAsia="Aptos"/>
          <w:noProof/>
        </w:rPr>
        <w:t xml:space="preserve"> </w:t>
      </w:r>
      <w:r>
        <w:rPr>
          <w:rFonts w:eastAsia="Aptos"/>
          <w:noProof/>
        </w:rPr>
        <w:t xml:space="preserve">in the context of the upcoming overall review of the UCITS Directive. The </w:t>
      </w:r>
      <w:r w:rsidRPr="6D6A2D76">
        <w:rPr>
          <w:rFonts w:eastAsia="Aptos"/>
          <w:noProof/>
        </w:rPr>
        <w:t xml:space="preserve">UCITS Directive </w:t>
      </w:r>
      <w:r>
        <w:rPr>
          <w:rFonts w:eastAsia="Aptos"/>
          <w:noProof/>
        </w:rPr>
        <w:t>imposes a limit on</w:t>
      </w:r>
      <w:r w:rsidRPr="6D6A2D76">
        <w:rPr>
          <w:rFonts w:eastAsia="Aptos"/>
          <w:noProof/>
        </w:rPr>
        <w:t xml:space="preserve"> UCITS funds </w:t>
      </w:r>
      <w:r>
        <w:rPr>
          <w:rFonts w:eastAsia="Aptos"/>
          <w:noProof/>
        </w:rPr>
        <w:t xml:space="preserve">not to </w:t>
      </w:r>
      <w:r w:rsidRPr="6D6A2D76">
        <w:rPr>
          <w:rFonts w:eastAsia="Aptos"/>
          <w:noProof/>
        </w:rPr>
        <w:t>acquir</w:t>
      </w:r>
      <w:r>
        <w:rPr>
          <w:rFonts w:eastAsia="Aptos"/>
          <w:noProof/>
        </w:rPr>
        <w:t>e</w:t>
      </w:r>
      <w:r w:rsidRPr="6D6A2D76">
        <w:rPr>
          <w:rFonts w:eastAsia="Aptos"/>
          <w:noProof/>
        </w:rPr>
        <w:t xml:space="preserve"> more than 10% of the debt securities of a single issuing body</w:t>
      </w:r>
      <w:r>
        <w:rPr>
          <w:noProof/>
        </w:rPr>
        <w:t>. In case of securitisation th</w:t>
      </w:r>
      <w:r w:rsidR="00761D13">
        <w:rPr>
          <w:noProof/>
        </w:rPr>
        <w:t>at</w:t>
      </w:r>
      <w:r>
        <w:rPr>
          <w:noProof/>
        </w:rPr>
        <w:t xml:space="preserve"> means that </w:t>
      </w:r>
      <w:r w:rsidRPr="34AF8A0A">
        <w:rPr>
          <w:noProof/>
          <w:lang w:val="en-IE"/>
        </w:rPr>
        <w:t>UCITS</w:t>
      </w:r>
      <w:r>
        <w:rPr>
          <w:noProof/>
          <w:lang w:val="en-IE"/>
        </w:rPr>
        <w:t xml:space="preserve"> funds</w:t>
      </w:r>
      <w:r w:rsidRPr="34AF8A0A">
        <w:rPr>
          <w:noProof/>
          <w:lang w:val="en-IE"/>
        </w:rPr>
        <w:t xml:space="preserve"> </w:t>
      </w:r>
      <w:r w:rsidRPr="5D323FE4">
        <w:rPr>
          <w:noProof/>
          <w:lang w:val="en-IE"/>
        </w:rPr>
        <w:t xml:space="preserve">are only allowed to invest </w:t>
      </w:r>
      <w:r w:rsidRPr="257814F6">
        <w:rPr>
          <w:noProof/>
          <w:lang w:val="en-IE"/>
        </w:rPr>
        <w:t xml:space="preserve">up to </w:t>
      </w:r>
      <w:r w:rsidRPr="5D323FE4">
        <w:rPr>
          <w:noProof/>
          <w:lang w:val="en-IE"/>
        </w:rPr>
        <w:t xml:space="preserve">10% </w:t>
      </w:r>
      <w:r w:rsidRPr="257814F6">
        <w:rPr>
          <w:noProof/>
          <w:lang w:val="en-IE"/>
        </w:rPr>
        <w:t>in a single</w:t>
      </w:r>
      <w:r w:rsidRPr="5D323FE4">
        <w:rPr>
          <w:noProof/>
          <w:lang w:val="en-IE"/>
        </w:rPr>
        <w:t xml:space="preserve"> securitisation issuance since the securitisation </w:t>
      </w:r>
      <w:r w:rsidRPr="35F1B67F">
        <w:rPr>
          <w:noProof/>
          <w:lang w:val="en-IE"/>
        </w:rPr>
        <w:t>vehicle itself is considered the issuer</w:t>
      </w:r>
      <w:r w:rsidRPr="4384120D">
        <w:rPr>
          <w:noProof/>
          <w:lang w:val="en-IE"/>
        </w:rPr>
        <w:t>.</w:t>
      </w:r>
      <w:r>
        <w:rPr>
          <w:noProof/>
          <w:lang w:val="en-IE"/>
        </w:rPr>
        <w:t xml:space="preserve"> </w:t>
      </w:r>
    </w:p>
    <w:p w:rsidR="00A010D6" w:rsidRPr="009A5726" w:rsidRDefault="009A5726" w:rsidP="00917797">
      <w:pPr>
        <w:pStyle w:val="ManualHeading2"/>
        <w:spacing w:before="0"/>
        <w:rPr>
          <w:rFonts w:eastAsia="Arial Unicode MS"/>
          <w:noProof/>
        </w:rPr>
      </w:pPr>
      <w:bookmarkStart w:id="6" w:name="_Toc198557735"/>
      <w:r w:rsidRPr="0029266A">
        <w:rPr>
          <w:rFonts w:eastAsia="Arial Unicode MS"/>
          <w:noProof/>
          <w:color w:val="000000"/>
          <w:bdr w:val="nil"/>
          <w:lang w:val="en-US" w:eastAsia="en-GB"/>
        </w:rPr>
        <w:t>•</w:t>
      </w:r>
      <w:r w:rsidRPr="0029266A">
        <w:rPr>
          <w:rFonts w:eastAsia="Arial Unicode MS"/>
          <w:noProof/>
          <w:color w:val="000000"/>
          <w:u w:color="000000"/>
          <w:bdr w:val="nil"/>
          <w:lang w:val="en-US" w:eastAsia="en-GB"/>
        </w:rPr>
        <w:tab/>
      </w:r>
      <w:r w:rsidR="00A010D6" w:rsidRPr="009A5726">
        <w:rPr>
          <w:rFonts w:eastAsia="Arial Unicode MS"/>
          <w:noProof/>
          <w:color w:val="000000"/>
          <w:bdr w:val="nil"/>
          <w:lang w:val="en-US" w:eastAsia="en-GB"/>
        </w:rPr>
        <w:t>C</w:t>
      </w:r>
      <w:r w:rsidR="00A010D6" w:rsidRPr="009A5726">
        <w:rPr>
          <w:rFonts w:eastAsia="Arial Unicode MS"/>
          <w:noProof/>
        </w:rPr>
        <w:t>onsistency with other Union policies</w:t>
      </w:r>
      <w:bookmarkEnd w:id="6"/>
    </w:p>
    <w:p w:rsidR="00741915" w:rsidRDefault="2FDA564A" w:rsidP="009C51B9">
      <w:pPr>
        <w:spacing w:before="0"/>
        <w:rPr>
          <w:rFonts w:eastAsia="Times New Roman"/>
          <w:noProof/>
          <w:szCs w:val="20"/>
        </w:rPr>
      </w:pPr>
      <w:r w:rsidRPr="201DF1F4">
        <w:rPr>
          <w:rFonts w:eastAsia="Times New Roman"/>
          <w:noProof/>
          <w:lang w:val="en-IE"/>
        </w:rPr>
        <w:t>By</w:t>
      </w:r>
      <w:r w:rsidR="1AEF917D" w:rsidRPr="201DF1F4">
        <w:rPr>
          <w:rFonts w:eastAsia="Times New Roman"/>
          <w:noProof/>
        </w:rPr>
        <w:t xml:space="preserve"> making the EU securitisation framework less burdensome and, more principles-based, the current proposal </w:t>
      </w:r>
      <w:r w:rsidRPr="201DF1F4">
        <w:rPr>
          <w:rFonts w:eastAsia="Times New Roman"/>
          <w:noProof/>
        </w:rPr>
        <w:t xml:space="preserve">also </w:t>
      </w:r>
      <w:r w:rsidR="1AEF917D" w:rsidRPr="201DF1F4">
        <w:rPr>
          <w:rFonts w:eastAsia="Times New Roman"/>
          <w:noProof/>
        </w:rPr>
        <w:t>contributes to the current Commission</w:t>
      </w:r>
      <w:r w:rsidR="39508A71" w:rsidRPr="201DF1F4">
        <w:rPr>
          <w:rFonts w:eastAsia="Times New Roman"/>
          <w:noProof/>
        </w:rPr>
        <w:t>-wide</w:t>
      </w:r>
      <w:r w:rsidR="1AEF917D" w:rsidRPr="201DF1F4">
        <w:rPr>
          <w:rFonts w:eastAsia="Times New Roman"/>
          <w:noProof/>
        </w:rPr>
        <w:t xml:space="preserve"> effort to </w:t>
      </w:r>
      <w:r w:rsidR="3EE54D22" w:rsidRPr="201DF1F4">
        <w:rPr>
          <w:rFonts w:eastAsia="Times New Roman"/>
          <w:noProof/>
        </w:rPr>
        <w:t>c</w:t>
      </w:r>
      <w:r w:rsidR="77CE597A" w:rsidRPr="201DF1F4">
        <w:rPr>
          <w:rFonts w:eastAsia="Times New Roman"/>
          <w:noProof/>
        </w:rPr>
        <w:t>ut red tape and simplify the business environment</w:t>
      </w:r>
      <w:r w:rsidR="345C75F2" w:rsidRPr="201DF1F4">
        <w:rPr>
          <w:rFonts w:eastAsia="Times New Roman"/>
          <w:noProof/>
        </w:rPr>
        <w:t xml:space="preserve"> as</w:t>
      </w:r>
      <w:r w:rsidR="413220E7" w:rsidRPr="201DF1F4">
        <w:rPr>
          <w:rFonts w:eastAsia="Times New Roman"/>
          <w:noProof/>
        </w:rPr>
        <w:t xml:space="preserve"> </w:t>
      </w:r>
      <w:r w:rsidR="79C2465D" w:rsidRPr="201DF1F4">
        <w:rPr>
          <w:rFonts w:eastAsia="Times New Roman"/>
          <w:noProof/>
        </w:rPr>
        <w:t>announced in the Commission 2025 work programme</w:t>
      </w:r>
      <w:r w:rsidR="7DA71075" w:rsidRPr="201DF1F4">
        <w:rPr>
          <w:rFonts w:eastAsia="Times New Roman"/>
          <w:noProof/>
        </w:rPr>
        <w:t>.</w:t>
      </w:r>
      <w:r w:rsidR="6B6F34EA" w:rsidRPr="201DF1F4">
        <w:rPr>
          <w:rFonts w:eastAsia="Times New Roman"/>
          <w:noProof/>
        </w:rPr>
        <w:t xml:space="preserve"> </w:t>
      </w:r>
    </w:p>
    <w:p w:rsidR="00D16DC1" w:rsidRDefault="548839F6" w:rsidP="009C51B9">
      <w:pPr>
        <w:spacing w:before="0"/>
        <w:rPr>
          <w:rFonts w:eastAsia="Times New Roman"/>
          <w:noProof/>
        </w:rPr>
      </w:pPr>
      <w:r w:rsidRPr="201DF1F4">
        <w:rPr>
          <w:rFonts w:eastAsia="Times New Roman"/>
          <w:noProof/>
        </w:rPr>
        <w:t xml:space="preserve">The review of the securitisation framework is also in line with the European Commission’s broader strategy to rejuvenate the EU's economy, as outlined in the </w:t>
      </w:r>
      <w:hyperlink r:id="rId16">
        <w:r w:rsidRPr="774E45C5">
          <w:rPr>
            <w:rStyle w:val="Hyperlink"/>
            <w:rFonts w:eastAsia="Times New Roman"/>
            <w:noProof/>
          </w:rPr>
          <w:t>Competitiveness Compass</w:t>
        </w:r>
      </w:hyperlink>
      <w:r w:rsidR="70A66C4B" w:rsidRPr="201DF1F4">
        <w:rPr>
          <w:rFonts w:eastAsia="Times New Roman"/>
          <w:noProof/>
        </w:rPr>
        <w:t>.</w:t>
      </w:r>
      <w:r>
        <w:rPr>
          <w:rFonts w:eastAsia="Times New Roman"/>
          <w:noProof/>
        </w:rPr>
        <w:t xml:space="preserve"> </w:t>
      </w:r>
      <w:r w:rsidR="70A66C4B" w:rsidRPr="201DF1F4">
        <w:rPr>
          <w:rFonts w:eastAsia="Times New Roman"/>
          <w:noProof/>
        </w:rPr>
        <w:t>By removing undue issuance and investment barriers in the EU securitisation market</w:t>
      </w:r>
      <w:r w:rsidRPr="201DF1F4">
        <w:rPr>
          <w:rFonts w:eastAsia="Times New Roman"/>
          <w:noProof/>
        </w:rPr>
        <w:t xml:space="preserve">, the Commission aims to </w:t>
      </w:r>
      <w:r w:rsidR="54AA61C6" w:rsidRPr="201DF1F4">
        <w:rPr>
          <w:rFonts w:eastAsia="Times New Roman"/>
          <w:noProof/>
        </w:rPr>
        <w:t>ensure that the EU economy can benefit from increased risk sharing opportunities and financing</w:t>
      </w:r>
      <w:r w:rsidRPr="201DF1F4">
        <w:rPr>
          <w:rFonts w:eastAsia="Times New Roman"/>
          <w:noProof/>
        </w:rPr>
        <w:t xml:space="preserve">, </w:t>
      </w:r>
      <w:r w:rsidR="58497DAF" w:rsidRPr="201DF1F4">
        <w:rPr>
          <w:rFonts w:eastAsia="Times New Roman"/>
          <w:noProof/>
        </w:rPr>
        <w:t xml:space="preserve">thereby </w:t>
      </w:r>
      <w:r w:rsidRPr="201DF1F4">
        <w:rPr>
          <w:rFonts w:eastAsia="Times New Roman"/>
          <w:noProof/>
        </w:rPr>
        <w:t>supporting economic growth</w:t>
      </w:r>
      <w:r w:rsidR="251F4248" w:rsidRPr="201DF1F4">
        <w:rPr>
          <w:rFonts w:eastAsia="Times New Roman"/>
          <w:noProof/>
        </w:rPr>
        <w:t xml:space="preserve"> and the EU’s competitiveness</w:t>
      </w:r>
      <w:r w:rsidRPr="201DF1F4">
        <w:rPr>
          <w:rFonts w:eastAsia="Times New Roman"/>
          <w:noProof/>
        </w:rPr>
        <w:t xml:space="preserve">. </w:t>
      </w:r>
    </w:p>
    <w:p w:rsidR="00741915" w:rsidRDefault="09B383D9" w:rsidP="009C51B9">
      <w:pPr>
        <w:spacing w:before="0"/>
        <w:rPr>
          <w:rFonts w:eastAsia="Times New Roman"/>
          <w:noProof/>
          <w:szCs w:val="20"/>
        </w:rPr>
      </w:pPr>
      <w:r w:rsidRPr="201DF1F4">
        <w:rPr>
          <w:rFonts w:eastAsia="Times New Roman"/>
          <w:noProof/>
        </w:rPr>
        <w:t>Part of the identified issuance and investment barriers stems from high operational costs linked to the regulation. Removing these costs is therefore also in line with the Commission’s commun</w:t>
      </w:r>
      <w:r w:rsidR="0134543A" w:rsidRPr="201DF1F4">
        <w:rPr>
          <w:rFonts w:eastAsia="Times New Roman"/>
          <w:noProof/>
        </w:rPr>
        <w:t>ication on a</w:t>
      </w:r>
      <w:r w:rsidR="548839F6" w:rsidRPr="201DF1F4">
        <w:rPr>
          <w:rFonts w:eastAsia="Times New Roman"/>
          <w:noProof/>
        </w:rPr>
        <w:t xml:space="preserve"> "</w:t>
      </w:r>
      <w:hyperlink r:id="rId17">
        <w:r w:rsidR="548839F6" w:rsidRPr="774E45C5">
          <w:rPr>
            <w:rStyle w:val="Hyperlink"/>
            <w:rFonts w:eastAsia="Times New Roman"/>
            <w:noProof/>
          </w:rPr>
          <w:t>Simpler and Faster Europe</w:t>
        </w:r>
      </w:hyperlink>
      <w:r w:rsidR="548839F6" w:rsidRPr="201DF1F4">
        <w:rPr>
          <w:rFonts w:eastAsia="Times New Roman"/>
          <w:noProof/>
        </w:rPr>
        <w:t xml:space="preserve">", which emphasizes reducing the regulatory burden on both households and businesses. </w:t>
      </w:r>
    </w:p>
    <w:p w:rsidR="00DE2A88" w:rsidRPr="005C3294" w:rsidRDefault="00741915" w:rsidP="009C51B9">
      <w:pPr>
        <w:spacing w:before="0"/>
        <w:rPr>
          <w:rFonts w:eastAsia="Times New Roman"/>
          <w:noProof/>
          <w:szCs w:val="20"/>
          <w:lang w:val="en-IE"/>
        </w:rPr>
      </w:pPr>
      <w:r>
        <w:rPr>
          <w:rFonts w:eastAsia="Times New Roman"/>
          <w:noProof/>
          <w:szCs w:val="20"/>
        </w:rPr>
        <w:t>Finally</w:t>
      </w:r>
      <w:r w:rsidR="00DE2A88">
        <w:rPr>
          <w:rFonts w:eastAsia="Times New Roman"/>
          <w:noProof/>
          <w:szCs w:val="20"/>
        </w:rPr>
        <w:t xml:space="preserve">, </w:t>
      </w:r>
      <w:r w:rsidR="00DE2A88" w:rsidRPr="005C3294">
        <w:rPr>
          <w:rFonts w:eastAsia="Times New Roman"/>
          <w:noProof/>
          <w:szCs w:val="20"/>
          <w:lang w:val="en-IE"/>
        </w:rPr>
        <w:t>the proposal is consistent with the Union's objective of safeguarding financial stability by ensuring that securitisation markets operate in a transparent, prudent, and resilient manner.</w:t>
      </w:r>
    </w:p>
    <w:p w:rsidR="00D761DA" w:rsidRPr="002D5EE2" w:rsidRDefault="00D761DA">
      <w:pPr>
        <w:pStyle w:val="ManualHeading1"/>
        <w:rPr>
          <w:noProof/>
        </w:rPr>
      </w:pPr>
      <w:bookmarkStart w:id="7" w:name="_Toc198557736"/>
      <w:r w:rsidRPr="002D5EE2">
        <w:rPr>
          <w:noProof/>
        </w:rPr>
        <w:t>2.</w:t>
      </w:r>
      <w:r w:rsidRPr="002D5EE2">
        <w:rPr>
          <w:noProof/>
        </w:rPr>
        <w:tab/>
        <w:t>LEGAL BASIS, SUBSIDIARITY AND PROPORTIONALITY</w:t>
      </w:r>
      <w:bookmarkEnd w:id="7"/>
    </w:p>
    <w:p w:rsidR="00D761DA" w:rsidRPr="00313F8A" w:rsidRDefault="00D761DA" w:rsidP="00313F8A">
      <w:pPr>
        <w:pStyle w:val="ManualHeading2"/>
        <w:rPr>
          <w:rFonts w:eastAsia="Arial Unicode MS"/>
          <w:noProof/>
          <w:u w:color="000000"/>
          <w:bdr w:val="nil"/>
          <w:lang w:val="en-US" w:eastAsia="en-GB"/>
        </w:rPr>
      </w:pPr>
      <w:bookmarkStart w:id="8" w:name="_Toc198557737"/>
      <w:r w:rsidRPr="002D5EE2">
        <w:rPr>
          <w:rFonts w:eastAsia="Arial Unicode MS"/>
          <w:noProof/>
          <w:u w:color="000000"/>
          <w:bdr w:val="nil"/>
          <w:lang w:val="en-US" w:eastAsia="en-GB"/>
        </w:rPr>
        <w:t>•</w:t>
      </w:r>
      <w:r w:rsidRPr="002D5EE2">
        <w:rPr>
          <w:rFonts w:eastAsia="Arial Unicode MS"/>
          <w:noProof/>
          <w:u w:color="000000"/>
          <w:bdr w:val="nil"/>
          <w:lang w:val="en-US" w:eastAsia="en-GB"/>
        </w:rPr>
        <w:tab/>
        <w:t>Legal basis</w:t>
      </w:r>
      <w:bookmarkEnd w:id="8"/>
    </w:p>
    <w:p w:rsidR="00755B36" w:rsidRDefault="00EF5AE2">
      <w:pPr>
        <w:pBdr>
          <w:top w:val="nil"/>
          <w:left w:val="nil"/>
          <w:bottom w:val="nil"/>
          <w:right w:val="nil"/>
          <w:between w:val="nil"/>
          <w:bar w:val="nil"/>
        </w:pBdr>
        <w:spacing w:before="0" w:after="240"/>
        <w:rPr>
          <w:rFonts w:eastAsia="Arial Unicode MS"/>
          <w:noProof/>
        </w:rPr>
      </w:pPr>
      <w:r w:rsidRPr="00EF5AE2">
        <w:rPr>
          <w:rFonts w:eastAsia="Arial Unicode MS"/>
          <w:noProof/>
        </w:rPr>
        <w:t xml:space="preserve">The legal basis of the </w:t>
      </w:r>
      <w:bookmarkStart w:id="9" w:name="_Hlk198740770"/>
      <w:r w:rsidR="00B6634D" w:rsidRPr="00A71557">
        <w:rPr>
          <w:rFonts w:eastAsia="Arial Unicode MS"/>
          <w:noProof/>
          <w:szCs w:val="24"/>
        </w:rPr>
        <w:t>Regulation (EU) 2017/2402</w:t>
      </w:r>
      <w:bookmarkEnd w:id="9"/>
      <w:r w:rsidRPr="00EF5AE2">
        <w:rPr>
          <w:rFonts w:eastAsia="Arial Unicode MS"/>
          <w:noProof/>
        </w:rPr>
        <w:t>is Article 114 of the Treaty on the Functioning of the European Union (</w:t>
      </w:r>
      <w:r w:rsidR="00B6634D">
        <w:rPr>
          <w:rFonts w:eastAsia="Arial Unicode MS"/>
          <w:noProof/>
        </w:rPr>
        <w:t>the ‘</w:t>
      </w:r>
      <w:r w:rsidRPr="00EF5AE2">
        <w:rPr>
          <w:rFonts w:eastAsia="Arial Unicode MS"/>
          <w:noProof/>
        </w:rPr>
        <w:t>TFEU</w:t>
      </w:r>
      <w:r w:rsidR="00B6634D">
        <w:rPr>
          <w:rFonts w:eastAsia="Arial Unicode MS"/>
          <w:noProof/>
        </w:rPr>
        <w:t>’</w:t>
      </w:r>
      <w:r w:rsidRPr="00EF5AE2">
        <w:rPr>
          <w:rFonts w:eastAsia="Arial Unicode MS"/>
          <w:noProof/>
        </w:rPr>
        <w:t xml:space="preserve">) which confers to the institutions </w:t>
      </w:r>
      <w:r w:rsidR="00B6634D">
        <w:rPr>
          <w:rFonts w:eastAsia="Arial Unicode MS"/>
          <w:noProof/>
        </w:rPr>
        <w:t xml:space="preserve">of the European Union </w:t>
      </w:r>
      <w:r w:rsidRPr="00EF5AE2">
        <w:rPr>
          <w:rFonts w:eastAsia="Arial Unicode MS"/>
          <w:noProof/>
        </w:rPr>
        <w:t>the competence to lay down appropriate provisions that have as their objective the establishment and functioning of the single market.</w:t>
      </w:r>
      <w:r w:rsidR="00AC67B8">
        <w:rPr>
          <w:rFonts w:eastAsia="Arial Unicode MS"/>
          <w:noProof/>
        </w:rPr>
        <w:t xml:space="preserve"> </w:t>
      </w:r>
      <w:r w:rsidR="00755B36" w:rsidRPr="00A40341">
        <w:rPr>
          <w:rFonts w:eastAsia="Arial Unicode MS"/>
          <w:noProof/>
        </w:rPr>
        <w:t xml:space="preserve">The proposal introduces targeted amendments to </w:t>
      </w:r>
      <w:r w:rsidR="00B6634D" w:rsidRPr="00A71557">
        <w:rPr>
          <w:rFonts w:eastAsia="Arial Unicode MS"/>
          <w:noProof/>
          <w:szCs w:val="24"/>
        </w:rPr>
        <w:t>Regulation (EU) 2017/2402</w:t>
      </w:r>
      <w:r w:rsidR="00755B36" w:rsidRPr="00A40341">
        <w:rPr>
          <w:rFonts w:eastAsia="Arial Unicode MS"/>
          <w:noProof/>
        </w:rPr>
        <w:t>and is therefore based on the same legal basis.</w:t>
      </w:r>
    </w:p>
    <w:p w:rsidR="00A30E4F" w:rsidRDefault="00A30E4F">
      <w:pPr>
        <w:pBdr>
          <w:top w:val="nil"/>
          <w:left w:val="nil"/>
          <w:bottom w:val="nil"/>
          <w:right w:val="nil"/>
          <w:between w:val="nil"/>
          <w:bar w:val="nil"/>
        </w:pBdr>
        <w:spacing w:before="0" w:after="240"/>
        <w:rPr>
          <w:rFonts w:eastAsia="Arial Unicode MS"/>
          <w:noProof/>
        </w:rPr>
      </w:pPr>
      <w:r w:rsidRPr="00A30E4F">
        <w:rPr>
          <w:rFonts w:eastAsia="Arial Unicode MS"/>
          <w:noProof/>
        </w:rPr>
        <w:t>In particular, Article 114 TFEU confers the European Parliament and the Council with the competence to adopt measures for the approximation of the provisions laid down by law, regulation or administrative action in Member States which have, as their object, the establishment and functioning of the internal market. Article 114 TFEU allows the U</w:t>
      </w:r>
      <w:r w:rsidR="00B6634D">
        <w:rPr>
          <w:rFonts w:eastAsia="Arial Unicode MS"/>
          <w:noProof/>
        </w:rPr>
        <w:t>nion</w:t>
      </w:r>
      <w:r w:rsidRPr="00A30E4F">
        <w:rPr>
          <w:rFonts w:eastAsia="Arial Unicode MS"/>
          <w:noProof/>
        </w:rPr>
        <w:t xml:space="preserve"> to take measures not only to eliminate current obstacles to the exercise of the fundamental freedoms, but also to prevent, if they are sufficiently concretely foreseeable, the emergence of such obstacles, including those that make it difficult for economic operators, including investors, to take full advantage of the benefits of the internal market</w:t>
      </w:r>
      <w:r w:rsidR="009B6574">
        <w:rPr>
          <w:rFonts w:eastAsia="Arial Unicode MS"/>
          <w:noProof/>
        </w:rPr>
        <w:t>.</w:t>
      </w:r>
    </w:p>
    <w:p w:rsidR="00D761DA" w:rsidRPr="002D5EE2" w:rsidRDefault="00D761DA">
      <w:pPr>
        <w:pStyle w:val="ManualHeading2"/>
        <w:rPr>
          <w:rFonts w:eastAsia="Arial Unicode MS"/>
          <w:noProof/>
          <w:u w:color="000000"/>
          <w:bdr w:val="nil"/>
          <w:lang w:val="en-US" w:eastAsia="en-GB"/>
        </w:rPr>
      </w:pPr>
      <w:bookmarkStart w:id="10" w:name="_Toc198557738"/>
      <w:r w:rsidRPr="002D5EE2">
        <w:rPr>
          <w:rFonts w:eastAsia="Arial Unicode MS"/>
          <w:noProof/>
          <w:u w:color="000000"/>
          <w:bdr w:val="nil"/>
          <w:lang w:val="en-US" w:eastAsia="en-GB"/>
        </w:rPr>
        <w:t>•</w:t>
      </w:r>
      <w:r w:rsidRPr="002D5EE2">
        <w:rPr>
          <w:rFonts w:eastAsia="Arial Unicode MS"/>
          <w:noProof/>
          <w:u w:color="000000"/>
          <w:bdr w:val="nil"/>
          <w:lang w:val="en-US" w:eastAsia="en-GB"/>
        </w:rPr>
        <w:tab/>
        <w:t>Subsidiarity (for non-exclusive competence)</w:t>
      </w:r>
      <w:bookmarkEnd w:id="10"/>
      <w:r w:rsidRPr="002D5EE2">
        <w:rPr>
          <w:rFonts w:eastAsia="Arial Unicode MS"/>
          <w:noProof/>
          <w:u w:color="000000"/>
          <w:bdr w:val="nil"/>
          <w:lang w:val="en-US" w:eastAsia="en-GB"/>
        </w:rPr>
        <w:t xml:space="preserve"> </w:t>
      </w:r>
    </w:p>
    <w:p w:rsidR="00FC7DDA" w:rsidRDefault="00FC7DDA" w:rsidP="00FC7DDA">
      <w:pPr>
        <w:rPr>
          <w:noProof/>
        </w:rPr>
      </w:pPr>
      <w:r>
        <w:rPr>
          <w:noProof/>
        </w:rPr>
        <w:t xml:space="preserve">Securitisation products are an important segment of </w:t>
      </w:r>
      <w:r w:rsidR="00775AFA">
        <w:rPr>
          <w:noProof/>
        </w:rPr>
        <w:t>Union</w:t>
      </w:r>
      <w:r>
        <w:rPr>
          <w:noProof/>
        </w:rPr>
        <w:t xml:space="preserve"> financial markets, contributing to U</w:t>
      </w:r>
      <w:r w:rsidR="00775AFA">
        <w:rPr>
          <w:noProof/>
        </w:rPr>
        <w:t>nion</w:t>
      </w:r>
      <w:r>
        <w:rPr>
          <w:noProof/>
        </w:rPr>
        <w:t xml:space="preserve"> financial integration. Securitisation links financial institutions from different sectors of the financial markets </w:t>
      </w:r>
      <w:r w:rsidR="00775AFA">
        <w:rPr>
          <w:noProof/>
        </w:rPr>
        <w:t>and</w:t>
      </w:r>
      <w:r>
        <w:rPr>
          <w:noProof/>
        </w:rPr>
        <w:t xml:space="preserve"> from different Member States and non-EU jurisdictions and can raise financial stability issues when not properly regulated. Therefore, securitisation requires regulation at</w:t>
      </w:r>
      <w:r w:rsidR="00775AFA">
        <w:rPr>
          <w:noProof/>
        </w:rPr>
        <w:t xml:space="preserve"> Union</w:t>
      </w:r>
      <w:r>
        <w:rPr>
          <w:noProof/>
        </w:rPr>
        <w:t xml:space="preserve"> level. </w:t>
      </w:r>
    </w:p>
    <w:p w:rsidR="00CF6259" w:rsidRPr="00550536" w:rsidRDefault="00FC7DDA">
      <w:pPr>
        <w:pBdr>
          <w:top w:val="nil"/>
          <w:left w:val="nil"/>
          <w:bottom w:val="nil"/>
          <w:right w:val="nil"/>
          <w:between w:val="nil"/>
          <w:bar w:val="nil"/>
        </w:pBdr>
        <w:spacing w:before="0" w:after="240"/>
        <w:rPr>
          <w:rFonts w:eastAsia="Arial Unicode MS"/>
          <w:noProof/>
        </w:rPr>
      </w:pPr>
      <w:r>
        <w:rPr>
          <w:noProof/>
        </w:rPr>
        <w:t>The purpose of the proposal is to make the EU securitisation framework less burdensome</w:t>
      </w:r>
      <w:r w:rsidR="00A37F6E">
        <w:rPr>
          <w:noProof/>
        </w:rPr>
        <w:t>,</w:t>
      </w:r>
      <w:r w:rsidR="009128C9">
        <w:rPr>
          <w:noProof/>
        </w:rPr>
        <w:t xml:space="preserve"> and</w:t>
      </w:r>
      <w:r>
        <w:rPr>
          <w:noProof/>
        </w:rPr>
        <w:t xml:space="preserve"> more principles-based</w:t>
      </w:r>
      <w:r w:rsidR="00991621">
        <w:rPr>
          <w:noProof/>
        </w:rPr>
        <w:t>.</w:t>
      </w:r>
      <w:r w:rsidR="001812CD">
        <w:rPr>
          <w:noProof/>
        </w:rPr>
        <w:t xml:space="preserve"> Achieving </w:t>
      </w:r>
      <w:r w:rsidR="0022769C">
        <w:rPr>
          <w:noProof/>
        </w:rPr>
        <w:t>that</w:t>
      </w:r>
      <w:r w:rsidR="001812CD">
        <w:rPr>
          <w:noProof/>
        </w:rPr>
        <w:t xml:space="preserve"> objective will mean that </w:t>
      </w:r>
      <w:r w:rsidR="001F18AF">
        <w:rPr>
          <w:noProof/>
        </w:rPr>
        <w:t xml:space="preserve">financial institutions across the Union are better able to use securitisation as a tool to deepen EU capital markets, to diversify their risk profile and to free up banks’ balance sheets for additional lending to EU households and businesses. </w:t>
      </w:r>
      <w:r w:rsidR="00916E79">
        <w:rPr>
          <w:noProof/>
        </w:rPr>
        <w:t xml:space="preserve">Action at EU level also ensures a high level of financial stability across the EU. </w:t>
      </w:r>
      <w:r w:rsidR="001F18AF">
        <w:rPr>
          <w:noProof/>
        </w:rPr>
        <w:t xml:space="preserve">Overall, </w:t>
      </w:r>
      <w:r w:rsidR="004F3FED">
        <w:rPr>
          <w:noProof/>
        </w:rPr>
        <w:t>th</w:t>
      </w:r>
      <w:r w:rsidR="00A11DF0">
        <w:rPr>
          <w:noProof/>
        </w:rPr>
        <w:t>at</w:t>
      </w:r>
      <w:r w:rsidR="004F3FED">
        <w:rPr>
          <w:noProof/>
        </w:rPr>
        <w:t xml:space="preserve"> aims to contribute to a more competitive and resilient EU economy. </w:t>
      </w:r>
      <w:r w:rsidR="001812CD">
        <w:rPr>
          <w:noProof/>
        </w:rPr>
        <w:t xml:space="preserve"> </w:t>
      </w:r>
    </w:p>
    <w:p w:rsidR="00FC7DDA" w:rsidRDefault="00FC7DDA" w:rsidP="00FC7DDA">
      <w:pPr>
        <w:spacing w:before="60" w:after="0" w:line="259" w:lineRule="auto"/>
        <w:contextualSpacing/>
        <w:rPr>
          <w:noProof/>
        </w:rPr>
      </w:pPr>
      <w:r>
        <w:rPr>
          <w:noProof/>
        </w:rPr>
        <w:t>In particular, the proposal examines</w:t>
      </w:r>
      <w:r w:rsidRPr="00B51A5C">
        <w:rPr>
          <w:noProof/>
        </w:rPr>
        <w:t xml:space="preserve"> certain provisions </w:t>
      </w:r>
      <w:r w:rsidRPr="00B51A5C" w:rsidDel="008E2374">
        <w:rPr>
          <w:noProof/>
        </w:rPr>
        <w:t xml:space="preserve">on </w:t>
      </w:r>
      <w:r>
        <w:rPr>
          <w:noProof/>
        </w:rPr>
        <w:t>due diligence</w:t>
      </w:r>
      <w:r w:rsidR="00494B38">
        <w:rPr>
          <w:noProof/>
        </w:rPr>
        <w:t>, t</w:t>
      </w:r>
      <w:r>
        <w:rPr>
          <w:noProof/>
        </w:rPr>
        <w:t>ransparency and supervision</w:t>
      </w:r>
      <w:r w:rsidR="00A019A5">
        <w:rPr>
          <w:rStyle w:val="FootnoteReference"/>
          <w:noProof/>
        </w:rPr>
        <w:footnoteReference w:id="14"/>
      </w:r>
      <w:r w:rsidR="009A5726">
        <w:rPr>
          <w:noProof/>
        </w:rPr>
        <w:t>.</w:t>
      </w:r>
      <w:r w:rsidR="007A3F60">
        <w:rPr>
          <w:noProof/>
        </w:rPr>
        <w:t xml:space="preserve"> O</w:t>
      </w:r>
      <w:r>
        <w:rPr>
          <w:noProof/>
        </w:rPr>
        <w:t>nly</w:t>
      </w:r>
      <w:r w:rsidDel="239E2EBA">
        <w:rPr>
          <w:noProof/>
        </w:rPr>
        <w:t xml:space="preserve"> </w:t>
      </w:r>
      <w:r w:rsidRPr="00B51A5C">
        <w:rPr>
          <w:noProof/>
        </w:rPr>
        <w:t xml:space="preserve">action </w:t>
      </w:r>
      <w:r>
        <w:rPr>
          <w:noProof/>
        </w:rPr>
        <w:t>at EU level can</w:t>
      </w:r>
      <w:r w:rsidRPr="00B51A5C">
        <w:rPr>
          <w:noProof/>
        </w:rPr>
        <w:t xml:space="preserve"> ensure that going forward, th</w:t>
      </w:r>
      <w:r w:rsidR="00A11DF0">
        <w:rPr>
          <w:noProof/>
        </w:rPr>
        <w:t>o</w:t>
      </w:r>
      <w:r w:rsidRPr="00B51A5C">
        <w:rPr>
          <w:noProof/>
        </w:rPr>
        <w:t xml:space="preserve">se regulatory provisions are applied uniformly and guarantee the existence of the well-established regulatory framework regarding the taking up and the pursuit of </w:t>
      </w:r>
      <w:r>
        <w:rPr>
          <w:noProof/>
        </w:rPr>
        <w:t>securitisation</w:t>
      </w:r>
      <w:r w:rsidRPr="00B51A5C">
        <w:rPr>
          <w:noProof/>
        </w:rPr>
        <w:t xml:space="preserve"> and business</w:t>
      </w:r>
      <w:r>
        <w:rPr>
          <w:noProof/>
        </w:rPr>
        <w:t xml:space="preserve"> across</w:t>
      </w:r>
      <w:r w:rsidRPr="00B51A5C">
        <w:rPr>
          <w:noProof/>
        </w:rPr>
        <w:t xml:space="preserve"> the Single Market.</w:t>
      </w:r>
      <w:r>
        <w:rPr>
          <w:noProof/>
        </w:rPr>
        <w:t xml:space="preserve"> </w:t>
      </w:r>
      <w:r w:rsidR="00B4013A">
        <w:rPr>
          <w:noProof/>
        </w:rPr>
        <w:t>Th</w:t>
      </w:r>
      <w:r w:rsidR="00A11DF0">
        <w:rPr>
          <w:noProof/>
        </w:rPr>
        <w:t>at</w:t>
      </w:r>
      <w:r w:rsidR="00B4013A">
        <w:rPr>
          <w:noProof/>
        </w:rPr>
        <w:t xml:space="preserve"> is especially important</w:t>
      </w:r>
      <w:r>
        <w:rPr>
          <w:noProof/>
        </w:rPr>
        <w:t xml:space="preserve"> </w:t>
      </w:r>
      <w:r w:rsidR="00987E59">
        <w:rPr>
          <w:noProof/>
        </w:rPr>
        <w:t xml:space="preserve">as the </w:t>
      </w:r>
      <w:r w:rsidR="00B54789">
        <w:rPr>
          <w:noProof/>
        </w:rPr>
        <w:t>majority of EU</w:t>
      </w:r>
      <w:r w:rsidR="00987E59">
        <w:rPr>
          <w:noProof/>
        </w:rPr>
        <w:t xml:space="preserve"> securitisation activity is concentrated in a handful </w:t>
      </w:r>
      <w:r w:rsidR="00B54789">
        <w:rPr>
          <w:noProof/>
        </w:rPr>
        <w:t xml:space="preserve">of EU Member States. </w:t>
      </w:r>
      <w:r w:rsidR="003C4CCC">
        <w:rPr>
          <w:noProof/>
        </w:rPr>
        <w:t>A</w:t>
      </w:r>
      <w:r w:rsidR="006435CE">
        <w:rPr>
          <w:noProof/>
        </w:rPr>
        <w:t xml:space="preserve"> Union-wide regulatory framework is fundamental to </w:t>
      </w:r>
      <w:r w:rsidR="00411102">
        <w:rPr>
          <w:noProof/>
        </w:rPr>
        <w:t>facilitat</w:t>
      </w:r>
      <w:r w:rsidR="006435CE">
        <w:rPr>
          <w:noProof/>
        </w:rPr>
        <w:t>ing</w:t>
      </w:r>
      <w:r w:rsidR="007759D2">
        <w:rPr>
          <w:noProof/>
        </w:rPr>
        <w:t xml:space="preserve"> cross-border securitisations, and particularly to </w:t>
      </w:r>
      <w:r w:rsidR="00077517">
        <w:rPr>
          <w:noProof/>
        </w:rPr>
        <w:t>enable</w:t>
      </w:r>
      <w:r w:rsidR="007759D2">
        <w:rPr>
          <w:noProof/>
        </w:rPr>
        <w:t xml:space="preserve"> s</w:t>
      </w:r>
      <w:r w:rsidR="003C4CCC">
        <w:rPr>
          <w:noProof/>
        </w:rPr>
        <w:t>uch</w:t>
      </w:r>
      <w:r w:rsidR="007759D2">
        <w:rPr>
          <w:noProof/>
        </w:rPr>
        <w:t xml:space="preserve"> activity in Member States where </w:t>
      </w:r>
      <w:r w:rsidR="003C4CCC">
        <w:rPr>
          <w:noProof/>
        </w:rPr>
        <w:t xml:space="preserve">there is </w:t>
      </w:r>
      <w:r w:rsidR="007759D2">
        <w:rPr>
          <w:noProof/>
        </w:rPr>
        <w:t xml:space="preserve">currently </w:t>
      </w:r>
      <w:r w:rsidR="003C4CCC">
        <w:rPr>
          <w:noProof/>
        </w:rPr>
        <w:t xml:space="preserve">low </w:t>
      </w:r>
      <w:r w:rsidR="006435CE">
        <w:rPr>
          <w:noProof/>
        </w:rPr>
        <w:t>uptake</w:t>
      </w:r>
      <w:r w:rsidR="003C4CCC">
        <w:rPr>
          <w:noProof/>
        </w:rPr>
        <w:t xml:space="preserve"> of securitisation</w:t>
      </w:r>
      <w:r w:rsidR="006435CE">
        <w:rPr>
          <w:noProof/>
        </w:rPr>
        <w:t>s overa</w:t>
      </w:r>
      <w:r w:rsidR="00077517">
        <w:rPr>
          <w:noProof/>
        </w:rPr>
        <w:t>ll</w:t>
      </w:r>
      <w:r w:rsidR="003C4CCC">
        <w:rPr>
          <w:noProof/>
        </w:rPr>
        <w:t>.</w:t>
      </w:r>
      <w:r w:rsidR="00B54789">
        <w:rPr>
          <w:noProof/>
        </w:rPr>
        <w:t xml:space="preserve"> </w:t>
      </w:r>
      <w:r w:rsidR="007D3F35" w:rsidRPr="007D3F35">
        <w:rPr>
          <w:noProof/>
        </w:rPr>
        <w:t xml:space="preserve">The ability of Member States to adopt national measures is limited, given that the existing EU </w:t>
      </w:r>
      <w:r w:rsidR="00F31A4C">
        <w:rPr>
          <w:noProof/>
        </w:rPr>
        <w:t>s</w:t>
      </w:r>
      <w:r w:rsidR="007D3F35" w:rsidRPr="007D3F35">
        <w:rPr>
          <w:noProof/>
        </w:rPr>
        <w:t xml:space="preserve">ecuritisation </w:t>
      </w:r>
      <w:r w:rsidR="00F31A4C">
        <w:rPr>
          <w:noProof/>
        </w:rPr>
        <w:t>f</w:t>
      </w:r>
      <w:r w:rsidR="007D3F35" w:rsidRPr="007D3F35">
        <w:rPr>
          <w:noProof/>
        </w:rPr>
        <w:t xml:space="preserve">ramework already provides for a harmonised set of rules at EU level and that changes at national level would conflict with Union law currently in force. </w:t>
      </w:r>
    </w:p>
    <w:p w:rsidR="00D761DA" w:rsidRPr="00186012" w:rsidRDefault="00D761DA" w:rsidP="00CB0C15">
      <w:pPr>
        <w:pStyle w:val="ManualHeading2"/>
        <w:rPr>
          <w:noProof/>
        </w:rPr>
      </w:pPr>
      <w:bookmarkStart w:id="11" w:name="_Toc198557739"/>
      <w:r w:rsidRPr="007718A8">
        <w:rPr>
          <w:rFonts w:eastAsia="Arial Unicode MS"/>
          <w:noProof/>
          <w:u w:color="000000"/>
          <w:bdr w:val="nil"/>
          <w:lang w:val="en-US" w:eastAsia="en-GB"/>
        </w:rPr>
        <w:t>•</w:t>
      </w:r>
      <w:r w:rsidRPr="007718A8">
        <w:rPr>
          <w:rFonts w:eastAsia="Arial Unicode MS"/>
          <w:noProof/>
          <w:u w:color="000000"/>
          <w:bdr w:val="nil"/>
          <w:lang w:val="en-US" w:eastAsia="en-GB"/>
        </w:rPr>
        <w:tab/>
        <w:t>Proportionality</w:t>
      </w:r>
      <w:bookmarkEnd w:id="11"/>
    </w:p>
    <w:p w:rsidR="00133966" w:rsidRPr="00133966" w:rsidRDefault="00133966" w:rsidP="00133966">
      <w:pPr>
        <w:pBdr>
          <w:top w:val="nil"/>
          <w:left w:val="nil"/>
          <w:bottom w:val="nil"/>
          <w:right w:val="nil"/>
          <w:between w:val="nil"/>
          <w:bar w:val="nil"/>
        </w:pBdr>
        <w:spacing w:before="0" w:after="240"/>
        <w:rPr>
          <w:rFonts w:eastAsia="Arial Unicode MS"/>
          <w:iCs/>
          <w:noProof/>
          <w:color w:val="000000"/>
          <w:szCs w:val="24"/>
          <w:u w:color="000000"/>
          <w:bdr w:val="nil"/>
          <w:lang w:eastAsia="en-GB"/>
        </w:rPr>
      </w:pPr>
      <w:r w:rsidRPr="00133966">
        <w:rPr>
          <w:rFonts w:eastAsia="Arial Unicode MS"/>
          <w:iCs/>
          <w:noProof/>
          <w:color w:val="000000"/>
          <w:szCs w:val="24"/>
          <w:u w:color="000000"/>
          <w:bdr w:val="nil"/>
          <w:lang w:eastAsia="en-GB"/>
        </w:rPr>
        <w:t xml:space="preserve">The policy choices within the proposal are considered proportionate as they target key areas such as streamlining </w:t>
      </w:r>
      <w:r w:rsidRPr="007C3E91">
        <w:rPr>
          <w:rFonts w:eastAsia="Arial Unicode MS"/>
          <w:iCs/>
          <w:noProof/>
          <w:color w:val="000000"/>
          <w:szCs w:val="24"/>
          <w:u w:color="000000"/>
          <w:bdr w:val="nil"/>
          <w:lang w:eastAsia="en-GB"/>
        </w:rPr>
        <w:t xml:space="preserve">transparency and due diligence rules without compromising </w:t>
      </w:r>
      <w:r w:rsidR="00990014">
        <w:rPr>
          <w:rFonts w:eastAsia="Arial Unicode MS"/>
          <w:iCs/>
          <w:noProof/>
          <w:color w:val="000000"/>
          <w:szCs w:val="24"/>
          <w:u w:color="000000"/>
          <w:bdr w:val="nil"/>
          <w:lang w:eastAsia="en-GB"/>
        </w:rPr>
        <w:t>financial</w:t>
      </w:r>
      <w:r w:rsidRPr="007C3E91">
        <w:rPr>
          <w:rFonts w:eastAsia="Arial Unicode MS"/>
          <w:iCs/>
          <w:noProof/>
          <w:color w:val="000000"/>
          <w:szCs w:val="24"/>
          <w:u w:color="000000"/>
          <w:bdr w:val="nil"/>
          <w:lang w:eastAsia="en-GB"/>
        </w:rPr>
        <w:t xml:space="preserve"> stability or market integrity. </w:t>
      </w:r>
      <w:r w:rsidRPr="007C3E91">
        <w:rPr>
          <w:rFonts w:eastAsia="Arial Unicode MS"/>
          <w:noProof/>
          <w:color w:val="000000"/>
          <w:szCs w:val="24"/>
          <w:u w:color="000000"/>
          <w:bdr w:val="nil"/>
          <w:lang w:eastAsia="en-GB"/>
        </w:rPr>
        <w:t xml:space="preserve">The measures are calibrated to make the framework more proportionate than it currently is, and </w:t>
      </w:r>
      <w:r w:rsidR="003930A3">
        <w:rPr>
          <w:rFonts w:eastAsia="Arial Unicode MS"/>
          <w:noProof/>
          <w:color w:val="000000"/>
          <w:szCs w:val="24"/>
          <w:u w:color="000000"/>
          <w:bdr w:val="nil"/>
          <w:lang w:eastAsia="en-GB"/>
        </w:rPr>
        <w:t>to</w:t>
      </w:r>
      <w:r w:rsidRPr="007C3E91">
        <w:rPr>
          <w:rFonts w:eastAsia="Arial Unicode MS"/>
          <w:noProof/>
          <w:color w:val="000000"/>
          <w:szCs w:val="24"/>
          <w:u w:color="000000"/>
          <w:bdr w:val="nil"/>
          <w:lang w:eastAsia="en-GB"/>
        </w:rPr>
        <w:t xml:space="preserve"> set out a targeted and balanced approach foster issuance, investment, and market confidence.</w:t>
      </w:r>
      <w:r w:rsidRPr="007C3E91">
        <w:rPr>
          <w:rFonts w:eastAsia="Arial Unicode MS"/>
          <w:iCs/>
          <w:noProof/>
          <w:color w:val="000000"/>
          <w:szCs w:val="24"/>
          <w:u w:color="000000"/>
          <w:bdr w:val="nil"/>
          <w:lang w:eastAsia="en-GB"/>
        </w:rPr>
        <w:t xml:space="preserve"> The proposal’s proportionality is further substantiated by the Impact Assessment, which assesses the</w:t>
      </w:r>
      <w:r w:rsidRPr="00133966">
        <w:rPr>
          <w:rFonts w:eastAsia="Arial Unicode MS"/>
          <w:iCs/>
          <w:noProof/>
          <w:color w:val="000000"/>
          <w:szCs w:val="24"/>
          <w:u w:color="000000"/>
          <w:bdr w:val="nil"/>
          <w:lang w:eastAsia="en-GB"/>
        </w:rPr>
        <w:t xml:space="preserve"> potential costs and benefits, ensuring the chosen measures are necessary and effective in meeting the overarching goals of the reform.</w:t>
      </w:r>
    </w:p>
    <w:p w:rsidR="00052142" w:rsidRPr="00F92EAE" w:rsidRDefault="00133966" w:rsidP="00052142">
      <w:pPr>
        <w:rPr>
          <w:noProof/>
        </w:rPr>
      </w:pPr>
      <w:r w:rsidRPr="00133966">
        <w:rPr>
          <w:rFonts w:eastAsia="Arial Unicode MS"/>
          <w:iCs/>
          <w:noProof/>
          <w:color w:val="000000"/>
          <w:szCs w:val="24"/>
          <w:u w:color="000000"/>
          <w:bdr w:val="nil"/>
          <w:lang w:eastAsia="en-GB"/>
        </w:rPr>
        <w:t xml:space="preserve">At the same time, the policy choices do not go beyond what is necessary to achieve the stated objectives and refrain from a complete overhaul of the regulatory framework. </w:t>
      </w:r>
    </w:p>
    <w:p w:rsidR="00D761DA" w:rsidRDefault="00D761DA">
      <w:pPr>
        <w:pStyle w:val="ManualHeading2"/>
        <w:rPr>
          <w:rFonts w:eastAsia="Arial Unicode MS"/>
          <w:noProof/>
          <w:u w:color="000000"/>
          <w:bdr w:val="nil"/>
          <w:lang w:val="en-US" w:eastAsia="en-GB"/>
        </w:rPr>
      </w:pPr>
      <w:bookmarkStart w:id="12" w:name="_Toc198557740"/>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Choice of the instrument</w:t>
      </w:r>
      <w:bookmarkEnd w:id="12"/>
    </w:p>
    <w:p w:rsidR="00C75F1E" w:rsidRPr="00C75F1E" w:rsidRDefault="00C75F1E">
      <w:pPr>
        <w:pBdr>
          <w:top w:val="nil"/>
          <w:left w:val="nil"/>
          <w:bottom w:val="nil"/>
          <w:right w:val="nil"/>
          <w:between w:val="nil"/>
          <w:bar w:val="nil"/>
        </w:pBdr>
        <w:spacing w:before="0" w:after="240"/>
        <w:rPr>
          <w:rFonts w:eastAsia="Arial Unicode MS"/>
          <w:noProof/>
          <w:color w:val="0000FF"/>
        </w:rPr>
      </w:pPr>
      <w:r w:rsidRPr="00C75F1E">
        <w:rPr>
          <w:rFonts w:eastAsia="Arial Unicode MS"/>
          <w:noProof/>
        </w:rPr>
        <w:t xml:space="preserve">The proposal is an amendment </w:t>
      </w:r>
      <w:r w:rsidR="00B358C1">
        <w:rPr>
          <w:rFonts w:eastAsia="Arial Unicode MS"/>
          <w:noProof/>
        </w:rPr>
        <w:t xml:space="preserve">to </w:t>
      </w:r>
      <w:r w:rsidR="00B358C1" w:rsidRPr="00A71557">
        <w:rPr>
          <w:rFonts w:eastAsia="Arial Unicode MS"/>
          <w:noProof/>
          <w:szCs w:val="24"/>
        </w:rPr>
        <w:t>Regulation (EU) 2017/2402</w:t>
      </w:r>
      <w:r w:rsidRPr="00C75F1E">
        <w:rPr>
          <w:rFonts w:eastAsia="Arial Unicode MS"/>
          <w:noProof/>
        </w:rPr>
        <w:t xml:space="preserve"> and, therefore, it is a </w:t>
      </w:r>
      <w:r w:rsidR="00B358C1">
        <w:rPr>
          <w:rFonts w:eastAsia="Arial Unicode MS"/>
          <w:noProof/>
        </w:rPr>
        <w:t xml:space="preserve">proposal for a </w:t>
      </w:r>
      <w:r w:rsidRPr="00C75F1E">
        <w:rPr>
          <w:rFonts w:eastAsia="Arial Unicode MS"/>
          <w:noProof/>
        </w:rPr>
        <w:t>Regulation. No alternative means – legislative or operational – can be used to attain the objectives of this proposal.</w:t>
      </w:r>
    </w:p>
    <w:p w:rsidR="00D761DA" w:rsidRPr="00550536" w:rsidRDefault="00D761DA">
      <w:pPr>
        <w:pStyle w:val="ManualHeading1"/>
        <w:rPr>
          <w:noProof/>
        </w:rPr>
      </w:pPr>
      <w:bookmarkStart w:id="13" w:name="_Toc198557741"/>
      <w:r w:rsidRPr="00550536">
        <w:rPr>
          <w:noProof/>
        </w:rPr>
        <w:t>3.</w:t>
      </w:r>
      <w:r w:rsidRPr="00550536">
        <w:rPr>
          <w:noProof/>
        </w:rPr>
        <w:tab/>
        <w:t>RESULTS OF EX-POST EVALUATIONS, STAKEHOLDER CONSULTATIONS AND IMPACT ASSESSMENTS</w:t>
      </w:r>
      <w:bookmarkEnd w:id="13"/>
    </w:p>
    <w:p w:rsidR="00D761DA" w:rsidRDefault="00D761DA">
      <w:pPr>
        <w:pStyle w:val="ManualHeading2"/>
        <w:rPr>
          <w:rFonts w:eastAsia="Arial Unicode MS"/>
          <w:noProof/>
          <w:u w:color="000000"/>
          <w:bdr w:val="nil"/>
          <w:lang w:val="en-US" w:eastAsia="en-GB"/>
        </w:rPr>
      </w:pPr>
      <w:bookmarkStart w:id="14" w:name="_Toc198557742"/>
      <w:r w:rsidRPr="007718A8">
        <w:rPr>
          <w:rFonts w:eastAsia="Arial Unicode MS"/>
          <w:noProof/>
          <w:u w:color="000000"/>
          <w:bdr w:val="nil"/>
          <w:lang w:val="en-US" w:eastAsia="en-GB"/>
        </w:rPr>
        <w:t>•</w:t>
      </w:r>
      <w:r w:rsidRPr="007718A8">
        <w:rPr>
          <w:rFonts w:eastAsia="Arial Unicode MS"/>
          <w:noProof/>
          <w:u w:color="000000"/>
          <w:bdr w:val="nil"/>
          <w:lang w:val="en-US" w:eastAsia="en-GB"/>
        </w:rPr>
        <w:tab/>
        <w:t>Ex-post evaluations/fitness checks</w:t>
      </w:r>
      <w:r>
        <w:rPr>
          <w:rFonts w:eastAsia="Arial Unicode MS"/>
          <w:noProof/>
          <w:u w:color="000000"/>
          <w:bdr w:val="nil"/>
          <w:lang w:val="en-US" w:eastAsia="en-GB"/>
        </w:rPr>
        <w:t xml:space="preserve"> of existing legislation</w:t>
      </w:r>
      <w:bookmarkEnd w:id="14"/>
    </w:p>
    <w:p w:rsidR="00B0181E" w:rsidRPr="00B0181E" w:rsidRDefault="00FB2670" w:rsidP="00B0181E">
      <w:pPr>
        <w:spacing w:line="259" w:lineRule="auto"/>
        <w:rPr>
          <w:rFonts w:eastAsia="Times New Roman"/>
          <w:noProof/>
          <w14:ligatures w14:val="standardContextual"/>
        </w:rPr>
      </w:pPr>
      <w:r w:rsidRPr="30D9F364">
        <w:rPr>
          <w:rFonts w:eastAsia="Calibri"/>
          <w:noProof/>
          <w14:ligatures w14:val="standardContextual"/>
        </w:rPr>
        <w:t xml:space="preserve">An </w:t>
      </w:r>
      <w:r w:rsidR="00185D3B" w:rsidRPr="30D9F364">
        <w:rPr>
          <w:rFonts w:eastAsia="Calibri"/>
          <w:noProof/>
          <w14:ligatures w14:val="standardContextual"/>
        </w:rPr>
        <w:t>e</w:t>
      </w:r>
      <w:r w:rsidRPr="30D9F364">
        <w:rPr>
          <w:rFonts w:eastAsia="Calibri"/>
          <w:noProof/>
          <w14:ligatures w14:val="standardContextual"/>
        </w:rPr>
        <w:t xml:space="preserve">valuation of the </w:t>
      </w:r>
      <w:r>
        <w:rPr>
          <w:rFonts w:eastAsia="Calibri"/>
          <w:noProof/>
          <w14:ligatures w14:val="standardContextual"/>
        </w:rPr>
        <w:t>s</w:t>
      </w:r>
      <w:r w:rsidRPr="30D9F364">
        <w:rPr>
          <w:rFonts w:eastAsia="Calibri"/>
          <w:noProof/>
          <w14:ligatures w14:val="standardContextual"/>
        </w:rPr>
        <w:t xml:space="preserve">ecuritisation </w:t>
      </w:r>
      <w:r>
        <w:rPr>
          <w:rFonts w:eastAsia="Calibri"/>
          <w:noProof/>
          <w14:ligatures w14:val="standardContextual"/>
        </w:rPr>
        <w:t>f</w:t>
      </w:r>
      <w:r w:rsidRPr="30D9F364">
        <w:rPr>
          <w:rFonts w:eastAsia="Calibri"/>
          <w:noProof/>
          <w14:ligatures w14:val="standardContextual"/>
        </w:rPr>
        <w:t>ramework</w:t>
      </w:r>
      <w:r w:rsidR="00B0181E" w:rsidRPr="30D9F364">
        <w:rPr>
          <w:rFonts w:eastAsia="Calibri"/>
          <w:noProof/>
          <w14:ligatures w14:val="standardContextual"/>
        </w:rPr>
        <w:t xml:space="preserve"> </w:t>
      </w:r>
      <w:r w:rsidRPr="30D9F364">
        <w:rPr>
          <w:rFonts w:eastAsia="Calibri"/>
          <w:noProof/>
          <w14:ligatures w14:val="standardContextual"/>
        </w:rPr>
        <w:t xml:space="preserve">was conducted </w:t>
      </w:r>
      <w:r w:rsidR="00185D3B" w:rsidRPr="30D9F364">
        <w:rPr>
          <w:rFonts w:eastAsia="MS Mincho"/>
          <w:noProof/>
          <w14:ligatures w14:val="standardContextual"/>
        </w:rPr>
        <w:t xml:space="preserve">covering the period from the </w:t>
      </w:r>
      <w:r w:rsidR="00AA6E15">
        <w:rPr>
          <w:rFonts w:eastAsia="MS Mincho"/>
          <w:noProof/>
          <w14:ligatures w14:val="standardContextual"/>
        </w:rPr>
        <w:t>date of</w:t>
      </w:r>
      <w:r w:rsidR="00AA6E15" w:rsidRPr="30D9F364">
        <w:rPr>
          <w:rFonts w:eastAsia="MS Mincho"/>
          <w:noProof/>
          <w14:ligatures w14:val="standardContextual"/>
        </w:rPr>
        <w:t xml:space="preserve"> </w:t>
      </w:r>
      <w:r w:rsidR="00185D3B" w:rsidRPr="30D9F364">
        <w:rPr>
          <w:rFonts w:eastAsia="MS Mincho"/>
          <w:noProof/>
          <w14:ligatures w14:val="standardContextual"/>
        </w:rPr>
        <w:t xml:space="preserve">into application of the </w:t>
      </w:r>
      <w:r>
        <w:rPr>
          <w:rFonts w:eastAsia="MS Mincho"/>
          <w:noProof/>
          <w14:ligatures w14:val="standardContextual"/>
        </w:rPr>
        <w:t>s</w:t>
      </w:r>
      <w:r w:rsidR="00185D3B" w:rsidRPr="30D9F364">
        <w:rPr>
          <w:rFonts w:eastAsia="MS Mincho"/>
          <w:noProof/>
          <w14:ligatures w14:val="standardContextual"/>
        </w:rPr>
        <w:t xml:space="preserve">ecuritisation </w:t>
      </w:r>
      <w:r>
        <w:rPr>
          <w:rFonts w:eastAsia="MS Mincho"/>
          <w:noProof/>
          <w14:ligatures w14:val="standardContextual"/>
        </w:rPr>
        <w:t>f</w:t>
      </w:r>
      <w:r w:rsidR="00185D3B" w:rsidRPr="30D9F364">
        <w:rPr>
          <w:rFonts w:eastAsia="MS Mincho"/>
          <w:noProof/>
          <w14:ligatures w14:val="standardContextual"/>
        </w:rPr>
        <w:t xml:space="preserve">ramework (1 January 2019) until present. </w:t>
      </w:r>
      <w:r w:rsidR="00B0181E" w:rsidRPr="30D9F364">
        <w:rPr>
          <w:rFonts w:eastAsia="MS Mincho"/>
          <w:noProof/>
          <w14:ligatures w14:val="standardContextual"/>
        </w:rPr>
        <w:t>Its scope includes the legal framework in its entirety (S</w:t>
      </w:r>
      <w:r w:rsidR="007647EE">
        <w:rPr>
          <w:rFonts w:eastAsia="MS Mincho"/>
          <w:noProof/>
          <w14:ligatures w14:val="standardContextual"/>
        </w:rPr>
        <w:t>ecuritisation Regulation,</w:t>
      </w:r>
      <w:r w:rsidR="00B0181E" w:rsidRPr="30D9F364">
        <w:rPr>
          <w:rFonts w:eastAsia="MS Mincho"/>
          <w:noProof/>
          <w14:ligatures w14:val="standardContextual"/>
        </w:rPr>
        <w:t xml:space="preserve"> relevant parts to the CRR, LCR</w:t>
      </w:r>
      <w:r w:rsidR="007647EE">
        <w:rPr>
          <w:rFonts w:eastAsia="MS Mincho"/>
          <w:noProof/>
          <w14:ligatures w14:val="standardContextual"/>
        </w:rPr>
        <w:t xml:space="preserve"> D</w:t>
      </w:r>
      <w:r>
        <w:rPr>
          <w:rFonts w:eastAsia="MS Mincho"/>
          <w:noProof/>
          <w14:ligatures w14:val="standardContextual"/>
        </w:rPr>
        <w:t xml:space="preserve">elegated </w:t>
      </w:r>
      <w:r w:rsidR="007647EE">
        <w:rPr>
          <w:rFonts w:eastAsia="MS Mincho"/>
          <w:noProof/>
          <w14:ligatures w14:val="standardContextual"/>
        </w:rPr>
        <w:t>A</w:t>
      </w:r>
      <w:r>
        <w:rPr>
          <w:rFonts w:eastAsia="MS Mincho"/>
          <w:noProof/>
          <w14:ligatures w14:val="standardContextual"/>
        </w:rPr>
        <w:t>ct</w:t>
      </w:r>
      <w:r w:rsidR="00B0181E" w:rsidRPr="30D9F364">
        <w:rPr>
          <w:rFonts w:eastAsia="MS Mincho"/>
          <w:noProof/>
          <w14:ligatures w14:val="standardContextual"/>
        </w:rPr>
        <w:t xml:space="preserve"> and SII </w:t>
      </w:r>
      <w:r w:rsidR="003F2455">
        <w:rPr>
          <w:rFonts w:eastAsia="MS Mincho"/>
          <w:noProof/>
          <w14:ligatures w14:val="standardContextual"/>
        </w:rPr>
        <w:t>D</w:t>
      </w:r>
      <w:r>
        <w:rPr>
          <w:rFonts w:eastAsia="MS Mincho"/>
          <w:noProof/>
          <w14:ligatures w14:val="standardContextual"/>
        </w:rPr>
        <w:t xml:space="preserve">elegated </w:t>
      </w:r>
      <w:r w:rsidR="003F2455">
        <w:rPr>
          <w:rFonts w:eastAsia="MS Mincho"/>
          <w:noProof/>
          <w14:ligatures w14:val="standardContextual"/>
        </w:rPr>
        <w:t>A</w:t>
      </w:r>
      <w:r>
        <w:rPr>
          <w:rFonts w:eastAsia="MS Mincho"/>
          <w:noProof/>
          <w14:ligatures w14:val="standardContextual"/>
        </w:rPr>
        <w:t>ct</w:t>
      </w:r>
      <w:r w:rsidR="003F2455">
        <w:rPr>
          <w:rFonts w:eastAsia="MS Mincho"/>
          <w:noProof/>
          <w14:ligatures w14:val="standardContextual"/>
        </w:rPr>
        <w:t xml:space="preserve"> </w:t>
      </w:r>
      <w:r w:rsidR="00B0181E" w:rsidRPr="30D9F364">
        <w:rPr>
          <w:rFonts w:eastAsia="MS Mincho"/>
          <w:noProof/>
          <w14:ligatures w14:val="standardContextual"/>
        </w:rPr>
        <w:t xml:space="preserve">that pertain to securitisation transactions). </w:t>
      </w:r>
    </w:p>
    <w:p w:rsidR="00B54FCE" w:rsidRDefault="00B54FCE" w:rsidP="00FB2670">
      <w:pPr>
        <w:spacing w:before="100" w:beforeAutospacing="1" w:after="100" w:afterAutospacing="1" w:line="259" w:lineRule="auto"/>
        <w:rPr>
          <w:rFonts w:eastAsia="Calibri"/>
          <w:noProof/>
          <w14:ligatures w14:val="standardContextual"/>
        </w:rPr>
      </w:pPr>
      <w:r w:rsidRPr="4E4CB22C">
        <w:rPr>
          <w:rFonts w:eastAsia="MS Mincho"/>
          <w:noProof/>
          <w14:ligatures w14:val="standardContextual"/>
        </w:rPr>
        <w:t xml:space="preserve">In line with the Better Regulation Toolbox, it examines whether the objectives of the </w:t>
      </w:r>
      <w:r>
        <w:rPr>
          <w:rFonts w:eastAsia="MS Mincho"/>
          <w:noProof/>
          <w14:ligatures w14:val="standardContextual"/>
        </w:rPr>
        <w:t>s</w:t>
      </w:r>
      <w:r w:rsidRPr="4E4CB22C">
        <w:rPr>
          <w:rFonts w:eastAsia="MS Mincho"/>
          <w:noProof/>
          <w14:ligatures w14:val="standardContextual"/>
        </w:rPr>
        <w:t xml:space="preserve">ecuritisation </w:t>
      </w:r>
      <w:r>
        <w:rPr>
          <w:rFonts w:eastAsia="MS Mincho"/>
          <w:noProof/>
          <w14:ligatures w14:val="standardContextual"/>
        </w:rPr>
        <w:t>f</w:t>
      </w:r>
      <w:r w:rsidRPr="4E4CB22C">
        <w:rPr>
          <w:rFonts w:eastAsia="MS Mincho"/>
          <w:noProof/>
          <w14:ligatures w14:val="standardContextual"/>
        </w:rPr>
        <w:t xml:space="preserve">ramework were met during the period of its application (effectiveness) and continue to be appropriate (relevance) and whether the </w:t>
      </w:r>
      <w:r>
        <w:rPr>
          <w:rFonts w:eastAsia="MS Mincho"/>
          <w:noProof/>
          <w14:ligatures w14:val="standardContextual"/>
        </w:rPr>
        <w:t>f</w:t>
      </w:r>
      <w:r w:rsidRPr="4E4CB22C">
        <w:rPr>
          <w:rFonts w:eastAsia="MS Mincho"/>
          <w:noProof/>
          <w14:ligatures w14:val="standardContextual"/>
        </w:rPr>
        <w:t xml:space="preserve">ramework, taking account of the costs and benefits associated with applying it, was efficient in achieving its objectives (efficiency). The evaluation also considers whether the </w:t>
      </w:r>
      <w:r>
        <w:rPr>
          <w:rFonts w:eastAsia="MS Mincho"/>
          <w:noProof/>
          <w14:ligatures w14:val="standardContextual"/>
        </w:rPr>
        <w:t>s</w:t>
      </w:r>
      <w:r w:rsidRPr="4E4CB22C">
        <w:rPr>
          <w:rFonts w:eastAsia="MS Mincho"/>
          <w:noProof/>
          <w14:ligatures w14:val="standardContextual"/>
        </w:rPr>
        <w:t xml:space="preserve">ecuritisation </w:t>
      </w:r>
      <w:r>
        <w:rPr>
          <w:rFonts w:eastAsia="MS Mincho"/>
          <w:noProof/>
          <w14:ligatures w14:val="standardContextual"/>
        </w:rPr>
        <w:t>f</w:t>
      </w:r>
      <w:r w:rsidRPr="4E4CB22C">
        <w:rPr>
          <w:rFonts w:eastAsia="MS Mincho"/>
          <w:noProof/>
          <w14:ligatures w14:val="standardContextual"/>
        </w:rPr>
        <w:t>ramework, as legislation at U</w:t>
      </w:r>
      <w:r w:rsidR="00AA6E15">
        <w:rPr>
          <w:rFonts w:eastAsia="MS Mincho"/>
          <w:noProof/>
          <w14:ligatures w14:val="standardContextual"/>
        </w:rPr>
        <w:t>nion</w:t>
      </w:r>
      <w:r w:rsidRPr="4E4CB22C">
        <w:rPr>
          <w:rFonts w:eastAsia="MS Mincho"/>
          <w:noProof/>
          <w14:ligatures w14:val="standardContextual"/>
        </w:rPr>
        <w:t xml:space="preserve"> level, provided added value (EU added value) and whether it is consistent with other related pieces of legislation (coherence).</w:t>
      </w:r>
      <w:r w:rsidR="00185D3B" w:rsidRPr="4E4CB22C">
        <w:rPr>
          <w:rFonts w:eastAsia="MS Mincho"/>
          <w:noProof/>
          <w14:ligatures w14:val="standardContextual"/>
        </w:rPr>
        <w:t xml:space="preserve"> </w:t>
      </w:r>
      <w:r w:rsidRPr="4E4CB22C">
        <w:rPr>
          <w:rFonts w:eastAsia="MS Mincho"/>
          <w:noProof/>
          <w14:ligatures w14:val="standardContextual"/>
        </w:rPr>
        <w:t>The evaluation</w:t>
      </w:r>
      <w:r w:rsidR="00185D3B" w:rsidRPr="4E4CB22C">
        <w:rPr>
          <w:rFonts w:eastAsia="MS Mincho"/>
          <w:noProof/>
          <w14:ligatures w14:val="standardContextual"/>
        </w:rPr>
        <w:t xml:space="preserve"> was</w:t>
      </w:r>
      <w:r w:rsidRPr="4E4CB22C">
        <w:rPr>
          <w:rFonts w:eastAsia="MS Mincho"/>
          <w:noProof/>
          <w14:ligatures w14:val="standardContextual"/>
        </w:rPr>
        <w:t xml:space="preserve"> conducted in parallel with the impact assessment accompanying the proposal revising the </w:t>
      </w:r>
      <w:r>
        <w:rPr>
          <w:rFonts w:eastAsia="MS Mincho"/>
          <w:noProof/>
          <w14:ligatures w14:val="standardContextual"/>
        </w:rPr>
        <w:t>s</w:t>
      </w:r>
      <w:r w:rsidRPr="4E4CB22C">
        <w:rPr>
          <w:rFonts w:eastAsia="MS Mincho"/>
          <w:noProof/>
          <w14:ligatures w14:val="standardContextual"/>
        </w:rPr>
        <w:t xml:space="preserve">ecuritisation </w:t>
      </w:r>
      <w:r>
        <w:rPr>
          <w:rFonts w:eastAsia="MS Mincho"/>
          <w:noProof/>
          <w14:ligatures w14:val="standardContextual"/>
        </w:rPr>
        <w:t>f</w:t>
      </w:r>
      <w:r w:rsidRPr="4E4CB22C">
        <w:rPr>
          <w:rFonts w:eastAsia="MS Mincho"/>
          <w:noProof/>
          <w14:ligatures w14:val="standardContextual"/>
        </w:rPr>
        <w:t xml:space="preserve">ramework. </w:t>
      </w:r>
    </w:p>
    <w:p w:rsidR="000A37A2" w:rsidRDefault="00B13161" w:rsidP="00FB2670">
      <w:pPr>
        <w:spacing w:before="100" w:beforeAutospacing="1" w:after="100" w:afterAutospacing="1" w:line="259" w:lineRule="auto"/>
        <w:rPr>
          <w:rFonts w:eastAsia="MS Mincho"/>
          <w:noProof/>
          <w:szCs w:val="20"/>
          <w14:ligatures w14:val="standardContextual"/>
        </w:rPr>
      </w:pPr>
      <w:r w:rsidRPr="00B13161">
        <w:rPr>
          <w:rFonts w:eastAsia="MS Mincho"/>
          <w:noProof/>
          <w:szCs w:val="20"/>
          <w14:ligatures w14:val="standardContextual"/>
        </w:rPr>
        <w:t>The evaluation conclude</w:t>
      </w:r>
      <w:r>
        <w:rPr>
          <w:rFonts w:eastAsia="MS Mincho"/>
          <w:noProof/>
          <w:szCs w:val="20"/>
          <w14:ligatures w14:val="standardContextual"/>
        </w:rPr>
        <w:t>d</w:t>
      </w:r>
      <w:r w:rsidRPr="00B13161">
        <w:rPr>
          <w:rFonts w:eastAsia="MS Mincho"/>
          <w:noProof/>
          <w:szCs w:val="20"/>
          <w14:ligatures w14:val="standardContextual"/>
        </w:rPr>
        <w:t xml:space="preserve"> that the </w:t>
      </w:r>
      <w:r>
        <w:rPr>
          <w:rFonts w:eastAsia="MS Mincho"/>
          <w:noProof/>
          <w:szCs w:val="20"/>
          <w14:ligatures w14:val="standardContextual"/>
        </w:rPr>
        <w:t>s</w:t>
      </w:r>
      <w:r w:rsidR="004A1F3C">
        <w:rPr>
          <w:rFonts w:eastAsia="MS Mincho"/>
          <w:noProof/>
          <w:szCs w:val="20"/>
          <w14:ligatures w14:val="standardContextual"/>
        </w:rPr>
        <w:t xml:space="preserve">ecuritisation </w:t>
      </w:r>
      <w:r>
        <w:rPr>
          <w:rFonts w:eastAsia="MS Mincho"/>
          <w:noProof/>
          <w:szCs w:val="20"/>
          <w14:ligatures w14:val="standardContextual"/>
        </w:rPr>
        <w:t>f</w:t>
      </w:r>
      <w:r w:rsidR="004A1F3C">
        <w:rPr>
          <w:rFonts w:eastAsia="MS Mincho"/>
          <w:noProof/>
          <w:szCs w:val="20"/>
          <w14:ligatures w14:val="standardContextual"/>
        </w:rPr>
        <w:t>ramework was partially successful in meeting its original objectives. It has supported the standardisation of processes and practices</w:t>
      </w:r>
      <w:r w:rsidR="00144FF5">
        <w:rPr>
          <w:rFonts w:eastAsia="MS Mincho"/>
          <w:noProof/>
          <w:szCs w:val="20"/>
          <w14:ligatures w14:val="standardContextual"/>
        </w:rPr>
        <w:t xml:space="preserve"> and partly tackled regulatory </w:t>
      </w:r>
      <w:r w:rsidR="002B53E7">
        <w:rPr>
          <w:rFonts w:eastAsia="MS Mincho"/>
          <w:noProof/>
          <w:szCs w:val="20"/>
          <w14:ligatures w14:val="standardContextual"/>
        </w:rPr>
        <w:t>uncertainty</w:t>
      </w:r>
      <w:r w:rsidR="00144FF5">
        <w:rPr>
          <w:rFonts w:eastAsia="MS Mincho"/>
          <w:noProof/>
          <w:szCs w:val="20"/>
          <w14:ligatures w14:val="standardContextual"/>
        </w:rPr>
        <w:t xml:space="preserve">. </w:t>
      </w:r>
      <w:r w:rsidR="002B53E7">
        <w:rPr>
          <w:rFonts w:eastAsia="MS Mincho"/>
          <w:noProof/>
          <w:szCs w:val="20"/>
          <w14:ligatures w14:val="standardContextual"/>
        </w:rPr>
        <w:t>However, it has only been partly successful in r</w:t>
      </w:r>
      <w:r w:rsidR="002B53E7" w:rsidRPr="002B53E7">
        <w:rPr>
          <w:rFonts w:eastAsia="MS Mincho"/>
          <w:noProof/>
          <w:szCs w:val="20"/>
          <w14:ligatures w14:val="standardContextual"/>
        </w:rPr>
        <w:t xml:space="preserve">emoving the stigma associated with securitisation, and in removing regulatory disadvantages for simple and transparent securitisations, despite the regulatory improvements put in place. Moreover, the Framework has not been successful in reducing high operational costs and in significantly scaling up the securitisation market in the EU. </w:t>
      </w:r>
    </w:p>
    <w:p w:rsidR="000A37A2" w:rsidRDefault="35AEC4B9" w:rsidP="00FB2670">
      <w:pPr>
        <w:spacing w:before="100" w:beforeAutospacing="1" w:after="100" w:afterAutospacing="1" w:line="259" w:lineRule="auto"/>
        <w:rPr>
          <w:rFonts w:eastAsia="MS Mincho"/>
          <w:noProof/>
          <w14:ligatures w14:val="standardContextual"/>
        </w:rPr>
      </w:pPr>
      <w:r w:rsidRPr="4E4CB22C">
        <w:rPr>
          <w:rFonts w:eastAsia="MS Mincho"/>
          <w:noProof/>
          <w14:ligatures w14:val="standardContextual"/>
        </w:rPr>
        <w:t xml:space="preserve"> </w:t>
      </w:r>
      <w:r w:rsidR="705C9FDE" w:rsidRPr="4E4CB22C">
        <w:rPr>
          <w:rFonts w:eastAsia="MS Mincho"/>
          <w:noProof/>
          <w14:ligatures w14:val="standardContextual"/>
        </w:rPr>
        <w:t xml:space="preserve">As a </w:t>
      </w:r>
      <w:r w:rsidR="0001652C" w:rsidRPr="4E4CB22C">
        <w:rPr>
          <w:rFonts w:eastAsia="MS Mincho"/>
          <w:noProof/>
          <w14:ligatures w14:val="standardContextual"/>
        </w:rPr>
        <w:t>result</w:t>
      </w:r>
      <w:r w:rsidR="007B4D3E" w:rsidRPr="4E4CB22C">
        <w:rPr>
          <w:rFonts w:eastAsia="MS Mincho"/>
          <w:noProof/>
          <w14:ligatures w14:val="standardContextual"/>
        </w:rPr>
        <w:t xml:space="preserve">, the evaluation concluded that </w:t>
      </w:r>
      <w:r w:rsidR="00B13161" w:rsidRPr="4E4CB22C">
        <w:rPr>
          <w:rFonts w:eastAsia="MS Mincho"/>
          <w:noProof/>
          <w14:ligatures w14:val="standardContextual"/>
        </w:rPr>
        <w:t>more is needed to ensure that securitisation can meaningfully contribute to improve the financing of the EU economy and further develop the Savings and Investment</w:t>
      </w:r>
      <w:r w:rsidR="006B39E7" w:rsidRPr="4E4CB22C">
        <w:rPr>
          <w:rFonts w:eastAsia="MS Mincho"/>
          <w:noProof/>
          <w14:ligatures w14:val="standardContextual"/>
        </w:rPr>
        <w:t>s</w:t>
      </w:r>
      <w:r w:rsidR="00B13161" w:rsidRPr="4E4CB22C">
        <w:rPr>
          <w:rFonts w:eastAsia="MS Mincho"/>
          <w:noProof/>
          <w14:ligatures w14:val="standardContextual"/>
        </w:rPr>
        <w:t xml:space="preserve"> Union. </w:t>
      </w:r>
      <w:r w:rsidR="000A37A2" w:rsidRPr="4E4CB22C">
        <w:rPr>
          <w:rFonts w:eastAsia="MS Mincho"/>
          <w:noProof/>
          <w14:ligatures w14:val="standardContextual"/>
        </w:rPr>
        <w:t xml:space="preserve">More specifically, the evaluation </w:t>
      </w:r>
      <w:r w:rsidR="0001652C" w:rsidRPr="4E4CB22C">
        <w:rPr>
          <w:rFonts w:eastAsia="MS Mincho"/>
          <w:noProof/>
          <w14:ligatures w14:val="standardContextual"/>
        </w:rPr>
        <w:t>assessed that very prescriptive legal requirements in the area of transparency and due diligence result in high operational costs for issuers and investors in securitisations, and that a more principles-based approach</w:t>
      </w:r>
      <w:r w:rsidR="00596471" w:rsidRPr="4E4CB22C">
        <w:rPr>
          <w:rFonts w:eastAsia="MS Mincho"/>
          <w:noProof/>
          <w14:ligatures w14:val="standardContextual"/>
        </w:rPr>
        <w:t xml:space="preserve"> might be more suitable. </w:t>
      </w:r>
      <w:r w:rsidR="1FE7F17D" w:rsidRPr="4E4CB22C">
        <w:rPr>
          <w:rFonts w:eastAsia="MS Mincho"/>
          <w:noProof/>
          <w14:ligatures w14:val="standardContextual"/>
        </w:rPr>
        <w:t>T</w:t>
      </w:r>
      <w:r w:rsidRPr="4E4CB22C">
        <w:rPr>
          <w:rFonts w:eastAsia="MS Mincho"/>
          <w:noProof/>
          <w14:ligatures w14:val="standardContextual"/>
        </w:rPr>
        <w:t>he</w:t>
      </w:r>
      <w:r w:rsidR="00596471" w:rsidRPr="4E4CB22C">
        <w:rPr>
          <w:rFonts w:eastAsia="MS Mincho"/>
          <w:noProof/>
          <w14:ligatures w14:val="standardContextual"/>
        </w:rPr>
        <w:t xml:space="preserve"> prudential framework for banks </w:t>
      </w:r>
      <w:r w:rsidR="005B304E" w:rsidRPr="4E4CB22C">
        <w:rPr>
          <w:rFonts w:eastAsia="MS Mincho"/>
          <w:noProof/>
          <w14:ligatures w14:val="standardContextual"/>
        </w:rPr>
        <w:t>and insurers is insufficiently risk sensitive and capital ‘non-neutrality’ is disproportionately high for certain securitisation transactions. Therefore, to address undue prudential barriers</w:t>
      </w:r>
      <w:r w:rsidR="00EF2228" w:rsidRPr="4E4CB22C">
        <w:rPr>
          <w:rFonts w:eastAsia="MS Mincho"/>
          <w:noProof/>
          <w14:ligatures w14:val="standardContextual"/>
        </w:rPr>
        <w:t>, a revision of the prudential treatment of securitisations is necessary.</w:t>
      </w:r>
    </w:p>
    <w:p w:rsidR="00D761DA" w:rsidRDefault="00D761DA" w:rsidP="4E4CB22C">
      <w:pPr>
        <w:pStyle w:val="ManualHeading2"/>
        <w:spacing w:beforeAutospacing="1" w:afterAutospacing="1" w:line="259" w:lineRule="auto"/>
        <w:rPr>
          <w:rFonts w:eastAsia="Arial Unicode MS"/>
          <w:noProof/>
          <w:bdr w:val="nil"/>
          <w:lang w:val="en-US" w:eastAsia="en-GB"/>
        </w:rPr>
      </w:pPr>
      <w:bookmarkStart w:id="15" w:name="_Toc198557743"/>
      <w:r w:rsidRPr="007718A8">
        <w:rPr>
          <w:rFonts w:eastAsia="Arial Unicode MS"/>
          <w:noProof/>
          <w:bdr w:val="nil"/>
          <w:lang w:val="en-US" w:eastAsia="en-GB"/>
        </w:rPr>
        <w:t>•</w:t>
      </w:r>
      <w:r w:rsidRPr="007718A8">
        <w:rPr>
          <w:rFonts w:eastAsia="Arial Unicode MS"/>
          <w:noProof/>
          <w:u w:color="000000"/>
          <w:bdr w:val="nil"/>
          <w:lang w:val="en-US" w:eastAsia="en-GB"/>
        </w:rPr>
        <w:tab/>
      </w:r>
      <w:r w:rsidRPr="007718A8">
        <w:rPr>
          <w:rFonts w:eastAsia="Arial Unicode MS"/>
          <w:noProof/>
          <w:bdr w:val="nil"/>
          <w:lang w:val="en-US" w:eastAsia="en-GB"/>
        </w:rPr>
        <w:t>Stakeholder consultations</w:t>
      </w:r>
      <w:bookmarkEnd w:id="15"/>
    </w:p>
    <w:p w:rsidR="00C127E5" w:rsidRPr="00EF6A3E" w:rsidRDefault="00C127E5" w:rsidP="00C127E5">
      <w:pPr>
        <w:spacing w:before="0" w:after="240" w:line="257" w:lineRule="auto"/>
        <w:rPr>
          <w:rFonts w:eastAsia="Times New Roman"/>
          <w:noProof/>
          <w:lang w:val="en-IE"/>
        </w:rPr>
      </w:pPr>
      <w:r w:rsidRPr="4E4CB22C">
        <w:rPr>
          <w:rFonts w:eastAsia="Times New Roman"/>
          <w:noProof/>
        </w:rPr>
        <w:t>On 3 July 2024, the Commission hosted a Securitisation Workshop, which invited representatives from the banking industry/associations, Ministries, European Supervisory Authorities</w:t>
      </w:r>
      <w:r w:rsidR="2AE63D6E" w:rsidRPr="4E4CB22C">
        <w:rPr>
          <w:rFonts w:eastAsia="Times New Roman"/>
          <w:noProof/>
        </w:rPr>
        <w:t xml:space="preserve"> (ESAs)</w:t>
      </w:r>
      <w:r w:rsidR="5CE2E85B" w:rsidRPr="4E4CB22C">
        <w:rPr>
          <w:rFonts w:eastAsia="Times New Roman"/>
          <w:noProof/>
        </w:rPr>
        <w:t>, the S</w:t>
      </w:r>
      <w:r w:rsidR="0210BF6E" w:rsidRPr="4E4CB22C">
        <w:rPr>
          <w:rFonts w:eastAsia="Times New Roman"/>
          <w:noProof/>
        </w:rPr>
        <w:t xml:space="preserve">ingle </w:t>
      </w:r>
      <w:r w:rsidR="5CE2E85B" w:rsidRPr="4E4CB22C">
        <w:rPr>
          <w:rFonts w:eastAsia="Times New Roman"/>
          <w:noProof/>
        </w:rPr>
        <w:t>S</w:t>
      </w:r>
      <w:r w:rsidR="13429C17" w:rsidRPr="4E4CB22C">
        <w:rPr>
          <w:rFonts w:eastAsia="Times New Roman"/>
          <w:noProof/>
        </w:rPr>
        <w:t xml:space="preserve">upervisory </w:t>
      </w:r>
      <w:r w:rsidR="5CE2E85B" w:rsidRPr="4E4CB22C">
        <w:rPr>
          <w:rFonts w:eastAsia="Times New Roman"/>
          <w:noProof/>
        </w:rPr>
        <w:t>M</w:t>
      </w:r>
      <w:r w:rsidR="2797DE35" w:rsidRPr="4E4CB22C">
        <w:rPr>
          <w:rFonts w:eastAsia="Times New Roman"/>
          <w:noProof/>
        </w:rPr>
        <w:t xml:space="preserve">echanism of </w:t>
      </w:r>
      <w:r w:rsidRPr="4E4CB22C">
        <w:rPr>
          <w:rFonts w:eastAsia="Times New Roman"/>
          <w:noProof/>
        </w:rPr>
        <w:t xml:space="preserve">the </w:t>
      </w:r>
      <w:r w:rsidR="2797DE35" w:rsidRPr="4E4CB22C">
        <w:rPr>
          <w:rFonts w:eastAsia="Times New Roman"/>
          <w:noProof/>
        </w:rPr>
        <w:t>European Central Bank</w:t>
      </w:r>
      <w:r w:rsidR="5CE2E85B" w:rsidRPr="4E4CB22C">
        <w:rPr>
          <w:rFonts w:eastAsia="Times New Roman"/>
          <w:noProof/>
        </w:rPr>
        <w:t>,</w:t>
      </w:r>
      <w:r w:rsidR="4915FF26" w:rsidRPr="4E4CB22C">
        <w:rPr>
          <w:rFonts w:eastAsia="Times New Roman"/>
          <w:noProof/>
        </w:rPr>
        <w:t xml:space="preserve"> the</w:t>
      </w:r>
      <w:r w:rsidR="5CE2E85B" w:rsidRPr="4E4CB22C">
        <w:rPr>
          <w:rFonts w:eastAsia="Times New Roman"/>
          <w:noProof/>
        </w:rPr>
        <w:t xml:space="preserve"> E</w:t>
      </w:r>
      <w:r w:rsidR="1FE2B2A7" w:rsidRPr="4E4CB22C">
        <w:rPr>
          <w:rFonts w:eastAsia="Times New Roman"/>
          <w:noProof/>
        </w:rPr>
        <w:t xml:space="preserve">uropean </w:t>
      </w:r>
      <w:r w:rsidR="5CE2E85B" w:rsidRPr="4E4CB22C">
        <w:rPr>
          <w:rFonts w:eastAsia="Times New Roman"/>
          <w:noProof/>
        </w:rPr>
        <w:t>I</w:t>
      </w:r>
      <w:r w:rsidR="0DB34084" w:rsidRPr="4E4CB22C">
        <w:rPr>
          <w:rFonts w:eastAsia="Times New Roman"/>
          <w:noProof/>
        </w:rPr>
        <w:t xml:space="preserve">nvestment </w:t>
      </w:r>
      <w:r w:rsidR="5CE2E85B" w:rsidRPr="4E4CB22C">
        <w:rPr>
          <w:rFonts w:eastAsia="Times New Roman"/>
          <w:noProof/>
        </w:rPr>
        <w:t>B</w:t>
      </w:r>
      <w:r w:rsidR="183D738F" w:rsidRPr="4E4CB22C">
        <w:rPr>
          <w:rFonts w:eastAsia="Times New Roman"/>
          <w:noProof/>
        </w:rPr>
        <w:t>ank</w:t>
      </w:r>
      <w:r w:rsidRPr="4E4CB22C">
        <w:rPr>
          <w:rFonts w:eastAsia="Times New Roman"/>
          <w:noProof/>
        </w:rPr>
        <w:t>, insurers, asset managers,</w:t>
      </w:r>
      <w:r w:rsidR="00E60075" w:rsidRPr="4E4CB22C">
        <w:rPr>
          <w:rFonts w:eastAsia="Times New Roman"/>
          <w:noProof/>
        </w:rPr>
        <w:t xml:space="preserve"> </w:t>
      </w:r>
      <w:r w:rsidR="00AA6E15">
        <w:rPr>
          <w:rFonts w:eastAsia="Times New Roman"/>
          <w:noProof/>
        </w:rPr>
        <w:t>n</w:t>
      </w:r>
      <w:r w:rsidR="4FC4EF63" w:rsidRPr="4E4CB22C">
        <w:rPr>
          <w:rFonts w:eastAsia="Times New Roman"/>
          <w:noProof/>
        </w:rPr>
        <w:t>ongovernmental organisations</w:t>
      </w:r>
      <w:r w:rsidRPr="4E4CB22C">
        <w:rPr>
          <w:rFonts w:eastAsia="Times New Roman"/>
          <w:noProof/>
        </w:rPr>
        <w:t xml:space="preserve"> and pension funds</w:t>
      </w:r>
      <w:r w:rsidR="576D04AD" w:rsidRPr="4E4CB22C">
        <w:rPr>
          <w:rFonts w:eastAsia="Times New Roman"/>
          <w:noProof/>
        </w:rPr>
        <w:t xml:space="preserve"> to share their views</w:t>
      </w:r>
      <w:r w:rsidR="5CE2E85B" w:rsidRPr="4E4CB22C">
        <w:rPr>
          <w:rFonts w:eastAsia="Times New Roman"/>
          <w:noProof/>
        </w:rPr>
        <w:t xml:space="preserve">. </w:t>
      </w:r>
    </w:p>
    <w:p w:rsidR="00744C0E" w:rsidRDefault="00744C0E" w:rsidP="4E4CB22C">
      <w:pPr>
        <w:pBdr>
          <w:bar w:val="nil"/>
        </w:pBdr>
        <w:spacing w:before="0" w:after="240" w:line="257" w:lineRule="auto"/>
        <w:rPr>
          <w:rFonts w:eastAsia="Times New Roman"/>
          <w:noProof/>
          <w:lang w:val="en-IE"/>
        </w:rPr>
      </w:pPr>
      <w:r w:rsidRPr="00744C0E">
        <w:rPr>
          <w:rFonts w:eastAsia="Arial Unicode MS"/>
          <w:noProof/>
          <w:color w:val="000000"/>
          <w:bdr w:val="nil"/>
          <w:lang w:val="en-IE" w:eastAsia="en-GB"/>
        </w:rPr>
        <w:t>A targeted public consultation on the functioning of the EU securitisation framework was carried out between 9 October 2024 to 4 December 2024. 133 responses were received from a variety of stakeholders</w:t>
      </w:r>
      <w:r w:rsidR="00232E47">
        <w:rPr>
          <w:rStyle w:val="FootnoteReference"/>
          <w:rFonts w:eastAsia="Arial Unicode MS"/>
          <w:noProof/>
          <w:color w:val="000000"/>
          <w:bdr w:val="nil"/>
          <w:lang w:val="en-IE" w:eastAsia="en-GB"/>
        </w:rPr>
        <w:footnoteReference w:id="15"/>
      </w:r>
      <w:r w:rsidRPr="00744C0E">
        <w:rPr>
          <w:rFonts w:eastAsia="Arial Unicode MS"/>
          <w:noProof/>
          <w:color w:val="000000"/>
          <w:bdr w:val="nil"/>
          <w:lang w:val="en-IE" w:eastAsia="en-GB"/>
        </w:rPr>
        <w:t xml:space="preserve">. The consultation was split into twelve sections which sought to gather views from a broad range of stakeholders active in the EU securitisation market on whether the </w:t>
      </w:r>
      <w:r>
        <w:rPr>
          <w:rFonts w:eastAsia="Arial Unicode MS"/>
          <w:noProof/>
          <w:color w:val="000000"/>
          <w:bdr w:val="nil"/>
          <w:lang w:val="en-IE" w:eastAsia="en-GB"/>
        </w:rPr>
        <w:t>s</w:t>
      </w:r>
      <w:r w:rsidRPr="00744C0E">
        <w:rPr>
          <w:rFonts w:eastAsia="Arial Unicode MS"/>
          <w:noProof/>
          <w:color w:val="000000"/>
          <w:bdr w:val="nil"/>
          <w:lang w:val="en-IE" w:eastAsia="en-GB"/>
        </w:rPr>
        <w:t xml:space="preserve">ecuritisation </w:t>
      </w:r>
      <w:r>
        <w:rPr>
          <w:rFonts w:eastAsia="Arial Unicode MS"/>
          <w:noProof/>
          <w:color w:val="000000"/>
          <w:bdr w:val="nil"/>
          <w:lang w:val="en-IE" w:eastAsia="en-GB"/>
        </w:rPr>
        <w:t>f</w:t>
      </w:r>
      <w:r w:rsidRPr="00744C0E">
        <w:rPr>
          <w:rFonts w:eastAsia="Arial Unicode MS"/>
          <w:noProof/>
          <w:color w:val="000000"/>
          <w:bdr w:val="nil"/>
          <w:lang w:val="en-IE" w:eastAsia="en-GB"/>
        </w:rPr>
        <w:t xml:space="preserve">ramework met and continues to meet its objectives in terms of market safety, operational cost reduction and prudential risk-sensitivity. The consultation was also used to collect feedback on the operation of the </w:t>
      </w:r>
      <w:r w:rsidRPr="00E01F37">
        <w:rPr>
          <w:rFonts w:eastAsia="Arial Unicode MS"/>
          <w:noProof/>
          <w:color w:val="000000"/>
          <w:bdr w:val="nil"/>
          <w:lang w:val="en-IE" w:eastAsia="en-GB"/>
        </w:rPr>
        <w:t>STS</w:t>
      </w:r>
      <w:r w:rsidRPr="00744C0E">
        <w:rPr>
          <w:rFonts w:eastAsia="Arial Unicode MS"/>
          <w:noProof/>
          <w:color w:val="000000"/>
          <w:bdr w:val="nil"/>
          <w:lang w:val="en-IE" w:eastAsia="en-GB"/>
        </w:rPr>
        <w:t xml:space="preserve"> standard, </w:t>
      </w:r>
      <w:r w:rsidR="59BED7AB" w:rsidRPr="00744C0E">
        <w:rPr>
          <w:rFonts w:eastAsia="Arial Unicode MS"/>
          <w:noProof/>
          <w:color w:val="000000"/>
          <w:bdr w:val="nil"/>
          <w:lang w:val="en-IE" w:eastAsia="en-GB"/>
        </w:rPr>
        <w:t>the</w:t>
      </w:r>
      <w:r w:rsidR="6CAF5505" w:rsidRPr="00744C0E">
        <w:rPr>
          <w:rFonts w:eastAsia="Arial Unicode MS"/>
          <w:noProof/>
          <w:color w:val="000000"/>
          <w:bdr w:val="nil"/>
          <w:lang w:val="en-IE" w:eastAsia="en-GB"/>
        </w:rPr>
        <w:t xml:space="preserve"> effectiveness of</w:t>
      </w:r>
      <w:r w:rsidR="59BED7AB" w:rsidRPr="00744C0E">
        <w:rPr>
          <w:rFonts w:eastAsia="Arial Unicode MS"/>
          <w:noProof/>
          <w:color w:val="000000"/>
          <w:bdr w:val="nil"/>
          <w:lang w:val="en-IE" w:eastAsia="en-GB"/>
        </w:rPr>
        <w:t xml:space="preserve"> </w:t>
      </w:r>
      <w:r w:rsidRPr="00744C0E">
        <w:rPr>
          <w:rFonts w:eastAsia="Arial Unicode MS"/>
          <w:noProof/>
          <w:color w:val="000000"/>
          <w:bdr w:val="nil"/>
          <w:lang w:val="en-IE" w:eastAsia="en-GB"/>
        </w:rPr>
        <w:t>supervision</w:t>
      </w:r>
      <w:r w:rsidR="39CADF95" w:rsidRPr="00744C0E">
        <w:rPr>
          <w:rFonts w:eastAsia="Arial Unicode MS"/>
          <w:noProof/>
          <w:color w:val="000000"/>
          <w:bdr w:val="nil"/>
          <w:lang w:val="en-IE" w:eastAsia="en-GB"/>
        </w:rPr>
        <w:t>,</w:t>
      </w:r>
      <w:r w:rsidRPr="00744C0E">
        <w:rPr>
          <w:rFonts w:eastAsia="Arial Unicode MS"/>
          <w:noProof/>
          <w:color w:val="000000"/>
          <w:bdr w:val="nil"/>
          <w:lang w:val="en-IE" w:eastAsia="en-GB"/>
        </w:rPr>
        <w:t xml:space="preserve"> and the prospect of a future securitisation platform(s). </w:t>
      </w:r>
      <w:r w:rsidR="734EF513" w:rsidRPr="4E4CB22C">
        <w:rPr>
          <w:rFonts w:eastAsia="Times New Roman"/>
          <w:noProof/>
          <w:lang w:val="en-IE"/>
        </w:rPr>
        <w:t>In addition, the Commission has carried a series of bilateral meetings with a wide range of stakeholders who confirmed the feedback already received.</w:t>
      </w:r>
    </w:p>
    <w:p w:rsidR="00744C0E" w:rsidRDefault="3549333B">
      <w:pPr>
        <w:pBdr>
          <w:top w:val="nil"/>
          <w:left w:val="nil"/>
          <w:bottom w:val="nil"/>
          <w:right w:val="nil"/>
          <w:between w:val="nil"/>
          <w:bar w:val="nil"/>
        </w:pBdr>
        <w:spacing w:before="0" w:after="240"/>
        <w:rPr>
          <w:rFonts w:eastAsia="Arial Unicode MS"/>
          <w:noProof/>
          <w:color w:val="000000"/>
          <w:bdr w:val="nil"/>
          <w:lang w:val="en-IE" w:eastAsia="en-GB"/>
        </w:rPr>
      </w:pPr>
      <w:r w:rsidRPr="00744C0E">
        <w:rPr>
          <w:rFonts w:eastAsia="Arial Unicode MS"/>
          <w:noProof/>
          <w:color w:val="000000"/>
          <w:bdr w:val="nil"/>
          <w:lang w:val="en-IE" w:eastAsia="en-GB"/>
        </w:rPr>
        <w:t>The feedback gathered in th</w:t>
      </w:r>
      <w:r w:rsidR="00145464">
        <w:rPr>
          <w:rFonts w:eastAsia="Arial Unicode MS"/>
          <w:noProof/>
          <w:color w:val="000000"/>
          <w:bdr w:val="nil"/>
          <w:lang w:val="en-IE" w:eastAsia="en-GB"/>
        </w:rPr>
        <w:t>at</w:t>
      </w:r>
      <w:r w:rsidRPr="00744C0E">
        <w:rPr>
          <w:rFonts w:eastAsia="Arial Unicode MS"/>
          <w:noProof/>
          <w:color w:val="000000"/>
          <w:bdr w:val="nil"/>
          <w:lang w:val="en-IE" w:eastAsia="en-GB"/>
        </w:rPr>
        <w:t xml:space="preserve"> consultation is reflected in the evaluation of the securitisation framework.</w:t>
      </w:r>
    </w:p>
    <w:p w:rsidR="00284903" w:rsidRDefault="0021185F" w:rsidP="0021185F">
      <w:pPr>
        <w:spacing w:before="0" w:after="240" w:line="257" w:lineRule="auto"/>
        <w:rPr>
          <w:rFonts w:eastAsia="Times New Roman"/>
          <w:noProof/>
          <w:lang w:val="en-IE"/>
        </w:rPr>
      </w:pPr>
      <w:r w:rsidRPr="72ACC5C1">
        <w:rPr>
          <w:rFonts w:eastAsia="Times New Roman"/>
          <w:noProof/>
          <w:lang w:val="en-IE"/>
        </w:rPr>
        <w:t>A call for evidence was opened between 19 February 2025 and 26 March 2025</w:t>
      </w:r>
      <w:r w:rsidR="00232E47">
        <w:rPr>
          <w:rStyle w:val="FootnoteReference"/>
          <w:rFonts w:eastAsia="Times New Roman"/>
          <w:noProof/>
          <w:lang w:val="en-IE"/>
        </w:rPr>
        <w:footnoteReference w:id="16"/>
      </w:r>
      <w:r w:rsidRPr="72ACC5C1">
        <w:rPr>
          <w:rFonts w:eastAsia="Times New Roman"/>
          <w:noProof/>
          <w:lang w:val="en-IE"/>
        </w:rPr>
        <w:t xml:space="preserve"> to request feedback from stakeholders on the review of the </w:t>
      </w:r>
      <w:r>
        <w:rPr>
          <w:rFonts w:eastAsia="Times New Roman"/>
          <w:noProof/>
          <w:lang w:val="en-IE"/>
        </w:rPr>
        <w:t>s</w:t>
      </w:r>
      <w:r w:rsidRPr="72ACC5C1">
        <w:rPr>
          <w:rFonts w:eastAsia="Times New Roman"/>
          <w:noProof/>
          <w:lang w:val="en-IE"/>
        </w:rPr>
        <w:t xml:space="preserve">ecuritisation </w:t>
      </w:r>
      <w:r>
        <w:rPr>
          <w:rFonts w:eastAsia="Times New Roman"/>
          <w:noProof/>
          <w:lang w:val="en-IE"/>
        </w:rPr>
        <w:t>f</w:t>
      </w:r>
      <w:r w:rsidRPr="72ACC5C1">
        <w:rPr>
          <w:rFonts w:eastAsia="Times New Roman"/>
          <w:noProof/>
          <w:lang w:val="en-IE"/>
        </w:rPr>
        <w:t xml:space="preserve">ramework. Stakeholders were asked to provide views on the Commission's understanding of the problem and possible solutions, </w:t>
      </w:r>
      <w:r w:rsidR="00145464">
        <w:rPr>
          <w:rFonts w:eastAsia="Times New Roman"/>
          <w:noProof/>
          <w:lang w:val="en-IE"/>
        </w:rPr>
        <w:t>and</w:t>
      </w:r>
      <w:r w:rsidR="00154719">
        <w:rPr>
          <w:rFonts w:eastAsia="Times New Roman"/>
          <w:noProof/>
          <w:lang w:val="en-IE"/>
        </w:rPr>
        <w:t xml:space="preserve"> to</w:t>
      </w:r>
      <w:r w:rsidRPr="72ACC5C1">
        <w:rPr>
          <w:rFonts w:eastAsia="Times New Roman"/>
          <w:noProof/>
          <w:lang w:val="en-IE"/>
        </w:rPr>
        <w:t xml:space="preserve"> provide relevant information. 34 respondents replied to the call for evidence and presented their views</w:t>
      </w:r>
      <w:r w:rsidR="00232E47">
        <w:rPr>
          <w:rStyle w:val="FootnoteReference"/>
          <w:rFonts w:eastAsia="Times New Roman"/>
          <w:noProof/>
          <w:lang w:val="en-IE"/>
        </w:rPr>
        <w:footnoteReference w:id="17"/>
      </w:r>
      <w:r w:rsidRPr="72ACC5C1">
        <w:rPr>
          <w:rFonts w:eastAsia="Times New Roman"/>
          <w:noProof/>
          <w:lang w:val="en-IE"/>
        </w:rPr>
        <w:t>. Out of those 34 respondents, 26</w:t>
      </w:r>
      <w:r w:rsidR="00232E47">
        <w:rPr>
          <w:rStyle w:val="FootnoteReference"/>
          <w:rFonts w:eastAsia="Times New Roman"/>
          <w:noProof/>
          <w:lang w:val="en-IE"/>
        </w:rPr>
        <w:footnoteReference w:id="18"/>
      </w:r>
      <w:r w:rsidRPr="72ACC5C1">
        <w:rPr>
          <w:rFonts w:eastAsia="Times New Roman"/>
          <w:noProof/>
          <w:lang w:val="en-IE"/>
        </w:rPr>
        <w:t xml:space="preserve"> had also replied to the 2024 targeted consultation, with their views remaining broadly the same. Points made by first-time respondents were also consistent with the </w:t>
      </w:r>
      <w:r w:rsidR="00345585" w:rsidRPr="72ACC5C1">
        <w:rPr>
          <w:rFonts w:eastAsia="Times New Roman"/>
          <w:noProof/>
          <w:lang w:val="en-IE"/>
        </w:rPr>
        <w:t xml:space="preserve">feedback </w:t>
      </w:r>
      <w:r w:rsidR="00345585">
        <w:rPr>
          <w:rFonts w:eastAsia="Times New Roman"/>
          <w:noProof/>
          <w:lang w:val="en-IE"/>
        </w:rPr>
        <w:t xml:space="preserve">of the </w:t>
      </w:r>
      <w:r w:rsidRPr="72ACC5C1">
        <w:rPr>
          <w:rFonts w:eastAsia="Times New Roman"/>
          <w:noProof/>
          <w:lang w:val="en-IE"/>
        </w:rPr>
        <w:t xml:space="preserve">targeted consultation previously received. </w:t>
      </w:r>
    </w:p>
    <w:p w:rsidR="00D761DA" w:rsidRDefault="00D761DA">
      <w:pPr>
        <w:pStyle w:val="ManualHeading2"/>
        <w:rPr>
          <w:rFonts w:eastAsia="Arial Unicode MS"/>
          <w:noProof/>
          <w:u w:color="000000"/>
          <w:bdr w:val="nil"/>
          <w:lang w:val="en-US" w:eastAsia="en-GB"/>
        </w:rPr>
      </w:pPr>
      <w:bookmarkStart w:id="16" w:name="_Toc198557744"/>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Collection and use of expertise</w:t>
      </w:r>
      <w:bookmarkEnd w:id="16"/>
    </w:p>
    <w:p w:rsidR="00541091" w:rsidRPr="00541091" w:rsidRDefault="00536CE7" w:rsidP="007D30AD">
      <w:pPr>
        <w:spacing w:before="0" w:line="259" w:lineRule="auto"/>
        <w:rPr>
          <w:rFonts w:eastAsia="Yu Gothic"/>
          <w:noProof/>
          <w:kern w:val="2"/>
          <w:lang w:val="en-IE"/>
          <w14:ligatures w14:val="standardContextual"/>
        </w:rPr>
      </w:pPr>
      <w:r w:rsidRPr="4E4CB22C">
        <w:rPr>
          <w:rFonts w:eastAsia="Times New Roman"/>
          <w:noProof/>
          <w:kern w:val="2"/>
          <w14:ligatures w14:val="standardContextual"/>
        </w:rPr>
        <w:t xml:space="preserve">The preparation of this proposal </w:t>
      </w:r>
      <w:r w:rsidR="00CF06AA" w:rsidRPr="4E4CB22C">
        <w:rPr>
          <w:rFonts w:eastAsia="Times New Roman"/>
          <w:noProof/>
          <w:kern w:val="2"/>
          <w14:ligatures w14:val="standardContextual"/>
        </w:rPr>
        <w:t>has benefited from</w:t>
      </w:r>
      <w:r w:rsidR="00A87E5A" w:rsidRPr="4E4CB22C">
        <w:rPr>
          <w:rFonts w:eastAsia="Times New Roman"/>
          <w:noProof/>
          <w:kern w:val="2"/>
          <w14:ligatures w14:val="standardContextual"/>
        </w:rPr>
        <w:t xml:space="preserve"> </w:t>
      </w:r>
      <w:r w:rsidR="009B5024" w:rsidRPr="4E4CB22C">
        <w:rPr>
          <w:rFonts w:eastAsia="Times New Roman"/>
          <w:noProof/>
          <w:kern w:val="2"/>
          <w14:ligatures w14:val="standardContextual"/>
        </w:rPr>
        <w:t>extensive</w:t>
      </w:r>
      <w:r w:rsidRPr="4E4CB22C">
        <w:rPr>
          <w:rFonts w:eastAsia="Times New Roman"/>
          <w:noProof/>
          <w:kern w:val="2"/>
          <w14:ligatures w14:val="standardContextual"/>
        </w:rPr>
        <w:t xml:space="preserve"> </w:t>
      </w:r>
      <w:r w:rsidR="00317D79" w:rsidRPr="4E4CB22C">
        <w:rPr>
          <w:rFonts w:eastAsia="Times New Roman"/>
          <w:noProof/>
          <w:kern w:val="2"/>
          <w14:ligatures w14:val="standardContextual"/>
        </w:rPr>
        <w:t xml:space="preserve">expert input, including stakeholder consultations, meetings, and analytical work carried out by </w:t>
      </w:r>
      <w:r w:rsidR="004829D9" w:rsidRPr="4E4CB22C">
        <w:rPr>
          <w:rFonts w:eastAsia="Times New Roman"/>
          <w:noProof/>
          <w:kern w:val="2"/>
          <w14:ligatures w14:val="standardContextual"/>
        </w:rPr>
        <w:t xml:space="preserve">the ESAs. </w:t>
      </w:r>
      <w:r w:rsidR="5872D4E6" w:rsidRPr="4E4CB22C">
        <w:rPr>
          <w:rFonts w:eastAsia="Times New Roman"/>
          <w:noProof/>
          <w:kern w:val="2"/>
          <w14:ligatures w14:val="standardContextual"/>
        </w:rPr>
        <w:t xml:space="preserve">In particular, the ESAs </w:t>
      </w:r>
      <w:r w:rsidR="003F2455" w:rsidRPr="4E4CB22C">
        <w:rPr>
          <w:rFonts w:eastAsia="Times New Roman"/>
          <w:noProof/>
          <w:kern w:val="2"/>
          <w14:ligatures w14:val="standardContextual"/>
        </w:rPr>
        <w:t xml:space="preserve">delivered </w:t>
      </w:r>
      <w:r w:rsidR="003F2455" w:rsidRPr="2722C99C">
        <w:rPr>
          <w:rFonts w:eastAsia="Times New Roman"/>
          <w:noProof/>
          <w:kern w:val="2"/>
          <w14:ligatures w14:val="standardContextual"/>
        </w:rPr>
        <w:t>the</w:t>
      </w:r>
      <w:r w:rsidR="00541091" w:rsidRPr="2722C99C">
        <w:rPr>
          <w:rFonts w:eastAsia="Times New Roman"/>
          <w:noProof/>
          <w:kern w:val="2"/>
          <w14:ligatures w14:val="standardContextual"/>
        </w:rPr>
        <w:t xml:space="preserve"> 2021 </w:t>
      </w:r>
      <w:r w:rsidR="004B4550">
        <w:rPr>
          <w:rFonts w:eastAsia="Times New Roman"/>
          <w:noProof/>
          <w:kern w:val="2"/>
          <w14:ligatures w14:val="standardContextual"/>
        </w:rPr>
        <w:t>and 2025</w:t>
      </w:r>
      <w:r w:rsidR="00541091" w:rsidRPr="2722C99C">
        <w:rPr>
          <w:rFonts w:eastAsia="Times New Roman"/>
          <w:noProof/>
          <w:kern w:val="2"/>
          <w14:ligatures w14:val="standardContextual"/>
        </w:rPr>
        <w:t xml:space="preserve"> Art. 44 Joint Committee report</w:t>
      </w:r>
      <w:r w:rsidR="004B4550">
        <w:rPr>
          <w:rFonts w:eastAsia="Times New Roman"/>
          <w:noProof/>
          <w:kern w:val="2"/>
          <w14:ligatures w14:val="standardContextual"/>
        </w:rPr>
        <w:t>s</w:t>
      </w:r>
      <w:r w:rsidR="00541091" w:rsidRPr="2722C99C">
        <w:rPr>
          <w:rFonts w:eastAsia="Times New Roman"/>
          <w:noProof/>
          <w:kern w:val="2"/>
          <w14:ligatures w14:val="standardContextual"/>
        </w:rPr>
        <w:t xml:space="preserve"> on the implementation and functioning of the Securitisation Regulation</w:t>
      </w:r>
      <w:r w:rsidR="00541091">
        <w:rPr>
          <w:rStyle w:val="FootnoteReference"/>
          <w:rFonts w:eastAsia="Times New Roman"/>
          <w:noProof/>
          <w:kern w:val="2"/>
          <w14:ligatures w14:val="standardContextual"/>
        </w:rPr>
        <w:footnoteReference w:id="19"/>
      </w:r>
      <w:r w:rsidR="00E07A1C" w:rsidRPr="2722C99C">
        <w:rPr>
          <w:rFonts w:eastAsia="Times New Roman"/>
          <w:noProof/>
          <w:kern w:val="2"/>
          <w14:ligatures w14:val="standardContextual"/>
        </w:rPr>
        <w:t>. Th</w:t>
      </w:r>
      <w:r w:rsidR="00145464">
        <w:rPr>
          <w:rFonts w:eastAsia="Times New Roman"/>
          <w:noProof/>
          <w:kern w:val="2"/>
          <w14:ligatures w14:val="standardContextual"/>
        </w:rPr>
        <w:t>o</w:t>
      </w:r>
      <w:r w:rsidR="00E07A1C" w:rsidRPr="2722C99C">
        <w:rPr>
          <w:rFonts w:eastAsia="Times New Roman"/>
          <w:noProof/>
          <w:kern w:val="2"/>
          <w14:ligatures w14:val="standardContextual"/>
        </w:rPr>
        <w:t xml:space="preserve">se </w:t>
      </w:r>
      <w:r w:rsidR="004829D9" w:rsidRPr="2722C99C">
        <w:rPr>
          <w:rFonts w:eastAsia="Times New Roman"/>
          <w:noProof/>
          <w:kern w:val="2"/>
          <w14:ligatures w14:val="standardContextual"/>
        </w:rPr>
        <w:t>reports focused</w:t>
      </w:r>
      <w:r w:rsidR="00541091" w:rsidRPr="2722C99C">
        <w:rPr>
          <w:rFonts w:eastAsia="Times New Roman"/>
          <w:noProof/>
          <w:kern w:val="2"/>
          <w14:ligatures w14:val="standardContextual"/>
        </w:rPr>
        <w:t xml:space="preserve"> on the implementation of the general requirements applicable to securitisations, including the risk retention, due-diligence and transparency requirements</w:t>
      </w:r>
      <w:r w:rsidR="00030FC3" w:rsidRPr="2722C99C">
        <w:rPr>
          <w:rFonts w:eastAsia="Times New Roman"/>
          <w:noProof/>
          <w:kern w:val="2"/>
          <w14:ligatures w14:val="standardContextual"/>
        </w:rPr>
        <w:t xml:space="preserve">, </w:t>
      </w:r>
      <w:r w:rsidR="00145464">
        <w:rPr>
          <w:rFonts w:eastAsia="Times New Roman"/>
          <w:noProof/>
          <w:kern w:val="2"/>
          <w14:ligatures w14:val="standardContextual"/>
        </w:rPr>
        <w:t>and</w:t>
      </w:r>
      <w:r w:rsidR="00D86485">
        <w:rPr>
          <w:rFonts w:eastAsia="Times New Roman"/>
          <w:noProof/>
          <w:kern w:val="2"/>
          <w14:ligatures w14:val="standardContextual"/>
        </w:rPr>
        <w:t xml:space="preserve"> </w:t>
      </w:r>
      <w:r w:rsidR="00541091" w:rsidRPr="2722C99C">
        <w:rPr>
          <w:rFonts w:eastAsia="Times New Roman"/>
          <w:noProof/>
          <w:kern w:val="2"/>
          <w14:ligatures w14:val="standardContextual"/>
        </w:rPr>
        <w:t>specific requirements related to STS securitisation</w:t>
      </w:r>
      <w:r w:rsidR="00D86485">
        <w:rPr>
          <w:rFonts w:eastAsia="Times New Roman"/>
          <w:noProof/>
          <w:kern w:val="2"/>
          <w14:ligatures w14:val="standardContextual"/>
        </w:rPr>
        <w:t>,</w:t>
      </w:r>
      <w:r w:rsidR="007D30AD" w:rsidRPr="2722C99C">
        <w:rPr>
          <w:rFonts w:eastAsia="Times New Roman"/>
          <w:noProof/>
          <w:kern w:val="2"/>
          <w14:ligatures w14:val="standardContextual"/>
        </w:rPr>
        <w:t xml:space="preserve"> with respect to the Frameworks original objective </w:t>
      </w:r>
      <w:r w:rsidR="008D5DBD" w:rsidRPr="2722C99C">
        <w:rPr>
          <w:rFonts w:eastAsia="Times New Roman"/>
          <w:noProof/>
          <w:kern w:val="2"/>
          <w14:ligatures w14:val="standardContextual"/>
        </w:rPr>
        <w:t>of contributing</w:t>
      </w:r>
      <w:r w:rsidR="00541091" w:rsidRPr="2722C99C">
        <w:rPr>
          <w:rFonts w:eastAsia="Times New Roman"/>
          <w:noProof/>
          <w:kern w:val="2"/>
          <w14:ligatures w14:val="standardContextual"/>
        </w:rPr>
        <w:t xml:space="preserve"> to the sound revival of the EU securitisation framework.</w:t>
      </w:r>
    </w:p>
    <w:p w:rsidR="00C70BD6" w:rsidRPr="00C70BD6" w:rsidRDefault="00C70BD6" w:rsidP="00C70BD6">
      <w:pPr>
        <w:spacing w:before="0" w:after="0" w:line="257" w:lineRule="auto"/>
        <w:rPr>
          <w:rFonts w:eastAsia="Times New Roman"/>
          <w:noProof/>
          <w:color w:val="000000"/>
        </w:rPr>
      </w:pPr>
      <w:r w:rsidRPr="2722C99C">
        <w:rPr>
          <w:rFonts w:eastAsia="Times New Roman"/>
          <w:noProof/>
          <w:color w:val="000000" w:themeColor="text1"/>
        </w:rPr>
        <w:t xml:space="preserve">National authorities were consulted in the framework of the Eurogroup Working Group+ , the Council Financial Services Committee </w:t>
      </w:r>
      <w:r w:rsidR="003A0CC3" w:rsidRPr="2722C99C">
        <w:rPr>
          <w:rFonts w:eastAsia="Times New Roman"/>
          <w:noProof/>
          <w:color w:val="000000" w:themeColor="text1"/>
        </w:rPr>
        <w:t xml:space="preserve">, and the Commission Expert </w:t>
      </w:r>
      <w:r w:rsidR="008D0909" w:rsidRPr="2722C99C">
        <w:rPr>
          <w:rFonts w:eastAsia="Times New Roman"/>
          <w:noProof/>
          <w:color w:val="000000" w:themeColor="text1"/>
        </w:rPr>
        <w:t>G</w:t>
      </w:r>
      <w:r w:rsidR="003A0CC3" w:rsidRPr="2722C99C">
        <w:rPr>
          <w:rFonts w:eastAsia="Times New Roman"/>
          <w:noProof/>
          <w:color w:val="000000" w:themeColor="text1"/>
        </w:rPr>
        <w:t>roup on Banking, Payments and Insurance</w:t>
      </w:r>
      <w:r w:rsidRPr="2722C99C">
        <w:rPr>
          <w:rFonts w:eastAsia="Times New Roman"/>
          <w:noProof/>
          <w:color w:val="000000" w:themeColor="text1"/>
        </w:rPr>
        <w:t>. Several Member States also replied to the Targeted Consultation through their finance ministries</w:t>
      </w:r>
      <w:r w:rsidR="008D0909" w:rsidRPr="2722C99C">
        <w:rPr>
          <w:rFonts w:eastAsia="Times New Roman"/>
          <w:noProof/>
          <w:color w:val="000000" w:themeColor="text1"/>
        </w:rPr>
        <w:t xml:space="preserve"> and engaged with the Commission bilaterally. </w:t>
      </w:r>
      <w:r w:rsidRPr="2722C99C">
        <w:rPr>
          <w:rFonts w:eastAsia="Times New Roman"/>
          <w:noProof/>
          <w:color w:val="000000" w:themeColor="text1"/>
        </w:rPr>
        <w:t xml:space="preserve"> </w:t>
      </w:r>
    </w:p>
    <w:p w:rsidR="00D761DA" w:rsidRDefault="79AE4709">
      <w:pPr>
        <w:pStyle w:val="ManualHeading2"/>
        <w:rPr>
          <w:rFonts w:eastAsia="Arial Unicode MS"/>
          <w:noProof/>
          <w:bdr w:val="nil"/>
          <w:lang w:val="en-US" w:eastAsia="en-GB"/>
        </w:rPr>
      </w:pPr>
      <w:bookmarkStart w:id="17" w:name="_Toc198557745"/>
      <w:r w:rsidRPr="007718A8">
        <w:rPr>
          <w:rFonts w:eastAsia="Arial Unicode MS"/>
          <w:noProof/>
          <w:bdr w:val="nil"/>
          <w:lang w:val="en-US" w:eastAsia="en-GB"/>
        </w:rPr>
        <w:t>•</w:t>
      </w:r>
      <w:r w:rsidR="00D761DA" w:rsidRPr="007718A8">
        <w:rPr>
          <w:rFonts w:eastAsia="Arial Unicode MS"/>
          <w:noProof/>
          <w:u w:color="000000"/>
          <w:bdr w:val="nil"/>
          <w:lang w:val="en-US" w:eastAsia="en-GB"/>
        </w:rPr>
        <w:tab/>
      </w:r>
      <w:r w:rsidRPr="007718A8">
        <w:rPr>
          <w:rFonts w:eastAsia="Arial Unicode MS"/>
          <w:noProof/>
          <w:bdr w:val="nil"/>
          <w:lang w:val="en-US" w:eastAsia="en-GB"/>
        </w:rPr>
        <w:t>Impact assessment</w:t>
      </w:r>
      <w:bookmarkEnd w:id="17"/>
    </w:p>
    <w:p w:rsidR="00D761DA" w:rsidRDefault="0033627F">
      <w:pPr>
        <w:pBdr>
          <w:top w:val="nil"/>
          <w:left w:val="nil"/>
          <w:bottom w:val="nil"/>
          <w:right w:val="nil"/>
          <w:between w:val="nil"/>
          <w:bar w:val="nil"/>
        </w:pBdr>
        <w:spacing w:after="240"/>
        <w:rPr>
          <w:rFonts w:eastAsia="Arial Unicode MS"/>
          <w:noProof/>
          <w:color w:val="000000"/>
          <w:bdr w:val="nil"/>
          <w:lang w:val="en-US" w:eastAsia="en-GB"/>
        </w:rPr>
      </w:pPr>
      <w:r w:rsidRPr="774E45C5">
        <w:rPr>
          <w:rFonts w:eastAsia="Arial Unicode MS"/>
          <w:noProof/>
          <w:color w:val="000000"/>
          <w:bdr w:val="nil"/>
          <w:lang w:val="en-US" w:eastAsia="en-GB"/>
        </w:rPr>
        <w:t xml:space="preserve">For the preparation of this </w:t>
      </w:r>
      <w:r w:rsidR="001C11A0" w:rsidRPr="774E45C5">
        <w:rPr>
          <w:rFonts w:eastAsia="Arial Unicode MS"/>
          <w:noProof/>
          <w:color w:val="000000"/>
          <w:bdr w:val="nil"/>
          <w:lang w:val="en-US" w:eastAsia="en-GB"/>
        </w:rPr>
        <w:t>review</w:t>
      </w:r>
      <w:r w:rsidR="00C5620E" w:rsidRPr="774E45C5">
        <w:rPr>
          <w:rFonts w:eastAsia="Arial Unicode MS"/>
          <w:noProof/>
          <w:color w:val="000000"/>
          <w:bdr w:val="nil"/>
          <w:lang w:val="en-US" w:eastAsia="en-GB"/>
        </w:rPr>
        <w:t xml:space="preserve"> </w:t>
      </w:r>
      <w:r w:rsidRPr="774E45C5">
        <w:rPr>
          <w:rFonts w:eastAsia="Arial Unicode MS"/>
          <w:noProof/>
          <w:color w:val="000000"/>
          <w:bdr w:val="nil"/>
          <w:lang w:val="en-US" w:eastAsia="en-GB"/>
        </w:rPr>
        <w:t xml:space="preserve">an Impact Assessment was prepared and discussed with an Interservice Steering Group. The Impact Assessment report was submitted to the Regulatory Scrutiny Board on 12 March 2025. The board meeting took place on 9 April 2025. The Board </w:t>
      </w:r>
      <w:r w:rsidR="00650D5D" w:rsidRPr="774E45C5">
        <w:rPr>
          <w:rFonts w:eastAsia="Arial Unicode MS"/>
          <w:noProof/>
          <w:color w:val="000000"/>
          <w:bdr w:val="nil"/>
          <w:lang w:val="en-US" w:eastAsia="en-GB"/>
        </w:rPr>
        <w:t>g</w:t>
      </w:r>
      <w:r w:rsidRPr="774E45C5">
        <w:rPr>
          <w:rFonts w:eastAsia="Arial Unicode MS"/>
          <w:noProof/>
          <w:color w:val="000000"/>
          <w:bdr w:val="nil"/>
          <w:lang w:val="en-US" w:eastAsia="en-GB"/>
        </w:rPr>
        <w:t>ave a positive opinion and called for changes and additional i</w:t>
      </w:r>
      <w:r w:rsidR="00145464" w:rsidRPr="774E45C5">
        <w:rPr>
          <w:rFonts w:eastAsia="Arial Unicode MS"/>
          <w:noProof/>
          <w:color w:val="000000"/>
          <w:bdr w:val="nil"/>
          <w:lang w:val="en-US" w:eastAsia="en-GB"/>
        </w:rPr>
        <w:t>n</w:t>
      </w:r>
      <w:r w:rsidRPr="774E45C5">
        <w:rPr>
          <w:rFonts w:eastAsia="Arial Unicode MS"/>
          <w:noProof/>
          <w:color w:val="000000"/>
          <w:bdr w:val="nil"/>
          <w:lang w:val="en-US" w:eastAsia="en-GB"/>
        </w:rPr>
        <w:t xml:space="preserve">put in the following areas: </w:t>
      </w:r>
      <w:r w:rsidR="00146397" w:rsidRPr="774E45C5">
        <w:rPr>
          <w:rFonts w:eastAsia="Arial Unicode MS"/>
          <w:noProof/>
          <w:color w:val="000000"/>
          <w:bdr w:val="nil"/>
          <w:lang w:val="en-US" w:eastAsia="en-GB"/>
        </w:rPr>
        <w:t xml:space="preserve">problem definition and </w:t>
      </w:r>
      <w:r w:rsidR="007B1C2F" w:rsidRPr="774E45C5">
        <w:rPr>
          <w:rFonts w:eastAsia="Arial Unicode MS"/>
          <w:noProof/>
          <w:color w:val="000000"/>
          <w:bdr w:val="nil"/>
          <w:lang w:val="en-US" w:eastAsia="en-GB"/>
        </w:rPr>
        <w:t xml:space="preserve">substantiation; </w:t>
      </w:r>
      <w:r w:rsidR="003D0F49" w:rsidRPr="774E45C5">
        <w:rPr>
          <w:rFonts w:eastAsia="Arial Unicode MS"/>
          <w:noProof/>
          <w:color w:val="000000"/>
          <w:bdr w:val="nil"/>
          <w:lang w:val="en-US" w:eastAsia="en-GB"/>
        </w:rPr>
        <w:t>further detail on the</w:t>
      </w:r>
      <w:r w:rsidR="007B1C2F" w:rsidRPr="774E45C5">
        <w:rPr>
          <w:rFonts w:eastAsia="Arial Unicode MS"/>
          <w:noProof/>
          <w:color w:val="000000"/>
          <w:bdr w:val="nil"/>
          <w:lang w:val="en-US" w:eastAsia="en-GB"/>
        </w:rPr>
        <w:t xml:space="preserve"> assessed options</w:t>
      </w:r>
      <w:r w:rsidR="003D0F49" w:rsidRPr="774E45C5">
        <w:rPr>
          <w:rFonts w:eastAsia="Arial Unicode MS"/>
          <w:noProof/>
          <w:color w:val="000000"/>
          <w:bdr w:val="nil"/>
          <w:lang w:val="en-US" w:eastAsia="en-GB"/>
        </w:rPr>
        <w:t xml:space="preserve"> and associated trade-offs</w:t>
      </w:r>
      <w:r w:rsidR="007B1C2F" w:rsidRPr="774E45C5">
        <w:rPr>
          <w:rFonts w:eastAsia="Arial Unicode MS"/>
          <w:noProof/>
          <w:color w:val="000000"/>
          <w:bdr w:val="nil"/>
          <w:lang w:val="en-US" w:eastAsia="en-GB"/>
        </w:rPr>
        <w:t>;</w:t>
      </w:r>
      <w:r w:rsidR="003D0F49" w:rsidRPr="774E45C5">
        <w:rPr>
          <w:rFonts w:eastAsia="Arial Unicode MS"/>
          <w:noProof/>
          <w:color w:val="000000"/>
          <w:bdr w:val="nil"/>
          <w:lang w:val="en-US" w:eastAsia="en-GB"/>
        </w:rPr>
        <w:t xml:space="preserve"> </w:t>
      </w:r>
      <w:r w:rsidR="00D46FC8" w:rsidRPr="774E45C5">
        <w:rPr>
          <w:rFonts w:eastAsia="Arial Unicode MS"/>
          <w:noProof/>
          <w:color w:val="000000"/>
          <w:bdr w:val="nil"/>
          <w:lang w:val="en-US" w:eastAsia="en-GB"/>
        </w:rPr>
        <w:t xml:space="preserve">additional assessment on the combined impacts of options, particularly in relation to their </w:t>
      </w:r>
      <w:r w:rsidR="009F4AE0" w:rsidRPr="774E45C5">
        <w:rPr>
          <w:rFonts w:eastAsia="Arial Unicode MS"/>
          <w:noProof/>
          <w:color w:val="000000"/>
          <w:bdr w:val="nil"/>
          <w:lang w:val="en-US" w:eastAsia="en-GB"/>
        </w:rPr>
        <w:t xml:space="preserve">relative risk levels and </w:t>
      </w:r>
      <w:r w:rsidR="00D46FC8" w:rsidRPr="774E45C5">
        <w:rPr>
          <w:rFonts w:eastAsia="Arial Unicode MS"/>
          <w:noProof/>
          <w:color w:val="000000"/>
          <w:bdr w:val="nil"/>
          <w:lang w:val="en-US" w:eastAsia="en-GB"/>
        </w:rPr>
        <w:t>impact on financial stabilit</w:t>
      </w:r>
      <w:r w:rsidR="009F4AE0" w:rsidRPr="774E45C5">
        <w:rPr>
          <w:rFonts w:eastAsia="Arial Unicode MS"/>
          <w:noProof/>
          <w:color w:val="000000"/>
          <w:bdr w:val="nil"/>
          <w:lang w:val="en-US" w:eastAsia="en-GB"/>
        </w:rPr>
        <w:t>y</w:t>
      </w:r>
      <w:r w:rsidRPr="774E45C5">
        <w:rPr>
          <w:rFonts w:eastAsia="Arial Unicode MS"/>
          <w:noProof/>
          <w:color w:val="000000"/>
          <w:bdr w:val="nil"/>
          <w:lang w:val="en-US" w:eastAsia="en-GB"/>
        </w:rPr>
        <w:t>. Th</w:t>
      </w:r>
      <w:r w:rsidR="00145464" w:rsidRPr="774E45C5">
        <w:rPr>
          <w:rFonts w:eastAsia="Arial Unicode MS"/>
          <w:noProof/>
          <w:color w:val="000000"/>
          <w:bdr w:val="nil"/>
          <w:lang w:val="en-US" w:eastAsia="en-GB"/>
        </w:rPr>
        <w:t>o</w:t>
      </w:r>
      <w:r w:rsidRPr="774E45C5">
        <w:rPr>
          <w:rFonts w:eastAsia="Arial Unicode MS"/>
          <w:noProof/>
          <w:color w:val="000000"/>
          <w:bdr w:val="nil"/>
          <w:lang w:val="en-US" w:eastAsia="en-GB"/>
        </w:rPr>
        <w:t>se issues have been addressed and incorporated in the final version which is available on the Commission website</w:t>
      </w:r>
      <w:r w:rsidR="00460238" w:rsidRPr="774E45C5">
        <w:rPr>
          <w:rFonts w:eastAsia="Arial Unicode MS"/>
          <w:noProof/>
          <w:color w:val="000000"/>
          <w:bdr w:val="nil"/>
          <w:lang w:val="en-US" w:eastAsia="en-GB"/>
        </w:rPr>
        <w:t xml:space="preserve"> and published together with this proposal</w:t>
      </w:r>
      <w:r w:rsidRPr="774E45C5">
        <w:rPr>
          <w:rFonts w:eastAsia="Arial Unicode MS"/>
          <w:noProof/>
          <w:color w:val="000000"/>
          <w:bdr w:val="nil"/>
          <w:lang w:val="en-US" w:eastAsia="en-GB"/>
        </w:rPr>
        <w:t xml:space="preserve">. </w:t>
      </w:r>
    </w:p>
    <w:p w:rsidR="00E56A07" w:rsidRPr="009C51B9" w:rsidRDefault="00E56A07" w:rsidP="009C51B9">
      <w:pPr>
        <w:pBdr>
          <w:top w:val="nil"/>
          <w:left w:val="nil"/>
          <w:bottom w:val="nil"/>
          <w:right w:val="nil"/>
          <w:between w:val="nil"/>
          <w:bar w:val="nil"/>
        </w:pBdr>
        <w:spacing w:after="240"/>
        <w:rPr>
          <w:rFonts w:eastAsia="Arial Unicode MS"/>
          <w:iCs/>
          <w:noProof/>
          <w:color w:val="000000"/>
          <w:szCs w:val="24"/>
          <w:u w:color="000000"/>
          <w:bdr w:val="nil"/>
          <w:lang w:val="en-US" w:eastAsia="en-GB"/>
        </w:rPr>
      </w:pPr>
      <w:r w:rsidRPr="009C51B9">
        <w:rPr>
          <w:rFonts w:eastAsia="Arial Unicode MS"/>
          <w:iCs/>
          <w:noProof/>
          <w:color w:val="000000"/>
          <w:szCs w:val="24"/>
          <w:u w:color="000000"/>
          <w:bdr w:val="nil"/>
          <w:lang w:val="en-US" w:eastAsia="en-GB"/>
        </w:rPr>
        <w:t>Policy options</w:t>
      </w:r>
      <w:r w:rsidR="00A67DEF" w:rsidRPr="009C51B9">
        <w:rPr>
          <w:rFonts w:eastAsia="Arial Unicode MS"/>
          <w:iCs/>
          <w:noProof/>
          <w:color w:val="000000"/>
          <w:szCs w:val="24"/>
          <w:u w:color="000000"/>
          <w:bdr w:val="nil"/>
          <w:lang w:val="en-US" w:eastAsia="en-GB"/>
        </w:rPr>
        <w:t xml:space="preserve"> for the entire package</w:t>
      </w:r>
      <w:r w:rsidRPr="009C51B9">
        <w:rPr>
          <w:rFonts w:eastAsia="Arial Unicode MS"/>
          <w:iCs/>
          <w:noProof/>
          <w:color w:val="000000"/>
          <w:szCs w:val="24"/>
          <w:u w:color="000000"/>
          <w:bdr w:val="nil"/>
          <w:lang w:val="en-US" w:eastAsia="en-GB"/>
        </w:rPr>
        <w:t xml:space="preserve"> were identified in three key areas. Options to (i) reduce high operational costs, (ii) reduce undue prudential barriers for banks to issue and invest in securitisation, and (iii) remove undue prudential costs for insurers to invest in the EU securitisation market, </w:t>
      </w:r>
      <w:r w:rsidR="0066193F" w:rsidRPr="009C51B9">
        <w:rPr>
          <w:rFonts w:eastAsia="Arial Unicode MS"/>
          <w:iCs/>
          <w:noProof/>
          <w:color w:val="000000"/>
          <w:szCs w:val="24"/>
          <w:u w:color="000000"/>
          <w:bdr w:val="nil"/>
          <w:lang w:val="en-US" w:eastAsia="en-GB"/>
        </w:rPr>
        <w:t>were considered. Th</w:t>
      </w:r>
      <w:r w:rsidR="00145464" w:rsidRPr="009C51B9">
        <w:rPr>
          <w:rFonts w:eastAsia="Arial Unicode MS"/>
          <w:iCs/>
          <w:noProof/>
          <w:color w:val="000000"/>
          <w:szCs w:val="24"/>
          <w:u w:color="000000"/>
          <w:bdr w:val="nil"/>
          <w:lang w:val="en-US" w:eastAsia="en-GB"/>
        </w:rPr>
        <w:t>at</w:t>
      </w:r>
      <w:r w:rsidR="0066193F" w:rsidRPr="009C51B9">
        <w:rPr>
          <w:rFonts w:eastAsia="Arial Unicode MS"/>
          <w:iCs/>
          <w:noProof/>
          <w:color w:val="000000"/>
          <w:szCs w:val="24"/>
          <w:u w:color="000000"/>
          <w:bdr w:val="nil"/>
          <w:lang w:val="en-US" w:eastAsia="en-GB"/>
        </w:rPr>
        <w:t xml:space="preserve"> assessment r</w:t>
      </w:r>
      <w:r w:rsidRPr="009C51B9">
        <w:rPr>
          <w:rFonts w:eastAsia="Arial Unicode MS"/>
          <w:iCs/>
          <w:noProof/>
          <w:color w:val="000000"/>
          <w:szCs w:val="24"/>
          <w:u w:color="000000"/>
          <w:bdr w:val="nil"/>
          <w:lang w:val="en-US" w:eastAsia="en-GB"/>
        </w:rPr>
        <w:t>esult</w:t>
      </w:r>
      <w:r w:rsidR="0066193F" w:rsidRPr="009C51B9">
        <w:rPr>
          <w:rFonts w:eastAsia="Arial Unicode MS"/>
          <w:iCs/>
          <w:noProof/>
          <w:color w:val="000000"/>
          <w:szCs w:val="24"/>
          <w:u w:color="000000"/>
          <w:bdr w:val="nil"/>
          <w:lang w:val="en-US" w:eastAsia="en-GB"/>
        </w:rPr>
        <w:t>ed</w:t>
      </w:r>
      <w:r w:rsidRPr="009C51B9">
        <w:rPr>
          <w:rFonts w:eastAsia="Arial Unicode MS"/>
          <w:iCs/>
          <w:noProof/>
          <w:color w:val="000000"/>
          <w:szCs w:val="24"/>
          <w:u w:color="000000"/>
          <w:bdr w:val="nil"/>
          <w:lang w:val="en-US" w:eastAsia="en-GB"/>
        </w:rPr>
        <w:t xml:space="preserve"> in a “bundle” of preferred options which, taken together, </w:t>
      </w:r>
      <w:r w:rsidR="0066193F" w:rsidRPr="009C51B9">
        <w:rPr>
          <w:rFonts w:eastAsia="Arial Unicode MS"/>
          <w:iCs/>
          <w:noProof/>
          <w:color w:val="000000"/>
          <w:szCs w:val="24"/>
          <w:u w:color="000000"/>
          <w:bdr w:val="nil"/>
          <w:lang w:val="en-US" w:eastAsia="en-GB"/>
        </w:rPr>
        <w:t>were deemed to</w:t>
      </w:r>
      <w:r w:rsidRPr="009C51B9">
        <w:rPr>
          <w:rFonts w:eastAsia="Arial Unicode MS"/>
          <w:iCs/>
          <w:noProof/>
          <w:color w:val="000000"/>
          <w:szCs w:val="24"/>
          <w:u w:color="000000"/>
          <w:bdr w:val="nil"/>
          <w:lang w:val="en-US" w:eastAsia="en-GB"/>
        </w:rPr>
        <w:t xml:space="preserve"> best achieve the stated objectives.</w:t>
      </w:r>
    </w:p>
    <w:p w:rsidR="00E56A07" w:rsidRPr="009C51B9" w:rsidRDefault="67701E4A" w:rsidP="009C51B9">
      <w:pPr>
        <w:pBdr>
          <w:top w:val="nil"/>
          <w:left w:val="nil"/>
          <w:bottom w:val="nil"/>
          <w:right w:val="nil"/>
          <w:between w:val="nil"/>
          <w:bar w:val="nil"/>
        </w:pBdr>
        <w:spacing w:after="240"/>
        <w:rPr>
          <w:rFonts w:eastAsia="Arial Unicode MS"/>
          <w:noProof/>
          <w:color w:val="000000"/>
          <w:bdr w:val="nil"/>
          <w:lang w:val="en-US" w:eastAsia="en-GB"/>
        </w:rPr>
      </w:pPr>
      <w:r w:rsidRPr="774E45C5">
        <w:rPr>
          <w:rFonts w:eastAsia="Arial Unicode MS"/>
          <w:noProof/>
          <w:color w:val="000000"/>
          <w:bdr w:val="nil"/>
          <w:lang w:val="en-US" w:eastAsia="en-GB"/>
        </w:rPr>
        <w:t>To reduce high operational costs</w:t>
      </w:r>
      <w:r w:rsidR="0900A268" w:rsidRPr="774E45C5">
        <w:rPr>
          <w:rFonts w:eastAsia="Arial Unicode MS"/>
          <w:noProof/>
          <w:color w:val="000000"/>
          <w:bdr w:val="nil"/>
          <w:lang w:val="en-US" w:eastAsia="en-GB"/>
        </w:rPr>
        <w:t xml:space="preserve"> (estimated at 780 million per year for the market as a whole)</w:t>
      </w:r>
      <w:r w:rsidRPr="774E45C5">
        <w:rPr>
          <w:rFonts w:eastAsia="Arial Unicode MS"/>
          <w:noProof/>
          <w:color w:val="000000"/>
          <w:bdr w:val="nil"/>
          <w:lang w:val="en-US" w:eastAsia="en-GB"/>
        </w:rPr>
        <w:t xml:space="preserve">, both a targeted and broader set of measures </w:t>
      </w:r>
      <w:r w:rsidR="6423FDE0" w:rsidRPr="774E45C5">
        <w:rPr>
          <w:rFonts w:eastAsia="Arial Unicode MS"/>
          <w:noProof/>
          <w:color w:val="000000"/>
          <w:bdr w:val="nil"/>
          <w:lang w:val="en-US" w:eastAsia="en-GB"/>
        </w:rPr>
        <w:t>were</w:t>
      </w:r>
      <w:r w:rsidRPr="774E45C5">
        <w:rPr>
          <w:rFonts w:eastAsia="Arial Unicode MS"/>
          <w:noProof/>
          <w:color w:val="000000"/>
          <w:bdr w:val="nil"/>
          <w:lang w:val="en-US" w:eastAsia="en-GB"/>
        </w:rPr>
        <w:t xml:space="preserve"> considered. </w:t>
      </w:r>
      <w:r w:rsidR="6423FDE0" w:rsidRPr="774E45C5">
        <w:rPr>
          <w:rFonts w:eastAsia="Arial Unicode MS"/>
          <w:noProof/>
          <w:color w:val="000000"/>
          <w:bdr w:val="nil"/>
          <w:lang w:val="en-US" w:eastAsia="en-GB"/>
        </w:rPr>
        <w:t>Th</w:t>
      </w:r>
      <w:r w:rsidR="754E4FEE" w:rsidRPr="774E45C5">
        <w:rPr>
          <w:rFonts w:eastAsia="Arial Unicode MS"/>
          <w:noProof/>
          <w:color w:val="000000"/>
          <w:bdr w:val="nil"/>
          <w:lang w:val="en-US" w:eastAsia="en-GB"/>
        </w:rPr>
        <w:t>o</w:t>
      </w:r>
      <w:r w:rsidR="6423FDE0" w:rsidRPr="774E45C5">
        <w:rPr>
          <w:rFonts w:eastAsia="Arial Unicode MS"/>
          <w:noProof/>
          <w:color w:val="000000"/>
          <w:bdr w:val="nil"/>
          <w:lang w:val="en-US" w:eastAsia="en-GB"/>
        </w:rPr>
        <w:t xml:space="preserve">se options </w:t>
      </w:r>
      <w:r w:rsidR="318699EA" w:rsidRPr="774E45C5">
        <w:rPr>
          <w:rFonts w:eastAsia="Arial Unicode MS"/>
          <w:noProof/>
          <w:color w:val="000000"/>
          <w:bdr w:val="nil"/>
          <w:lang w:val="en-US" w:eastAsia="en-GB"/>
        </w:rPr>
        <w:t>involve, to varying degrees,</w:t>
      </w:r>
      <w:r w:rsidRPr="774E45C5">
        <w:rPr>
          <w:rFonts w:eastAsia="Arial Unicode MS"/>
          <w:noProof/>
          <w:color w:val="000000"/>
          <w:bdr w:val="nil"/>
          <w:lang w:val="en-US" w:eastAsia="en-GB"/>
        </w:rPr>
        <w:t xml:space="preserve"> simplifying and removing certain due diligence and transparency requirements that are deemed </w:t>
      </w:r>
      <w:r w:rsidR="108A9633" w:rsidRPr="774E45C5">
        <w:rPr>
          <w:rFonts w:eastAsia="Arial Unicode MS"/>
          <w:noProof/>
          <w:color w:val="000000"/>
          <w:bdr w:val="nil"/>
          <w:lang w:val="en-US" w:eastAsia="en-GB"/>
        </w:rPr>
        <w:t>duplicative</w:t>
      </w:r>
      <w:r w:rsidRPr="774E45C5">
        <w:rPr>
          <w:rFonts w:eastAsia="Arial Unicode MS"/>
          <w:noProof/>
          <w:color w:val="000000"/>
          <w:bdr w:val="nil"/>
          <w:lang w:val="en-US" w:eastAsia="en-GB"/>
        </w:rPr>
        <w:t xml:space="preserve"> or overly prescriptive (e.g., </w:t>
      </w:r>
      <w:r w:rsidR="64B8BC0D" w:rsidRPr="774E45C5">
        <w:rPr>
          <w:rFonts w:eastAsia="Arial Unicode MS"/>
          <w:noProof/>
          <w:color w:val="000000"/>
          <w:bdr w:val="nil"/>
          <w:lang w:val="en-US" w:eastAsia="en-GB"/>
        </w:rPr>
        <w:t xml:space="preserve">removing </w:t>
      </w:r>
      <w:r w:rsidRPr="774E45C5">
        <w:rPr>
          <w:rFonts w:eastAsia="Arial Unicode MS"/>
          <w:noProof/>
          <w:color w:val="000000"/>
          <w:bdr w:val="nil"/>
          <w:lang w:val="en-US" w:eastAsia="en-GB"/>
        </w:rPr>
        <w:t xml:space="preserve">verification requirements for </w:t>
      </w:r>
      <w:r w:rsidR="00EAB501" w:rsidRPr="774E45C5">
        <w:rPr>
          <w:rFonts w:eastAsia="Arial Unicode MS"/>
          <w:noProof/>
          <w:color w:val="000000"/>
          <w:bdr w:val="nil"/>
          <w:lang w:val="en-US" w:eastAsia="en-GB"/>
        </w:rPr>
        <w:t>EU transactions</w:t>
      </w:r>
      <w:r w:rsidRPr="774E45C5">
        <w:rPr>
          <w:rFonts w:eastAsia="Arial Unicode MS"/>
          <w:noProof/>
          <w:color w:val="000000"/>
          <w:bdr w:val="nil"/>
          <w:lang w:val="en-US" w:eastAsia="en-GB"/>
        </w:rPr>
        <w:t xml:space="preserve"> and </w:t>
      </w:r>
      <w:r w:rsidR="2065DDF6" w:rsidRPr="774E45C5">
        <w:rPr>
          <w:rFonts w:eastAsia="Arial Unicode MS"/>
          <w:noProof/>
          <w:color w:val="000000"/>
          <w:bdr w:val="nil"/>
          <w:lang w:val="en-US" w:eastAsia="en-GB"/>
        </w:rPr>
        <w:t>streamlining</w:t>
      </w:r>
      <w:r w:rsidRPr="774E45C5">
        <w:rPr>
          <w:rFonts w:eastAsia="Arial Unicode MS"/>
          <w:noProof/>
          <w:color w:val="000000"/>
          <w:bdr w:val="nil"/>
          <w:lang w:val="en-US" w:eastAsia="en-GB"/>
        </w:rPr>
        <w:t xml:space="preserve"> </w:t>
      </w:r>
      <w:r w:rsidR="519B021C" w:rsidRPr="774E45C5">
        <w:rPr>
          <w:rFonts w:eastAsia="Arial Unicode MS"/>
          <w:noProof/>
          <w:color w:val="000000"/>
          <w:bdr w:val="nil"/>
          <w:lang w:val="en-US" w:eastAsia="en-GB"/>
        </w:rPr>
        <w:t>reporting</w:t>
      </w:r>
      <w:r w:rsidRPr="774E45C5">
        <w:rPr>
          <w:rFonts w:eastAsia="Arial Unicode MS"/>
          <w:noProof/>
          <w:color w:val="000000"/>
          <w:bdr w:val="nil"/>
          <w:lang w:val="en-US" w:eastAsia="en-GB"/>
        </w:rPr>
        <w:t xml:space="preserve"> templates). </w:t>
      </w:r>
      <w:r w:rsidR="20D1A274" w:rsidRPr="774E45C5">
        <w:rPr>
          <w:rFonts w:eastAsia="Arial Unicode MS"/>
          <w:noProof/>
          <w:color w:val="000000"/>
          <w:bdr w:val="nil"/>
          <w:lang w:val="en-US" w:eastAsia="en-GB"/>
        </w:rPr>
        <w:t xml:space="preserve">Our preferred option results in cost savings of 310 million per year. </w:t>
      </w:r>
      <w:r w:rsidR="318699EA" w:rsidRPr="774E45C5">
        <w:rPr>
          <w:rFonts w:eastAsia="Arial Unicode MS"/>
          <w:noProof/>
          <w:color w:val="000000"/>
          <w:bdr w:val="nil"/>
          <w:lang w:val="en-US" w:eastAsia="en-GB"/>
        </w:rPr>
        <w:t xml:space="preserve">Similarly, targeted and </w:t>
      </w:r>
      <w:r w:rsidR="44229784" w:rsidRPr="774E45C5">
        <w:rPr>
          <w:rFonts w:eastAsia="Arial Unicode MS"/>
          <w:noProof/>
          <w:color w:val="000000"/>
          <w:bdr w:val="nil"/>
          <w:lang w:val="en-US" w:eastAsia="en-GB"/>
        </w:rPr>
        <w:t>more radical changes to the</w:t>
      </w:r>
      <w:r w:rsidRPr="774E45C5">
        <w:rPr>
          <w:rFonts w:eastAsia="Arial Unicode MS"/>
          <w:noProof/>
          <w:color w:val="000000"/>
          <w:bdr w:val="nil"/>
          <w:lang w:val="en-US" w:eastAsia="en-GB"/>
        </w:rPr>
        <w:t xml:space="preserve"> </w:t>
      </w:r>
      <w:r w:rsidR="7BD01EEA" w:rsidRPr="774E45C5">
        <w:rPr>
          <w:rFonts w:eastAsia="Arial Unicode MS"/>
          <w:noProof/>
          <w:color w:val="000000"/>
          <w:bdr w:val="nil"/>
          <w:lang w:val="en-US" w:eastAsia="en-GB"/>
        </w:rPr>
        <w:t xml:space="preserve">existing </w:t>
      </w:r>
      <w:r w:rsidRPr="774E45C5">
        <w:rPr>
          <w:rFonts w:eastAsia="Arial Unicode MS"/>
          <w:noProof/>
          <w:color w:val="000000"/>
          <w:bdr w:val="nil"/>
          <w:lang w:val="en-US" w:eastAsia="en-GB"/>
        </w:rPr>
        <w:t xml:space="preserve">prudential framework for banks </w:t>
      </w:r>
      <w:r w:rsidR="44229784" w:rsidRPr="774E45C5">
        <w:rPr>
          <w:rFonts w:eastAsia="Arial Unicode MS"/>
          <w:noProof/>
          <w:color w:val="000000"/>
          <w:bdr w:val="nil"/>
          <w:lang w:val="en-US" w:eastAsia="en-GB"/>
        </w:rPr>
        <w:t>were assessed</w:t>
      </w:r>
      <w:r w:rsidR="7BD01EEA" w:rsidRPr="774E45C5">
        <w:rPr>
          <w:rFonts w:eastAsia="Arial Unicode MS"/>
          <w:noProof/>
          <w:color w:val="000000"/>
          <w:bdr w:val="nil"/>
          <w:lang w:val="en-US" w:eastAsia="en-GB"/>
        </w:rPr>
        <w:t xml:space="preserve">. </w:t>
      </w:r>
      <w:r w:rsidR="0E4FA615" w:rsidRPr="774E45C5">
        <w:rPr>
          <w:rFonts w:eastAsia="Arial Unicode MS"/>
          <w:noProof/>
          <w:color w:val="000000"/>
          <w:bdr w:val="nil"/>
          <w:lang w:val="en-US" w:eastAsia="en-GB"/>
        </w:rPr>
        <w:t>Th</w:t>
      </w:r>
      <w:r w:rsidR="754E4FEE" w:rsidRPr="774E45C5">
        <w:rPr>
          <w:rFonts w:eastAsia="Arial Unicode MS"/>
          <w:noProof/>
          <w:color w:val="000000"/>
          <w:bdr w:val="nil"/>
          <w:lang w:val="en-US" w:eastAsia="en-GB"/>
        </w:rPr>
        <w:t>o</w:t>
      </w:r>
      <w:r w:rsidR="0E4FA615" w:rsidRPr="774E45C5">
        <w:rPr>
          <w:rFonts w:eastAsia="Arial Unicode MS"/>
          <w:noProof/>
          <w:color w:val="000000"/>
          <w:bdr w:val="nil"/>
          <w:lang w:val="en-US" w:eastAsia="en-GB"/>
        </w:rPr>
        <w:t xml:space="preserve">se </w:t>
      </w:r>
      <w:r w:rsidR="0432AA7D" w:rsidRPr="774E45C5">
        <w:rPr>
          <w:rFonts w:eastAsia="Arial Unicode MS"/>
          <w:noProof/>
          <w:color w:val="000000"/>
          <w:bdr w:val="nil"/>
          <w:lang w:val="en-US" w:eastAsia="en-GB"/>
        </w:rPr>
        <w:t>focused on</w:t>
      </w:r>
      <w:r w:rsidRPr="774E45C5">
        <w:rPr>
          <w:rFonts w:eastAsia="Arial Unicode MS"/>
          <w:noProof/>
          <w:color w:val="000000"/>
          <w:bdr w:val="nil"/>
          <w:lang w:val="en-US" w:eastAsia="en-GB"/>
        </w:rPr>
        <w:t xml:space="preserve"> adjustments to the </w:t>
      </w:r>
      <w:r w:rsidR="7BD01EEA" w:rsidRPr="774E45C5">
        <w:rPr>
          <w:rFonts w:eastAsia="Arial Unicode MS"/>
          <w:noProof/>
          <w:color w:val="000000"/>
          <w:bdr w:val="nil"/>
          <w:lang w:val="en-US" w:eastAsia="en-GB"/>
        </w:rPr>
        <w:t>CRR and LCR</w:t>
      </w:r>
      <w:r w:rsidR="0432AA7D" w:rsidRPr="774E45C5">
        <w:rPr>
          <w:rFonts w:eastAsia="Arial Unicode MS"/>
          <w:noProof/>
          <w:color w:val="000000"/>
          <w:bdr w:val="nil"/>
          <w:lang w:val="en-US" w:eastAsia="en-GB"/>
        </w:rPr>
        <w:t xml:space="preserve">, seeking to ensure greater risk-sensitivity for </w:t>
      </w:r>
      <w:r w:rsidRPr="774E45C5">
        <w:rPr>
          <w:rFonts w:eastAsia="Arial Unicode MS"/>
          <w:noProof/>
          <w:color w:val="000000"/>
          <w:bdr w:val="nil"/>
          <w:lang w:val="en-US" w:eastAsia="en-GB"/>
        </w:rPr>
        <w:t>the capital treatment of securitisation for banks</w:t>
      </w:r>
      <w:r w:rsidR="0432AA7D" w:rsidRPr="774E45C5">
        <w:rPr>
          <w:rFonts w:eastAsia="Arial Unicode MS"/>
          <w:noProof/>
          <w:color w:val="000000"/>
          <w:bdr w:val="nil"/>
          <w:lang w:val="en-US" w:eastAsia="en-GB"/>
        </w:rPr>
        <w:t>,</w:t>
      </w:r>
      <w:r w:rsidRPr="774E45C5">
        <w:rPr>
          <w:rFonts w:eastAsia="Arial Unicode MS"/>
          <w:noProof/>
          <w:color w:val="000000"/>
          <w:bdr w:val="nil"/>
          <w:lang w:val="en-US" w:eastAsia="en-GB"/>
        </w:rPr>
        <w:t xml:space="preserve"> to broaden the eligibility of securitisations for banks’ liquidity buffers</w:t>
      </w:r>
      <w:r w:rsidR="0432AA7D" w:rsidRPr="774E45C5">
        <w:rPr>
          <w:rFonts w:eastAsia="Arial Unicode MS"/>
          <w:noProof/>
          <w:color w:val="000000"/>
          <w:bdr w:val="nil"/>
          <w:lang w:val="en-US" w:eastAsia="en-GB"/>
        </w:rPr>
        <w:t>, and to</w:t>
      </w:r>
      <w:r w:rsidRPr="774E45C5">
        <w:rPr>
          <w:rFonts w:eastAsia="Arial Unicode MS"/>
          <w:noProof/>
          <w:color w:val="000000"/>
          <w:bdr w:val="nil"/>
          <w:lang w:val="en-US" w:eastAsia="en-GB"/>
        </w:rPr>
        <w:t xml:space="preserve"> make supervisors’ assessment of transactions’ eligibility for capital relief under the Significant Risk Transfer Framework faster and more coherent. </w:t>
      </w:r>
      <w:r w:rsidR="02015C23" w:rsidRPr="774E45C5">
        <w:rPr>
          <w:rFonts w:eastAsia="Arial Unicode MS"/>
          <w:noProof/>
          <w:color w:val="000000"/>
          <w:bdr w:val="nil"/>
          <w:lang w:val="en-US" w:eastAsia="en-GB"/>
        </w:rPr>
        <w:t>A</w:t>
      </w:r>
      <w:r w:rsidRPr="774E45C5">
        <w:rPr>
          <w:rFonts w:eastAsia="Arial Unicode MS"/>
          <w:noProof/>
          <w:color w:val="000000"/>
          <w:bdr w:val="nil"/>
          <w:lang w:val="en-US" w:eastAsia="en-GB"/>
        </w:rPr>
        <w:t xml:space="preserve"> fundamental revision of the prudential framework for banks</w:t>
      </w:r>
      <w:r w:rsidR="3346CEC1" w:rsidRPr="774E45C5">
        <w:rPr>
          <w:rFonts w:eastAsia="Arial Unicode MS"/>
          <w:noProof/>
          <w:color w:val="000000"/>
          <w:bdr w:val="nil"/>
          <w:lang w:val="en-US" w:eastAsia="en-GB"/>
        </w:rPr>
        <w:t xml:space="preserve"> </w:t>
      </w:r>
      <w:r w:rsidR="02015C23" w:rsidRPr="774E45C5">
        <w:rPr>
          <w:rFonts w:eastAsia="Arial Unicode MS"/>
          <w:noProof/>
          <w:color w:val="000000"/>
          <w:bdr w:val="nil"/>
          <w:lang w:val="en-US" w:eastAsia="en-GB"/>
        </w:rPr>
        <w:t>was a</w:t>
      </w:r>
      <w:r w:rsidR="118BC3DE" w:rsidRPr="774E45C5">
        <w:rPr>
          <w:rFonts w:eastAsia="Arial Unicode MS"/>
          <w:noProof/>
          <w:color w:val="000000"/>
          <w:bdr w:val="nil"/>
          <w:lang w:val="en-US" w:eastAsia="en-GB"/>
        </w:rPr>
        <w:t>nother option considered.</w:t>
      </w:r>
      <w:r w:rsidR="70D2CC68" w:rsidRPr="774E45C5">
        <w:rPr>
          <w:rFonts w:eastAsia="Arial Unicode MS"/>
          <w:noProof/>
          <w:color w:val="000000"/>
          <w:bdr w:val="nil"/>
          <w:lang w:val="en-US" w:eastAsia="en-GB"/>
        </w:rPr>
        <w:t xml:space="preserve"> </w:t>
      </w:r>
      <w:r w:rsidRPr="774E45C5">
        <w:rPr>
          <w:rFonts w:eastAsia="Arial Unicode MS"/>
          <w:noProof/>
          <w:color w:val="000000"/>
          <w:bdr w:val="nil"/>
          <w:lang w:val="en-US" w:eastAsia="en-GB"/>
        </w:rPr>
        <w:t xml:space="preserve">To remove disincentives for insurers to invest in the EU securitisation market, three options </w:t>
      </w:r>
      <w:r w:rsidR="3346CEC1" w:rsidRPr="774E45C5">
        <w:rPr>
          <w:rFonts w:eastAsia="Arial Unicode MS"/>
          <w:noProof/>
          <w:color w:val="000000"/>
          <w:bdr w:val="nil"/>
          <w:lang w:val="en-US" w:eastAsia="en-GB"/>
        </w:rPr>
        <w:t xml:space="preserve">were assessed, entailing </w:t>
      </w:r>
      <w:r w:rsidR="0A588F33" w:rsidRPr="774E45C5">
        <w:rPr>
          <w:rFonts w:eastAsia="Arial Unicode MS"/>
          <w:noProof/>
          <w:color w:val="000000"/>
          <w:bdr w:val="nil"/>
          <w:lang w:val="en-US" w:eastAsia="en-GB"/>
        </w:rPr>
        <w:t xml:space="preserve">different degrees and modalities of </w:t>
      </w:r>
      <w:r w:rsidR="70D2CC68" w:rsidRPr="774E45C5">
        <w:rPr>
          <w:rFonts w:eastAsia="Arial Unicode MS"/>
          <w:noProof/>
          <w:color w:val="000000"/>
          <w:bdr w:val="nil"/>
          <w:lang w:val="en-US" w:eastAsia="en-GB"/>
        </w:rPr>
        <w:t>reductions</w:t>
      </w:r>
      <w:r w:rsidRPr="774E45C5">
        <w:rPr>
          <w:rFonts w:eastAsia="Arial Unicode MS"/>
          <w:noProof/>
          <w:color w:val="000000"/>
          <w:bdr w:val="nil"/>
          <w:lang w:val="en-US" w:eastAsia="en-GB"/>
        </w:rPr>
        <w:t xml:space="preserve"> in the capital requirements for </w:t>
      </w:r>
      <w:r w:rsidR="70D2CC68" w:rsidRPr="774E45C5">
        <w:rPr>
          <w:rFonts w:eastAsia="Arial Unicode MS"/>
          <w:noProof/>
          <w:color w:val="000000"/>
          <w:bdr w:val="nil"/>
          <w:lang w:val="en-US" w:eastAsia="en-GB"/>
        </w:rPr>
        <w:t xml:space="preserve">insurers investing in </w:t>
      </w:r>
      <w:r w:rsidRPr="774E45C5">
        <w:rPr>
          <w:rFonts w:eastAsia="Arial Unicode MS"/>
          <w:noProof/>
          <w:color w:val="000000"/>
          <w:bdr w:val="nil"/>
          <w:lang w:val="en-US" w:eastAsia="en-GB"/>
        </w:rPr>
        <w:t xml:space="preserve">securitisations. </w:t>
      </w:r>
    </w:p>
    <w:p w:rsidR="00DA725C" w:rsidRPr="009C51B9" w:rsidRDefault="00E56A07" w:rsidP="009C51B9">
      <w:pPr>
        <w:pBdr>
          <w:top w:val="nil"/>
          <w:left w:val="nil"/>
          <w:bottom w:val="nil"/>
          <w:right w:val="nil"/>
          <w:between w:val="nil"/>
          <w:bar w:val="nil"/>
        </w:pBdr>
        <w:spacing w:after="240"/>
        <w:rPr>
          <w:rFonts w:eastAsia="Arial Unicode MS"/>
          <w:noProof/>
          <w:color w:val="000000"/>
          <w:bdr w:val="nil"/>
          <w:lang w:val="en-US" w:eastAsia="en-GB"/>
        </w:rPr>
      </w:pPr>
      <w:r w:rsidRPr="774E45C5">
        <w:rPr>
          <w:rFonts w:eastAsia="Arial Unicode MS"/>
          <w:noProof/>
          <w:color w:val="000000"/>
          <w:bdr w:val="nil"/>
          <w:lang w:val="en-US" w:eastAsia="en-GB"/>
        </w:rPr>
        <w:t xml:space="preserve">Based on the </w:t>
      </w:r>
      <w:r w:rsidR="00813275" w:rsidRPr="774E45C5">
        <w:rPr>
          <w:rFonts w:eastAsia="Arial Unicode MS"/>
          <w:noProof/>
          <w:color w:val="000000"/>
          <w:bdr w:val="nil"/>
          <w:lang w:val="en-US" w:eastAsia="en-GB"/>
        </w:rPr>
        <w:t>comparative assessment in terms</w:t>
      </w:r>
      <w:r w:rsidRPr="774E45C5">
        <w:rPr>
          <w:rFonts w:eastAsia="Arial Unicode MS"/>
          <w:noProof/>
          <w:color w:val="000000"/>
          <w:bdr w:val="nil"/>
          <w:lang w:val="en-US" w:eastAsia="en-GB"/>
        </w:rPr>
        <w:t xml:space="preserve"> of effectiveness, efficiency, and coherence, </w:t>
      </w:r>
      <w:r w:rsidR="00BF1175" w:rsidRPr="774E45C5">
        <w:rPr>
          <w:rFonts w:eastAsia="Arial Unicode MS"/>
          <w:noProof/>
          <w:color w:val="000000"/>
          <w:bdr w:val="nil"/>
          <w:lang w:val="en-US" w:eastAsia="en-GB"/>
        </w:rPr>
        <w:t>a</w:t>
      </w:r>
      <w:r w:rsidRPr="774E45C5">
        <w:rPr>
          <w:rFonts w:eastAsia="Arial Unicode MS"/>
          <w:noProof/>
          <w:color w:val="000000"/>
          <w:bdr w:val="nil"/>
          <w:lang w:val="en-US" w:eastAsia="en-GB"/>
        </w:rPr>
        <w:t xml:space="preserve"> preferred bundle</w:t>
      </w:r>
      <w:r w:rsidR="00BF1175" w:rsidRPr="774E45C5">
        <w:rPr>
          <w:rFonts w:eastAsia="Arial Unicode MS"/>
          <w:noProof/>
          <w:color w:val="000000"/>
          <w:bdr w:val="nil"/>
          <w:lang w:val="en-US" w:eastAsia="en-GB"/>
        </w:rPr>
        <w:t xml:space="preserve"> of </w:t>
      </w:r>
      <w:r w:rsidRPr="774E45C5">
        <w:rPr>
          <w:rFonts w:eastAsia="Arial Unicode MS"/>
          <w:noProof/>
          <w:color w:val="000000"/>
          <w:bdr w:val="nil"/>
          <w:lang w:val="en-US" w:eastAsia="en-GB"/>
        </w:rPr>
        <w:t xml:space="preserve">non-prudential </w:t>
      </w:r>
      <w:r w:rsidR="00BF1175" w:rsidRPr="774E45C5">
        <w:rPr>
          <w:rFonts w:eastAsia="Arial Unicode MS"/>
          <w:noProof/>
          <w:color w:val="000000"/>
          <w:bdr w:val="nil"/>
          <w:lang w:val="en-US" w:eastAsia="en-GB"/>
        </w:rPr>
        <w:t xml:space="preserve">and </w:t>
      </w:r>
      <w:r w:rsidRPr="774E45C5">
        <w:rPr>
          <w:rFonts w:eastAsia="Arial Unicode MS"/>
          <w:noProof/>
          <w:color w:val="000000"/>
          <w:bdr w:val="nil"/>
          <w:lang w:val="en-US" w:eastAsia="en-GB"/>
        </w:rPr>
        <w:t xml:space="preserve">prudential </w:t>
      </w:r>
      <w:r w:rsidR="00BF1175" w:rsidRPr="774E45C5">
        <w:rPr>
          <w:rFonts w:eastAsia="Arial Unicode MS"/>
          <w:noProof/>
          <w:color w:val="000000"/>
          <w:bdr w:val="nil"/>
          <w:lang w:val="en-US" w:eastAsia="en-GB"/>
        </w:rPr>
        <w:t xml:space="preserve">measures </w:t>
      </w:r>
      <w:r w:rsidR="004E53D4" w:rsidRPr="774E45C5">
        <w:rPr>
          <w:rFonts w:eastAsia="Arial Unicode MS"/>
          <w:noProof/>
          <w:color w:val="000000"/>
          <w:bdr w:val="nil"/>
          <w:lang w:val="en-US" w:eastAsia="en-GB"/>
        </w:rPr>
        <w:t>was</w:t>
      </w:r>
      <w:r w:rsidR="00BF1175" w:rsidRPr="774E45C5">
        <w:rPr>
          <w:rFonts w:eastAsia="Arial Unicode MS"/>
          <w:noProof/>
          <w:color w:val="000000"/>
          <w:bdr w:val="nil"/>
          <w:lang w:val="en-US" w:eastAsia="en-GB"/>
        </w:rPr>
        <w:t xml:space="preserve"> selected which were deemed </w:t>
      </w:r>
      <w:r w:rsidR="00E17E57" w:rsidRPr="774E45C5">
        <w:rPr>
          <w:rFonts w:eastAsia="Arial Unicode MS"/>
          <w:noProof/>
          <w:color w:val="000000"/>
          <w:bdr w:val="nil"/>
          <w:lang w:val="en-US" w:eastAsia="en-GB"/>
        </w:rPr>
        <w:t>the</w:t>
      </w:r>
      <w:r w:rsidR="00BF1175" w:rsidRPr="774E45C5">
        <w:rPr>
          <w:rFonts w:eastAsia="Arial Unicode MS"/>
          <w:noProof/>
          <w:color w:val="000000"/>
          <w:bdr w:val="nil"/>
          <w:lang w:val="en-US" w:eastAsia="en-GB"/>
        </w:rPr>
        <w:t xml:space="preserve"> best</w:t>
      </w:r>
      <w:r w:rsidRPr="774E45C5">
        <w:rPr>
          <w:rFonts w:eastAsia="Arial Unicode MS"/>
          <w:noProof/>
          <w:color w:val="000000"/>
          <w:bdr w:val="nil"/>
          <w:lang w:val="en-US" w:eastAsia="en-GB"/>
        </w:rPr>
        <w:t xml:space="preserve"> </w:t>
      </w:r>
      <w:r w:rsidR="00C279E3" w:rsidRPr="774E45C5">
        <w:rPr>
          <w:rFonts w:eastAsia="Arial Unicode MS"/>
          <w:noProof/>
          <w:color w:val="000000"/>
          <w:bdr w:val="nil"/>
          <w:lang w:val="en-US" w:eastAsia="en-GB"/>
        </w:rPr>
        <w:t>avenue</w:t>
      </w:r>
      <w:r w:rsidRPr="774E45C5">
        <w:rPr>
          <w:rFonts w:eastAsia="Arial Unicode MS"/>
          <w:noProof/>
          <w:color w:val="000000"/>
          <w:bdr w:val="nil"/>
          <w:lang w:val="en-US" w:eastAsia="en-GB"/>
        </w:rPr>
        <w:t xml:space="preserve"> for the EU to </w:t>
      </w:r>
      <w:r w:rsidR="00E17E57" w:rsidRPr="774E45C5">
        <w:rPr>
          <w:rFonts w:eastAsia="Arial Unicode MS"/>
          <w:noProof/>
          <w:color w:val="000000"/>
          <w:bdr w:val="nil"/>
          <w:lang w:val="en-US" w:eastAsia="en-GB"/>
        </w:rPr>
        <w:t>take to</w:t>
      </w:r>
      <w:r w:rsidRPr="774E45C5">
        <w:rPr>
          <w:rFonts w:eastAsia="Arial Unicode MS"/>
          <w:noProof/>
          <w:color w:val="000000"/>
          <w:bdr w:val="nil"/>
          <w:lang w:val="en-US" w:eastAsia="en-GB"/>
        </w:rPr>
        <w:t xml:space="preserve"> reduce burden and compliance costs for issuers and investors, to revitalise the securitisation market and enhance the competitiveness of the EU financial system. Financial institutions across the EU will face </w:t>
      </w:r>
      <w:r w:rsidR="6D685AD3" w:rsidRPr="774E45C5">
        <w:rPr>
          <w:rFonts w:eastAsia="Arial Unicode MS"/>
          <w:noProof/>
          <w:color w:val="000000"/>
          <w:bdr w:val="nil"/>
          <w:lang w:val="en-US" w:eastAsia="en-GB"/>
        </w:rPr>
        <w:t>a simpler and less costly</w:t>
      </w:r>
      <w:r w:rsidRPr="774E45C5">
        <w:rPr>
          <w:rFonts w:eastAsia="Arial Unicode MS"/>
          <w:noProof/>
          <w:color w:val="000000"/>
          <w:bdr w:val="nil"/>
          <w:lang w:val="en-US" w:eastAsia="en-GB"/>
        </w:rPr>
        <w:t xml:space="preserve"> transparency and due diligence regime and greater risk-sensitivity with regards to the actual risk of the securitisation investment. </w:t>
      </w:r>
    </w:p>
    <w:p w:rsidR="00472BD5" w:rsidRPr="009C51B9" w:rsidRDefault="004E53D4" w:rsidP="009C51B9">
      <w:pPr>
        <w:pBdr>
          <w:top w:val="nil"/>
          <w:left w:val="nil"/>
          <w:bottom w:val="nil"/>
          <w:right w:val="nil"/>
          <w:between w:val="nil"/>
          <w:bar w:val="nil"/>
        </w:pBdr>
        <w:spacing w:after="240"/>
        <w:rPr>
          <w:rFonts w:eastAsia="Arial Unicode MS"/>
          <w:noProof/>
          <w:color w:val="000000"/>
          <w:bdr w:val="nil"/>
          <w:lang w:val="en-US" w:eastAsia="en-GB"/>
        </w:rPr>
      </w:pPr>
      <w:r w:rsidRPr="774E45C5">
        <w:rPr>
          <w:rFonts w:eastAsia="Arial Unicode MS"/>
          <w:noProof/>
          <w:color w:val="000000"/>
          <w:bdr w:val="nil"/>
          <w:lang w:val="en-US" w:eastAsia="en-GB"/>
        </w:rPr>
        <w:t>The impact assessment of the various policy options primarily focused on their economic and regulatory impacts</w:t>
      </w:r>
      <w:r w:rsidR="007A04A4" w:rsidRPr="774E45C5">
        <w:rPr>
          <w:rFonts w:eastAsia="Arial Unicode MS"/>
          <w:noProof/>
          <w:color w:val="000000"/>
          <w:bdr w:val="nil"/>
          <w:lang w:val="en-US" w:eastAsia="en-GB"/>
        </w:rPr>
        <w:t>. The</w:t>
      </w:r>
      <w:r w:rsidR="33832C52" w:rsidRPr="774E45C5">
        <w:rPr>
          <w:rFonts w:eastAsia="Arial Unicode MS"/>
          <w:noProof/>
          <w:color w:val="000000"/>
          <w:bdr w:val="nil"/>
          <w:lang w:val="en-US" w:eastAsia="en-GB"/>
        </w:rPr>
        <w:t xml:space="preserve"> options</w:t>
      </w:r>
      <w:r w:rsidR="007A04A4" w:rsidRPr="774E45C5">
        <w:rPr>
          <w:rFonts w:eastAsia="Arial Unicode MS"/>
          <w:noProof/>
          <w:color w:val="000000"/>
          <w:bdr w:val="nil"/>
          <w:lang w:val="en-US" w:eastAsia="en-GB"/>
        </w:rPr>
        <w:t xml:space="preserve"> can be considered to have only indirect</w:t>
      </w:r>
      <w:r w:rsidRPr="774E45C5">
        <w:rPr>
          <w:rFonts w:eastAsia="Arial Unicode MS"/>
          <w:noProof/>
          <w:color w:val="000000"/>
          <w:bdr w:val="nil"/>
          <w:lang w:val="en-US" w:eastAsia="en-GB"/>
        </w:rPr>
        <w:t xml:space="preserve"> impacts on social, environmental, and fundamental rights issues. </w:t>
      </w:r>
      <w:r w:rsidR="00655723" w:rsidRPr="774E45C5">
        <w:rPr>
          <w:rFonts w:eastAsia="Arial Unicode MS"/>
          <w:noProof/>
          <w:color w:val="000000"/>
          <w:bdr w:val="nil"/>
          <w:lang w:val="en-US" w:eastAsia="en-GB"/>
        </w:rPr>
        <w:t>Indirectly, t</w:t>
      </w:r>
      <w:r w:rsidR="00472BD5" w:rsidRPr="774E45C5">
        <w:rPr>
          <w:rFonts w:eastAsia="Arial Unicode MS"/>
          <w:noProof/>
          <w:color w:val="000000"/>
          <w:bdr w:val="nil"/>
          <w:lang w:val="en-US" w:eastAsia="en-GB"/>
        </w:rPr>
        <w:t xml:space="preserve">he proposal </w:t>
      </w:r>
      <w:r w:rsidR="00655723" w:rsidRPr="774E45C5">
        <w:rPr>
          <w:rFonts w:eastAsia="Arial Unicode MS"/>
          <w:noProof/>
          <w:color w:val="000000"/>
          <w:bdr w:val="nil"/>
          <w:lang w:val="en-US" w:eastAsia="en-GB"/>
        </w:rPr>
        <w:t xml:space="preserve">would improve </w:t>
      </w:r>
      <w:r w:rsidR="00472BD5" w:rsidRPr="774E45C5">
        <w:rPr>
          <w:rFonts w:eastAsia="Arial Unicode MS"/>
          <w:noProof/>
          <w:color w:val="000000"/>
          <w:bdr w:val="nil"/>
          <w:lang w:val="en-US" w:eastAsia="en-GB"/>
        </w:rPr>
        <w:t xml:space="preserve">access to credit and financial services, particularly for </w:t>
      </w:r>
      <w:r w:rsidR="00655723" w:rsidRPr="774E45C5">
        <w:rPr>
          <w:rFonts w:eastAsia="Arial Unicode MS"/>
          <w:noProof/>
          <w:color w:val="000000"/>
          <w:bdr w:val="nil"/>
          <w:lang w:val="en-US" w:eastAsia="en-GB"/>
        </w:rPr>
        <w:t xml:space="preserve">corporates </w:t>
      </w:r>
      <w:r w:rsidR="00472BD5" w:rsidRPr="774E45C5">
        <w:rPr>
          <w:rFonts w:eastAsia="Arial Unicode MS"/>
          <w:noProof/>
          <w:color w:val="000000"/>
          <w:bdr w:val="nil"/>
          <w:lang w:val="en-US" w:eastAsia="en-GB"/>
        </w:rPr>
        <w:t>and SMEs, thereby promoting social inclusion, job creation, and economic growth. Though not the primary focus, the proposal may indirectly support environmental sustainability by facilitating green investments through improved capital access and alignment with existing green securitisation frameworks. There are no direct effects on fundamental rights, but the initiative supports financial stability and complies with data protection laws, thereby indirectly reinforcing economic rights and privacy safeguards.</w:t>
      </w:r>
    </w:p>
    <w:p w:rsidR="00D761DA" w:rsidRDefault="00D761DA">
      <w:pPr>
        <w:pStyle w:val="ManualHeading2"/>
        <w:rPr>
          <w:rFonts w:eastAsia="Arial Unicode MS"/>
          <w:noProof/>
          <w:u w:color="000000"/>
          <w:bdr w:val="nil"/>
          <w:lang w:val="en-US" w:eastAsia="en-GB"/>
        </w:rPr>
      </w:pPr>
      <w:bookmarkStart w:id="18" w:name="_Toc198557746"/>
      <w:r w:rsidRPr="007718A8">
        <w:rPr>
          <w:rFonts w:eastAsia="Arial Unicode MS"/>
          <w:noProof/>
          <w:u w:color="000000"/>
          <w:bdr w:val="nil"/>
          <w:lang w:val="en-US" w:eastAsia="en-GB"/>
        </w:rPr>
        <w:t>•</w:t>
      </w:r>
      <w:r w:rsidRPr="007718A8">
        <w:rPr>
          <w:rFonts w:eastAsia="Arial Unicode MS"/>
          <w:noProof/>
          <w:u w:color="000000"/>
          <w:bdr w:val="nil"/>
          <w:lang w:val="en-US" w:eastAsia="en-GB"/>
        </w:rPr>
        <w:tab/>
        <w:t>Regulatory fitness and simplification</w:t>
      </w:r>
      <w:bookmarkEnd w:id="18"/>
    </w:p>
    <w:p w:rsidR="00CF2BFD" w:rsidRPr="00CF2BFD" w:rsidRDefault="00CF2BFD" w:rsidP="00CF2BFD">
      <w:pPr>
        <w:spacing w:before="100" w:beforeAutospacing="1" w:after="100" w:afterAutospacing="1" w:line="259" w:lineRule="auto"/>
        <w:rPr>
          <w:rFonts w:eastAsia="Times New Roman"/>
          <w:noProof/>
          <w:szCs w:val="24"/>
          <w:lang w:val="en-IE"/>
          <w14:ligatures w14:val="standardContextual"/>
        </w:rPr>
      </w:pPr>
      <w:r w:rsidRPr="00CF2BFD">
        <w:rPr>
          <w:rFonts w:eastAsia="Times New Roman"/>
          <w:noProof/>
          <w:szCs w:val="24"/>
          <w:lang w:val="en-IE"/>
          <w14:ligatures w14:val="standardContextual"/>
        </w:rPr>
        <w:t xml:space="preserve">The proposal simplifies and refines the existing legal provisions applying to securitisations, to enhance efficiency within the securitisation market. </w:t>
      </w:r>
      <w:r w:rsidR="003A2C1C" w:rsidRPr="00CF2BFD">
        <w:rPr>
          <w:rFonts w:eastAsia="Times New Roman"/>
          <w:noProof/>
          <w:szCs w:val="24"/>
          <w:lang w:val="en-IE"/>
          <w14:ligatures w14:val="standardContextual"/>
        </w:rPr>
        <w:t>Therefore,</w:t>
      </w:r>
      <w:r w:rsidRPr="00CF2BFD">
        <w:rPr>
          <w:rFonts w:eastAsia="Times New Roman"/>
          <w:noProof/>
          <w:szCs w:val="24"/>
          <w:lang w:val="en-IE"/>
          <w14:ligatures w14:val="standardContextual"/>
        </w:rPr>
        <w:t xml:space="preserve"> </w:t>
      </w:r>
      <w:r w:rsidR="003A2C1C">
        <w:rPr>
          <w:rFonts w:eastAsia="Times New Roman"/>
          <w:noProof/>
          <w:szCs w:val="24"/>
          <w:lang w:val="en-IE"/>
          <w14:ligatures w14:val="standardContextual"/>
        </w:rPr>
        <w:t>it</w:t>
      </w:r>
      <w:r w:rsidRPr="00CF2BFD">
        <w:rPr>
          <w:rFonts w:eastAsia="Times New Roman"/>
          <w:noProof/>
          <w:szCs w:val="24"/>
          <w:lang w:val="en-IE"/>
          <w14:ligatures w14:val="standardContextual"/>
        </w:rPr>
        <w:t xml:space="preserve"> is of relevance to the Regulatory Fitness Programme (REFIT). The preferred option </w:t>
      </w:r>
      <w:r w:rsidR="00062BFB">
        <w:rPr>
          <w:rFonts w:eastAsia="Times New Roman"/>
          <w:noProof/>
          <w:szCs w:val="24"/>
          <w:lang w:val="en-IE"/>
          <w14:ligatures w14:val="standardContextual"/>
        </w:rPr>
        <w:t xml:space="preserve">concerning the Securitisation Regulation </w:t>
      </w:r>
      <w:r w:rsidR="00B52D26">
        <w:rPr>
          <w:rFonts w:eastAsia="Times New Roman"/>
          <w:noProof/>
          <w:szCs w:val="24"/>
          <w:lang w:val="en-IE"/>
          <w14:ligatures w14:val="standardContextual"/>
        </w:rPr>
        <w:t>entails a</w:t>
      </w:r>
      <w:r w:rsidRPr="00CF2BFD">
        <w:rPr>
          <w:rFonts w:eastAsia="Times New Roman"/>
          <w:noProof/>
          <w:szCs w:val="24"/>
          <w:lang w:val="en-IE"/>
          <w14:ligatures w14:val="standardContextual"/>
        </w:rPr>
        <w:t xml:space="preserve"> simplification of due diligence duties for businesses and a more efficient transparency framework. By reducing th</w:t>
      </w:r>
      <w:r w:rsidR="00895E3E">
        <w:rPr>
          <w:rFonts w:eastAsia="Times New Roman"/>
          <w:noProof/>
          <w:szCs w:val="24"/>
          <w:lang w:val="en-IE"/>
          <w14:ligatures w14:val="standardContextual"/>
        </w:rPr>
        <w:t>o</w:t>
      </w:r>
      <w:r w:rsidRPr="00CF2BFD">
        <w:rPr>
          <w:rFonts w:eastAsia="Times New Roman"/>
          <w:noProof/>
          <w:szCs w:val="24"/>
          <w:lang w:val="en-IE"/>
          <w14:ligatures w14:val="standardContextual"/>
        </w:rPr>
        <w:t>se obligations, businesses will face lower compliance costs, enabling more resources to be allocated to core business activities. While issuers may encounter some one-off adaptation costs, the recurrent reduction in administrative burdens should outweigh th</w:t>
      </w:r>
      <w:r w:rsidR="00895E3E">
        <w:rPr>
          <w:rFonts w:eastAsia="Times New Roman"/>
          <w:noProof/>
          <w:szCs w:val="24"/>
          <w:lang w:val="en-IE"/>
          <w14:ligatures w14:val="standardContextual"/>
        </w:rPr>
        <w:t>o</w:t>
      </w:r>
      <w:r w:rsidRPr="00CF2BFD">
        <w:rPr>
          <w:rFonts w:eastAsia="Times New Roman"/>
          <w:noProof/>
          <w:szCs w:val="24"/>
          <w:lang w:val="en-IE"/>
          <w14:ligatures w14:val="standardContextual"/>
        </w:rPr>
        <w:t>se initial expenditures. Through targeted adjustments and strategic simplification, th</w:t>
      </w:r>
      <w:r w:rsidR="00133E57">
        <w:rPr>
          <w:rFonts w:eastAsia="Times New Roman"/>
          <w:noProof/>
          <w:szCs w:val="24"/>
          <w:lang w:val="en-IE"/>
          <w14:ligatures w14:val="standardContextual"/>
        </w:rPr>
        <w:t>o</w:t>
      </w:r>
      <w:r w:rsidRPr="00CF2BFD">
        <w:rPr>
          <w:rFonts w:eastAsia="Times New Roman"/>
          <w:noProof/>
          <w:szCs w:val="24"/>
          <w:lang w:val="en-IE"/>
          <w14:ligatures w14:val="standardContextual"/>
        </w:rPr>
        <w:t xml:space="preserve">se measures are positioned to bolster the market's capacity, attract a broader base of investors, and encourage economic growth—while maintaining a resilient and transparent financial ecosystem. </w:t>
      </w:r>
    </w:p>
    <w:p w:rsidR="00CF2BFD" w:rsidRPr="00CF2BFD" w:rsidRDefault="00CF2BFD" w:rsidP="00CF2BFD">
      <w:pPr>
        <w:pBdr>
          <w:top w:val="nil"/>
          <w:left w:val="nil"/>
          <w:bottom w:val="nil"/>
          <w:right w:val="nil"/>
          <w:between w:val="nil"/>
          <w:bar w:val="nil"/>
        </w:pBdr>
        <w:spacing w:before="0" w:after="240"/>
        <w:rPr>
          <w:rFonts w:eastAsia="Arial Unicode MS"/>
          <w:iCs/>
          <w:noProof/>
          <w:color w:val="000000"/>
          <w:szCs w:val="24"/>
          <w:u w:color="000000"/>
          <w:bdr w:val="nil"/>
          <w:lang w:val="en-IE" w:eastAsia="en-GB"/>
        </w:rPr>
      </w:pPr>
      <w:r w:rsidRPr="00CF2BFD">
        <w:rPr>
          <w:rFonts w:eastAsia="Arial Unicode MS"/>
          <w:iCs/>
          <w:noProof/>
          <w:color w:val="000000"/>
          <w:szCs w:val="24"/>
          <w:u w:color="000000"/>
          <w:bdr w:val="nil"/>
          <w:lang w:val="en-IE" w:eastAsia="en-GB"/>
        </w:rPr>
        <w:t xml:space="preserve">The policy options taken in this proposal should have several positive effects on SME financing and competitiveness (see Annexes </w:t>
      </w:r>
      <w:r w:rsidR="00C245B5">
        <w:rPr>
          <w:rFonts w:eastAsia="Arial Unicode MS"/>
          <w:iCs/>
          <w:noProof/>
          <w:color w:val="000000"/>
          <w:szCs w:val="24"/>
          <w:u w:color="000000"/>
          <w:bdr w:val="nil"/>
          <w:lang w:val="en-IE" w:eastAsia="en-GB"/>
        </w:rPr>
        <w:t>VI</w:t>
      </w:r>
      <w:r w:rsidR="007E3717">
        <w:rPr>
          <w:rFonts w:eastAsia="Arial Unicode MS"/>
          <w:iCs/>
          <w:noProof/>
          <w:color w:val="000000"/>
          <w:szCs w:val="24"/>
          <w:u w:color="000000"/>
          <w:bdr w:val="nil"/>
          <w:lang w:val="en-IE" w:eastAsia="en-GB"/>
        </w:rPr>
        <w:t>I</w:t>
      </w:r>
      <w:r w:rsidR="00C245B5">
        <w:rPr>
          <w:rFonts w:eastAsia="Arial Unicode MS"/>
          <w:iCs/>
          <w:noProof/>
          <w:color w:val="000000"/>
          <w:szCs w:val="24"/>
          <w:u w:color="000000"/>
          <w:bdr w:val="nil"/>
          <w:lang w:val="en-IE" w:eastAsia="en-GB"/>
        </w:rPr>
        <w:t xml:space="preserve"> and VIII</w:t>
      </w:r>
      <w:r w:rsidRPr="00CF2BFD">
        <w:rPr>
          <w:rFonts w:eastAsia="Arial Unicode MS"/>
          <w:iCs/>
          <w:noProof/>
          <w:color w:val="000000"/>
          <w:szCs w:val="24"/>
          <w:u w:color="000000"/>
          <w:bdr w:val="nil"/>
          <w:lang w:val="en-IE" w:eastAsia="en-GB"/>
        </w:rPr>
        <w:t xml:space="preserve"> of the Impact Assessment report). </w:t>
      </w:r>
    </w:p>
    <w:p w:rsidR="00D761DA" w:rsidRDefault="00D761DA">
      <w:pPr>
        <w:pStyle w:val="ManualHeading2"/>
        <w:rPr>
          <w:rFonts w:eastAsia="Arial Unicode MS"/>
          <w:noProof/>
          <w:u w:color="000000"/>
          <w:bdr w:val="nil"/>
          <w:lang w:val="en-US" w:eastAsia="en-GB"/>
        </w:rPr>
      </w:pPr>
      <w:bookmarkStart w:id="19" w:name="_Toc198557747"/>
      <w:r w:rsidRPr="007718A8">
        <w:rPr>
          <w:rFonts w:eastAsia="Arial Unicode MS"/>
          <w:noProof/>
          <w:u w:color="000000"/>
          <w:bdr w:val="nil"/>
          <w:lang w:val="en-US" w:eastAsia="en-GB"/>
        </w:rPr>
        <w:t>•</w:t>
      </w:r>
      <w:r w:rsidRPr="007718A8">
        <w:rPr>
          <w:rFonts w:eastAsia="Arial Unicode MS"/>
          <w:noProof/>
          <w:u w:color="000000"/>
          <w:bdr w:val="nil"/>
          <w:lang w:val="en-US" w:eastAsia="en-GB"/>
        </w:rPr>
        <w:tab/>
        <w:t>Fundamental rights</w:t>
      </w:r>
      <w:bookmarkEnd w:id="19"/>
    </w:p>
    <w:p w:rsidR="00816231" w:rsidRPr="00816231" w:rsidRDefault="00816231" w:rsidP="00816231">
      <w:pPr>
        <w:spacing w:before="100" w:beforeAutospacing="1" w:after="100" w:afterAutospacing="1" w:line="259" w:lineRule="auto"/>
        <w:rPr>
          <w:rFonts w:eastAsia="Calibri"/>
          <w:noProof/>
          <w:szCs w:val="24"/>
          <w:lang w:val="en-IE"/>
          <w14:ligatures w14:val="standardContextual"/>
        </w:rPr>
      </w:pPr>
      <w:r w:rsidRPr="00816231">
        <w:rPr>
          <w:rFonts w:eastAsia="Calibri"/>
          <w:noProof/>
          <w:szCs w:val="24"/>
          <w14:ligatures w14:val="standardContextual"/>
        </w:rPr>
        <w:t xml:space="preserve">The proposal is not likely to have a direct impact on the rights provided in the Charter of Fundamental Rights of the European Union. </w:t>
      </w:r>
      <w:r w:rsidRPr="00816231">
        <w:rPr>
          <w:rFonts w:eastAsia="Calibri"/>
          <w:noProof/>
          <w:szCs w:val="24"/>
          <w:lang w:val="en-IE"/>
          <w14:ligatures w14:val="standardContextual"/>
        </w:rPr>
        <w:t>The simplification and efficiency measures do not directly address issues relating to personal data or privacy. Nonetheless, changes to disclosure and reporting standards must comply with existing data protection laws to ensure the security and privacy of any personal data involved in the securitisation process.</w:t>
      </w:r>
    </w:p>
    <w:p w:rsidR="00816231" w:rsidRPr="00816231" w:rsidRDefault="00816231" w:rsidP="00816231">
      <w:pPr>
        <w:spacing w:before="100" w:beforeAutospacing="1" w:after="100" w:afterAutospacing="1" w:line="259" w:lineRule="auto"/>
        <w:rPr>
          <w:rFonts w:eastAsia="Calibri"/>
          <w:noProof/>
          <w:szCs w:val="24"/>
          <w:lang w:val="en-IE"/>
          <w14:ligatures w14:val="standardContextual"/>
        </w:rPr>
      </w:pPr>
      <w:r w:rsidRPr="00816231">
        <w:rPr>
          <w:rFonts w:eastAsia="Calibri"/>
          <w:noProof/>
          <w:szCs w:val="24"/>
          <w:lang w:val="en-IE"/>
          <w14:ligatures w14:val="standardContextual"/>
        </w:rPr>
        <w:t xml:space="preserve">The proposal aims to reduce high operational costs and remove undue prudential barriers, while avoiding undue deterioration of protection and avoiding incentives for excessive risk-taking. It therefore represents a balancing of the need for economic stimulus with maintaining robust standards, thus minimising negative societal impacts. Overall, while the proposed measures mainly focus on financial regulation, there are potential indirect benefits that can arise, impacting social, environmental, and fundamental rights in supportive and sustainable ways. Ensuring a stable securitisation market contributes indirectly to the protection of fundamental economic rights by promoting financial stability through risk diversification. </w:t>
      </w:r>
    </w:p>
    <w:p w:rsidR="00D761DA" w:rsidRDefault="00D761DA">
      <w:pPr>
        <w:pStyle w:val="ManualHeading1"/>
        <w:rPr>
          <w:noProof/>
        </w:rPr>
      </w:pPr>
      <w:bookmarkStart w:id="20" w:name="_Toc198557748"/>
      <w:r w:rsidRPr="00550536">
        <w:rPr>
          <w:noProof/>
        </w:rPr>
        <w:t>4.</w:t>
      </w:r>
      <w:r w:rsidRPr="00550536">
        <w:rPr>
          <w:noProof/>
        </w:rPr>
        <w:tab/>
        <w:t>BUDGETARY IMPLICATIONS</w:t>
      </w:r>
      <w:bookmarkEnd w:id="20"/>
    </w:p>
    <w:p w:rsidR="004A36AA" w:rsidRPr="00416D2E" w:rsidRDefault="2B8806F8" w:rsidP="2E1AC283">
      <w:pPr>
        <w:pBdr>
          <w:top w:val="nil"/>
          <w:left w:val="nil"/>
          <w:bottom w:val="nil"/>
          <w:right w:val="nil"/>
          <w:between w:val="nil"/>
          <w:bar w:val="nil"/>
        </w:pBdr>
        <w:spacing w:before="0" w:after="240"/>
        <w:rPr>
          <w:rFonts w:eastAsia="Arial Unicode MS"/>
          <w:noProof/>
          <w:color w:val="000000"/>
          <w:bdr w:val="nil"/>
          <w:lang w:val="en-US" w:eastAsia="en-GB"/>
        </w:rPr>
      </w:pPr>
      <w:r w:rsidRPr="7DD8F0E1">
        <w:rPr>
          <w:rFonts w:eastAsia="Arial Unicode MS"/>
          <w:noProof/>
          <w:color w:val="000000"/>
          <w:bdr w:val="nil"/>
          <w:lang w:eastAsia="en-GB"/>
        </w:rPr>
        <w:t xml:space="preserve">This legislative proposal would have limited consequences </w:t>
      </w:r>
      <w:r w:rsidR="3888FFB1" w:rsidRPr="7DD8F0E1">
        <w:rPr>
          <w:rFonts w:eastAsia="Arial Unicode MS"/>
          <w:noProof/>
          <w:color w:val="000000"/>
          <w:bdr w:val="nil"/>
          <w:lang w:eastAsia="en-GB"/>
        </w:rPr>
        <w:t>for</w:t>
      </w:r>
      <w:r w:rsidRPr="7DD8F0E1">
        <w:rPr>
          <w:rFonts w:eastAsia="Arial Unicode MS"/>
          <w:noProof/>
          <w:color w:val="000000"/>
          <w:bdr w:val="nil"/>
          <w:lang w:eastAsia="en-GB"/>
        </w:rPr>
        <w:t xml:space="preserve"> the U</w:t>
      </w:r>
      <w:r w:rsidR="325DFF9A">
        <w:rPr>
          <w:rFonts w:eastAsia="Arial Unicode MS"/>
          <w:noProof/>
          <w:color w:val="000000"/>
          <w:bdr w:val="nil"/>
          <w:lang w:eastAsia="en-GB"/>
        </w:rPr>
        <w:t>nion</w:t>
      </w:r>
      <w:r w:rsidRPr="7DD8F0E1">
        <w:rPr>
          <w:rFonts w:eastAsia="Arial Unicode MS"/>
          <w:noProof/>
          <w:color w:val="000000"/>
          <w:bdr w:val="nil"/>
          <w:lang w:eastAsia="en-GB"/>
        </w:rPr>
        <w:t xml:space="preserve"> budget. It will imply further policy development within the Commission and in the three ESAs.</w:t>
      </w:r>
      <w:r w:rsidR="2270CEEB">
        <w:rPr>
          <w:rFonts w:eastAsia="Arial Unicode MS"/>
          <w:noProof/>
          <w:color w:val="000000"/>
          <w:bdr w:val="nil"/>
          <w:lang w:eastAsia="en-GB"/>
        </w:rPr>
        <w:t xml:space="preserve"> </w:t>
      </w:r>
      <w:r w:rsidR="7CFEB143" w:rsidRPr="6B9C6E32">
        <w:rPr>
          <w:rFonts w:eastAsia="Arial Unicode MS"/>
          <w:noProof/>
          <w:color w:val="000000" w:themeColor="text1"/>
          <w:lang w:eastAsia="en-GB"/>
        </w:rPr>
        <w:t>S</w:t>
      </w:r>
      <w:r w:rsidR="77C008AA" w:rsidRPr="7DD8F0E1">
        <w:rPr>
          <w:rFonts w:eastAsia="Arial Unicode MS"/>
          <w:noProof/>
          <w:color w:val="000000"/>
          <w:bdr w:val="nil"/>
          <w:lang w:eastAsia="en-GB"/>
        </w:rPr>
        <w:t>pecific</w:t>
      </w:r>
      <w:r w:rsidRPr="7DD8F0E1">
        <w:rPr>
          <w:rFonts w:eastAsia="Arial Unicode MS"/>
          <w:noProof/>
          <w:color w:val="000000"/>
          <w:bdr w:val="nil"/>
          <w:lang w:eastAsia="en-GB"/>
        </w:rPr>
        <w:t xml:space="preserve"> </w:t>
      </w:r>
      <w:r w:rsidRPr="4BC7B67A">
        <w:rPr>
          <w:rFonts w:eastAsia="Arial Unicode MS"/>
          <w:noProof/>
          <w:color w:val="000000"/>
          <w:bdr w:val="nil"/>
          <w:lang w:eastAsia="en-GB"/>
        </w:rPr>
        <w:t xml:space="preserve">coordination tasks </w:t>
      </w:r>
      <w:r w:rsidR="16300DC1" w:rsidRPr="4BC7B67A">
        <w:rPr>
          <w:rFonts w:eastAsia="Arial Unicode MS"/>
          <w:noProof/>
          <w:color w:val="000000"/>
          <w:bdr w:val="nil"/>
          <w:lang w:eastAsia="en-GB"/>
        </w:rPr>
        <w:t xml:space="preserve">will </w:t>
      </w:r>
      <w:r w:rsidRPr="4BC7B67A">
        <w:rPr>
          <w:rFonts w:eastAsia="Arial Unicode MS"/>
          <w:noProof/>
          <w:color w:val="000000"/>
          <w:bdr w:val="nil"/>
          <w:lang w:eastAsia="en-GB"/>
        </w:rPr>
        <w:t xml:space="preserve">be assigned to the </w:t>
      </w:r>
      <w:r w:rsidR="56F9DEBA" w:rsidRPr="4BC7B67A">
        <w:rPr>
          <w:rFonts w:eastAsia="Arial Unicode MS"/>
          <w:noProof/>
          <w:color w:val="000000"/>
          <w:bdr w:val="nil"/>
          <w:lang w:eastAsia="en-GB"/>
        </w:rPr>
        <w:t>European Banking Authority (</w:t>
      </w:r>
      <w:r w:rsidRPr="4BC7B67A">
        <w:rPr>
          <w:rFonts w:eastAsia="Arial Unicode MS"/>
          <w:noProof/>
          <w:color w:val="000000"/>
          <w:bdr w:val="nil"/>
          <w:lang w:eastAsia="en-GB"/>
        </w:rPr>
        <w:t>E</w:t>
      </w:r>
      <w:r w:rsidR="03A3F9ED" w:rsidRPr="4BC7B67A">
        <w:rPr>
          <w:rFonts w:eastAsia="Arial Unicode MS"/>
          <w:noProof/>
          <w:color w:val="000000"/>
          <w:bdr w:val="nil"/>
          <w:lang w:eastAsia="en-GB"/>
        </w:rPr>
        <w:t>B</w:t>
      </w:r>
      <w:r w:rsidRPr="4BC7B67A">
        <w:rPr>
          <w:rFonts w:eastAsia="Arial Unicode MS"/>
          <w:noProof/>
          <w:color w:val="000000"/>
          <w:bdr w:val="nil"/>
          <w:lang w:eastAsia="en-GB"/>
        </w:rPr>
        <w:t>A</w:t>
      </w:r>
      <w:r w:rsidR="2C75350E" w:rsidRPr="4BC7B67A">
        <w:rPr>
          <w:rFonts w:eastAsia="Arial Unicode MS"/>
          <w:noProof/>
          <w:color w:val="000000"/>
          <w:bdr w:val="nil"/>
          <w:lang w:eastAsia="en-GB"/>
        </w:rPr>
        <w:t>)</w:t>
      </w:r>
      <w:r w:rsidR="1E9844AC" w:rsidRPr="4BC7B67A">
        <w:rPr>
          <w:rFonts w:eastAsia="Arial Unicode MS"/>
          <w:noProof/>
          <w:color w:val="000000"/>
          <w:bdr w:val="nil"/>
          <w:lang w:eastAsia="en-GB"/>
        </w:rPr>
        <w:t xml:space="preserve"> in the context of the securitisation </w:t>
      </w:r>
      <w:r w:rsidR="00C30AD9" w:rsidRPr="4BC7B67A">
        <w:rPr>
          <w:rFonts w:eastAsia="Arial Unicode MS"/>
          <w:noProof/>
          <w:color w:val="000000" w:themeColor="text1"/>
          <w:lang w:eastAsia="en-GB"/>
        </w:rPr>
        <w:t>sub-</w:t>
      </w:r>
      <w:r w:rsidR="1E9844AC" w:rsidRPr="4BC7B67A">
        <w:rPr>
          <w:rFonts w:eastAsia="Arial Unicode MS"/>
          <w:noProof/>
          <w:color w:val="000000"/>
          <w:bdr w:val="nil"/>
          <w:lang w:eastAsia="en-GB"/>
        </w:rPr>
        <w:t xml:space="preserve">committee </w:t>
      </w:r>
      <w:r w:rsidR="438CB964" w:rsidRPr="4BC7B67A">
        <w:rPr>
          <w:rFonts w:eastAsia="Arial Unicode MS"/>
          <w:noProof/>
          <w:color w:val="000000"/>
          <w:bdr w:val="nil"/>
          <w:lang w:eastAsia="en-GB"/>
        </w:rPr>
        <w:t>reporting to</w:t>
      </w:r>
      <w:r w:rsidR="1E9844AC" w:rsidRPr="4BC7B67A">
        <w:rPr>
          <w:rFonts w:eastAsia="Arial Unicode MS"/>
          <w:noProof/>
          <w:color w:val="000000"/>
          <w:bdr w:val="nil"/>
          <w:lang w:eastAsia="en-GB"/>
        </w:rPr>
        <w:t xml:space="preserve"> the</w:t>
      </w:r>
      <w:r w:rsidRPr="4BC7B67A">
        <w:rPr>
          <w:rFonts w:eastAsia="Arial Unicode MS"/>
          <w:noProof/>
          <w:color w:val="000000"/>
          <w:bdr w:val="nil"/>
          <w:lang w:eastAsia="en-GB"/>
        </w:rPr>
        <w:t xml:space="preserve"> </w:t>
      </w:r>
      <w:r w:rsidR="54159557" w:rsidRPr="4BC7B67A">
        <w:rPr>
          <w:rFonts w:eastAsia="Arial Unicode MS"/>
          <w:noProof/>
          <w:color w:val="000000"/>
          <w:bdr w:val="nil"/>
          <w:lang w:eastAsia="en-GB"/>
        </w:rPr>
        <w:t xml:space="preserve">Joint Committee of the </w:t>
      </w:r>
      <w:r w:rsidRPr="4BC7B67A">
        <w:rPr>
          <w:rFonts w:eastAsia="Arial Unicode MS"/>
          <w:noProof/>
          <w:color w:val="000000"/>
          <w:bdr w:val="nil"/>
          <w:lang w:eastAsia="en-GB"/>
        </w:rPr>
        <w:t>ESAs</w:t>
      </w:r>
      <w:r w:rsidR="438CB964" w:rsidRPr="4BC7B67A">
        <w:rPr>
          <w:rFonts w:eastAsia="Arial Unicode MS"/>
          <w:noProof/>
          <w:color w:val="000000"/>
          <w:bdr w:val="nil"/>
          <w:lang w:eastAsia="en-GB"/>
        </w:rPr>
        <w:t>.</w:t>
      </w:r>
      <w:r w:rsidR="54159557" w:rsidRPr="4BC7B67A">
        <w:rPr>
          <w:rFonts w:eastAsia="Arial Unicode MS"/>
          <w:noProof/>
          <w:color w:val="000000"/>
          <w:bdr w:val="nil"/>
          <w:lang w:eastAsia="en-GB"/>
        </w:rPr>
        <w:t xml:space="preserve"> </w:t>
      </w:r>
      <w:r w:rsidR="278E19DE" w:rsidRPr="4BC7B67A">
        <w:rPr>
          <w:rFonts w:eastAsia="Arial Unicode MS"/>
          <w:noProof/>
          <w:color w:val="000000"/>
          <w:bdr w:val="nil"/>
          <w:lang w:eastAsia="en-GB"/>
        </w:rPr>
        <w:t xml:space="preserve">The </w:t>
      </w:r>
      <w:r w:rsidR="54159557" w:rsidRPr="4BC7B67A">
        <w:rPr>
          <w:rFonts w:eastAsia="Arial Unicode MS"/>
          <w:noProof/>
          <w:color w:val="000000"/>
          <w:bdr w:val="nil"/>
          <w:lang w:eastAsia="en-GB"/>
        </w:rPr>
        <w:t>EBA</w:t>
      </w:r>
      <w:r w:rsidR="278E19DE" w:rsidRPr="4BC7B67A">
        <w:rPr>
          <w:rFonts w:eastAsia="Arial Unicode MS"/>
          <w:noProof/>
          <w:color w:val="000000"/>
          <w:bdr w:val="nil"/>
          <w:lang w:eastAsia="en-GB"/>
        </w:rPr>
        <w:t>’s</w:t>
      </w:r>
      <w:r w:rsidR="54159557" w:rsidRPr="4BC7B67A">
        <w:rPr>
          <w:rFonts w:eastAsia="Arial Unicode MS"/>
          <w:noProof/>
          <w:color w:val="000000"/>
          <w:bdr w:val="nil"/>
          <w:lang w:eastAsia="en-GB"/>
        </w:rPr>
        <w:t xml:space="preserve"> role will</w:t>
      </w:r>
      <w:r w:rsidR="438CB964" w:rsidRPr="4BC7B67A">
        <w:rPr>
          <w:rFonts w:eastAsia="Arial Unicode MS"/>
          <w:noProof/>
          <w:color w:val="000000"/>
          <w:bdr w:val="nil"/>
          <w:lang w:eastAsia="en-GB"/>
        </w:rPr>
        <w:t xml:space="preserve"> </w:t>
      </w:r>
      <w:r w:rsidR="22197A85" w:rsidRPr="4BC7B67A">
        <w:rPr>
          <w:rFonts w:eastAsia="Arial Unicode MS"/>
          <w:noProof/>
          <w:color w:val="000000"/>
          <w:bdr w:val="nil"/>
          <w:lang w:eastAsia="en-GB"/>
        </w:rPr>
        <w:t xml:space="preserve">include </w:t>
      </w:r>
      <w:r w:rsidR="670CFA80" w:rsidRPr="4BC7B67A">
        <w:rPr>
          <w:rFonts w:eastAsia="Arial Unicode MS"/>
          <w:noProof/>
          <w:color w:val="000000"/>
          <w:bdr w:val="nil"/>
          <w:lang w:eastAsia="en-GB"/>
        </w:rPr>
        <w:t>providin</w:t>
      </w:r>
      <w:r w:rsidR="4EF0562A" w:rsidRPr="4BC7B67A">
        <w:rPr>
          <w:rFonts w:eastAsia="Arial Unicode MS"/>
          <w:noProof/>
          <w:color w:val="000000"/>
          <w:bdr w:val="nil"/>
          <w:lang w:eastAsia="en-GB"/>
        </w:rPr>
        <w:t>g the secretariat,</w:t>
      </w:r>
      <w:r w:rsidR="22197A85" w:rsidRPr="4BC7B67A">
        <w:rPr>
          <w:rFonts w:eastAsia="Arial Unicode MS"/>
          <w:noProof/>
          <w:color w:val="000000"/>
          <w:bdr w:val="nil"/>
          <w:lang w:eastAsia="en-GB"/>
        </w:rPr>
        <w:t xml:space="preserve"> </w:t>
      </w:r>
      <w:r w:rsidR="54AE08F6" w:rsidRPr="00E01F37">
        <w:rPr>
          <w:rFonts w:eastAsiaTheme="minorEastAsia"/>
          <w:noProof/>
          <w:color w:val="000000" w:themeColor="text1"/>
          <w:lang w:eastAsia="en-GB"/>
        </w:rPr>
        <w:t>permanent vice-</w:t>
      </w:r>
      <w:r w:rsidR="6CDC5620" w:rsidRPr="00E01F37">
        <w:rPr>
          <w:rFonts w:eastAsiaTheme="minorEastAsia"/>
          <w:noProof/>
          <w:color w:val="000000" w:themeColor="text1"/>
          <w:lang w:eastAsia="en-GB"/>
        </w:rPr>
        <w:t>chair</w:t>
      </w:r>
      <w:r w:rsidR="3F7851F8" w:rsidRPr="00E01F37">
        <w:rPr>
          <w:rFonts w:eastAsiaTheme="minorEastAsia"/>
          <w:noProof/>
          <w:color w:val="000000" w:themeColor="text1"/>
          <w:lang w:eastAsia="en-GB"/>
        </w:rPr>
        <w:t>person</w:t>
      </w:r>
      <w:r w:rsidR="6CDC5620" w:rsidRPr="00E01F37">
        <w:rPr>
          <w:rFonts w:eastAsiaTheme="minorEastAsia"/>
          <w:noProof/>
          <w:color w:val="000000" w:themeColor="text1"/>
          <w:lang w:eastAsia="en-GB"/>
        </w:rPr>
        <w:t>shi</w:t>
      </w:r>
      <w:r w:rsidR="0C7C72CE" w:rsidRPr="00E01F37">
        <w:rPr>
          <w:rFonts w:eastAsiaTheme="minorEastAsia"/>
          <w:noProof/>
          <w:color w:val="000000" w:themeColor="text1"/>
          <w:lang w:eastAsia="en-GB"/>
        </w:rPr>
        <w:t>p</w:t>
      </w:r>
      <w:r w:rsidR="17F2D513" w:rsidRPr="00E01F37">
        <w:rPr>
          <w:rFonts w:eastAsiaTheme="minorEastAsia"/>
          <w:noProof/>
          <w:color w:val="000000" w:themeColor="text1"/>
          <w:lang w:eastAsia="en-GB"/>
        </w:rPr>
        <w:t xml:space="preserve"> to</w:t>
      </w:r>
      <w:r w:rsidR="0C7C72CE" w:rsidRPr="00E01F37">
        <w:rPr>
          <w:rFonts w:eastAsiaTheme="minorEastAsia"/>
          <w:noProof/>
          <w:color w:val="000000" w:themeColor="text1"/>
          <w:lang w:eastAsia="en-GB"/>
        </w:rPr>
        <w:t xml:space="preserve"> </w:t>
      </w:r>
      <w:r w:rsidR="1760DBFE" w:rsidRPr="4BC7B67A">
        <w:rPr>
          <w:rFonts w:eastAsiaTheme="minorEastAsia"/>
          <w:noProof/>
          <w:color w:val="000000" w:themeColor="text1"/>
          <w:lang w:eastAsia="en-GB"/>
        </w:rPr>
        <w:t xml:space="preserve">securitisation </w:t>
      </w:r>
      <w:r w:rsidR="5F0B2430" w:rsidRPr="4BC7B67A">
        <w:rPr>
          <w:rFonts w:eastAsiaTheme="minorEastAsia"/>
          <w:noProof/>
          <w:color w:val="000000" w:themeColor="text1"/>
          <w:lang w:eastAsia="en-GB"/>
        </w:rPr>
        <w:t>c</w:t>
      </w:r>
      <w:r w:rsidR="63203EA7" w:rsidRPr="00E01F37">
        <w:rPr>
          <w:rFonts w:eastAsiaTheme="minorEastAsia"/>
          <w:noProof/>
          <w:color w:val="000000" w:themeColor="text1"/>
          <w:lang w:eastAsia="en-GB"/>
        </w:rPr>
        <w:t>ommittee</w:t>
      </w:r>
      <w:r w:rsidR="475F58C4" w:rsidRPr="00E01F37">
        <w:rPr>
          <w:rFonts w:eastAsiaTheme="minorEastAsia"/>
          <w:noProof/>
          <w:color w:val="000000" w:themeColor="text1"/>
          <w:lang w:eastAsia="en-GB"/>
        </w:rPr>
        <w:t xml:space="preserve"> of the Joint Committee of the European Supervisory Authorities referred to in Art. </w:t>
      </w:r>
      <w:r w:rsidR="63203EA7" w:rsidRPr="00E01F37">
        <w:rPr>
          <w:rFonts w:eastAsiaTheme="minorEastAsia"/>
          <w:noProof/>
          <w:color w:val="000000" w:themeColor="text1"/>
          <w:lang w:eastAsia="en-GB"/>
        </w:rPr>
        <w:t>36(3</w:t>
      </w:r>
      <w:r w:rsidR="63203EA7" w:rsidRPr="009C79CF">
        <w:rPr>
          <w:rFonts w:eastAsiaTheme="minorEastAsia"/>
          <w:noProof/>
          <w:color w:val="000000" w:themeColor="text1"/>
          <w:lang w:eastAsia="en-GB"/>
        </w:rPr>
        <w:t>)</w:t>
      </w:r>
      <w:r w:rsidR="3CD4D2D9" w:rsidRPr="009C79CF">
        <w:rPr>
          <w:rFonts w:eastAsiaTheme="minorEastAsia"/>
          <w:noProof/>
          <w:color w:val="000000" w:themeColor="text1"/>
          <w:lang w:eastAsia="en-GB"/>
        </w:rPr>
        <w:t xml:space="preserve"> </w:t>
      </w:r>
      <w:r w:rsidR="6020B69A" w:rsidRPr="009C79CF">
        <w:rPr>
          <w:rFonts w:eastAsiaTheme="minorEastAsia"/>
          <w:noProof/>
          <w:color w:val="000000" w:themeColor="text1"/>
          <w:lang w:eastAsia="en-GB"/>
        </w:rPr>
        <w:t xml:space="preserve">(securitisation sub-committee) </w:t>
      </w:r>
      <w:r w:rsidR="438CB964" w:rsidRPr="009C79CF">
        <w:rPr>
          <w:rFonts w:eastAsia="Arial Unicode MS"/>
          <w:noProof/>
          <w:color w:val="000000"/>
          <w:bdr w:val="nil"/>
          <w:lang w:eastAsia="en-GB"/>
        </w:rPr>
        <w:t>and</w:t>
      </w:r>
      <w:r w:rsidR="438CB964" w:rsidRPr="4BC7B67A">
        <w:rPr>
          <w:rFonts w:eastAsia="Arial Unicode MS"/>
          <w:noProof/>
          <w:color w:val="000000"/>
          <w:bdr w:val="nil"/>
          <w:lang w:eastAsia="en-GB"/>
        </w:rPr>
        <w:t xml:space="preserve"> lead</w:t>
      </w:r>
      <w:r w:rsidR="22197A85" w:rsidRPr="4BC7B67A">
        <w:rPr>
          <w:rFonts w:eastAsia="Arial Unicode MS"/>
          <w:noProof/>
          <w:color w:val="000000"/>
          <w:bdr w:val="nil"/>
          <w:lang w:eastAsia="en-GB"/>
        </w:rPr>
        <w:t xml:space="preserve">ing </w:t>
      </w:r>
      <w:r w:rsidR="438CB964" w:rsidRPr="4BC7B67A">
        <w:rPr>
          <w:rFonts w:eastAsia="Arial Unicode MS"/>
          <w:noProof/>
          <w:color w:val="000000"/>
          <w:bdr w:val="nil"/>
          <w:lang w:eastAsia="en-GB"/>
        </w:rPr>
        <w:t xml:space="preserve">the work of </w:t>
      </w:r>
      <w:r w:rsidR="7AA104BE" w:rsidRPr="6B9C6E32">
        <w:rPr>
          <w:rFonts w:eastAsia="Arial Unicode MS"/>
          <w:noProof/>
          <w:color w:val="000000" w:themeColor="text1"/>
          <w:lang w:eastAsia="en-GB"/>
        </w:rPr>
        <w:t xml:space="preserve">this </w:t>
      </w:r>
      <w:r w:rsidR="00C30AD9" w:rsidRPr="4BC7B67A">
        <w:rPr>
          <w:rFonts w:eastAsia="Arial Unicode MS"/>
          <w:noProof/>
          <w:color w:val="000000" w:themeColor="text1"/>
          <w:lang w:eastAsia="en-GB"/>
        </w:rPr>
        <w:t>sub-</w:t>
      </w:r>
      <w:r w:rsidR="438CB964" w:rsidRPr="4BC7B67A">
        <w:rPr>
          <w:rFonts w:eastAsia="Arial Unicode MS"/>
          <w:noProof/>
          <w:color w:val="000000"/>
          <w:bdr w:val="nil"/>
          <w:lang w:eastAsia="en-GB"/>
        </w:rPr>
        <w:t>committee</w:t>
      </w:r>
      <w:r w:rsidR="54159557" w:rsidRPr="4BC7B67A">
        <w:rPr>
          <w:rFonts w:eastAsia="Arial Unicode MS"/>
          <w:noProof/>
          <w:color w:val="000000"/>
          <w:bdr w:val="nil"/>
          <w:lang w:eastAsia="en-GB"/>
        </w:rPr>
        <w:t xml:space="preserve"> focus</w:t>
      </w:r>
      <w:r w:rsidR="30FFE291" w:rsidRPr="4BC7B67A">
        <w:rPr>
          <w:rFonts w:eastAsia="Arial Unicode MS"/>
          <w:noProof/>
          <w:color w:val="000000"/>
          <w:bdr w:val="nil"/>
          <w:lang w:eastAsia="en-GB"/>
        </w:rPr>
        <w:t>ing</w:t>
      </w:r>
      <w:r w:rsidR="22197A85" w:rsidRPr="4BC7B67A">
        <w:rPr>
          <w:rFonts w:eastAsia="Arial Unicode MS"/>
          <w:noProof/>
          <w:color w:val="000000"/>
          <w:bdr w:val="nil"/>
          <w:lang w:eastAsia="en-GB"/>
        </w:rPr>
        <w:t xml:space="preserve">, amongst other things, </w:t>
      </w:r>
      <w:r w:rsidR="54159557" w:rsidRPr="4BC7B67A">
        <w:rPr>
          <w:rFonts w:eastAsia="Arial Unicode MS"/>
          <w:noProof/>
          <w:color w:val="000000"/>
          <w:bdr w:val="nil"/>
          <w:lang w:eastAsia="en-GB"/>
        </w:rPr>
        <w:t>on</w:t>
      </w:r>
      <w:r w:rsidRPr="4BC7B67A">
        <w:rPr>
          <w:rFonts w:eastAsia="Arial Unicode MS"/>
          <w:noProof/>
          <w:color w:val="000000"/>
          <w:bdr w:val="nil"/>
          <w:lang w:eastAsia="en-GB"/>
        </w:rPr>
        <w:t xml:space="preserve"> </w:t>
      </w:r>
      <w:r w:rsidR="03E82D94" w:rsidRPr="4BC7B67A">
        <w:rPr>
          <w:rFonts w:eastAsia="Arial Unicode MS"/>
          <w:noProof/>
          <w:color w:val="000000"/>
          <w:bdr w:val="nil"/>
          <w:lang w:eastAsia="en-GB"/>
        </w:rPr>
        <w:t>supervisory</w:t>
      </w:r>
      <w:r w:rsidR="03E82D94">
        <w:rPr>
          <w:rFonts w:eastAsia="Arial Unicode MS"/>
          <w:noProof/>
          <w:color w:val="000000"/>
          <w:bdr w:val="nil"/>
          <w:lang w:eastAsia="en-GB"/>
        </w:rPr>
        <w:t xml:space="preserve"> </w:t>
      </w:r>
      <w:r w:rsidR="3D3DE059">
        <w:rPr>
          <w:rFonts w:eastAsia="Arial Unicode MS"/>
          <w:noProof/>
          <w:color w:val="000000"/>
          <w:bdr w:val="nil"/>
          <w:lang w:eastAsia="en-GB"/>
        </w:rPr>
        <w:t>issues</w:t>
      </w:r>
      <w:r w:rsidR="00CA291A">
        <w:rPr>
          <w:rFonts w:eastAsia="Arial Unicode MS"/>
          <w:noProof/>
          <w:color w:val="000000"/>
          <w:bdr w:val="nil"/>
          <w:lang w:eastAsia="en-GB"/>
        </w:rPr>
        <w:t>, providing guidance to market participants, developing technical standards,</w:t>
      </w:r>
      <w:r w:rsidR="3D3DE059">
        <w:rPr>
          <w:rFonts w:eastAsia="Arial Unicode MS"/>
          <w:noProof/>
          <w:color w:val="000000"/>
          <w:bdr w:val="nil"/>
          <w:lang w:eastAsia="en-GB"/>
        </w:rPr>
        <w:t xml:space="preserve"> and</w:t>
      </w:r>
      <w:r w:rsidR="70D4B468">
        <w:rPr>
          <w:rFonts w:eastAsia="Arial Unicode MS"/>
          <w:noProof/>
          <w:color w:val="000000"/>
          <w:bdr w:val="nil"/>
          <w:lang w:eastAsia="en-GB"/>
        </w:rPr>
        <w:t xml:space="preserve"> </w:t>
      </w:r>
      <w:r w:rsidRPr="7DD8F0E1">
        <w:rPr>
          <w:rFonts w:eastAsia="Arial Unicode MS"/>
          <w:noProof/>
          <w:color w:val="000000"/>
          <w:bdr w:val="nil"/>
          <w:lang w:eastAsia="en-GB"/>
        </w:rPr>
        <w:t>ensuring a consistent implementation of the regulatory framework in the U</w:t>
      </w:r>
      <w:r w:rsidR="278E19DE">
        <w:rPr>
          <w:rFonts w:eastAsia="Arial Unicode MS"/>
          <w:noProof/>
          <w:color w:val="000000"/>
          <w:bdr w:val="nil"/>
          <w:lang w:eastAsia="en-GB"/>
        </w:rPr>
        <w:t>nion</w:t>
      </w:r>
      <w:r w:rsidRPr="00416D2E">
        <w:rPr>
          <w:rFonts w:eastAsia="Arial Unicode MS"/>
          <w:noProof/>
          <w:color w:val="000000"/>
          <w:bdr w:val="nil"/>
          <w:lang w:eastAsia="en-GB"/>
        </w:rPr>
        <w:t>. A financial fiche is provided as an annex hereto.</w:t>
      </w:r>
    </w:p>
    <w:p w:rsidR="00D761DA" w:rsidRPr="00550536" w:rsidRDefault="00D761DA">
      <w:pPr>
        <w:pStyle w:val="ManualHeading1"/>
        <w:rPr>
          <w:noProof/>
        </w:rPr>
      </w:pPr>
      <w:bookmarkStart w:id="21" w:name="_Toc198557749"/>
      <w:r w:rsidRPr="00416D2E">
        <w:rPr>
          <w:noProof/>
        </w:rPr>
        <w:t>5.</w:t>
      </w:r>
      <w:r w:rsidRPr="00416D2E">
        <w:rPr>
          <w:noProof/>
        </w:rPr>
        <w:tab/>
        <w:t>OTHER ELEMENTS</w:t>
      </w:r>
      <w:bookmarkEnd w:id="21"/>
    </w:p>
    <w:p w:rsidR="00D761DA" w:rsidRPr="00186012" w:rsidRDefault="00D761DA" w:rsidP="00C16EEC">
      <w:pPr>
        <w:pStyle w:val="ManualHeading2"/>
        <w:rPr>
          <w:noProof/>
        </w:rPr>
      </w:pPr>
      <w:bookmarkStart w:id="22" w:name="_Toc198557750"/>
      <w:r>
        <w:rPr>
          <w:rFonts w:eastAsia="Arial Unicode MS"/>
          <w:noProof/>
          <w:u w:color="000000"/>
          <w:bdr w:val="nil"/>
          <w:lang w:val="en-US" w:eastAsia="en-GB"/>
        </w:rPr>
        <w:t>•</w:t>
      </w:r>
      <w:r>
        <w:rPr>
          <w:rFonts w:eastAsia="Arial Unicode MS"/>
          <w:noProof/>
          <w:u w:color="000000"/>
          <w:bdr w:val="nil"/>
          <w:lang w:val="en-US" w:eastAsia="en-GB"/>
        </w:rPr>
        <w:tab/>
        <w:t xml:space="preserve">Implementation plans and </w:t>
      </w:r>
      <w:r w:rsidRPr="007718A8">
        <w:rPr>
          <w:rFonts w:eastAsia="Arial Unicode MS"/>
          <w:noProof/>
          <w:u w:color="000000"/>
          <w:bdr w:val="nil"/>
          <w:lang w:val="en-US" w:eastAsia="en-GB"/>
        </w:rPr>
        <w:t>monitoring, evaluation and reporting arrangements</w:t>
      </w:r>
      <w:bookmarkEnd w:id="22"/>
    </w:p>
    <w:p w:rsidR="00C16EEC" w:rsidRDefault="00C16EEC">
      <w:pPr>
        <w:pBdr>
          <w:top w:val="nil"/>
          <w:left w:val="nil"/>
          <w:bottom w:val="nil"/>
          <w:right w:val="nil"/>
          <w:between w:val="nil"/>
          <w:bar w:val="nil"/>
        </w:pBdr>
        <w:spacing w:before="0" w:after="240"/>
        <w:rPr>
          <w:rFonts w:eastAsia="Arial Unicode MS"/>
          <w:noProof/>
        </w:rPr>
      </w:pPr>
      <w:r w:rsidRPr="00C16EEC">
        <w:rPr>
          <w:rFonts w:eastAsia="Arial Unicode MS"/>
          <w:noProof/>
        </w:rPr>
        <w:t>Since the instrument proposed is a Regulation that is based to a significant extent on existing U</w:t>
      </w:r>
      <w:r w:rsidR="000735E8">
        <w:rPr>
          <w:rFonts w:eastAsia="Arial Unicode MS"/>
          <w:noProof/>
        </w:rPr>
        <w:t>nion</w:t>
      </w:r>
      <w:r w:rsidRPr="00C16EEC">
        <w:rPr>
          <w:rFonts w:eastAsia="Arial Unicode MS"/>
          <w:noProof/>
        </w:rPr>
        <w:t xml:space="preserve"> law, there is no need to prepare an implementation plan. </w:t>
      </w:r>
      <w:r w:rsidR="00035A07">
        <w:rPr>
          <w:rFonts w:eastAsia="Arial Unicode MS"/>
          <w:noProof/>
        </w:rPr>
        <w:t>The proposal is accompanied by a</w:t>
      </w:r>
      <w:r w:rsidR="005819EE">
        <w:rPr>
          <w:rFonts w:eastAsia="Arial Unicode MS"/>
          <w:noProof/>
        </w:rPr>
        <w:t xml:space="preserve"> complete</w:t>
      </w:r>
      <w:r w:rsidR="00035A07">
        <w:rPr>
          <w:rFonts w:eastAsia="Arial Unicode MS"/>
          <w:noProof/>
        </w:rPr>
        <w:t xml:space="preserve"> </w:t>
      </w:r>
      <w:r w:rsidR="005819EE">
        <w:rPr>
          <w:rFonts w:eastAsia="Arial Unicode MS"/>
          <w:noProof/>
        </w:rPr>
        <w:t xml:space="preserve">evaluation, as part of the </w:t>
      </w:r>
      <w:r w:rsidR="00035A07">
        <w:rPr>
          <w:rFonts w:eastAsia="Arial Unicode MS"/>
          <w:noProof/>
        </w:rPr>
        <w:t>impact assessment</w:t>
      </w:r>
      <w:r w:rsidR="005819EE">
        <w:rPr>
          <w:rFonts w:eastAsia="Arial Unicode MS"/>
          <w:noProof/>
        </w:rPr>
        <w:t>,</w:t>
      </w:r>
      <w:r w:rsidR="00035A07">
        <w:rPr>
          <w:rFonts w:eastAsia="Arial Unicode MS"/>
          <w:noProof/>
        </w:rPr>
        <w:t xml:space="preserve"> which </w:t>
      </w:r>
      <w:r w:rsidRPr="00C16EEC">
        <w:rPr>
          <w:rFonts w:eastAsia="Arial Unicode MS"/>
          <w:noProof/>
        </w:rPr>
        <w:t>assess</w:t>
      </w:r>
      <w:r w:rsidR="005819EE">
        <w:rPr>
          <w:rFonts w:eastAsia="Arial Unicode MS"/>
          <w:noProof/>
        </w:rPr>
        <w:t>es</w:t>
      </w:r>
      <w:r w:rsidRPr="00C16EEC">
        <w:rPr>
          <w:rFonts w:eastAsia="Arial Unicode MS"/>
          <w:noProof/>
        </w:rPr>
        <w:t xml:space="preserve">, among other things, how effective and efficient it has </w:t>
      </w:r>
      <w:r w:rsidRPr="0018510D">
        <w:rPr>
          <w:rFonts w:eastAsia="Arial Unicode MS"/>
          <w:noProof/>
        </w:rPr>
        <w:t xml:space="preserve">been in terms of achieving its objectives. </w:t>
      </w:r>
      <w:r w:rsidR="00437F03" w:rsidRPr="0018510D">
        <w:rPr>
          <w:rFonts w:eastAsia="Arial Unicode MS"/>
          <w:noProof/>
        </w:rPr>
        <w:t xml:space="preserve">The proposal </w:t>
      </w:r>
      <w:r w:rsidR="00D67C80">
        <w:rPr>
          <w:rFonts w:eastAsia="Arial Unicode MS"/>
          <w:noProof/>
        </w:rPr>
        <w:t>provides for a review report</w:t>
      </w:r>
      <w:r w:rsidR="00437F03" w:rsidRPr="0018510D">
        <w:rPr>
          <w:rFonts w:eastAsia="Arial Unicode MS"/>
          <w:noProof/>
        </w:rPr>
        <w:t xml:space="preserve"> in Article 46</w:t>
      </w:r>
      <w:r w:rsidR="00D42822">
        <w:rPr>
          <w:rFonts w:eastAsia="Arial Unicode MS"/>
          <w:noProof/>
        </w:rPr>
        <w:t xml:space="preserve"> </w:t>
      </w:r>
      <w:r w:rsidR="00D42822">
        <w:rPr>
          <w:rFonts w:eastAsia="Arial Unicode MS"/>
          <w:noProof/>
          <w:szCs w:val="24"/>
        </w:rPr>
        <w:t xml:space="preserve">of </w:t>
      </w:r>
      <w:r w:rsidR="00D42822" w:rsidRPr="00A71557">
        <w:rPr>
          <w:rFonts w:eastAsia="Arial Unicode MS"/>
          <w:noProof/>
          <w:szCs w:val="24"/>
        </w:rPr>
        <w:t>Regulation (EU) 2017/2402</w:t>
      </w:r>
      <w:r w:rsidR="00D42822">
        <w:rPr>
          <w:rFonts w:eastAsia="Arial Unicode MS"/>
          <w:noProof/>
          <w:szCs w:val="24"/>
        </w:rPr>
        <w:t>.</w:t>
      </w:r>
      <w:r w:rsidR="004A48EE" w:rsidRPr="0018510D">
        <w:rPr>
          <w:rFonts w:eastAsia="Arial Unicode MS"/>
          <w:noProof/>
        </w:rPr>
        <w:t xml:space="preserve"> </w:t>
      </w:r>
      <w:r w:rsidRPr="0018510D">
        <w:rPr>
          <w:rFonts w:eastAsia="Arial Unicode MS"/>
          <w:noProof/>
        </w:rPr>
        <w:t xml:space="preserve">The </w:t>
      </w:r>
      <w:r w:rsidR="00D67C80">
        <w:rPr>
          <w:rFonts w:eastAsia="Arial Unicode MS"/>
          <w:noProof/>
        </w:rPr>
        <w:t>review</w:t>
      </w:r>
      <w:r w:rsidR="00D67C80" w:rsidRPr="0018510D">
        <w:rPr>
          <w:rFonts w:eastAsia="Arial Unicode MS"/>
          <w:noProof/>
        </w:rPr>
        <w:t xml:space="preserve"> </w:t>
      </w:r>
      <w:r w:rsidRPr="0018510D">
        <w:rPr>
          <w:rFonts w:eastAsia="Arial Unicode MS"/>
          <w:noProof/>
        </w:rPr>
        <w:t>will be accompanied by a legislative proposal, if appropriate. In that context, the reviewing and reporting requirements would be aligned, if needed.</w:t>
      </w:r>
    </w:p>
    <w:p w:rsidR="00CD1C8A" w:rsidRPr="00CD1C8A" w:rsidRDefault="00CD1C8A" w:rsidP="00CD1C8A">
      <w:pPr>
        <w:pBdr>
          <w:top w:val="nil"/>
          <w:left w:val="nil"/>
          <w:bottom w:val="nil"/>
          <w:right w:val="nil"/>
          <w:between w:val="nil"/>
          <w:bar w:val="nil"/>
        </w:pBdr>
        <w:spacing w:before="0" w:after="240"/>
        <w:rPr>
          <w:rFonts w:eastAsia="Arial Unicode MS"/>
          <w:iCs/>
          <w:noProof/>
          <w:color w:val="000000"/>
          <w:szCs w:val="24"/>
          <w:u w:color="000000"/>
          <w:bdr w:val="nil"/>
          <w:lang w:val="en-US" w:eastAsia="en-GB"/>
        </w:rPr>
      </w:pPr>
      <w:r w:rsidRPr="00CD1C8A">
        <w:rPr>
          <w:rFonts w:eastAsia="Arial Unicode MS"/>
          <w:iCs/>
          <w:noProof/>
          <w:color w:val="000000"/>
          <w:szCs w:val="24"/>
          <w:u w:color="000000"/>
          <w:bdr w:val="nil"/>
          <w:lang w:val="en-IE" w:eastAsia="en-GB"/>
        </w:rPr>
        <w:t xml:space="preserve">The Commission shall carry out an evaluation of this package of proposed amendments, </w:t>
      </w:r>
      <w:r w:rsidR="002B1B0E">
        <w:rPr>
          <w:rFonts w:eastAsia="Arial Unicode MS"/>
          <w:iCs/>
          <w:noProof/>
          <w:color w:val="000000"/>
          <w:szCs w:val="24"/>
          <w:u w:color="000000"/>
          <w:bdr w:val="nil"/>
          <w:lang w:val="en-IE" w:eastAsia="en-GB"/>
        </w:rPr>
        <w:t>five</w:t>
      </w:r>
      <w:r w:rsidRPr="00CD1C8A">
        <w:rPr>
          <w:rFonts w:eastAsia="Arial Unicode MS"/>
          <w:iCs/>
          <w:noProof/>
          <w:color w:val="000000"/>
          <w:szCs w:val="24"/>
          <w:u w:color="000000"/>
          <w:bdr w:val="nil"/>
          <w:lang w:val="en-IE" w:eastAsia="en-GB"/>
        </w:rPr>
        <w:t xml:space="preserve"> years after its </w:t>
      </w:r>
      <w:r w:rsidR="00D42822">
        <w:rPr>
          <w:rFonts w:eastAsia="Arial Unicode MS"/>
          <w:iCs/>
          <w:noProof/>
          <w:color w:val="000000"/>
          <w:szCs w:val="24"/>
          <w:u w:color="000000"/>
          <w:bdr w:val="nil"/>
          <w:lang w:val="en-IE" w:eastAsia="en-GB"/>
        </w:rPr>
        <w:t>date of</w:t>
      </w:r>
      <w:r w:rsidRPr="00CD1C8A">
        <w:rPr>
          <w:rFonts w:eastAsia="Arial Unicode MS"/>
          <w:iCs/>
          <w:noProof/>
          <w:color w:val="000000"/>
          <w:szCs w:val="24"/>
          <w:u w:color="000000"/>
          <w:bdr w:val="nil"/>
          <w:lang w:val="en-IE" w:eastAsia="en-GB"/>
        </w:rPr>
        <w:t xml:space="preserve"> application and present a report on the main findings to the European Parliament, the Council and the European Economic and Social Committee</w:t>
      </w:r>
      <w:r w:rsidR="00467D33">
        <w:rPr>
          <w:rFonts w:eastAsia="Arial Unicode MS"/>
          <w:noProof/>
          <w:color w:val="000000"/>
          <w:szCs w:val="24"/>
          <w:u w:color="000000"/>
          <w:bdr w:val="nil"/>
          <w:lang w:val="en-IE" w:eastAsia="en-GB"/>
        </w:rPr>
        <w:t xml:space="preserve">. </w:t>
      </w:r>
    </w:p>
    <w:p w:rsidR="00D761DA" w:rsidRDefault="00D761DA">
      <w:pPr>
        <w:pStyle w:val="ManualHeading2"/>
        <w:rPr>
          <w:rFonts w:eastAsia="Arial Unicode MS"/>
          <w:noProof/>
          <w:u w:color="000000"/>
          <w:bdr w:val="nil"/>
          <w:lang w:val="en-US" w:eastAsia="en-GB"/>
        </w:rPr>
      </w:pPr>
      <w:bookmarkStart w:id="23" w:name="_Toc198557751"/>
      <w:r w:rsidRPr="007718A8">
        <w:rPr>
          <w:rFonts w:eastAsia="Arial Unicode MS"/>
          <w:noProof/>
          <w:u w:color="000000"/>
          <w:bdr w:val="nil"/>
          <w:lang w:val="en-US" w:eastAsia="en-GB"/>
        </w:rPr>
        <w:t>•</w:t>
      </w:r>
      <w:r w:rsidRPr="007718A8">
        <w:rPr>
          <w:rFonts w:eastAsia="Arial Unicode MS"/>
          <w:noProof/>
          <w:u w:color="000000"/>
          <w:bdr w:val="nil"/>
          <w:lang w:val="en-US" w:eastAsia="en-GB"/>
        </w:rPr>
        <w:tab/>
        <w:t xml:space="preserve">Detailed explanation of </w:t>
      </w:r>
      <w:r>
        <w:rPr>
          <w:rFonts w:eastAsia="Arial Unicode MS"/>
          <w:noProof/>
          <w:u w:color="000000"/>
          <w:bdr w:val="nil"/>
          <w:lang w:val="en-US" w:eastAsia="en-GB"/>
        </w:rPr>
        <w:t xml:space="preserve">the </w:t>
      </w:r>
      <w:r w:rsidRPr="007718A8">
        <w:rPr>
          <w:rFonts w:eastAsia="Arial Unicode MS"/>
          <w:noProof/>
          <w:u w:color="000000"/>
          <w:bdr w:val="nil"/>
          <w:lang w:val="en-US" w:eastAsia="en-GB"/>
        </w:rPr>
        <w:t>specific provisions of the proposal</w:t>
      </w:r>
      <w:bookmarkEnd w:id="23"/>
    </w:p>
    <w:p w:rsidR="008412F2" w:rsidRDefault="008412F2" w:rsidP="008412F2">
      <w:pPr>
        <w:pStyle w:val="paragraph"/>
        <w:spacing w:before="0" w:beforeAutospacing="0" w:after="120" w:afterAutospacing="0"/>
        <w:jc w:val="both"/>
        <w:textAlignment w:val="baseline"/>
        <w:rPr>
          <w:noProof/>
        </w:rPr>
      </w:pPr>
      <w:r>
        <w:rPr>
          <w:rStyle w:val="normaltextrun"/>
          <w:b/>
          <w:bCs/>
          <w:noProof/>
        </w:rPr>
        <w:t>Interaction and consistency between elements of the package </w:t>
      </w:r>
      <w:r>
        <w:rPr>
          <w:rStyle w:val="eop"/>
          <w:noProof/>
        </w:rPr>
        <w:t> </w:t>
      </w:r>
    </w:p>
    <w:p w:rsidR="008412F2" w:rsidRPr="00806DF5" w:rsidRDefault="008412F2" w:rsidP="008412F2">
      <w:pPr>
        <w:pStyle w:val="paragraph"/>
        <w:shd w:val="clear" w:color="auto" w:fill="FFFFFF"/>
        <w:spacing w:before="0" w:beforeAutospacing="0" w:after="120" w:afterAutospacing="0"/>
        <w:jc w:val="both"/>
        <w:textAlignment w:val="baseline"/>
        <w:rPr>
          <w:noProof/>
        </w:rPr>
      </w:pPr>
      <w:r>
        <w:rPr>
          <w:rStyle w:val="normaltextrun"/>
          <w:noProof/>
        </w:rPr>
        <w:t>This proposal for a Regulation makes part of a wider securitisation review which encompasses changes to two Regulations (in addition to the Securitisation Regulation,</w:t>
      </w:r>
      <w:r w:rsidRPr="008412F2">
        <w:rPr>
          <w:rStyle w:val="normaltextrun"/>
          <w:noProof/>
        </w:rPr>
        <w:t xml:space="preserve"> </w:t>
      </w:r>
      <w:r>
        <w:rPr>
          <w:rStyle w:val="normaltextrun"/>
          <w:noProof/>
        </w:rPr>
        <w:t xml:space="preserve">the CRR) and two Delegated Acts (the LCR Delegated Act and the Solvency II Delegated Act). The proposed changes should be viewed as a package of measures </w:t>
      </w:r>
      <w:r w:rsidRPr="00E743D5">
        <w:rPr>
          <w:rStyle w:val="normaltextrun"/>
          <w:noProof/>
        </w:rPr>
        <w:t>that tackles in a</w:t>
      </w:r>
      <w:r>
        <w:rPr>
          <w:rStyle w:val="normaltextrun"/>
          <w:noProof/>
        </w:rPr>
        <w:t xml:space="preserve"> </w:t>
      </w:r>
      <w:r w:rsidRPr="00806DF5">
        <w:rPr>
          <w:rStyle w:val="normaltextrun"/>
          <w:noProof/>
        </w:rPr>
        <w:t>comprehensive manner supply and demand issues in the securitisation market. </w:t>
      </w:r>
      <w:r w:rsidRPr="00806DF5">
        <w:rPr>
          <w:rStyle w:val="eop"/>
          <w:noProof/>
        </w:rPr>
        <w:t> </w:t>
      </w:r>
    </w:p>
    <w:p w:rsidR="00C46B7C" w:rsidRPr="00854F2E" w:rsidRDefault="56AAAD3B" w:rsidP="0347A3D5">
      <w:pPr>
        <w:pBdr>
          <w:top w:val="nil"/>
          <w:left w:val="nil"/>
          <w:bottom w:val="nil"/>
          <w:right w:val="nil"/>
          <w:between w:val="nil"/>
          <w:bar w:val="nil"/>
        </w:pBdr>
        <w:spacing w:before="0" w:after="240"/>
        <w:rPr>
          <w:b/>
          <w:bCs/>
          <w:noProof/>
          <w:szCs w:val="24"/>
        </w:rPr>
      </w:pPr>
      <w:r w:rsidRPr="00854F2E">
        <w:rPr>
          <w:b/>
          <w:bCs/>
          <w:noProof/>
          <w:szCs w:val="24"/>
        </w:rPr>
        <w:t xml:space="preserve">Subject-matter and scope (Article 1) </w:t>
      </w:r>
    </w:p>
    <w:p w:rsidR="002665C8" w:rsidRPr="00854F2E" w:rsidRDefault="00E50F88" w:rsidP="45BE2056">
      <w:pPr>
        <w:spacing w:before="0" w:after="240"/>
        <w:rPr>
          <w:noProof/>
        </w:rPr>
      </w:pPr>
      <w:r w:rsidRPr="636501F9">
        <w:rPr>
          <w:noProof/>
        </w:rPr>
        <w:t xml:space="preserve">The proposal </w:t>
      </w:r>
      <w:r w:rsidR="00334358" w:rsidRPr="636501F9">
        <w:rPr>
          <w:noProof/>
        </w:rPr>
        <w:t>clarifies</w:t>
      </w:r>
      <w:r w:rsidR="002C3E5D" w:rsidRPr="636501F9">
        <w:rPr>
          <w:noProof/>
        </w:rPr>
        <w:t xml:space="preserve"> that</w:t>
      </w:r>
      <w:r w:rsidR="005617A0" w:rsidRPr="636501F9">
        <w:rPr>
          <w:noProof/>
        </w:rPr>
        <w:t xml:space="preserve"> the s</w:t>
      </w:r>
      <w:r w:rsidR="002C3E5D" w:rsidRPr="636501F9">
        <w:rPr>
          <w:noProof/>
        </w:rPr>
        <w:t>ervic</w:t>
      </w:r>
      <w:r w:rsidR="005617A0" w:rsidRPr="636501F9">
        <w:rPr>
          <w:noProof/>
        </w:rPr>
        <w:t>er</w:t>
      </w:r>
      <w:r w:rsidR="00450811" w:rsidRPr="636501F9">
        <w:rPr>
          <w:noProof/>
        </w:rPr>
        <w:t xml:space="preserve"> is</w:t>
      </w:r>
      <w:r w:rsidR="005617A0" w:rsidRPr="636501F9">
        <w:rPr>
          <w:noProof/>
        </w:rPr>
        <w:t xml:space="preserve"> an entity that manages a pool of purchased receivables or the underlying credit exposures on a day-to-day basis falls u</w:t>
      </w:r>
      <w:r>
        <w:rPr>
          <w:noProof/>
        </w:rPr>
        <w:t xml:space="preserve">nder </w:t>
      </w:r>
      <w:r w:rsidR="005617A0" w:rsidRPr="636501F9">
        <w:rPr>
          <w:noProof/>
        </w:rPr>
        <w:t xml:space="preserve">the scope of </w:t>
      </w:r>
      <w:r>
        <w:rPr>
          <w:rFonts w:eastAsia="Arial Unicode MS"/>
          <w:noProof/>
        </w:rPr>
        <w:t xml:space="preserve">Regulation (EU) 2017/2402 </w:t>
      </w:r>
      <w:r>
        <w:rPr>
          <w:noProof/>
        </w:rPr>
        <w:t xml:space="preserve">(the ‘Securitisation </w:t>
      </w:r>
      <w:r w:rsidR="005617A0" w:rsidRPr="636501F9">
        <w:rPr>
          <w:noProof/>
        </w:rPr>
        <w:t>Regulation</w:t>
      </w:r>
      <w:r>
        <w:rPr>
          <w:noProof/>
        </w:rPr>
        <w:t>’)</w:t>
      </w:r>
      <w:r w:rsidR="005617A0" w:rsidRPr="636501F9">
        <w:rPr>
          <w:noProof/>
        </w:rPr>
        <w:t xml:space="preserve">. The amendment is </w:t>
      </w:r>
      <w:r w:rsidR="009B2AD7" w:rsidRPr="636501F9">
        <w:rPr>
          <w:noProof/>
        </w:rPr>
        <w:t xml:space="preserve">a clarification and it is </w:t>
      </w:r>
      <w:r w:rsidR="005617A0" w:rsidRPr="636501F9">
        <w:rPr>
          <w:noProof/>
        </w:rPr>
        <w:t>not meant to enlarge the scope since a servicer is alr</w:t>
      </w:r>
      <w:r w:rsidR="009B2AD7" w:rsidRPr="636501F9">
        <w:rPr>
          <w:noProof/>
        </w:rPr>
        <w:t>e</w:t>
      </w:r>
      <w:r w:rsidR="005617A0" w:rsidRPr="636501F9">
        <w:rPr>
          <w:noProof/>
        </w:rPr>
        <w:t xml:space="preserve">ady subject to the </w:t>
      </w:r>
      <w:r>
        <w:rPr>
          <w:noProof/>
        </w:rPr>
        <w:t xml:space="preserve">Securitisation </w:t>
      </w:r>
      <w:r w:rsidR="005617A0" w:rsidRPr="636501F9">
        <w:rPr>
          <w:noProof/>
        </w:rPr>
        <w:t>Regulation</w:t>
      </w:r>
      <w:r w:rsidR="009B2AD7" w:rsidRPr="636501F9">
        <w:rPr>
          <w:noProof/>
        </w:rPr>
        <w:t>.</w:t>
      </w:r>
    </w:p>
    <w:p w:rsidR="00C46B7C" w:rsidRPr="00854F2E" w:rsidRDefault="00C46B7C" w:rsidP="00C46B7C">
      <w:pPr>
        <w:spacing w:before="0" w:after="240"/>
        <w:rPr>
          <w:b/>
          <w:bCs/>
          <w:noProof/>
          <w:szCs w:val="24"/>
        </w:rPr>
      </w:pPr>
      <w:r w:rsidRPr="00854F2E">
        <w:rPr>
          <w:b/>
          <w:bCs/>
          <w:noProof/>
          <w:szCs w:val="24"/>
        </w:rPr>
        <w:t xml:space="preserve">Definitions (Article 2) </w:t>
      </w:r>
    </w:p>
    <w:p w:rsidR="008D5CF3" w:rsidRPr="00854F2E" w:rsidRDefault="00B63AD3" w:rsidP="00B317CD">
      <w:pPr>
        <w:spacing w:before="0"/>
        <w:rPr>
          <w:noProof/>
          <w:szCs w:val="24"/>
        </w:rPr>
      </w:pPr>
      <w:r w:rsidRPr="00854F2E">
        <w:rPr>
          <w:noProof/>
          <w:szCs w:val="24"/>
        </w:rPr>
        <w:t>P</w:t>
      </w:r>
      <w:r w:rsidR="00C46B7C" w:rsidRPr="00854F2E">
        <w:rPr>
          <w:noProof/>
          <w:szCs w:val="24"/>
        </w:rPr>
        <w:t xml:space="preserve">ublic and private securitisations are </w:t>
      </w:r>
      <w:r w:rsidRPr="00854F2E">
        <w:rPr>
          <w:noProof/>
          <w:szCs w:val="24"/>
        </w:rPr>
        <w:t>defined</w:t>
      </w:r>
      <w:r w:rsidR="00C46B7C" w:rsidRPr="00854F2E">
        <w:rPr>
          <w:noProof/>
          <w:szCs w:val="24"/>
        </w:rPr>
        <w:t xml:space="preserve"> </w:t>
      </w:r>
      <w:r w:rsidRPr="00854F2E">
        <w:rPr>
          <w:noProof/>
          <w:szCs w:val="24"/>
        </w:rPr>
        <w:t>Article 2</w:t>
      </w:r>
      <w:r w:rsidR="00A60E12" w:rsidRPr="00854F2E">
        <w:rPr>
          <w:noProof/>
          <w:szCs w:val="24"/>
        </w:rPr>
        <w:t>, points (32) and (33)</w:t>
      </w:r>
      <w:r w:rsidR="00C46B7C" w:rsidRPr="00854F2E">
        <w:rPr>
          <w:noProof/>
          <w:szCs w:val="24"/>
        </w:rPr>
        <w:t>. Specifically, a “public securitisation” is established to be one</w:t>
      </w:r>
      <w:r w:rsidR="008D5CF3" w:rsidRPr="00854F2E">
        <w:rPr>
          <w:noProof/>
          <w:szCs w:val="24"/>
        </w:rPr>
        <w:t xml:space="preserve"> </w:t>
      </w:r>
      <w:r w:rsidR="00754D37" w:rsidRPr="00854F2E">
        <w:rPr>
          <w:noProof/>
          <w:szCs w:val="24"/>
        </w:rPr>
        <w:t>if it</w:t>
      </w:r>
      <w:r w:rsidR="008D5CF3" w:rsidRPr="00854F2E">
        <w:rPr>
          <w:noProof/>
          <w:szCs w:val="24"/>
        </w:rPr>
        <w:t xml:space="preserve"> meets any of the following conditions:</w:t>
      </w:r>
      <w:r w:rsidR="00C46B7C" w:rsidRPr="00854F2E">
        <w:rPr>
          <w:noProof/>
          <w:szCs w:val="24"/>
        </w:rPr>
        <w:t xml:space="preserve"> </w:t>
      </w:r>
    </w:p>
    <w:p w:rsidR="008D5CF3" w:rsidRPr="00854F2E" w:rsidRDefault="00C46B7C" w:rsidP="00B317CD">
      <w:pPr>
        <w:spacing w:before="0"/>
        <w:rPr>
          <w:noProof/>
          <w:szCs w:val="24"/>
        </w:rPr>
      </w:pPr>
      <w:r w:rsidRPr="00854F2E">
        <w:rPr>
          <w:noProof/>
          <w:szCs w:val="24"/>
        </w:rPr>
        <w:t xml:space="preserve">(i) a prospectus has to be drawn up; </w:t>
      </w:r>
    </w:p>
    <w:p w:rsidR="008D5CF3" w:rsidRPr="00854F2E" w:rsidRDefault="00C46B7C" w:rsidP="00B317CD">
      <w:pPr>
        <w:spacing w:before="0"/>
        <w:rPr>
          <w:noProof/>
          <w:szCs w:val="24"/>
        </w:rPr>
      </w:pPr>
      <w:r w:rsidRPr="00854F2E">
        <w:rPr>
          <w:noProof/>
          <w:szCs w:val="24"/>
        </w:rPr>
        <w:t xml:space="preserve">(ii) notes constituting securitisation positions are admitted to trading in specific trading venues, ; </w:t>
      </w:r>
    </w:p>
    <w:p w:rsidR="008D5CF3" w:rsidRPr="00854F2E" w:rsidRDefault="00C46B7C" w:rsidP="00B317CD">
      <w:pPr>
        <w:spacing w:before="0"/>
        <w:rPr>
          <w:noProof/>
          <w:szCs w:val="24"/>
        </w:rPr>
      </w:pPr>
      <w:r w:rsidRPr="00854F2E">
        <w:rPr>
          <w:noProof/>
          <w:szCs w:val="24"/>
        </w:rPr>
        <w:t>(iii) the securitisation is marketed generally to investors and the specific terms are not negotiable among the parties</w:t>
      </w:r>
      <w:r w:rsidR="00F600F1" w:rsidRPr="00854F2E">
        <w:rPr>
          <w:noProof/>
          <w:szCs w:val="24"/>
        </w:rPr>
        <w:t xml:space="preserve">, meaning that the </w:t>
      </w:r>
      <w:r w:rsidR="001B68BD" w:rsidRPr="00854F2E">
        <w:rPr>
          <w:noProof/>
          <w:szCs w:val="24"/>
        </w:rPr>
        <w:t>transactions is offered to investors on take-it-or-leave-it basis</w:t>
      </w:r>
      <w:r w:rsidRPr="00854F2E">
        <w:rPr>
          <w:noProof/>
          <w:szCs w:val="24"/>
        </w:rPr>
        <w:t xml:space="preserve">. </w:t>
      </w:r>
    </w:p>
    <w:p w:rsidR="00C46B7C" w:rsidRPr="00854F2E" w:rsidRDefault="00C46B7C" w:rsidP="00B317CD">
      <w:pPr>
        <w:spacing w:before="0"/>
        <w:rPr>
          <w:noProof/>
          <w:szCs w:val="24"/>
        </w:rPr>
      </w:pPr>
      <w:r w:rsidRPr="00854F2E">
        <w:rPr>
          <w:noProof/>
          <w:szCs w:val="24"/>
        </w:rPr>
        <w:t>A private securitisation is one that does not meet any of the aforementioned criteria</w:t>
      </w:r>
      <w:r w:rsidR="00A02413" w:rsidRPr="00854F2E">
        <w:rPr>
          <w:noProof/>
          <w:szCs w:val="24"/>
        </w:rPr>
        <w:t xml:space="preserve"> – it does not have a prospectus, it </w:t>
      </w:r>
      <w:r w:rsidR="00CF479C" w:rsidRPr="00854F2E">
        <w:rPr>
          <w:noProof/>
          <w:szCs w:val="24"/>
        </w:rPr>
        <w:t>is not admitted to trading, and the terms and conditions are bilaterally negotiated between the originator and</w:t>
      </w:r>
      <w:r w:rsidR="00F6443A" w:rsidRPr="00854F2E">
        <w:rPr>
          <w:noProof/>
          <w:szCs w:val="24"/>
        </w:rPr>
        <w:t xml:space="preserve"> a small group of investors</w:t>
      </w:r>
      <w:r w:rsidRPr="00854F2E">
        <w:rPr>
          <w:noProof/>
          <w:szCs w:val="24"/>
        </w:rPr>
        <w:t xml:space="preserve">. Clarifying the definition of public and private securitisations is </w:t>
      </w:r>
      <w:r w:rsidR="00610CC4" w:rsidRPr="00854F2E">
        <w:rPr>
          <w:noProof/>
          <w:szCs w:val="24"/>
        </w:rPr>
        <w:t>particularly relevant</w:t>
      </w:r>
      <w:r w:rsidRPr="00854F2E">
        <w:rPr>
          <w:noProof/>
          <w:szCs w:val="24"/>
        </w:rPr>
        <w:t xml:space="preserve"> for the application of </w:t>
      </w:r>
      <w:r w:rsidR="00610CC4" w:rsidRPr="00854F2E">
        <w:rPr>
          <w:noProof/>
          <w:szCs w:val="24"/>
        </w:rPr>
        <w:t>transpare</w:t>
      </w:r>
      <w:r w:rsidR="00426A8C" w:rsidRPr="00854F2E">
        <w:rPr>
          <w:noProof/>
          <w:szCs w:val="24"/>
        </w:rPr>
        <w:t xml:space="preserve">ncy </w:t>
      </w:r>
      <w:r w:rsidRPr="00854F2E">
        <w:rPr>
          <w:noProof/>
          <w:szCs w:val="24"/>
        </w:rPr>
        <w:t xml:space="preserve">requirements. </w:t>
      </w:r>
    </w:p>
    <w:p w:rsidR="00C46B7C" w:rsidRPr="00854F2E" w:rsidRDefault="00C46B7C" w:rsidP="40DC75C7">
      <w:pPr>
        <w:spacing w:before="0" w:after="240"/>
        <w:rPr>
          <w:b/>
          <w:bCs/>
          <w:noProof/>
          <w:szCs w:val="24"/>
        </w:rPr>
      </w:pPr>
      <w:r w:rsidRPr="00854F2E">
        <w:rPr>
          <w:b/>
          <w:bCs/>
          <w:noProof/>
          <w:szCs w:val="24"/>
        </w:rPr>
        <w:t>Due diligence (Article 5)</w:t>
      </w:r>
    </w:p>
    <w:p w:rsidR="00470A64" w:rsidRPr="00332F83" w:rsidRDefault="00470A64" w:rsidP="00470A64">
      <w:pPr>
        <w:rPr>
          <w:noProof/>
          <w:szCs w:val="24"/>
        </w:rPr>
      </w:pPr>
      <w:r w:rsidRPr="00332F83">
        <w:rPr>
          <w:noProof/>
          <w:szCs w:val="24"/>
        </w:rPr>
        <w:t>To facilitate simpler and more streamlined investment in U</w:t>
      </w:r>
      <w:r>
        <w:rPr>
          <w:noProof/>
          <w:szCs w:val="24"/>
        </w:rPr>
        <w:t>nion</w:t>
      </w:r>
      <w:r w:rsidRPr="00332F83">
        <w:rPr>
          <w:noProof/>
          <w:szCs w:val="24"/>
        </w:rPr>
        <w:t xml:space="preserve"> securitisations, </w:t>
      </w:r>
      <w:r>
        <w:rPr>
          <w:noProof/>
          <w:szCs w:val="24"/>
        </w:rPr>
        <w:t>some</w:t>
      </w:r>
      <w:r w:rsidRPr="00332F83">
        <w:rPr>
          <w:noProof/>
          <w:szCs w:val="24"/>
        </w:rPr>
        <w:t xml:space="preserve"> amendments are made to Article 5</w:t>
      </w:r>
      <w:r>
        <w:rPr>
          <w:noProof/>
          <w:szCs w:val="24"/>
        </w:rPr>
        <w:t xml:space="preserve"> of </w:t>
      </w:r>
      <w:r w:rsidRPr="00A71557">
        <w:rPr>
          <w:rFonts w:eastAsia="Arial Unicode MS"/>
          <w:noProof/>
          <w:szCs w:val="24"/>
        </w:rPr>
        <w:t>Regulation (EU) 2017/2402</w:t>
      </w:r>
      <w:r w:rsidRPr="00332F83">
        <w:rPr>
          <w:noProof/>
          <w:szCs w:val="24"/>
        </w:rPr>
        <w:t>. Verification requirements (Article 5(1) and Article 5(3)</w:t>
      </w:r>
      <w:r>
        <w:rPr>
          <w:noProof/>
          <w:szCs w:val="24"/>
        </w:rPr>
        <w:t xml:space="preserve">, point </w:t>
      </w:r>
      <w:r w:rsidRPr="00332F83">
        <w:rPr>
          <w:noProof/>
          <w:szCs w:val="24"/>
        </w:rPr>
        <w:t>(c)) are removed for investors whenever the sell-side party responsible for complying with the relevant sell-side provisions is established and supervised in the U</w:t>
      </w:r>
      <w:r>
        <w:rPr>
          <w:noProof/>
          <w:szCs w:val="24"/>
        </w:rPr>
        <w:t>nion</w:t>
      </w:r>
      <w:r w:rsidRPr="00332F83">
        <w:rPr>
          <w:noProof/>
          <w:szCs w:val="24"/>
        </w:rPr>
        <w:t>. In addition, the risk assessment in Article 5(3)</w:t>
      </w:r>
      <w:r>
        <w:rPr>
          <w:noProof/>
          <w:szCs w:val="24"/>
        </w:rPr>
        <w:t>, point (</w:t>
      </w:r>
      <w:r w:rsidRPr="00332F83">
        <w:rPr>
          <w:noProof/>
          <w:szCs w:val="24"/>
        </w:rPr>
        <w:t>a</w:t>
      </w:r>
      <w:r>
        <w:rPr>
          <w:noProof/>
          <w:szCs w:val="24"/>
        </w:rPr>
        <w:t>)</w:t>
      </w:r>
      <w:r w:rsidRPr="00332F83">
        <w:rPr>
          <w:noProof/>
          <w:szCs w:val="24"/>
        </w:rPr>
        <w:t xml:space="preserve"> and 5(3)</w:t>
      </w:r>
      <w:r>
        <w:rPr>
          <w:noProof/>
          <w:szCs w:val="24"/>
        </w:rPr>
        <w:t>, point (</w:t>
      </w:r>
      <w:r w:rsidRPr="00332F83">
        <w:rPr>
          <w:noProof/>
          <w:szCs w:val="24"/>
        </w:rPr>
        <w:t>b</w:t>
      </w:r>
      <w:r>
        <w:rPr>
          <w:noProof/>
          <w:szCs w:val="24"/>
        </w:rPr>
        <w:t xml:space="preserve">) of </w:t>
      </w:r>
      <w:r w:rsidRPr="00A71557">
        <w:rPr>
          <w:rFonts w:eastAsia="Arial Unicode MS"/>
          <w:noProof/>
          <w:szCs w:val="24"/>
        </w:rPr>
        <w:t>Regulation (EU) 2017/2402</w:t>
      </w:r>
      <w:r w:rsidRPr="00332F83">
        <w:rPr>
          <w:noProof/>
          <w:szCs w:val="24"/>
        </w:rPr>
        <w:t xml:space="preserve"> is made more principle</w:t>
      </w:r>
      <w:r>
        <w:rPr>
          <w:noProof/>
          <w:szCs w:val="24"/>
        </w:rPr>
        <w:t>d</w:t>
      </w:r>
      <w:r w:rsidRPr="00332F83">
        <w:rPr>
          <w:noProof/>
          <w:szCs w:val="24"/>
        </w:rPr>
        <w:t xml:space="preserve"> based by removing the detailed list of structural features that investors need to check and by clarifying in a recital that the due diligence assessment should be proportionate to the risk of the securitisation. The written procedures under Article 5(4) </w:t>
      </w:r>
      <w:r>
        <w:rPr>
          <w:noProof/>
          <w:szCs w:val="24"/>
        </w:rPr>
        <w:t xml:space="preserve">of </w:t>
      </w:r>
      <w:r w:rsidRPr="00A71557">
        <w:rPr>
          <w:rFonts w:eastAsia="Arial Unicode MS"/>
          <w:noProof/>
          <w:szCs w:val="24"/>
        </w:rPr>
        <w:t>Regulation (EU) 2017/2402</w:t>
      </w:r>
      <w:r w:rsidR="00D836A8">
        <w:rPr>
          <w:rFonts w:eastAsia="Arial Unicode MS"/>
          <w:noProof/>
          <w:szCs w:val="24"/>
        </w:rPr>
        <w:t xml:space="preserve"> </w:t>
      </w:r>
      <w:r w:rsidRPr="00332F83">
        <w:rPr>
          <w:noProof/>
          <w:szCs w:val="24"/>
        </w:rPr>
        <w:t>are also made more principl</w:t>
      </w:r>
      <w:r>
        <w:rPr>
          <w:noProof/>
          <w:szCs w:val="24"/>
        </w:rPr>
        <w:t>ed</w:t>
      </w:r>
      <w:r w:rsidRPr="00332F83">
        <w:rPr>
          <w:noProof/>
          <w:szCs w:val="24"/>
        </w:rPr>
        <w:t xml:space="preserve"> based by removing the detailed list of information in the second subparagraph of </w:t>
      </w:r>
      <w:r>
        <w:rPr>
          <w:noProof/>
          <w:szCs w:val="24"/>
        </w:rPr>
        <w:t xml:space="preserve">Article </w:t>
      </w:r>
      <w:r w:rsidRPr="00332F83">
        <w:rPr>
          <w:noProof/>
          <w:szCs w:val="24"/>
        </w:rPr>
        <w:t>5(4)</w:t>
      </w:r>
      <w:r>
        <w:rPr>
          <w:noProof/>
          <w:szCs w:val="24"/>
        </w:rPr>
        <w:t xml:space="preserve">, point </w:t>
      </w:r>
      <w:r w:rsidRPr="00332F83">
        <w:rPr>
          <w:noProof/>
          <w:szCs w:val="24"/>
        </w:rPr>
        <w:t>(a)</w:t>
      </w:r>
      <w:r>
        <w:rPr>
          <w:noProof/>
          <w:szCs w:val="24"/>
        </w:rPr>
        <w:t xml:space="preserve">, of </w:t>
      </w:r>
      <w:r w:rsidRPr="00A71557">
        <w:rPr>
          <w:rFonts w:eastAsia="Arial Unicode MS"/>
          <w:noProof/>
          <w:szCs w:val="24"/>
        </w:rPr>
        <w:t>Regulation (EU) 2017/2402</w:t>
      </w:r>
      <w:r w:rsidRPr="00332F83">
        <w:rPr>
          <w:noProof/>
          <w:szCs w:val="24"/>
        </w:rPr>
        <w:t xml:space="preserve">. Secondary market transactions are given an extra 15 days to document their due diligence. Finally, delegation of due diligence under Article 5(5) </w:t>
      </w:r>
      <w:r>
        <w:rPr>
          <w:noProof/>
          <w:szCs w:val="24"/>
        </w:rPr>
        <w:t xml:space="preserve">of </w:t>
      </w:r>
      <w:r w:rsidRPr="00A71557">
        <w:rPr>
          <w:rFonts w:eastAsia="Arial Unicode MS"/>
          <w:noProof/>
          <w:szCs w:val="24"/>
        </w:rPr>
        <w:t>Regulation (EU) 2017/2402</w:t>
      </w:r>
      <w:r>
        <w:rPr>
          <w:rFonts w:eastAsia="Arial Unicode MS"/>
          <w:noProof/>
          <w:szCs w:val="24"/>
        </w:rPr>
        <w:t xml:space="preserve"> </w:t>
      </w:r>
      <w:r w:rsidRPr="00332F83">
        <w:rPr>
          <w:noProof/>
          <w:szCs w:val="24"/>
        </w:rPr>
        <w:t>is aligned with other sectoral legislations where delegation of tasks does not transfer the legal responsibility.</w:t>
      </w:r>
    </w:p>
    <w:p w:rsidR="00F07E4C" w:rsidRPr="00CD464D" w:rsidRDefault="487ADC25" w:rsidP="009668E0">
      <w:pPr>
        <w:spacing w:before="0" w:after="240"/>
        <w:rPr>
          <w:noProof/>
        </w:rPr>
      </w:pPr>
      <w:r>
        <w:rPr>
          <w:noProof/>
        </w:rPr>
        <w:t>Due diligence requirements are waived whe</w:t>
      </w:r>
      <w:r w:rsidR="3D986429">
        <w:rPr>
          <w:noProof/>
        </w:rPr>
        <w:t>re</w:t>
      </w:r>
      <w:r>
        <w:rPr>
          <w:noProof/>
        </w:rPr>
        <w:t xml:space="preserve"> m</w:t>
      </w:r>
      <w:r w:rsidR="4D062E3C">
        <w:rPr>
          <w:noProof/>
        </w:rPr>
        <w:t xml:space="preserve">ultilateral development banks </w:t>
      </w:r>
      <w:r w:rsidR="02C58514">
        <w:rPr>
          <w:noProof/>
        </w:rPr>
        <w:t xml:space="preserve">fully </w:t>
      </w:r>
      <w:r w:rsidR="4D062E3C">
        <w:rPr>
          <w:noProof/>
        </w:rPr>
        <w:t xml:space="preserve">guarantee </w:t>
      </w:r>
      <w:r w:rsidR="02C58514">
        <w:rPr>
          <w:noProof/>
        </w:rPr>
        <w:t xml:space="preserve">the </w:t>
      </w:r>
      <w:r w:rsidR="489B1566">
        <w:rPr>
          <w:noProof/>
        </w:rPr>
        <w:t>securitisation position</w:t>
      </w:r>
      <w:r w:rsidR="4D062E3C">
        <w:rPr>
          <w:noProof/>
        </w:rPr>
        <w:t xml:space="preserve">, making </w:t>
      </w:r>
      <w:r w:rsidR="78C64B92">
        <w:rPr>
          <w:noProof/>
        </w:rPr>
        <w:t>it</w:t>
      </w:r>
      <w:r w:rsidR="4D062E3C">
        <w:rPr>
          <w:noProof/>
        </w:rPr>
        <w:t xml:space="preserve"> very low-risk. Th</w:t>
      </w:r>
      <w:r w:rsidR="658191D1">
        <w:rPr>
          <w:noProof/>
        </w:rPr>
        <w:t>is</w:t>
      </w:r>
      <w:r w:rsidR="4D062E3C">
        <w:rPr>
          <w:noProof/>
        </w:rPr>
        <w:t xml:space="preserve"> means </w:t>
      </w:r>
      <w:r w:rsidR="3D986429">
        <w:rPr>
          <w:noProof/>
        </w:rPr>
        <w:t xml:space="preserve">that </w:t>
      </w:r>
      <w:r w:rsidR="4D062E3C">
        <w:rPr>
          <w:noProof/>
        </w:rPr>
        <w:t xml:space="preserve">investors can </w:t>
      </w:r>
      <w:r w:rsidR="78C64B92">
        <w:rPr>
          <w:noProof/>
        </w:rPr>
        <w:t xml:space="preserve">invest in </w:t>
      </w:r>
      <w:r w:rsidR="78C64B92" w:rsidRPr="00CD464D">
        <w:rPr>
          <w:noProof/>
        </w:rPr>
        <w:t xml:space="preserve">such positions </w:t>
      </w:r>
      <w:r w:rsidR="4D062E3C" w:rsidRPr="00CD464D">
        <w:rPr>
          <w:noProof/>
        </w:rPr>
        <w:t>without doing extensive checks</w:t>
      </w:r>
      <w:r w:rsidR="78C64B92" w:rsidRPr="00CD464D">
        <w:rPr>
          <w:noProof/>
        </w:rPr>
        <w:t>.</w:t>
      </w:r>
      <w:r w:rsidR="644E6D03" w:rsidRPr="00CD464D">
        <w:rPr>
          <w:noProof/>
        </w:rPr>
        <w:t xml:space="preserve"> </w:t>
      </w:r>
    </w:p>
    <w:p w:rsidR="00CD464D" w:rsidRDefault="00CD464D" w:rsidP="00CD464D">
      <w:pPr>
        <w:spacing w:before="0" w:after="240"/>
        <w:rPr>
          <w:noProof/>
          <w:highlight w:val="yellow"/>
        </w:rPr>
      </w:pPr>
      <w:r>
        <w:rPr>
          <w:noProof/>
        </w:rPr>
        <w:t>Lighter due diligence, specifically via waiving the verification and documentation requirements, is provided in case the securitisation includes a first loss tranche that is guaranteed or held by a narrowly defined list of public entities and where that tranche represents at least 15% of the nominal value of the securitised exposures.</w:t>
      </w:r>
    </w:p>
    <w:p w:rsidR="00C46B7C" w:rsidRDefault="00C46B7C" w:rsidP="00C46B7C">
      <w:pPr>
        <w:spacing w:before="0" w:after="240"/>
        <w:rPr>
          <w:noProof/>
          <w:szCs w:val="24"/>
          <w:lang w:val="en-IE"/>
        </w:rPr>
      </w:pPr>
      <w:r w:rsidRPr="00000F79">
        <w:rPr>
          <w:noProof/>
          <w:szCs w:val="24"/>
          <w:lang w:val="en-IE"/>
        </w:rPr>
        <w:t>For</w:t>
      </w:r>
      <w:r w:rsidR="00796044" w:rsidRPr="00000F79">
        <w:rPr>
          <w:noProof/>
          <w:szCs w:val="24"/>
          <w:lang w:val="en-IE"/>
        </w:rPr>
        <w:t xml:space="preserve"> investments in positions issued by</w:t>
      </w:r>
      <w:r w:rsidRPr="00000F79">
        <w:rPr>
          <w:noProof/>
          <w:szCs w:val="24"/>
          <w:lang w:val="en-IE"/>
        </w:rPr>
        <w:t xml:space="preserve"> non-EU issuers, investors will continue to be required to verify that a given transaction complies with EU rules. </w:t>
      </w:r>
    </w:p>
    <w:p w:rsidR="00CD464D" w:rsidRPr="00CD464D" w:rsidRDefault="00CD464D" w:rsidP="00CD464D">
      <w:pPr>
        <w:spacing w:before="0" w:after="240"/>
        <w:rPr>
          <w:b/>
          <w:noProof/>
        </w:rPr>
      </w:pPr>
      <w:r>
        <w:rPr>
          <w:b/>
          <w:noProof/>
        </w:rPr>
        <w:t>Risk Retention (Article 6)</w:t>
      </w:r>
    </w:p>
    <w:p w:rsidR="00CD464D" w:rsidRPr="00CD464D" w:rsidRDefault="00CD464D" w:rsidP="00CD464D">
      <w:pPr>
        <w:spacing w:before="0" w:after="240"/>
        <w:rPr>
          <w:noProof/>
        </w:rPr>
      </w:pPr>
      <w:r>
        <w:rPr>
          <w:noProof/>
        </w:rPr>
        <w:t>Risk retention is waived in case the securitisation includes a first loss tranche that is guaranteed or held by a narrowly defined list of public entities and where that tranche represents at least 15% of the nominal value of the securitised exposures.</w:t>
      </w:r>
    </w:p>
    <w:p w:rsidR="00431DA6" w:rsidRPr="00000F79" w:rsidRDefault="003B2034" w:rsidP="00C46B7C">
      <w:pPr>
        <w:spacing w:before="0" w:after="240"/>
        <w:rPr>
          <w:noProof/>
          <w:szCs w:val="24"/>
        </w:rPr>
      </w:pPr>
      <w:r w:rsidRPr="00000F79">
        <w:rPr>
          <w:b/>
          <w:bCs/>
          <w:noProof/>
          <w:szCs w:val="24"/>
        </w:rPr>
        <w:t>Transparency (Article 7)</w:t>
      </w:r>
    </w:p>
    <w:p w:rsidR="00861C20" w:rsidRPr="00000F79" w:rsidRDefault="1AA2C2D5" w:rsidP="00C46B7C">
      <w:pPr>
        <w:spacing w:before="0" w:after="240"/>
        <w:rPr>
          <w:noProof/>
        </w:rPr>
      </w:pPr>
      <w:r w:rsidRPr="2E1AC283">
        <w:rPr>
          <w:noProof/>
        </w:rPr>
        <w:t xml:space="preserve">To lower the reporting burden on issuers, the </w:t>
      </w:r>
      <w:r w:rsidR="105C9A64" w:rsidRPr="2E1AC283">
        <w:rPr>
          <w:noProof/>
        </w:rPr>
        <w:t>reporting</w:t>
      </w:r>
      <w:r w:rsidR="42B046A8" w:rsidRPr="2E1AC283">
        <w:rPr>
          <w:noProof/>
        </w:rPr>
        <w:t xml:space="preserve"> templates in </w:t>
      </w:r>
      <w:r w:rsidR="22A9E61D" w:rsidRPr="2E1AC283">
        <w:rPr>
          <w:noProof/>
        </w:rPr>
        <w:t xml:space="preserve">Commission Delegated Regulation (EU) 2020/1224 and </w:t>
      </w:r>
      <w:r w:rsidR="46BE63BD" w:rsidRPr="2E1AC283">
        <w:rPr>
          <w:noProof/>
        </w:rPr>
        <w:t xml:space="preserve">Commission Implementing Regulation (EU) 2020/1225 </w:t>
      </w:r>
      <w:r w:rsidR="44F42A1D" w:rsidRPr="2E1AC283">
        <w:rPr>
          <w:noProof/>
        </w:rPr>
        <w:t xml:space="preserve">should be reviewed. </w:t>
      </w:r>
      <w:r w:rsidR="40D09314" w:rsidRPr="2E1AC283">
        <w:rPr>
          <w:noProof/>
        </w:rPr>
        <w:t xml:space="preserve">In particular, the number of </w:t>
      </w:r>
      <w:r w:rsidR="6BB6F079" w:rsidRPr="2E1AC283">
        <w:rPr>
          <w:noProof/>
        </w:rPr>
        <w:t xml:space="preserve">required </w:t>
      </w:r>
      <w:r w:rsidR="40D09314" w:rsidRPr="2E1AC283">
        <w:rPr>
          <w:noProof/>
        </w:rPr>
        <w:t xml:space="preserve">fields </w:t>
      </w:r>
      <w:r w:rsidR="6BB6F079" w:rsidRPr="2E1AC283">
        <w:rPr>
          <w:noProof/>
        </w:rPr>
        <w:t>should be significantly reduced</w:t>
      </w:r>
      <w:r w:rsidR="1B263526" w:rsidRPr="2E1AC283">
        <w:rPr>
          <w:noProof/>
        </w:rPr>
        <w:t xml:space="preserve"> – by at least 35%</w:t>
      </w:r>
      <w:r w:rsidR="5E668F2D" w:rsidRPr="2E1AC283">
        <w:rPr>
          <w:noProof/>
        </w:rPr>
        <w:t>, or more where feasible</w:t>
      </w:r>
      <w:r w:rsidR="1B263526" w:rsidRPr="2E1AC283">
        <w:rPr>
          <w:noProof/>
        </w:rPr>
        <w:t>.</w:t>
      </w:r>
      <w:r w:rsidR="5E668F2D" w:rsidRPr="2E1AC283">
        <w:rPr>
          <w:noProof/>
        </w:rPr>
        <w:t xml:space="preserve"> </w:t>
      </w:r>
      <w:r w:rsidR="47571DA8" w:rsidRPr="2E1AC283">
        <w:rPr>
          <w:noProof/>
        </w:rPr>
        <w:t>To further reduce the compliance burden</w:t>
      </w:r>
      <w:r w:rsidR="651AB5CA" w:rsidRPr="2E1AC283">
        <w:rPr>
          <w:noProof/>
        </w:rPr>
        <w:t xml:space="preserve"> on the reporting entities</w:t>
      </w:r>
      <w:r w:rsidR="47571DA8" w:rsidRPr="2E1AC283">
        <w:rPr>
          <w:noProof/>
        </w:rPr>
        <w:t xml:space="preserve">, the review should consider </w:t>
      </w:r>
      <w:r w:rsidR="508C1F08" w:rsidRPr="2E1AC283">
        <w:rPr>
          <w:noProof/>
        </w:rPr>
        <w:t>distinguishing between mandatory and voluntary fields.</w:t>
      </w:r>
      <w:r w:rsidR="651AB5CA" w:rsidRPr="2E1AC283">
        <w:rPr>
          <w:noProof/>
        </w:rPr>
        <w:t xml:space="preserve"> </w:t>
      </w:r>
      <w:r w:rsidR="6D2F8878" w:rsidRPr="2E1AC283">
        <w:rPr>
          <w:noProof/>
        </w:rPr>
        <w:t xml:space="preserve">In addition, the </w:t>
      </w:r>
      <w:r w:rsidR="105C9A64" w:rsidRPr="2E1AC283">
        <w:rPr>
          <w:noProof/>
        </w:rPr>
        <w:t>reporting</w:t>
      </w:r>
      <w:r w:rsidR="6D2F8878" w:rsidRPr="2E1AC283">
        <w:rPr>
          <w:noProof/>
        </w:rPr>
        <w:t xml:space="preserve"> templates should not require loan level information </w:t>
      </w:r>
      <w:r w:rsidR="03057F3D" w:rsidRPr="2E1AC283">
        <w:rPr>
          <w:noProof/>
        </w:rPr>
        <w:t>when</w:t>
      </w:r>
      <w:r w:rsidR="6D2F8878" w:rsidRPr="2E1AC283">
        <w:rPr>
          <w:noProof/>
        </w:rPr>
        <w:t xml:space="preserve"> the </w:t>
      </w:r>
      <w:r w:rsidR="03057F3D" w:rsidRPr="2E1AC283">
        <w:rPr>
          <w:noProof/>
        </w:rPr>
        <w:t>underlying exposures are highly-granular and short-term (such as credit card exposures or certain consumer loans).</w:t>
      </w:r>
      <w:r w:rsidR="651AB5CA" w:rsidRPr="2E1AC283">
        <w:rPr>
          <w:noProof/>
        </w:rPr>
        <w:t xml:space="preserve"> </w:t>
      </w:r>
      <w:r w:rsidR="651AB5CA" w:rsidRPr="00AB5C49">
        <w:rPr>
          <w:noProof/>
        </w:rPr>
        <w:t>The review</w:t>
      </w:r>
      <w:r w:rsidR="2DF8A62D" w:rsidRPr="00AB5C49">
        <w:rPr>
          <w:noProof/>
        </w:rPr>
        <w:t xml:space="preserve"> </w:t>
      </w:r>
      <w:r w:rsidR="6D2F8878" w:rsidRPr="00AB5C49">
        <w:rPr>
          <w:noProof/>
        </w:rPr>
        <w:t xml:space="preserve">of </w:t>
      </w:r>
      <w:r w:rsidR="2DF8A62D" w:rsidRPr="00AB5C49">
        <w:rPr>
          <w:noProof/>
        </w:rPr>
        <w:t xml:space="preserve">the </w:t>
      </w:r>
      <w:r w:rsidR="105C9A64" w:rsidRPr="00AB5C49">
        <w:rPr>
          <w:noProof/>
        </w:rPr>
        <w:t>reporting</w:t>
      </w:r>
      <w:r w:rsidR="2DF8A62D" w:rsidRPr="00AB5C49">
        <w:rPr>
          <w:noProof/>
        </w:rPr>
        <w:t xml:space="preserve"> templates, taking into account the aforementioned principles</w:t>
      </w:r>
      <w:r w:rsidR="1A0383B6" w:rsidRPr="00AB5C49">
        <w:rPr>
          <w:noProof/>
        </w:rPr>
        <w:t xml:space="preserve"> set in this proposal</w:t>
      </w:r>
      <w:r w:rsidR="2DF8A62D" w:rsidRPr="00AB5C49">
        <w:rPr>
          <w:noProof/>
        </w:rPr>
        <w:t>,</w:t>
      </w:r>
      <w:r w:rsidR="651AB5CA" w:rsidRPr="00AB5C49">
        <w:rPr>
          <w:noProof/>
        </w:rPr>
        <w:t xml:space="preserve"> </w:t>
      </w:r>
      <w:r w:rsidR="00A0515A">
        <w:rPr>
          <w:noProof/>
        </w:rPr>
        <w:t>should</w:t>
      </w:r>
      <w:r w:rsidR="651AB5CA" w:rsidRPr="00AB5C49">
        <w:rPr>
          <w:noProof/>
        </w:rPr>
        <w:t xml:space="preserve"> be carried out by the</w:t>
      </w:r>
      <w:r w:rsidR="638E79C1" w:rsidRPr="00AB5C49">
        <w:rPr>
          <w:noProof/>
        </w:rPr>
        <w:t xml:space="preserve"> </w:t>
      </w:r>
      <w:r w:rsidR="01E08CBA" w:rsidRPr="00AB5C49">
        <w:rPr>
          <w:noProof/>
        </w:rPr>
        <w:t>securitisation sub-committee</w:t>
      </w:r>
      <w:r w:rsidR="000B297A">
        <w:rPr>
          <w:noProof/>
        </w:rPr>
        <w:t xml:space="preserve"> of the ESAs Joint Committee</w:t>
      </w:r>
      <w:r w:rsidR="01E08CBA" w:rsidRPr="00AB5C49">
        <w:rPr>
          <w:noProof/>
        </w:rPr>
        <w:t xml:space="preserve">, under the </w:t>
      </w:r>
      <w:r w:rsidR="006F55B2">
        <w:rPr>
          <w:noProof/>
        </w:rPr>
        <w:t>leader</w:t>
      </w:r>
      <w:r w:rsidR="01E08CBA" w:rsidRPr="00AB5C49">
        <w:rPr>
          <w:noProof/>
        </w:rPr>
        <w:t>ship of the</w:t>
      </w:r>
      <w:r w:rsidR="651AB5CA" w:rsidRPr="00AB5C49">
        <w:rPr>
          <w:noProof/>
        </w:rPr>
        <w:t xml:space="preserve"> E</w:t>
      </w:r>
      <w:r w:rsidR="2532D41F" w:rsidRPr="00AB5C49">
        <w:rPr>
          <w:noProof/>
        </w:rPr>
        <w:t>BA</w:t>
      </w:r>
      <w:r w:rsidR="651AB5CA" w:rsidRPr="00AB5C49">
        <w:rPr>
          <w:noProof/>
        </w:rPr>
        <w:t>, in cooperation with the other E</w:t>
      </w:r>
      <w:r w:rsidR="0B8C9050" w:rsidRPr="00AB5C49">
        <w:rPr>
          <w:noProof/>
        </w:rPr>
        <w:t>SAs</w:t>
      </w:r>
      <w:r w:rsidR="651AB5CA" w:rsidRPr="00AB5C49">
        <w:rPr>
          <w:noProof/>
        </w:rPr>
        <w:t>.</w:t>
      </w:r>
    </w:p>
    <w:p w:rsidR="00FB1771" w:rsidRPr="00000F79" w:rsidRDefault="002D11A0" w:rsidP="00C46B7C">
      <w:pPr>
        <w:spacing w:before="0" w:after="240"/>
        <w:rPr>
          <w:noProof/>
          <w:szCs w:val="24"/>
        </w:rPr>
      </w:pPr>
      <w:r w:rsidRPr="00000F79">
        <w:rPr>
          <w:noProof/>
          <w:szCs w:val="24"/>
        </w:rPr>
        <w:t>The reporting template for p</w:t>
      </w:r>
      <w:r w:rsidR="00A7456A" w:rsidRPr="00000F79">
        <w:rPr>
          <w:noProof/>
          <w:szCs w:val="24"/>
        </w:rPr>
        <w:t xml:space="preserve">rivate securitisations </w:t>
      </w:r>
      <w:r w:rsidRPr="00000F79">
        <w:rPr>
          <w:noProof/>
          <w:szCs w:val="24"/>
        </w:rPr>
        <w:t>should be much lighter than the one for public securitisations and focused only on the needs of supervisors</w:t>
      </w:r>
      <w:r w:rsidR="00401A4D" w:rsidRPr="00000F79">
        <w:rPr>
          <w:noProof/>
          <w:szCs w:val="24"/>
        </w:rPr>
        <w:t>.</w:t>
      </w:r>
      <w:r w:rsidR="00147181" w:rsidRPr="00000F79">
        <w:rPr>
          <w:noProof/>
          <w:szCs w:val="24"/>
        </w:rPr>
        <w:t xml:space="preserve"> To minim</w:t>
      </w:r>
      <w:r w:rsidR="00000F79">
        <w:rPr>
          <w:noProof/>
          <w:szCs w:val="24"/>
        </w:rPr>
        <w:t>i</w:t>
      </w:r>
      <w:r w:rsidR="00147181" w:rsidRPr="00000F79">
        <w:rPr>
          <w:noProof/>
          <w:szCs w:val="24"/>
        </w:rPr>
        <w:t xml:space="preserve">se the implementation costs for industry, this template should </w:t>
      </w:r>
      <w:r w:rsidR="002F2856" w:rsidRPr="00000F79">
        <w:rPr>
          <w:noProof/>
          <w:szCs w:val="24"/>
        </w:rPr>
        <w:t xml:space="preserve">follow closely existing notification templates, in particular the guide on </w:t>
      </w:r>
      <w:r w:rsidR="008767E3" w:rsidRPr="00000F79">
        <w:rPr>
          <w:noProof/>
          <w:szCs w:val="24"/>
        </w:rPr>
        <w:t>the notification of securitisation transactions by the Single Supervisory Mechanism.</w:t>
      </w:r>
      <w:r w:rsidR="00065BFF" w:rsidRPr="00000F79">
        <w:rPr>
          <w:noProof/>
          <w:szCs w:val="24"/>
        </w:rPr>
        <w:t xml:space="preserve"> </w:t>
      </w:r>
      <w:r w:rsidR="00401A4D" w:rsidRPr="00000F79">
        <w:rPr>
          <w:noProof/>
          <w:szCs w:val="24"/>
        </w:rPr>
        <w:t xml:space="preserve">To ensure greater market transparency and facilitate the supervision and monitoring of the private market, </w:t>
      </w:r>
      <w:r w:rsidR="00065BFF" w:rsidRPr="00000F79">
        <w:rPr>
          <w:noProof/>
          <w:szCs w:val="24"/>
        </w:rPr>
        <w:t>this dedicated template for private securitisations should be reported to the securitisation repositories.</w:t>
      </w:r>
    </w:p>
    <w:p w:rsidR="000F6E35" w:rsidRPr="00E41CAC" w:rsidRDefault="000F6E35" w:rsidP="00C46B7C">
      <w:pPr>
        <w:spacing w:before="0" w:after="240"/>
        <w:rPr>
          <w:b/>
          <w:bCs/>
          <w:noProof/>
          <w:szCs w:val="24"/>
        </w:rPr>
      </w:pPr>
      <w:r w:rsidRPr="00E41CAC">
        <w:rPr>
          <w:b/>
          <w:bCs/>
          <w:noProof/>
          <w:szCs w:val="24"/>
        </w:rPr>
        <w:t>Securitisation Repos</w:t>
      </w:r>
      <w:r w:rsidR="00040081" w:rsidRPr="00E41CAC">
        <w:rPr>
          <w:b/>
          <w:bCs/>
          <w:noProof/>
          <w:szCs w:val="24"/>
        </w:rPr>
        <w:t>itory (Article</w:t>
      </w:r>
      <w:r w:rsidR="00777DDB" w:rsidRPr="00E41CAC">
        <w:rPr>
          <w:b/>
          <w:bCs/>
          <w:noProof/>
          <w:szCs w:val="24"/>
        </w:rPr>
        <w:t>s</w:t>
      </w:r>
      <w:r w:rsidR="00040081" w:rsidRPr="00E41CAC">
        <w:rPr>
          <w:b/>
          <w:bCs/>
          <w:noProof/>
          <w:szCs w:val="24"/>
        </w:rPr>
        <w:t xml:space="preserve"> 10 and 17)</w:t>
      </w:r>
    </w:p>
    <w:p w:rsidR="006B059A" w:rsidRPr="00E41CAC" w:rsidRDefault="00A715F3" w:rsidP="00C46B7C">
      <w:pPr>
        <w:spacing w:before="0" w:after="240"/>
        <w:rPr>
          <w:noProof/>
          <w:szCs w:val="24"/>
        </w:rPr>
      </w:pPr>
      <w:r w:rsidRPr="00E41CAC">
        <w:rPr>
          <w:noProof/>
          <w:szCs w:val="24"/>
        </w:rPr>
        <w:t>A</w:t>
      </w:r>
      <w:r w:rsidR="003509D3" w:rsidRPr="00E41CAC">
        <w:rPr>
          <w:noProof/>
          <w:szCs w:val="24"/>
        </w:rPr>
        <w:t>mendments to Article</w:t>
      </w:r>
      <w:r w:rsidR="00DD2F2C" w:rsidRPr="00E41CAC">
        <w:rPr>
          <w:noProof/>
          <w:szCs w:val="24"/>
        </w:rPr>
        <w:t xml:space="preserve"> 10</w:t>
      </w:r>
      <w:r w:rsidR="003509D3" w:rsidRPr="00E41CAC">
        <w:rPr>
          <w:noProof/>
          <w:szCs w:val="24"/>
        </w:rPr>
        <w:t xml:space="preserve"> </w:t>
      </w:r>
      <w:r w:rsidR="00476628">
        <w:rPr>
          <w:noProof/>
          <w:szCs w:val="24"/>
        </w:rPr>
        <w:t xml:space="preserve">of </w:t>
      </w:r>
      <w:r w:rsidR="00476628" w:rsidRPr="00A71557">
        <w:rPr>
          <w:rFonts w:eastAsia="Arial Unicode MS"/>
          <w:noProof/>
          <w:szCs w:val="24"/>
        </w:rPr>
        <w:t>Regulation (EU) 2017/2402</w:t>
      </w:r>
      <w:r w:rsidR="00476628">
        <w:rPr>
          <w:rFonts w:eastAsia="Arial Unicode MS"/>
          <w:noProof/>
          <w:szCs w:val="24"/>
        </w:rPr>
        <w:t xml:space="preserve"> </w:t>
      </w:r>
      <w:r w:rsidR="003509D3" w:rsidRPr="00E41CAC">
        <w:rPr>
          <w:noProof/>
          <w:szCs w:val="24"/>
        </w:rPr>
        <w:t>rectify</w:t>
      </w:r>
      <w:r w:rsidR="00D45D60" w:rsidRPr="00E41CAC">
        <w:rPr>
          <w:noProof/>
          <w:szCs w:val="24"/>
        </w:rPr>
        <w:t xml:space="preserve"> a </w:t>
      </w:r>
      <w:r w:rsidR="00B051E0" w:rsidRPr="00E41CAC">
        <w:rPr>
          <w:noProof/>
          <w:szCs w:val="24"/>
        </w:rPr>
        <w:t xml:space="preserve">wrong reference to </w:t>
      </w:r>
      <w:r w:rsidR="64736DE4" w:rsidRPr="00E41CAC">
        <w:rPr>
          <w:noProof/>
          <w:szCs w:val="24"/>
        </w:rPr>
        <w:t>Arti</w:t>
      </w:r>
      <w:r w:rsidR="2C45B191" w:rsidRPr="00E41CAC">
        <w:rPr>
          <w:noProof/>
          <w:szCs w:val="24"/>
        </w:rPr>
        <w:t>c</w:t>
      </w:r>
      <w:r w:rsidR="64736DE4" w:rsidRPr="00E41CAC">
        <w:rPr>
          <w:noProof/>
          <w:szCs w:val="24"/>
        </w:rPr>
        <w:t>le</w:t>
      </w:r>
      <w:r w:rsidR="00B051E0" w:rsidRPr="00E41CAC">
        <w:rPr>
          <w:noProof/>
          <w:szCs w:val="24"/>
        </w:rPr>
        <w:t xml:space="preserve"> 5</w:t>
      </w:r>
      <w:r w:rsidR="00476628">
        <w:rPr>
          <w:noProof/>
          <w:szCs w:val="24"/>
        </w:rPr>
        <w:t xml:space="preserve"> of that Regulation</w:t>
      </w:r>
      <w:r w:rsidR="00D03721" w:rsidRPr="00E41CAC">
        <w:rPr>
          <w:noProof/>
          <w:szCs w:val="24"/>
        </w:rPr>
        <w:t>, which should be replaced with a reference to</w:t>
      </w:r>
      <w:r w:rsidR="00D45D60" w:rsidRPr="00E41CAC">
        <w:rPr>
          <w:noProof/>
          <w:szCs w:val="24"/>
        </w:rPr>
        <w:t xml:space="preserve"> Article 7</w:t>
      </w:r>
      <w:r w:rsidR="00D34CB0" w:rsidRPr="00E41CAC">
        <w:rPr>
          <w:noProof/>
          <w:szCs w:val="24"/>
        </w:rPr>
        <w:t>. Proposed amendments to Article 17</w:t>
      </w:r>
      <w:r w:rsidR="00476628">
        <w:rPr>
          <w:noProof/>
          <w:szCs w:val="24"/>
        </w:rPr>
        <w:t xml:space="preserve"> of </w:t>
      </w:r>
      <w:r w:rsidR="00476628" w:rsidRPr="00A71557">
        <w:rPr>
          <w:rFonts w:eastAsia="Arial Unicode MS"/>
          <w:noProof/>
          <w:szCs w:val="24"/>
        </w:rPr>
        <w:t>Regulation (EU) 2017/2402</w:t>
      </w:r>
      <w:r w:rsidR="00476628">
        <w:rPr>
          <w:rFonts w:eastAsia="Arial Unicode MS"/>
          <w:noProof/>
          <w:szCs w:val="24"/>
        </w:rPr>
        <w:t xml:space="preserve"> </w:t>
      </w:r>
      <w:r w:rsidR="00D34CB0" w:rsidRPr="00E41CAC">
        <w:rPr>
          <w:noProof/>
          <w:szCs w:val="24"/>
        </w:rPr>
        <w:t xml:space="preserve">are </w:t>
      </w:r>
      <w:r w:rsidR="007850C0" w:rsidRPr="00E41CAC">
        <w:rPr>
          <w:noProof/>
          <w:szCs w:val="24"/>
        </w:rPr>
        <w:t xml:space="preserve">introduced in light of the amendments </w:t>
      </w:r>
      <w:r w:rsidR="00474DBB" w:rsidRPr="00E41CAC">
        <w:rPr>
          <w:noProof/>
          <w:szCs w:val="24"/>
        </w:rPr>
        <w:t xml:space="preserve">in Article 7 that will extend the </w:t>
      </w:r>
      <w:r w:rsidR="00E34D78" w:rsidRPr="00E41CAC">
        <w:rPr>
          <w:noProof/>
          <w:szCs w:val="24"/>
        </w:rPr>
        <w:t xml:space="preserve">report </w:t>
      </w:r>
      <w:r w:rsidR="00E57866" w:rsidRPr="00E41CAC">
        <w:rPr>
          <w:noProof/>
          <w:szCs w:val="24"/>
        </w:rPr>
        <w:t>to repository also for private securitisation. In light of th</w:t>
      </w:r>
      <w:r w:rsidR="00476628">
        <w:rPr>
          <w:noProof/>
          <w:szCs w:val="24"/>
        </w:rPr>
        <w:t>o</w:t>
      </w:r>
      <w:r w:rsidR="00E57866" w:rsidRPr="00E41CAC">
        <w:rPr>
          <w:noProof/>
          <w:szCs w:val="24"/>
        </w:rPr>
        <w:t>se changes</w:t>
      </w:r>
      <w:r w:rsidR="003A6EFA" w:rsidRPr="00E41CAC">
        <w:rPr>
          <w:noProof/>
          <w:szCs w:val="24"/>
        </w:rPr>
        <w:t>,</w:t>
      </w:r>
      <w:r w:rsidR="00E57866" w:rsidRPr="00E41CAC">
        <w:rPr>
          <w:noProof/>
          <w:szCs w:val="24"/>
        </w:rPr>
        <w:t xml:space="preserve"> </w:t>
      </w:r>
      <w:r w:rsidR="00B40F81" w:rsidRPr="00E41CAC">
        <w:rPr>
          <w:noProof/>
          <w:szCs w:val="24"/>
        </w:rPr>
        <w:t>a different</w:t>
      </w:r>
      <w:r w:rsidR="00FF53F8">
        <w:rPr>
          <w:noProof/>
          <w:szCs w:val="24"/>
        </w:rPr>
        <w:t>i</w:t>
      </w:r>
      <w:r w:rsidR="00B40F81" w:rsidRPr="00E41CAC">
        <w:rPr>
          <w:noProof/>
          <w:szCs w:val="24"/>
        </w:rPr>
        <w:t xml:space="preserve">ation </w:t>
      </w:r>
      <w:r w:rsidR="003A6EFA" w:rsidRPr="00E41CAC">
        <w:rPr>
          <w:noProof/>
          <w:szCs w:val="24"/>
        </w:rPr>
        <w:t>in the</w:t>
      </w:r>
      <w:r w:rsidR="00B40F81" w:rsidRPr="00E41CAC">
        <w:rPr>
          <w:noProof/>
          <w:szCs w:val="24"/>
        </w:rPr>
        <w:t xml:space="preserve"> </w:t>
      </w:r>
      <w:r w:rsidR="00DD2F2C" w:rsidRPr="00E41CAC">
        <w:rPr>
          <w:noProof/>
          <w:szCs w:val="24"/>
        </w:rPr>
        <w:t>im</w:t>
      </w:r>
      <w:r w:rsidR="00106AF2" w:rsidRPr="00E41CAC">
        <w:rPr>
          <w:noProof/>
          <w:szCs w:val="24"/>
        </w:rPr>
        <w:t>m</w:t>
      </w:r>
      <w:r w:rsidR="00DD2F2C" w:rsidRPr="00E41CAC">
        <w:rPr>
          <w:noProof/>
          <w:szCs w:val="24"/>
        </w:rPr>
        <w:t>ed</w:t>
      </w:r>
      <w:r w:rsidR="00106AF2" w:rsidRPr="00E41CAC">
        <w:rPr>
          <w:noProof/>
          <w:szCs w:val="24"/>
        </w:rPr>
        <w:t>ia</w:t>
      </w:r>
      <w:r w:rsidR="00DD2F2C" w:rsidRPr="00E41CAC">
        <w:rPr>
          <w:noProof/>
          <w:szCs w:val="24"/>
        </w:rPr>
        <w:t xml:space="preserve">te and free of charge </w:t>
      </w:r>
      <w:r w:rsidR="00B40F81" w:rsidRPr="00E41CAC">
        <w:rPr>
          <w:noProof/>
          <w:szCs w:val="24"/>
        </w:rPr>
        <w:t>access</w:t>
      </w:r>
      <w:r w:rsidR="00DD2F2C" w:rsidRPr="00E41CAC">
        <w:rPr>
          <w:noProof/>
          <w:szCs w:val="24"/>
        </w:rPr>
        <w:t xml:space="preserve"> </w:t>
      </w:r>
      <w:r w:rsidR="008E2312" w:rsidRPr="00E41CAC">
        <w:rPr>
          <w:noProof/>
          <w:szCs w:val="24"/>
        </w:rPr>
        <w:t xml:space="preserve">to the repository </w:t>
      </w:r>
      <w:r w:rsidR="00DD2F2C" w:rsidRPr="00E41CAC">
        <w:rPr>
          <w:noProof/>
          <w:szCs w:val="24"/>
        </w:rPr>
        <w:t>has been proposed.</w:t>
      </w:r>
      <w:r w:rsidR="008245A4" w:rsidRPr="00E41CAC">
        <w:rPr>
          <w:noProof/>
          <w:szCs w:val="24"/>
        </w:rPr>
        <w:t xml:space="preserve"> S</w:t>
      </w:r>
      <w:r w:rsidR="00DD2F2C" w:rsidRPr="00E41CAC">
        <w:rPr>
          <w:noProof/>
          <w:szCs w:val="24"/>
        </w:rPr>
        <w:t>uch access should be granted</w:t>
      </w:r>
      <w:r w:rsidR="00106AF2" w:rsidRPr="00E41CAC">
        <w:rPr>
          <w:noProof/>
          <w:szCs w:val="24"/>
        </w:rPr>
        <w:t xml:space="preserve"> </w:t>
      </w:r>
      <w:r w:rsidR="00B67617" w:rsidRPr="00E41CAC">
        <w:rPr>
          <w:noProof/>
          <w:szCs w:val="24"/>
        </w:rPr>
        <w:t>to the ESAs</w:t>
      </w:r>
      <w:r w:rsidR="002B261B" w:rsidRPr="00E41CAC">
        <w:rPr>
          <w:noProof/>
          <w:szCs w:val="24"/>
        </w:rPr>
        <w:t xml:space="preserve">, </w:t>
      </w:r>
      <w:r w:rsidR="005068E0" w:rsidRPr="00E41CAC">
        <w:rPr>
          <w:noProof/>
          <w:szCs w:val="24"/>
        </w:rPr>
        <w:t xml:space="preserve">the </w:t>
      </w:r>
      <w:r w:rsidR="008529C7">
        <w:rPr>
          <w:noProof/>
          <w:szCs w:val="24"/>
        </w:rPr>
        <w:t xml:space="preserve">European </w:t>
      </w:r>
      <w:r w:rsidR="00C1502F">
        <w:rPr>
          <w:noProof/>
          <w:szCs w:val="24"/>
        </w:rPr>
        <w:t>S</w:t>
      </w:r>
      <w:r w:rsidR="008529C7">
        <w:rPr>
          <w:noProof/>
          <w:szCs w:val="24"/>
        </w:rPr>
        <w:t>ystemic R</w:t>
      </w:r>
      <w:r w:rsidR="00C1502F">
        <w:rPr>
          <w:noProof/>
          <w:szCs w:val="24"/>
        </w:rPr>
        <w:t>isk Board</w:t>
      </w:r>
      <w:r w:rsidR="005068E0" w:rsidRPr="00E41CAC">
        <w:rPr>
          <w:noProof/>
          <w:szCs w:val="24"/>
        </w:rPr>
        <w:t xml:space="preserve">, the </w:t>
      </w:r>
      <w:r w:rsidR="002B261B" w:rsidRPr="00E41CAC">
        <w:rPr>
          <w:noProof/>
          <w:szCs w:val="24"/>
        </w:rPr>
        <w:t xml:space="preserve">competent </w:t>
      </w:r>
      <w:r w:rsidR="005068E0" w:rsidRPr="00E41CAC">
        <w:rPr>
          <w:noProof/>
          <w:szCs w:val="24"/>
        </w:rPr>
        <w:t xml:space="preserve">and resolution </w:t>
      </w:r>
      <w:r w:rsidR="002B261B" w:rsidRPr="00E41CAC">
        <w:rPr>
          <w:noProof/>
          <w:szCs w:val="24"/>
        </w:rPr>
        <w:t>authorities and</w:t>
      </w:r>
      <w:r w:rsidR="003054B5" w:rsidRPr="00E41CAC">
        <w:rPr>
          <w:noProof/>
          <w:szCs w:val="24"/>
        </w:rPr>
        <w:t>, upon request</w:t>
      </w:r>
      <w:r w:rsidR="00585D71" w:rsidRPr="00E41CAC">
        <w:rPr>
          <w:noProof/>
          <w:szCs w:val="24"/>
        </w:rPr>
        <w:t>,</w:t>
      </w:r>
      <w:r w:rsidR="003054B5" w:rsidRPr="00E41CAC">
        <w:rPr>
          <w:noProof/>
          <w:szCs w:val="24"/>
        </w:rPr>
        <w:t xml:space="preserve"> </w:t>
      </w:r>
      <w:r w:rsidR="002B261B" w:rsidRPr="00E41CAC">
        <w:rPr>
          <w:noProof/>
          <w:szCs w:val="24"/>
        </w:rPr>
        <w:t xml:space="preserve">the </w:t>
      </w:r>
      <w:r w:rsidR="004D1C98" w:rsidRPr="00E41CAC">
        <w:rPr>
          <w:noProof/>
          <w:szCs w:val="24"/>
        </w:rPr>
        <w:t>European</w:t>
      </w:r>
      <w:r w:rsidR="002B261B" w:rsidRPr="00E41CAC">
        <w:rPr>
          <w:noProof/>
          <w:szCs w:val="24"/>
        </w:rPr>
        <w:t xml:space="preserve"> C</w:t>
      </w:r>
      <w:r w:rsidR="005068E0" w:rsidRPr="00E41CAC">
        <w:rPr>
          <w:noProof/>
          <w:szCs w:val="24"/>
        </w:rPr>
        <w:t>ommission</w:t>
      </w:r>
      <w:r w:rsidR="003A6EFA" w:rsidRPr="00E41CAC">
        <w:rPr>
          <w:noProof/>
          <w:szCs w:val="24"/>
        </w:rPr>
        <w:t>.</w:t>
      </w:r>
      <w:r w:rsidR="00585D71" w:rsidRPr="00E41CAC">
        <w:rPr>
          <w:noProof/>
          <w:szCs w:val="24"/>
        </w:rPr>
        <w:t xml:space="preserve"> In</w:t>
      </w:r>
      <w:r w:rsidR="003A6EFA" w:rsidRPr="00E41CAC">
        <w:rPr>
          <w:noProof/>
          <w:szCs w:val="24"/>
        </w:rPr>
        <w:t xml:space="preserve"> </w:t>
      </w:r>
      <w:r w:rsidR="00585D71" w:rsidRPr="00E41CAC">
        <w:rPr>
          <w:noProof/>
          <w:szCs w:val="24"/>
        </w:rPr>
        <w:t xml:space="preserve">light of the different nature of </w:t>
      </w:r>
      <w:r w:rsidR="00106AF2" w:rsidRPr="00E41CAC">
        <w:rPr>
          <w:noProof/>
          <w:szCs w:val="24"/>
        </w:rPr>
        <w:t>public securitisation</w:t>
      </w:r>
      <w:r w:rsidR="00585D71" w:rsidRPr="00E41CAC">
        <w:rPr>
          <w:noProof/>
          <w:szCs w:val="24"/>
        </w:rPr>
        <w:t xml:space="preserve">, access is </w:t>
      </w:r>
      <w:r w:rsidR="00404FE2" w:rsidRPr="00E41CAC">
        <w:rPr>
          <w:noProof/>
          <w:szCs w:val="24"/>
        </w:rPr>
        <w:t>granted also to</w:t>
      </w:r>
      <w:r w:rsidR="00106AF2" w:rsidRPr="00E41CAC">
        <w:rPr>
          <w:noProof/>
          <w:szCs w:val="24"/>
        </w:rPr>
        <w:t xml:space="preserve"> investo</w:t>
      </w:r>
      <w:r w:rsidR="00B33954">
        <w:rPr>
          <w:noProof/>
          <w:szCs w:val="24"/>
        </w:rPr>
        <w:t>r</w:t>
      </w:r>
      <w:r w:rsidR="00106AF2" w:rsidRPr="00E41CAC">
        <w:rPr>
          <w:noProof/>
          <w:szCs w:val="24"/>
        </w:rPr>
        <w:t>s and potential investors</w:t>
      </w:r>
      <w:r w:rsidR="004D1C98" w:rsidRPr="00E41CAC">
        <w:rPr>
          <w:noProof/>
          <w:szCs w:val="24"/>
        </w:rPr>
        <w:t xml:space="preserve"> in such securitisations</w:t>
      </w:r>
      <w:r w:rsidR="00404FE2" w:rsidRPr="00E41CAC">
        <w:rPr>
          <w:noProof/>
          <w:szCs w:val="24"/>
        </w:rPr>
        <w:t>.</w:t>
      </w:r>
      <w:r w:rsidR="005F2421" w:rsidRPr="00E41CAC">
        <w:rPr>
          <w:noProof/>
          <w:szCs w:val="24"/>
        </w:rPr>
        <w:t xml:space="preserve"> Restricting the access of investors</w:t>
      </w:r>
      <w:r w:rsidR="000E5A87" w:rsidRPr="00E41CAC">
        <w:rPr>
          <w:noProof/>
          <w:szCs w:val="24"/>
        </w:rPr>
        <w:t xml:space="preserve"> and potential investors</w:t>
      </w:r>
      <w:r w:rsidR="005F2421" w:rsidRPr="00E41CAC">
        <w:rPr>
          <w:noProof/>
          <w:szCs w:val="24"/>
        </w:rPr>
        <w:t xml:space="preserve"> to </w:t>
      </w:r>
      <w:r w:rsidR="000E5A87" w:rsidRPr="00E41CAC">
        <w:rPr>
          <w:noProof/>
          <w:szCs w:val="24"/>
        </w:rPr>
        <w:t xml:space="preserve">private securitisations is meant to protect the confidentiality of information </w:t>
      </w:r>
      <w:r w:rsidR="00BF3D0B" w:rsidRPr="00E41CAC">
        <w:rPr>
          <w:noProof/>
          <w:szCs w:val="24"/>
        </w:rPr>
        <w:t>in those securitisations.</w:t>
      </w:r>
    </w:p>
    <w:p w:rsidR="00777DDB" w:rsidRPr="00E41CAC" w:rsidRDefault="007A68C4" w:rsidP="00C46B7C">
      <w:pPr>
        <w:spacing w:before="0" w:after="240"/>
        <w:rPr>
          <w:b/>
          <w:bCs/>
          <w:noProof/>
          <w:szCs w:val="24"/>
        </w:rPr>
      </w:pPr>
      <w:r w:rsidRPr="00E41CAC">
        <w:rPr>
          <w:b/>
          <w:bCs/>
          <w:noProof/>
          <w:szCs w:val="24"/>
        </w:rPr>
        <w:t>STS requirements (Articles 20, 26b, 26c</w:t>
      </w:r>
      <w:r w:rsidR="002565AF" w:rsidRPr="00E41CAC">
        <w:rPr>
          <w:b/>
          <w:bCs/>
          <w:noProof/>
          <w:szCs w:val="24"/>
        </w:rPr>
        <w:t>, 26e)</w:t>
      </w:r>
    </w:p>
    <w:p w:rsidR="00BF3D0B" w:rsidRPr="00E41CAC" w:rsidRDefault="009E7B25" w:rsidP="00C46B7C">
      <w:pPr>
        <w:spacing w:before="0" w:after="240"/>
        <w:rPr>
          <w:noProof/>
          <w:szCs w:val="24"/>
        </w:rPr>
      </w:pPr>
      <w:r w:rsidRPr="00E41CAC">
        <w:rPr>
          <w:noProof/>
          <w:szCs w:val="24"/>
        </w:rPr>
        <w:t xml:space="preserve">To facilitate the securitisation of SME loans in STS securitisation, the homogeneity requirement </w:t>
      </w:r>
      <w:r w:rsidR="00000902" w:rsidRPr="00E41CAC">
        <w:rPr>
          <w:noProof/>
          <w:szCs w:val="24"/>
        </w:rPr>
        <w:t xml:space="preserve">in </w:t>
      </w:r>
      <w:r w:rsidR="7B723FF0" w:rsidRPr="00E41CAC">
        <w:rPr>
          <w:noProof/>
          <w:szCs w:val="24"/>
        </w:rPr>
        <w:t>Art</w:t>
      </w:r>
      <w:r w:rsidR="32B7D233" w:rsidRPr="00E41CAC">
        <w:rPr>
          <w:noProof/>
          <w:szCs w:val="24"/>
        </w:rPr>
        <w:t>i</w:t>
      </w:r>
      <w:r w:rsidR="7B723FF0" w:rsidRPr="00E41CAC">
        <w:rPr>
          <w:noProof/>
          <w:szCs w:val="24"/>
        </w:rPr>
        <w:t>cle</w:t>
      </w:r>
      <w:r w:rsidR="00B33954">
        <w:rPr>
          <w:noProof/>
          <w:szCs w:val="24"/>
        </w:rPr>
        <w:t>s</w:t>
      </w:r>
      <w:r w:rsidR="00000902" w:rsidRPr="00E41CAC">
        <w:rPr>
          <w:noProof/>
          <w:szCs w:val="24"/>
        </w:rPr>
        <w:t xml:space="preserve"> 20(8), </w:t>
      </w:r>
      <w:r w:rsidR="004416D4" w:rsidRPr="00E41CAC">
        <w:rPr>
          <w:noProof/>
          <w:szCs w:val="24"/>
        </w:rPr>
        <w:t xml:space="preserve">(15) and Article </w:t>
      </w:r>
      <w:r w:rsidR="00C40F4E" w:rsidRPr="00E41CAC">
        <w:rPr>
          <w:noProof/>
          <w:szCs w:val="24"/>
        </w:rPr>
        <w:t>26b(8)</w:t>
      </w:r>
      <w:r w:rsidR="00B33954">
        <w:rPr>
          <w:noProof/>
          <w:szCs w:val="24"/>
        </w:rPr>
        <w:t xml:space="preserve"> of </w:t>
      </w:r>
      <w:r w:rsidR="00B33954" w:rsidRPr="00A71557">
        <w:rPr>
          <w:rFonts w:eastAsia="Arial Unicode MS"/>
          <w:noProof/>
          <w:szCs w:val="24"/>
        </w:rPr>
        <w:t>Regulation (EU) 2017/2402</w:t>
      </w:r>
      <w:r w:rsidR="00000902" w:rsidRPr="00E41CAC">
        <w:rPr>
          <w:noProof/>
          <w:szCs w:val="24"/>
        </w:rPr>
        <w:t xml:space="preserve">, </w:t>
      </w:r>
      <w:r w:rsidRPr="00E41CAC">
        <w:rPr>
          <w:noProof/>
          <w:szCs w:val="24"/>
        </w:rPr>
        <w:t xml:space="preserve"> is </w:t>
      </w:r>
      <w:r w:rsidR="00B33954">
        <w:rPr>
          <w:noProof/>
          <w:szCs w:val="24"/>
        </w:rPr>
        <w:t xml:space="preserve">to be amended </w:t>
      </w:r>
      <w:r w:rsidR="00C942A2" w:rsidRPr="00E41CAC">
        <w:rPr>
          <w:noProof/>
          <w:szCs w:val="24"/>
        </w:rPr>
        <w:t>to stipulate that a securitisation where at least 70% of the underlying pool of exposures consist of SME loans are deemed to comply with that requirement</w:t>
      </w:r>
      <w:r w:rsidR="008359BE" w:rsidRPr="00E41CAC">
        <w:rPr>
          <w:noProof/>
          <w:szCs w:val="24"/>
        </w:rPr>
        <w:t>. Th</w:t>
      </w:r>
      <w:r w:rsidR="00330C95" w:rsidRPr="00E41CAC">
        <w:rPr>
          <w:noProof/>
          <w:szCs w:val="24"/>
        </w:rPr>
        <w:t>e 70% threshold is lower than the current 100% requirement.</w:t>
      </w:r>
    </w:p>
    <w:p w:rsidR="00330C95" w:rsidRPr="00E41CAC" w:rsidRDefault="00377267" w:rsidP="00C46B7C">
      <w:pPr>
        <w:spacing w:before="0" w:after="240"/>
        <w:rPr>
          <w:noProof/>
          <w:szCs w:val="24"/>
        </w:rPr>
      </w:pPr>
      <w:r w:rsidRPr="00E41CAC">
        <w:rPr>
          <w:noProof/>
          <w:szCs w:val="24"/>
        </w:rPr>
        <w:t xml:space="preserve">To enable insurance and reinsurance undertakings to participate meaningfully in the STS on-balance-sheet market, </w:t>
      </w:r>
      <w:r w:rsidR="00EE3774" w:rsidRPr="00E41CAC">
        <w:rPr>
          <w:noProof/>
          <w:szCs w:val="24"/>
        </w:rPr>
        <w:t xml:space="preserve">the </w:t>
      </w:r>
      <w:r w:rsidR="00056BDA" w:rsidRPr="00E41CAC">
        <w:rPr>
          <w:noProof/>
          <w:szCs w:val="24"/>
        </w:rPr>
        <w:t>eligibility criteria for credit protections</w:t>
      </w:r>
      <w:r w:rsidR="00EE3774" w:rsidRPr="00E41CAC">
        <w:rPr>
          <w:noProof/>
          <w:szCs w:val="24"/>
        </w:rPr>
        <w:t xml:space="preserve"> in Article </w:t>
      </w:r>
      <w:r w:rsidR="00056BDA" w:rsidRPr="00E41CAC">
        <w:rPr>
          <w:noProof/>
          <w:szCs w:val="24"/>
        </w:rPr>
        <w:t>26e(8)</w:t>
      </w:r>
      <w:r w:rsidR="00B33954">
        <w:rPr>
          <w:noProof/>
          <w:szCs w:val="24"/>
        </w:rPr>
        <w:t xml:space="preserve"> of </w:t>
      </w:r>
      <w:r w:rsidR="00B33954" w:rsidRPr="00A71557">
        <w:rPr>
          <w:rFonts w:eastAsia="Arial Unicode MS"/>
          <w:noProof/>
          <w:szCs w:val="24"/>
        </w:rPr>
        <w:t>Regulation (EU) 2017/2402</w:t>
      </w:r>
      <w:r w:rsidR="00B33954">
        <w:rPr>
          <w:rFonts w:eastAsia="Arial Unicode MS"/>
          <w:noProof/>
          <w:szCs w:val="24"/>
        </w:rPr>
        <w:t xml:space="preserve"> </w:t>
      </w:r>
      <w:r w:rsidR="00056BDA" w:rsidRPr="00E41CAC">
        <w:rPr>
          <w:noProof/>
          <w:szCs w:val="24"/>
        </w:rPr>
        <w:t xml:space="preserve">are </w:t>
      </w:r>
      <w:r w:rsidR="00A61AD8">
        <w:rPr>
          <w:noProof/>
          <w:szCs w:val="24"/>
        </w:rPr>
        <w:t>amended t</w:t>
      </w:r>
      <w:r w:rsidR="00056BDA" w:rsidRPr="00E41CAC">
        <w:rPr>
          <w:noProof/>
          <w:szCs w:val="24"/>
        </w:rPr>
        <w:t xml:space="preserve">o include also an unfunded guarantee by </w:t>
      </w:r>
      <w:r w:rsidR="00AB240E" w:rsidRPr="00E41CAC">
        <w:rPr>
          <w:noProof/>
          <w:szCs w:val="24"/>
        </w:rPr>
        <w:t>an insurance or reinsurance undertaking that meets certain robustness, solvency and diversification criteria.</w:t>
      </w:r>
    </w:p>
    <w:p w:rsidR="00AB240E" w:rsidRPr="00E41CAC" w:rsidRDefault="003E51E1" w:rsidP="00C46B7C">
      <w:pPr>
        <w:spacing w:before="0" w:after="240"/>
        <w:rPr>
          <w:noProof/>
          <w:szCs w:val="24"/>
        </w:rPr>
      </w:pPr>
      <w:r w:rsidRPr="00E41CAC">
        <w:rPr>
          <w:noProof/>
          <w:szCs w:val="24"/>
        </w:rPr>
        <w:t>A number of other technical</w:t>
      </w:r>
      <w:r w:rsidR="00903B4F" w:rsidRPr="00E41CAC">
        <w:rPr>
          <w:noProof/>
          <w:szCs w:val="24"/>
        </w:rPr>
        <w:t>, but not substantive,</w:t>
      </w:r>
      <w:r w:rsidRPr="00E41CAC">
        <w:rPr>
          <w:noProof/>
          <w:szCs w:val="24"/>
        </w:rPr>
        <w:t xml:space="preserve"> amendments facilitate the implementation of the STS criteria</w:t>
      </w:r>
      <w:r w:rsidR="00903B4F" w:rsidRPr="00E41CAC">
        <w:rPr>
          <w:noProof/>
          <w:szCs w:val="24"/>
        </w:rPr>
        <w:t>.</w:t>
      </w:r>
    </w:p>
    <w:p w:rsidR="00B66617" w:rsidRPr="00E41CAC" w:rsidRDefault="00B66617" w:rsidP="7D6E30EA">
      <w:pPr>
        <w:spacing w:before="0" w:after="240"/>
        <w:rPr>
          <w:b/>
          <w:bCs/>
          <w:noProof/>
          <w:szCs w:val="24"/>
        </w:rPr>
      </w:pPr>
      <w:r w:rsidRPr="00E41CAC">
        <w:rPr>
          <w:b/>
          <w:bCs/>
          <w:noProof/>
          <w:szCs w:val="24"/>
        </w:rPr>
        <w:t>T</w:t>
      </w:r>
      <w:r w:rsidR="00F15986">
        <w:rPr>
          <w:b/>
          <w:bCs/>
          <w:noProof/>
          <w:szCs w:val="24"/>
        </w:rPr>
        <w:t>hird Party Verifiers</w:t>
      </w:r>
      <w:r w:rsidR="005A54F3" w:rsidRPr="00E41CAC">
        <w:rPr>
          <w:b/>
          <w:bCs/>
          <w:noProof/>
          <w:szCs w:val="24"/>
        </w:rPr>
        <w:t xml:space="preserve"> </w:t>
      </w:r>
      <w:r w:rsidRPr="00E41CAC">
        <w:rPr>
          <w:b/>
          <w:bCs/>
          <w:noProof/>
          <w:szCs w:val="24"/>
        </w:rPr>
        <w:t>(Arti</w:t>
      </w:r>
      <w:r w:rsidR="005A54F3" w:rsidRPr="00E41CAC">
        <w:rPr>
          <w:b/>
          <w:bCs/>
          <w:noProof/>
          <w:szCs w:val="24"/>
        </w:rPr>
        <w:t>c</w:t>
      </w:r>
      <w:r w:rsidRPr="00E41CAC">
        <w:rPr>
          <w:b/>
          <w:bCs/>
          <w:noProof/>
          <w:szCs w:val="24"/>
        </w:rPr>
        <w:t>le 28)</w:t>
      </w:r>
    </w:p>
    <w:p w:rsidR="7D6E30EA" w:rsidRPr="00E41CAC" w:rsidRDefault="4C430526" w:rsidP="2478A539">
      <w:pPr>
        <w:spacing w:before="0" w:after="240"/>
        <w:rPr>
          <w:noProof/>
          <w:szCs w:val="24"/>
        </w:rPr>
      </w:pPr>
      <w:r w:rsidRPr="00E41CAC">
        <w:rPr>
          <w:noProof/>
          <w:szCs w:val="24"/>
        </w:rPr>
        <w:t xml:space="preserve">The proposal </w:t>
      </w:r>
      <w:r w:rsidR="0022733E" w:rsidRPr="00E41CAC">
        <w:rPr>
          <w:noProof/>
          <w:szCs w:val="24"/>
        </w:rPr>
        <w:t>stipulate</w:t>
      </w:r>
      <w:r w:rsidR="00A61AD8">
        <w:rPr>
          <w:noProof/>
          <w:szCs w:val="24"/>
        </w:rPr>
        <w:t>s</w:t>
      </w:r>
      <w:r w:rsidRPr="00E41CAC">
        <w:rPr>
          <w:noProof/>
          <w:szCs w:val="24"/>
        </w:rPr>
        <w:t xml:space="preserve"> that Third Party Verifiers </w:t>
      </w:r>
      <w:r w:rsidR="0022733E" w:rsidRPr="00E41CAC">
        <w:rPr>
          <w:noProof/>
          <w:szCs w:val="24"/>
        </w:rPr>
        <w:t>of STS com</w:t>
      </w:r>
      <w:r w:rsidR="00A61AD8">
        <w:rPr>
          <w:noProof/>
          <w:szCs w:val="24"/>
        </w:rPr>
        <w:t>p</w:t>
      </w:r>
      <w:r w:rsidR="0022733E" w:rsidRPr="00E41CAC">
        <w:rPr>
          <w:noProof/>
          <w:szCs w:val="24"/>
        </w:rPr>
        <w:t>liance</w:t>
      </w:r>
      <w:r w:rsidRPr="00E41CAC">
        <w:rPr>
          <w:noProof/>
          <w:szCs w:val="24"/>
        </w:rPr>
        <w:t xml:space="preserve"> need to be supervised in addition to authorised</w:t>
      </w:r>
      <w:r w:rsidR="0022733E" w:rsidRPr="00E41CAC">
        <w:rPr>
          <w:noProof/>
          <w:szCs w:val="24"/>
        </w:rPr>
        <w:t xml:space="preserve"> by their respective national competent authority</w:t>
      </w:r>
      <w:r w:rsidRPr="00E41CAC">
        <w:rPr>
          <w:noProof/>
          <w:szCs w:val="24"/>
        </w:rPr>
        <w:t>.</w:t>
      </w:r>
    </w:p>
    <w:p w:rsidR="00C46B7C" w:rsidRPr="00E41CAC" w:rsidRDefault="00C46B7C" w:rsidP="00C46B7C">
      <w:pPr>
        <w:spacing w:before="0" w:after="240"/>
        <w:rPr>
          <w:b/>
          <w:bCs/>
          <w:noProof/>
          <w:szCs w:val="24"/>
          <w:lang w:val="en-IE"/>
        </w:rPr>
      </w:pPr>
      <w:r w:rsidRPr="00E41CAC">
        <w:rPr>
          <w:b/>
          <w:bCs/>
          <w:noProof/>
          <w:szCs w:val="24"/>
          <w:lang w:val="en-IE"/>
        </w:rPr>
        <w:t xml:space="preserve">Supervision (Articles </w:t>
      </w:r>
      <w:r w:rsidR="008D63F5" w:rsidRPr="00E41CAC">
        <w:rPr>
          <w:b/>
          <w:bCs/>
          <w:noProof/>
          <w:szCs w:val="24"/>
          <w:lang w:val="en-IE"/>
        </w:rPr>
        <w:t>2</w:t>
      </w:r>
      <w:r w:rsidR="005A54F3" w:rsidRPr="00E41CAC">
        <w:rPr>
          <w:b/>
          <w:bCs/>
          <w:noProof/>
          <w:szCs w:val="24"/>
          <w:lang w:val="en-IE"/>
        </w:rPr>
        <w:t>9</w:t>
      </w:r>
      <w:r w:rsidR="00321521" w:rsidRPr="00E41CAC">
        <w:rPr>
          <w:b/>
          <w:bCs/>
          <w:noProof/>
          <w:szCs w:val="24"/>
          <w:lang w:val="en-IE"/>
        </w:rPr>
        <w:t xml:space="preserve">, 30, 32 and </w:t>
      </w:r>
      <w:r w:rsidR="008D63F5" w:rsidRPr="00E41CAC">
        <w:rPr>
          <w:b/>
          <w:bCs/>
          <w:noProof/>
          <w:szCs w:val="24"/>
          <w:lang w:val="en-IE"/>
        </w:rPr>
        <w:t>36</w:t>
      </w:r>
      <w:r w:rsidRPr="00E41CAC">
        <w:rPr>
          <w:b/>
          <w:bCs/>
          <w:noProof/>
          <w:szCs w:val="24"/>
          <w:lang w:val="en-IE"/>
        </w:rPr>
        <w:t>)</w:t>
      </w:r>
    </w:p>
    <w:p w:rsidR="00C46B7C" w:rsidRPr="00E41CAC" w:rsidRDefault="40472064">
      <w:pPr>
        <w:spacing w:before="0" w:after="240"/>
        <w:rPr>
          <w:noProof/>
        </w:rPr>
      </w:pPr>
      <w:r w:rsidRPr="2E1AC283">
        <w:rPr>
          <w:noProof/>
        </w:rPr>
        <w:t xml:space="preserve">To promote supervisory convergence and prevent fragmentation and differential regulatory interpretations, the proposal strengthens the role of of the </w:t>
      </w:r>
      <w:r w:rsidR="1C586D57" w:rsidRPr="001D3803">
        <w:rPr>
          <w:noProof/>
        </w:rPr>
        <w:t>s</w:t>
      </w:r>
      <w:r w:rsidR="00314FCD" w:rsidRPr="001D3803">
        <w:rPr>
          <w:noProof/>
        </w:rPr>
        <w:t xml:space="preserve">ecuritisation </w:t>
      </w:r>
      <w:r w:rsidR="003F288F" w:rsidRPr="001D3803">
        <w:rPr>
          <w:noProof/>
        </w:rPr>
        <w:t>s</w:t>
      </w:r>
      <w:r w:rsidR="00314FCD" w:rsidRPr="001D3803">
        <w:rPr>
          <w:noProof/>
        </w:rPr>
        <w:t xml:space="preserve">ub-committee </w:t>
      </w:r>
      <w:r>
        <w:rPr>
          <w:noProof/>
        </w:rPr>
        <w:t>of the ESAs Joint Committee</w:t>
      </w:r>
      <w:r w:rsidRPr="001D3803">
        <w:rPr>
          <w:noProof/>
        </w:rPr>
        <w:t>.</w:t>
      </w:r>
      <w:r w:rsidRPr="2E1AC283">
        <w:rPr>
          <w:noProof/>
        </w:rPr>
        <w:t xml:space="preserve"> In particular, the</w:t>
      </w:r>
      <w:r w:rsidRPr="15D35157">
        <w:rPr>
          <w:noProof/>
        </w:rPr>
        <w:t xml:space="preserve"> </w:t>
      </w:r>
      <w:r w:rsidR="0A296793" w:rsidRPr="15D35157">
        <w:rPr>
          <w:noProof/>
        </w:rPr>
        <w:t>securitisation</w:t>
      </w:r>
      <w:r w:rsidRPr="2E1AC283">
        <w:rPr>
          <w:noProof/>
        </w:rPr>
        <w:t xml:space="preserve"> </w:t>
      </w:r>
      <w:r w:rsidR="00314FCD">
        <w:rPr>
          <w:noProof/>
        </w:rPr>
        <w:t>sub-</w:t>
      </w:r>
      <w:r w:rsidR="4FAD63E6" w:rsidRPr="2E1AC283">
        <w:rPr>
          <w:noProof/>
        </w:rPr>
        <w:t>committee</w:t>
      </w:r>
      <w:r w:rsidRPr="2E1AC283">
        <w:rPr>
          <w:noProof/>
        </w:rPr>
        <w:t xml:space="preserve"> is mandated to adopt guidelines to establish common supervisory proce</w:t>
      </w:r>
      <w:r w:rsidR="1B20729F" w:rsidRPr="2E1AC283">
        <w:rPr>
          <w:noProof/>
        </w:rPr>
        <w:t>dures</w:t>
      </w:r>
      <w:r w:rsidR="005A2A3B">
        <w:rPr>
          <w:noProof/>
        </w:rPr>
        <w:t xml:space="preserve"> and to develop the reporting templates referred to in </w:t>
      </w:r>
      <w:r w:rsidR="005A2A3B" w:rsidRPr="001D3803">
        <w:rPr>
          <w:noProof/>
        </w:rPr>
        <w:t>Art</w:t>
      </w:r>
      <w:r w:rsidR="231FFE51" w:rsidRPr="001D3803">
        <w:rPr>
          <w:noProof/>
        </w:rPr>
        <w:t>icle</w:t>
      </w:r>
      <w:r w:rsidR="005A2A3B" w:rsidRPr="15D35157">
        <w:rPr>
          <w:noProof/>
        </w:rPr>
        <w:t xml:space="preserve"> 7</w:t>
      </w:r>
      <w:r w:rsidRPr="15D35157">
        <w:rPr>
          <w:noProof/>
        </w:rPr>
        <w:t>.</w:t>
      </w:r>
      <w:r w:rsidRPr="2E1AC283">
        <w:rPr>
          <w:noProof/>
        </w:rPr>
        <w:t xml:space="preserve"> To ensure greater accountability and continuity, the E</w:t>
      </w:r>
      <w:r w:rsidR="538F712A" w:rsidRPr="2E1AC283">
        <w:rPr>
          <w:noProof/>
        </w:rPr>
        <w:t>BA</w:t>
      </w:r>
      <w:r w:rsidRPr="2E1AC283">
        <w:rPr>
          <w:noProof/>
        </w:rPr>
        <w:t xml:space="preserve"> is put in the lead of the</w:t>
      </w:r>
      <w:r w:rsidR="0C83A908" w:rsidRPr="2E1AC283">
        <w:rPr>
          <w:noProof/>
        </w:rPr>
        <w:t xml:space="preserve"> </w:t>
      </w:r>
      <w:r w:rsidR="007F004B" w:rsidRPr="2E1AC283">
        <w:rPr>
          <w:noProof/>
        </w:rPr>
        <w:t>work</w:t>
      </w:r>
      <w:r w:rsidR="007F004B" w:rsidRPr="001D3803">
        <w:rPr>
          <w:noProof/>
        </w:rPr>
        <w:t xml:space="preserve"> </w:t>
      </w:r>
      <w:r w:rsidR="007F004B">
        <w:rPr>
          <w:noProof/>
        </w:rPr>
        <w:t xml:space="preserve">of the </w:t>
      </w:r>
      <w:r w:rsidR="634C5EFF" w:rsidRPr="001D3803">
        <w:rPr>
          <w:noProof/>
        </w:rPr>
        <w:t>s</w:t>
      </w:r>
      <w:r w:rsidR="0C83A908" w:rsidRPr="001D3803">
        <w:rPr>
          <w:noProof/>
        </w:rPr>
        <w:t xml:space="preserve">ecuritisation </w:t>
      </w:r>
      <w:r w:rsidR="00815C59" w:rsidRPr="001D3803">
        <w:rPr>
          <w:noProof/>
        </w:rPr>
        <w:t>sub-</w:t>
      </w:r>
      <w:r w:rsidR="001D3803" w:rsidRPr="001D3803">
        <w:rPr>
          <w:noProof/>
        </w:rPr>
        <w:t>c</w:t>
      </w:r>
      <w:r w:rsidR="0C83A908" w:rsidRPr="001D3803">
        <w:rPr>
          <w:noProof/>
        </w:rPr>
        <w:t>ommittee</w:t>
      </w:r>
      <w:r w:rsidR="007F004B">
        <w:rPr>
          <w:noProof/>
        </w:rPr>
        <w:t xml:space="preserve"> of the ESAs Joint Committee</w:t>
      </w:r>
      <w:r w:rsidR="70D4B468" w:rsidRPr="2E1AC283">
        <w:rPr>
          <w:noProof/>
        </w:rPr>
        <w:t xml:space="preserve">, will </w:t>
      </w:r>
      <w:r w:rsidR="4168B813" w:rsidRPr="2E1AC283">
        <w:rPr>
          <w:noProof/>
        </w:rPr>
        <w:t>provide</w:t>
      </w:r>
      <w:r w:rsidR="70D4B468" w:rsidRPr="2E1AC283">
        <w:rPr>
          <w:noProof/>
        </w:rPr>
        <w:t xml:space="preserve"> the secretariat</w:t>
      </w:r>
      <w:r w:rsidR="4168B813" w:rsidRPr="2E1AC283">
        <w:rPr>
          <w:noProof/>
        </w:rPr>
        <w:t xml:space="preserve"> </w:t>
      </w:r>
      <w:r w:rsidR="577A4F3A" w:rsidRPr="001D3803">
        <w:rPr>
          <w:noProof/>
        </w:rPr>
        <w:t>and</w:t>
      </w:r>
      <w:r w:rsidR="09399F37" w:rsidRPr="001D3803">
        <w:rPr>
          <w:noProof/>
        </w:rPr>
        <w:t xml:space="preserve"> a </w:t>
      </w:r>
      <w:r w:rsidR="00C46B7C" w:rsidRPr="001D3803" w:rsidDel="09399F37">
        <w:rPr>
          <w:noProof/>
        </w:rPr>
        <w:t>vice-</w:t>
      </w:r>
      <w:r w:rsidR="60F870A4" w:rsidRPr="001D3803">
        <w:rPr>
          <w:noProof/>
        </w:rPr>
        <w:t>chair</w:t>
      </w:r>
      <w:r w:rsidR="09399F37" w:rsidRPr="001D3803">
        <w:rPr>
          <w:noProof/>
        </w:rPr>
        <w:t xml:space="preserve">person for </w:t>
      </w:r>
      <w:r w:rsidR="500E0124" w:rsidRPr="001D3803">
        <w:rPr>
          <w:noProof/>
        </w:rPr>
        <w:t>it</w:t>
      </w:r>
      <w:r w:rsidR="20D81CBF" w:rsidRPr="001D3803">
        <w:rPr>
          <w:noProof/>
        </w:rPr>
        <w:t>,</w:t>
      </w:r>
      <w:r w:rsidR="00741C65">
        <w:rPr>
          <w:noProof/>
        </w:rPr>
        <w:t xml:space="preserve"> </w:t>
      </w:r>
      <w:r w:rsidR="1C7303B8" w:rsidRPr="20FF58BF">
        <w:rPr>
          <w:noProof/>
        </w:rPr>
        <w:t xml:space="preserve">supporting </w:t>
      </w:r>
      <w:r w:rsidR="20D81CBF" w:rsidRPr="001D3803">
        <w:rPr>
          <w:noProof/>
        </w:rPr>
        <w:t xml:space="preserve">the chairperson </w:t>
      </w:r>
      <w:r w:rsidR="799BFEFD" w:rsidRPr="001D3803">
        <w:rPr>
          <w:noProof/>
        </w:rPr>
        <w:t xml:space="preserve">in </w:t>
      </w:r>
      <w:r w:rsidR="799BFEFD" w:rsidRPr="732654BC">
        <w:rPr>
          <w:noProof/>
        </w:rPr>
        <w:t xml:space="preserve">the exercise of his </w:t>
      </w:r>
      <w:r w:rsidR="799BFEFD" w:rsidRPr="46CFA1AD">
        <w:rPr>
          <w:noProof/>
        </w:rPr>
        <w:t xml:space="preserve">or her </w:t>
      </w:r>
      <w:r w:rsidR="799BFEFD" w:rsidRPr="0A2420F9">
        <w:rPr>
          <w:noProof/>
        </w:rPr>
        <w:t>tasks</w:t>
      </w:r>
      <w:r w:rsidR="4A78E9A5" w:rsidRPr="0A2420F9">
        <w:rPr>
          <w:noProof/>
        </w:rPr>
        <w:t xml:space="preserve"> </w:t>
      </w:r>
      <w:r w:rsidR="20D81CBF" w:rsidRPr="001D3803">
        <w:rPr>
          <w:noProof/>
        </w:rPr>
        <w:t xml:space="preserve">and </w:t>
      </w:r>
      <w:r w:rsidR="5D7F2FEC" w:rsidRPr="001D3803">
        <w:rPr>
          <w:noProof/>
        </w:rPr>
        <w:t>performing</w:t>
      </w:r>
      <w:r w:rsidR="5D7F2FEC" w:rsidRPr="2E1AC283">
        <w:rPr>
          <w:noProof/>
        </w:rPr>
        <w:t xml:space="preserve"> the tasks of the chairperson</w:t>
      </w:r>
      <w:r w:rsidR="20D81CBF" w:rsidRPr="001D3803">
        <w:rPr>
          <w:noProof/>
        </w:rPr>
        <w:t xml:space="preserve"> during </w:t>
      </w:r>
      <w:r w:rsidR="40D391D9" w:rsidRPr="001D3803">
        <w:rPr>
          <w:noProof/>
        </w:rPr>
        <w:t>the</w:t>
      </w:r>
      <w:r w:rsidR="40D391D9" w:rsidRPr="2E1AC283">
        <w:rPr>
          <w:noProof/>
        </w:rPr>
        <w:t xml:space="preserve"> latter’s</w:t>
      </w:r>
      <w:r w:rsidR="20D81CBF" w:rsidRPr="001D3803">
        <w:rPr>
          <w:noProof/>
        </w:rPr>
        <w:t xml:space="preserve"> absence</w:t>
      </w:r>
      <w:r w:rsidR="56469070" w:rsidRPr="001D3803">
        <w:rPr>
          <w:noProof/>
        </w:rPr>
        <w:t>,</w:t>
      </w:r>
      <w:r w:rsidR="3D2EADBA" w:rsidRPr="2E1AC283">
        <w:rPr>
          <w:noProof/>
        </w:rPr>
        <w:t xml:space="preserve"> on a permanent basis</w:t>
      </w:r>
      <w:r w:rsidRPr="2E1AC283">
        <w:rPr>
          <w:noProof/>
        </w:rPr>
        <w:t xml:space="preserve">. </w:t>
      </w:r>
    </w:p>
    <w:p w:rsidR="00C46B7C" w:rsidRPr="00E41CAC" w:rsidRDefault="00C46B7C" w:rsidP="00C46B7C">
      <w:pPr>
        <w:spacing w:before="0" w:after="240"/>
        <w:rPr>
          <w:noProof/>
          <w:szCs w:val="24"/>
        </w:rPr>
      </w:pPr>
      <w:r w:rsidRPr="00E41CAC">
        <w:rPr>
          <w:noProof/>
          <w:szCs w:val="24"/>
        </w:rPr>
        <w:t>To ensure effic</w:t>
      </w:r>
      <w:r w:rsidR="0081129C" w:rsidRPr="00E41CAC">
        <w:rPr>
          <w:noProof/>
          <w:szCs w:val="24"/>
        </w:rPr>
        <w:t>i</w:t>
      </w:r>
      <w:r w:rsidRPr="00E41CAC">
        <w:rPr>
          <w:noProof/>
          <w:szCs w:val="24"/>
        </w:rPr>
        <w:t xml:space="preserve">ent and consistent supervision of the STS criteria, Article </w:t>
      </w:r>
      <w:r w:rsidR="00D6023B" w:rsidRPr="00E41CAC">
        <w:rPr>
          <w:noProof/>
          <w:szCs w:val="24"/>
        </w:rPr>
        <w:t>29</w:t>
      </w:r>
      <w:r w:rsidR="00006EF7">
        <w:rPr>
          <w:noProof/>
          <w:szCs w:val="24"/>
        </w:rPr>
        <w:t xml:space="preserve"> of </w:t>
      </w:r>
      <w:r w:rsidR="00006EF7" w:rsidRPr="00A71557">
        <w:rPr>
          <w:rFonts w:eastAsia="Arial Unicode MS"/>
          <w:noProof/>
          <w:szCs w:val="24"/>
        </w:rPr>
        <w:t>Regulation (EU) 2017/2402</w:t>
      </w:r>
      <w:r w:rsidR="00006EF7">
        <w:rPr>
          <w:rFonts w:eastAsia="Arial Unicode MS"/>
          <w:noProof/>
          <w:szCs w:val="24"/>
        </w:rPr>
        <w:t xml:space="preserve"> </w:t>
      </w:r>
      <w:r w:rsidR="00006EF7">
        <w:rPr>
          <w:noProof/>
          <w:szCs w:val="24"/>
        </w:rPr>
        <w:t xml:space="preserve">should </w:t>
      </w:r>
      <w:r w:rsidRPr="00E41CAC">
        <w:rPr>
          <w:noProof/>
          <w:szCs w:val="24"/>
        </w:rPr>
        <w:t xml:space="preserve">entrust banking national competent authorities with the responsibility to supervise the application of the STS criteria by bank-originated securitisations. For </w:t>
      </w:r>
      <w:r w:rsidR="00184EA0" w:rsidRPr="00E41CAC">
        <w:rPr>
          <w:noProof/>
          <w:szCs w:val="24"/>
        </w:rPr>
        <w:t>credit</w:t>
      </w:r>
      <w:r w:rsidRPr="00E41CAC">
        <w:rPr>
          <w:noProof/>
          <w:szCs w:val="24"/>
        </w:rPr>
        <w:t xml:space="preserve"> institutions in the Banking Union, th</w:t>
      </w:r>
      <w:r w:rsidR="00006EF7">
        <w:rPr>
          <w:noProof/>
          <w:szCs w:val="24"/>
        </w:rPr>
        <w:t>at</w:t>
      </w:r>
      <w:r w:rsidRPr="00E41CAC">
        <w:rPr>
          <w:noProof/>
          <w:szCs w:val="24"/>
        </w:rPr>
        <w:t xml:space="preserve"> supervision would be carried out by the Single Supervisory Mechanism. </w:t>
      </w:r>
    </w:p>
    <w:p w:rsidR="00DC742F" w:rsidRPr="00E41CAC" w:rsidRDefault="00CE2927" w:rsidP="00C46B7C">
      <w:pPr>
        <w:spacing w:before="0" w:after="240"/>
        <w:rPr>
          <w:noProof/>
          <w:szCs w:val="24"/>
        </w:rPr>
      </w:pPr>
      <w:r w:rsidRPr="00E41CAC">
        <w:rPr>
          <w:noProof/>
          <w:szCs w:val="24"/>
        </w:rPr>
        <w:t>To enable supervisors to enforc</w:t>
      </w:r>
      <w:r w:rsidR="00AE3799" w:rsidRPr="00E41CAC">
        <w:rPr>
          <w:noProof/>
          <w:szCs w:val="24"/>
        </w:rPr>
        <w:t xml:space="preserve">e the due diligence requirements, </w:t>
      </w:r>
      <w:r w:rsidR="00790DB3" w:rsidRPr="00E41CAC">
        <w:rPr>
          <w:noProof/>
          <w:szCs w:val="24"/>
        </w:rPr>
        <w:t xml:space="preserve">Article 32 </w:t>
      </w:r>
      <w:r w:rsidR="00006EF7">
        <w:rPr>
          <w:noProof/>
          <w:szCs w:val="24"/>
        </w:rPr>
        <w:t xml:space="preserve">of </w:t>
      </w:r>
      <w:r w:rsidR="00006EF7" w:rsidRPr="00A71557">
        <w:rPr>
          <w:rFonts w:eastAsia="Arial Unicode MS"/>
          <w:noProof/>
          <w:szCs w:val="24"/>
        </w:rPr>
        <w:t>Regulation (EU) 2017/2402</w:t>
      </w:r>
      <w:r w:rsidR="00006EF7">
        <w:rPr>
          <w:rFonts w:eastAsia="Arial Unicode MS"/>
          <w:noProof/>
          <w:szCs w:val="24"/>
        </w:rPr>
        <w:t xml:space="preserve"> </w:t>
      </w:r>
      <w:r w:rsidR="00790DB3" w:rsidRPr="00E41CAC">
        <w:rPr>
          <w:noProof/>
          <w:szCs w:val="24"/>
        </w:rPr>
        <w:t>is amend</w:t>
      </w:r>
      <w:r w:rsidR="008474C9" w:rsidRPr="00E41CAC">
        <w:rPr>
          <w:noProof/>
          <w:szCs w:val="24"/>
        </w:rPr>
        <w:t>ed</w:t>
      </w:r>
      <w:r w:rsidR="00790DB3" w:rsidRPr="00E41CAC">
        <w:rPr>
          <w:noProof/>
          <w:szCs w:val="24"/>
        </w:rPr>
        <w:t xml:space="preserve"> to explicitly include </w:t>
      </w:r>
      <w:r w:rsidR="00B423B2" w:rsidRPr="00E41CAC">
        <w:rPr>
          <w:noProof/>
          <w:szCs w:val="24"/>
        </w:rPr>
        <w:t xml:space="preserve">in </w:t>
      </w:r>
      <w:r w:rsidR="00295FC3" w:rsidRPr="00E41CAC">
        <w:rPr>
          <w:noProof/>
          <w:szCs w:val="24"/>
        </w:rPr>
        <w:t xml:space="preserve">the </w:t>
      </w:r>
      <w:r w:rsidR="00B423B2" w:rsidRPr="00E41CAC">
        <w:rPr>
          <w:noProof/>
          <w:szCs w:val="24"/>
        </w:rPr>
        <w:t>list</w:t>
      </w:r>
      <w:r w:rsidR="00295FC3" w:rsidRPr="00E41CAC">
        <w:rPr>
          <w:noProof/>
          <w:szCs w:val="24"/>
        </w:rPr>
        <w:t xml:space="preserve"> of </w:t>
      </w:r>
      <w:r w:rsidR="006E2E5D" w:rsidRPr="00E41CAC">
        <w:rPr>
          <w:noProof/>
          <w:szCs w:val="24"/>
        </w:rPr>
        <w:t>situations where NCAs</w:t>
      </w:r>
      <w:r w:rsidR="00790DB3" w:rsidRPr="00E41CAC">
        <w:rPr>
          <w:noProof/>
          <w:szCs w:val="24"/>
        </w:rPr>
        <w:t xml:space="preserve"> </w:t>
      </w:r>
      <w:r w:rsidR="00566E95" w:rsidRPr="00E41CAC">
        <w:rPr>
          <w:noProof/>
          <w:szCs w:val="24"/>
        </w:rPr>
        <w:t>may apply administrative sanctions</w:t>
      </w:r>
      <w:r w:rsidR="00790DB3" w:rsidRPr="00E41CAC">
        <w:rPr>
          <w:noProof/>
          <w:szCs w:val="24"/>
        </w:rPr>
        <w:t xml:space="preserve"> </w:t>
      </w:r>
      <w:r w:rsidR="00295FC3" w:rsidRPr="00E41CAC">
        <w:rPr>
          <w:noProof/>
          <w:szCs w:val="24"/>
        </w:rPr>
        <w:t xml:space="preserve">the </w:t>
      </w:r>
      <w:r w:rsidR="00B423B2" w:rsidRPr="00E41CAC">
        <w:rPr>
          <w:noProof/>
          <w:szCs w:val="24"/>
        </w:rPr>
        <w:t>failure of institutional investors to meet</w:t>
      </w:r>
      <w:r w:rsidR="00295FC3" w:rsidRPr="00E41CAC">
        <w:rPr>
          <w:noProof/>
          <w:szCs w:val="24"/>
        </w:rPr>
        <w:t xml:space="preserve"> due diligence requirements </w:t>
      </w:r>
      <w:r w:rsidR="00B423B2" w:rsidRPr="00E41CAC">
        <w:rPr>
          <w:noProof/>
          <w:szCs w:val="24"/>
        </w:rPr>
        <w:t>in Article 5</w:t>
      </w:r>
      <w:r w:rsidR="00006EF7">
        <w:rPr>
          <w:noProof/>
          <w:szCs w:val="24"/>
        </w:rPr>
        <w:t xml:space="preserve"> of </w:t>
      </w:r>
      <w:r w:rsidR="00006EF7" w:rsidRPr="00A71557">
        <w:rPr>
          <w:rFonts w:eastAsia="Arial Unicode MS"/>
          <w:noProof/>
          <w:szCs w:val="24"/>
        </w:rPr>
        <w:t>Regulation (EU) 2017/2402</w:t>
      </w:r>
      <w:r w:rsidRPr="00E41CAC">
        <w:rPr>
          <w:noProof/>
          <w:szCs w:val="24"/>
        </w:rPr>
        <w:t>.</w:t>
      </w:r>
    </w:p>
    <w:p w:rsidR="00FC1CB5" w:rsidRPr="00E41CAC" w:rsidRDefault="00F00048" w:rsidP="00F00048">
      <w:pPr>
        <w:spacing w:before="0" w:after="240"/>
        <w:rPr>
          <w:b/>
          <w:bCs/>
          <w:noProof/>
          <w:szCs w:val="24"/>
        </w:rPr>
      </w:pPr>
      <w:r w:rsidRPr="00E41CAC">
        <w:rPr>
          <w:b/>
          <w:bCs/>
          <w:noProof/>
          <w:szCs w:val="24"/>
        </w:rPr>
        <w:t xml:space="preserve">Reports and </w:t>
      </w:r>
      <w:r w:rsidR="00FC1CB5" w:rsidRPr="00E41CAC">
        <w:rPr>
          <w:b/>
          <w:bCs/>
          <w:noProof/>
          <w:szCs w:val="24"/>
        </w:rPr>
        <w:t>Review</w:t>
      </w:r>
      <w:r w:rsidRPr="00E41CAC">
        <w:rPr>
          <w:b/>
          <w:bCs/>
          <w:noProof/>
          <w:szCs w:val="24"/>
        </w:rPr>
        <w:t xml:space="preserve"> (</w:t>
      </w:r>
      <w:r w:rsidR="00C506D2" w:rsidRPr="00E41CAC">
        <w:rPr>
          <w:b/>
          <w:bCs/>
          <w:noProof/>
          <w:szCs w:val="24"/>
        </w:rPr>
        <w:t>Arti</w:t>
      </w:r>
      <w:r w:rsidR="00FF6A0A">
        <w:rPr>
          <w:b/>
          <w:bCs/>
          <w:noProof/>
          <w:szCs w:val="24"/>
        </w:rPr>
        <w:t>c</w:t>
      </w:r>
      <w:r w:rsidR="00C506D2" w:rsidRPr="00E41CAC">
        <w:rPr>
          <w:b/>
          <w:bCs/>
          <w:noProof/>
          <w:szCs w:val="24"/>
        </w:rPr>
        <w:t xml:space="preserve">les 44 and 46) </w:t>
      </w:r>
    </w:p>
    <w:p w:rsidR="00C516D5" w:rsidRPr="00E41CAC" w:rsidRDefault="00A72B70" w:rsidP="00D37195">
      <w:pPr>
        <w:spacing w:before="0" w:after="240"/>
        <w:rPr>
          <w:noProof/>
          <w:szCs w:val="24"/>
        </w:rPr>
      </w:pPr>
      <w:r w:rsidRPr="00E41CAC">
        <w:rPr>
          <w:noProof/>
          <w:szCs w:val="24"/>
        </w:rPr>
        <w:t xml:space="preserve">The rolling mandate </w:t>
      </w:r>
      <w:r w:rsidR="00E22A02" w:rsidRPr="00E41CAC">
        <w:rPr>
          <w:noProof/>
          <w:szCs w:val="24"/>
        </w:rPr>
        <w:t>in Article 44</w:t>
      </w:r>
      <w:r w:rsidR="00D64361" w:rsidRPr="00E41CAC">
        <w:rPr>
          <w:noProof/>
          <w:szCs w:val="24"/>
        </w:rPr>
        <w:t xml:space="preserve"> </w:t>
      </w:r>
      <w:r w:rsidR="00006EF7">
        <w:rPr>
          <w:noProof/>
          <w:szCs w:val="24"/>
        </w:rPr>
        <w:t xml:space="preserve">of </w:t>
      </w:r>
      <w:r w:rsidR="00006EF7" w:rsidRPr="00A71557">
        <w:rPr>
          <w:rFonts w:eastAsia="Arial Unicode MS"/>
          <w:noProof/>
          <w:szCs w:val="24"/>
        </w:rPr>
        <w:t>Regulation (EU) 2017/2402</w:t>
      </w:r>
      <w:r w:rsidR="00006EF7">
        <w:rPr>
          <w:rFonts w:eastAsia="Arial Unicode MS"/>
          <w:noProof/>
          <w:szCs w:val="24"/>
        </w:rPr>
        <w:t xml:space="preserve"> </w:t>
      </w:r>
      <w:r w:rsidRPr="00E41CAC">
        <w:rPr>
          <w:noProof/>
          <w:szCs w:val="24"/>
        </w:rPr>
        <w:t xml:space="preserve">for the </w:t>
      </w:r>
      <w:r>
        <w:rPr>
          <w:noProof/>
          <w:szCs w:val="24"/>
        </w:rPr>
        <w:t>ESAs</w:t>
      </w:r>
      <w:r w:rsidRPr="00E41CAC">
        <w:rPr>
          <w:noProof/>
          <w:szCs w:val="24"/>
        </w:rPr>
        <w:t xml:space="preserve"> </w:t>
      </w:r>
      <w:r w:rsidR="00E22A02" w:rsidRPr="00E41CAC">
        <w:rPr>
          <w:noProof/>
          <w:szCs w:val="24"/>
        </w:rPr>
        <w:t xml:space="preserve">to report on the implementation of this Regulation is updated </w:t>
      </w:r>
      <w:r w:rsidR="000162E8" w:rsidRPr="00E41CAC">
        <w:rPr>
          <w:noProof/>
          <w:szCs w:val="24"/>
        </w:rPr>
        <w:t xml:space="preserve">to require also </w:t>
      </w:r>
      <w:r w:rsidR="00C516D5" w:rsidRPr="00E41CAC">
        <w:rPr>
          <w:noProof/>
          <w:szCs w:val="24"/>
        </w:rPr>
        <w:t>an assessment of the contribution of securitisation to funding EU companies and economy.</w:t>
      </w:r>
    </w:p>
    <w:p w:rsidR="00C516D5" w:rsidRDefault="006653D3" w:rsidP="00F00048">
      <w:pPr>
        <w:spacing w:before="0" w:after="240"/>
        <w:rPr>
          <w:b/>
          <w:bCs/>
          <w:noProof/>
          <w:sz w:val="22"/>
        </w:rPr>
      </w:pPr>
      <w:r w:rsidRPr="00E41CAC">
        <w:rPr>
          <w:noProof/>
          <w:szCs w:val="24"/>
        </w:rPr>
        <w:t xml:space="preserve">The Commission is mandated to review </w:t>
      </w:r>
      <w:r w:rsidR="00C516D5" w:rsidRPr="00E41CAC">
        <w:rPr>
          <w:noProof/>
          <w:szCs w:val="24"/>
        </w:rPr>
        <w:t xml:space="preserve">the functioning of this </w:t>
      </w:r>
      <w:r w:rsidR="00006EF7">
        <w:rPr>
          <w:noProof/>
          <w:szCs w:val="24"/>
        </w:rPr>
        <w:t xml:space="preserve">amending </w:t>
      </w:r>
      <w:r w:rsidR="00C516D5" w:rsidRPr="00E41CAC">
        <w:rPr>
          <w:noProof/>
          <w:szCs w:val="24"/>
        </w:rPr>
        <w:t>Regulation</w:t>
      </w:r>
      <w:r w:rsidR="00D64361" w:rsidRPr="00E41CAC">
        <w:rPr>
          <w:noProof/>
          <w:szCs w:val="24"/>
        </w:rPr>
        <w:t xml:space="preserve"> by five years after it</w:t>
      </w:r>
      <w:r w:rsidR="00006EF7">
        <w:rPr>
          <w:noProof/>
          <w:szCs w:val="24"/>
        </w:rPr>
        <w:t>s date of</w:t>
      </w:r>
      <w:r w:rsidR="00D64361" w:rsidRPr="00E41CAC">
        <w:rPr>
          <w:noProof/>
          <w:szCs w:val="24"/>
        </w:rPr>
        <w:t>application. If found</w:t>
      </w:r>
      <w:r w:rsidR="00C516D5" w:rsidRPr="00E41CAC">
        <w:rPr>
          <w:noProof/>
          <w:szCs w:val="24"/>
        </w:rPr>
        <w:t xml:space="preserve"> appropriate, </w:t>
      </w:r>
      <w:r w:rsidR="00D64361" w:rsidRPr="00E41CAC">
        <w:rPr>
          <w:noProof/>
          <w:szCs w:val="24"/>
        </w:rPr>
        <w:t xml:space="preserve">the review will be accompanied </w:t>
      </w:r>
      <w:r w:rsidR="00C516D5" w:rsidRPr="00E41CAC">
        <w:rPr>
          <w:noProof/>
          <w:szCs w:val="24"/>
        </w:rPr>
        <w:t>by a legislative proposal.</w:t>
      </w:r>
    </w:p>
    <w:p w:rsidR="002D1D27" w:rsidRPr="00295A41" w:rsidRDefault="002D1D27" w:rsidP="00295A41">
      <w:pPr>
        <w:spacing w:before="0" w:after="240"/>
        <w:rPr>
          <w:b/>
          <w:noProof/>
          <w:sz w:val="22"/>
        </w:rPr>
        <w:sectPr w:rsidR="002D1D27" w:rsidRPr="00295A41" w:rsidSect="001B1F0B">
          <w:headerReference w:type="even" r:id="rId18"/>
          <w:footerReference w:type="even" r:id="rId19"/>
          <w:footerReference w:type="default" r:id="rId20"/>
          <w:headerReference w:type="first" r:id="rId21"/>
          <w:footerReference w:type="first" r:id="rId22"/>
          <w:pgSz w:w="11907" w:h="16839"/>
          <w:pgMar w:top="1134" w:right="1417" w:bottom="1134" w:left="1417" w:header="709" w:footer="709" w:gutter="0"/>
          <w:cols w:space="708"/>
          <w:docGrid w:linePitch="360"/>
        </w:sectPr>
      </w:pPr>
    </w:p>
    <w:p w:rsidR="002C55C0" w:rsidRDefault="00082703" w:rsidP="00082703">
      <w:pPr>
        <w:pStyle w:val="Rfrenceinterinstitutionnelle"/>
        <w:rPr>
          <w:noProof/>
        </w:rPr>
      </w:pPr>
      <w:r>
        <w:rPr>
          <w:noProof/>
        </w:rPr>
        <w:t>2025/0826 (COD)</w:t>
      </w:r>
    </w:p>
    <w:p w:rsidR="00D761DA" w:rsidRPr="00F96E01" w:rsidRDefault="00082703" w:rsidP="00082703">
      <w:pPr>
        <w:pStyle w:val="Statut"/>
        <w:rPr>
          <w:noProof/>
        </w:rPr>
      </w:pPr>
      <w:r w:rsidRPr="00082703">
        <w:rPr>
          <w:noProof/>
        </w:rPr>
        <w:t>Proposal for a</w:t>
      </w:r>
    </w:p>
    <w:p w:rsidR="00D761DA" w:rsidRPr="00F96E01" w:rsidRDefault="00082703" w:rsidP="00082703">
      <w:pPr>
        <w:pStyle w:val="Typedudocument"/>
        <w:rPr>
          <w:noProof/>
        </w:rPr>
      </w:pPr>
      <w:r w:rsidRPr="00082703">
        <w:rPr>
          <w:noProof/>
        </w:rPr>
        <w:t>REGULATION OF THE EUROPEAN PARLIAMENT AND OF THE COUNCIL</w:t>
      </w:r>
    </w:p>
    <w:p w:rsidR="00D761DA" w:rsidRPr="00F96E01" w:rsidRDefault="00082703" w:rsidP="00082703">
      <w:pPr>
        <w:pStyle w:val="Titreobjet"/>
        <w:rPr>
          <w:noProof/>
        </w:rPr>
      </w:pPr>
      <w:r w:rsidRPr="00082703">
        <w:rPr>
          <w:noProof/>
        </w:rPr>
        <w:t>amending Regulation (EU) 2017/2402 of the European Parliament and of the Council of 12 December 2017 laying down a general framework for securitisation and creating a specific framework for simple, transparent and standardised securitisation</w:t>
      </w:r>
    </w:p>
    <w:p w:rsidR="00D761DA" w:rsidRPr="00D761DA" w:rsidRDefault="00082703" w:rsidP="00082703">
      <w:pPr>
        <w:pStyle w:val="IntrtEEE"/>
        <w:rPr>
          <w:noProof/>
        </w:rPr>
      </w:pPr>
      <w:r w:rsidRPr="00082703">
        <w:rPr>
          <w:noProof/>
        </w:rPr>
        <w:t>(Text with EEA relevance)</w:t>
      </w:r>
    </w:p>
    <w:p w:rsidR="00D761DA" w:rsidRPr="00F96E01" w:rsidRDefault="00D761DA">
      <w:pPr>
        <w:pStyle w:val="Institutionquiagit"/>
        <w:rPr>
          <w:noProof/>
        </w:rPr>
      </w:pPr>
      <w:r w:rsidRPr="00F96E01">
        <w:rPr>
          <w:noProof/>
        </w:rPr>
        <w:t xml:space="preserve">THE EUROPEAN PARLIAMENT AND THE COUNCIL OF THE EUROPEAN </w:t>
      </w:r>
      <w:smartTag w:uri="urn:schemas-microsoft-com:office:smarttags" w:element="place">
        <w:r w:rsidRPr="00F96E01">
          <w:rPr>
            <w:noProof/>
          </w:rPr>
          <w:t>UNION</w:t>
        </w:r>
      </w:smartTag>
      <w:r w:rsidRPr="00F96E01">
        <w:rPr>
          <w:noProof/>
        </w:rPr>
        <w:t>,</w:t>
      </w:r>
    </w:p>
    <w:p w:rsidR="00D761DA" w:rsidRPr="00F96E01" w:rsidRDefault="00D761DA">
      <w:pPr>
        <w:rPr>
          <w:noProof/>
        </w:rPr>
      </w:pPr>
      <w:r w:rsidRPr="00F96E01">
        <w:rPr>
          <w:noProof/>
        </w:rPr>
        <w:t>Having regard to the Treaty on the Functioning of the European Union, and in particular Articl</w:t>
      </w:r>
      <w:r w:rsidR="00C00F6F">
        <w:rPr>
          <w:noProof/>
        </w:rPr>
        <w:t xml:space="preserve">e 114 </w:t>
      </w:r>
      <w:r w:rsidRPr="00F96E01">
        <w:rPr>
          <w:noProof/>
        </w:rPr>
        <w:t>thereof,</w:t>
      </w:r>
    </w:p>
    <w:p w:rsidR="00D761DA" w:rsidRPr="00F96E01" w:rsidRDefault="00D761DA">
      <w:pPr>
        <w:rPr>
          <w:noProof/>
        </w:rPr>
      </w:pPr>
      <w:r w:rsidRPr="00F96E01">
        <w:rPr>
          <w:noProof/>
        </w:rPr>
        <w:t>Having regard to the proposal from the European Commission,</w:t>
      </w:r>
    </w:p>
    <w:p w:rsidR="00D761DA" w:rsidRDefault="00D761DA">
      <w:pPr>
        <w:rPr>
          <w:noProof/>
        </w:rPr>
      </w:pPr>
      <w:r w:rsidRPr="00F96E01">
        <w:rPr>
          <w:noProof/>
        </w:rPr>
        <w:t xml:space="preserve">After transmission of the draft legislative act to the national </w:t>
      </w:r>
      <w:r>
        <w:rPr>
          <w:noProof/>
        </w:rPr>
        <w:t>p</w:t>
      </w:r>
      <w:r w:rsidRPr="00F96E01">
        <w:rPr>
          <w:noProof/>
        </w:rPr>
        <w:t>arliaments,</w:t>
      </w:r>
    </w:p>
    <w:p w:rsidR="00C80AB5" w:rsidRPr="00F96E01" w:rsidRDefault="00C80AB5">
      <w:pPr>
        <w:rPr>
          <w:noProof/>
        </w:rPr>
      </w:pPr>
      <w:r w:rsidRPr="00C80AB5">
        <w:rPr>
          <w:noProof/>
        </w:rPr>
        <w:t>Having regard to the opinion of the European Central Bank,</w:t>
      </w:r>
    </w:p>
    <w:p w:rsidR="00D761DA" w:rsidRPr="00F96E01" w:rsidRDefault="00D761DA">
      <w:pPr>
        <w:rPr>
          <w:noProof/>
        </w:rPr>
      </w:pPr>
      <w:r w:rsidRPr="00F96E01">
        <w:rPr>
          <w:noProof/>
        </w:rPr>
        <w:t xml:space="preserve">Having regard to the opinion of the European Economic and Social Committee, </w:t>
      </w:r>
    </w:p>
    <w:p w:rsidR="00D761DA" w:rsidRPr="00F96E01" w:rsidRDefault="00D761DA">
      <w:pPr>
        <w:rPr>
          <w:noProof/>
        </w:rPr>
      </w:pPr>
      <w:r w:rsidRPr="00F96E01">
        <w:rPr>
          <w:noProof/>
        </w:rPr>
        <w:t>Acting in accordance with the ordinary legislative procedure,</w:t>
      </w:r>
    </w:p>
    <w:p w:rsidR="00D761DA" w:rsidRDefault="00D761DA">
      <w:pPr>
        <w:rPr>
          <w:noProof/>
        </w:rPr>
      </w:pPr>
      <w:r w:rsidRPr="00F96E01">
        <w:rPr>
          <w:noProof/>
        </w:rPr>
        <w:t>Whereas:</w:t>
      </w:r>
    </w:p>
    <w:p w:rsidR="0054282F" w:rsidRPr="008F139C" w:rsidRDefault="00C57CAF" w:rsidP="00C57CAF">
      <w:pPr>
        <w:pStyle w:val="ManualConsidrant"/>
        <w:rPr>
          <w:noProof/>
        </w:rPr>
      </w:pPr>
      <w:r w:rsidRPr="00C57CAF">
        <w:rPr>
          <w:noProof/>
        </w:rPr>
        <w:t>(1)</w:t>
      </w:r>
      <w:r w:rsidRPr="00C57CAF">
        <w:rPr>
          <w:noProof/>
        </w:rPr>
        <w:tab/>
      </w:r>
      <w:r w:rsidR="0054282F" w:rsidRPr="008F139C">
        <w:rPr>
          <w:noProof/>
        </w:rPr>
        <w:t xml:space="preserve">Securitisation can boost investment by allowing banks to transfer risks to those that are able to bear them and thereby free up their capital, which they </w:t>
      </w:r>
      <w:r w:rsidR="0054282F">
        <w:rPr>
          <w:noProof/>
        </w:rPr>
        <w:t>could</w:t>
      </w:r>
      <w:r w:rsidR="0054282F" w:rsidRPr="008F139C">
        <w:rPr>
          <w:noProof/>
        </w:rPr>
        <w:t xml:space="preserve"> use for additional lending to households and businesses, including </w:t>
      </w:r>
      <w:r w:rsidR="73990EF2">
        <w:rPr>
          <w:noProof/>
        </w:rPr>
        <w:t>small and medium-sized enterprises (</w:t>
      </w:r>
      <w:r w:rsidR="0054282F" w:rsidRPr="008F139C">
        <w:rPr>
          <w:noProof/>
        </w:rPr>
        <w:t>SMEs</w:t>
      </w:r>
      <w:r w:rsidR="110A9603" w:rsidRPr="008F139C">
        <w:rPr>
          <w:noProof/>
        </w:rPr>
        <w:t>)</w:t>
      </w:r>
      <w:r w:rsidR="0054282F" w:rsidRPr="008F139C">
        <w:rPr>
          <w:noProof/>
        </w:rPr>
        <w:t xml:space="preserve">. Regulation </w:t>
      </w:r>
      <w:r w:rsidR="0054282F" w:rsidRPr="15D35157">
        <w:rPr>
          <w:rFonts w:eastAsia="Arial Unicode MS"/>
          <w:noProof/>
        </w:rPr>
        <w:t xml:space="preserve">(EU) 2017/2402 </w:t>
      </w:r>
      <w:r w:rsidR="0054282F" w:rsidRPr="008F139C">
        <w:rPr>
          <w:noProof/>
        </w:rPr>
        <w:t>of the European Parliament and of the Council</w:t>
      </w:r>
      <w:r w:rsidR="0054282F" w:rsidRPr="008F139C">
        <w:rPr>
          <w:rStyle w:val="FootnoteReference"/>
          <w:noProof/>
        </w:rPr>
        <w:footnoteReference w:id="20"/>
      </w:r>
      <w:r w:rsidR="0054282F" w:rsidRPr="008F139C">
        <w:rPr>
          <w:noProof/>
        </w:rPr>
        <w:t>, covering both simple, transparent and standardised (STS) and non-STS securitisations, has strengthened market transparency, safety, and standardisation. At the same time, that Regulation should be further simplified to more fully exploit the benefits that securitisation</w:t>
      </w:r>
      <w:r w:rsidR="0054282F">
        <w:rPr>
          <w:noProof/>
        </w:rPr>
        <w:t>s</w:t>
      </w:r>
      <w:r w:rsidR="0054282F" w:rsidRPr="008F139C">
        <w:rPr>
          <w:noProof/>
        </w:rPr>
        <w:t xml:space="preserve"> can offer.</w:t>
      </w:r>
    </w:p>
    <w:p w:rsidR="0054282F" w:rsidRDefault="00C57CAF" w:rsidP="00C57CAF">
      <w:pPr>
        <w:pStyle w:val="ManualConsidrant"/>
        <w:rPr>
          <w:noProof/>
        </w:rPr>
      </w:pPr>
      <w:r w:rsidRPr="00C57CAF">
        <w:rPr>
          <w:noProof/>
        </w:rPr>
        <w:t>(2)</w:t>
      </w:r>
      <w:r w:rsidRPr="00C57CAF">
        <w:rPr>
          <w:noProof/>
        </w:rPr>
        <w:tab/>
      </w:r>
      <w:r w:rsidR="6552B506">
        <w:rPr>
          <w:noProof/>
        </w:rPr>
        <w:t xml:space="preserve">It is important that financial institutions employ their capital where it is most needed to reach the Union’s economic goals and funding the real economy. In addition to the flexibility provided for by the existing rules, targeted changes to Regulation </w:t>
      </w:r>
      <w:bookmarkStart w:id="24" w:name="_Hlk198718363"/>
      <w:r w:rsidR="6552B506">
        <w:rPr>
          <w:noProof/>
        </w:rPr>
        <w:t>(EU) 2017/2402</w:t>
      </w:r>
      <w:bookmarkEnd w:id="24"/>
      <w:r w:rsidR="6552B506">
        <w:rPr>
          <w:noProof/>
        </w:rPr>
        <w:t xml:space="preserve"> would ensure that the Union securitisation framework better supports investments in the economy and facilitates lending to businesses.</w:t>
      </w:r>
    </w:p>
    <w:p w:rsidR="0054282F" w:rsidRDefault="00C57CAF" w:rsidP="00C57CAF">
      <w:pPr>
        <w:pStyle w:val="ManualConsidrant"/>
        <w:rPr>
          <w:rStyle w:val="normaltextrun"/>
          <w:noProof/>
        </w:rPr>
      </w:pPr>
      <w:r w:rsidRPr="00C57CAF">
        <w:rPr>
          <w:rStyle w:val="normaltextrun"/>
          <w:noProof/>
        </w:rPr>
        <w:t>(3)</w:t>
      </w:r>
      <w:r w:rsidRPr="00C57CAF">
        <w:rPr>
          <w:rStyle w:val="normaltextrun"/>
          <w:noProof/>
        </w:rPr>
        <w:tab/>
      </w:r>
      <w:r w:rsidR="6552B506" w:rsidRPr="3C04938E">
        <w:rPr>
          <w:rStyle w:val="normaltextrun"/>
          <w:noProof/>
        </w:rPr>
        <w:t>To enhance transparency and to ensure consistent regulatory treatment aiming at reducing costs for issuers, a definition of public and of private securitisation should be introduced. The scope of public securitisations should cover transactions where the underlying notes are admitted to trading on regulated markets, Multilateral Trading Facilities (MTFs), Organised Trading Facilities (OTFs), or any other trading venue in the Union, and transactions marketed to investors under non-changeable terms and conditions where the package is offered on a ”take-it-or-leave-it” basis and investors have no direct contact with the originators or sponsor and can therefore not directly receive necessary information to conduct due diligence without the originator or sponsor disclosing any commercially sensitive information to the market. Defining those types of transactions as public, by virtue of their accessibility to a broad range of investors, should ensure that such transactions are subject to the appropriate transparency requirements and regulatory scrutiny and contribute to better market oversight and functioning.</w:t>
      </w:r>
    </w:p>
    <w:p w:rsidR="0054282F" w:rsidRPr="008F139C" w:rsidRDefault="00C57CAF" w:rsidP="00C57CAF">
      <w:pPr>
        <w:pStyle w:val="ManualConsidrant"/>
        <w:rPr>
          <w:rStyle w:val="normaltextrun"/>
          <w:noProof/>
        </w:rPr>
      </w:pPr>
      <w:r w:rsidRPr="00C57CAF">
        <w:rPr>
          <w:rStyle w:val="normaltextrun"/>
          <w:noProof/>
        </w:rPr>
        <w:t>(4)</w:t>
      </w:r>
      <w:r w:rsidRPr="00C57CAF">
        <w:rPr>
          <w:rStyle w:val="normaltextrun"/>
          <w:noProof/>
        </w:rPr>
        <w:tab/>
      </w:r>
      <w:r w:rsidR="6552B506" w:rsidRPr="3C04938E">
        <w:rPr>
          <w:rStyle w:val="normaltextrun"/>
          <w:noProof/>
        </w:rPr>
        <w:t>Due diligence requirements should be proportionate to the risk profile of securitisation positions. Investor due diligence should therefore be focused on the risks characteristics and structural features that can materially affect the performance of the securitisation, avoiding duplicative, overly burdensome or generic obligations that may not be meaningful across different types of securitisation. For the same reason, due diligence obligations should be streamlined, thus reducing unnecessary costs for investors</w:t>
      </w:r>
      <w:r w:rsidR="00401E25">
        <w:rPr>
          <w:rStyle w:val="normaltextrun"/>
          <w:noProof/>
        </w:rPr>
        <w:t xml:space="preserve"> </w:t>
      </w:r>
      <w:r w:rsidR="6552B506" w:rsidRPr="3C04938E">
        <w:rPr>
          <w:rStyle w:val="normaltextrun"/>
          <w:noProof/>
        </w:rPr>
        <w:t>—</w:t>
      </w:r>
      <w:r w:rsidR="00401E25">
        <w:rPr>
          <w:rStyle w:val="normaltextrun"/>
          <w:noProof/>
        </w:rPr>
        <w:t xml:space="preserve"> </w:t>
      </w:r>
      <w:r w:rsidR="6552B506" w:rsidRPr="3C04938E">
        <w:rPr>
          <w:rStyle w:val="normaltextrun"/>
          <w:noProof/>
        </w:rPr>
        <w:t>particularly in lower-risk securitisations</w:t>
      </w:r>
      <w:r w:rsidR="00401E25">
        <w:rPr>
          <w:rStyle w:val="normaltextrun"/>
          <w:noProof/>
        </w:rPr>
        <w:t xml:space="preserve"> </w:t>
      </w:r>
      <w:r w:rsidR="6552B506" w:rsidRPr="3C04938E">
        <w:rPr>
          <w:rStyle w:val="normaltextrun"/>
          <w:noProof/>
        </w:rPr>
        <w:t>—</w:t>
      </w:r>
      <w:r w:rsidR="00401E25">
        <w:rPr>
          <w:rStyle w:val="normaltextrun"/>
          <w:noProof/>
        </w:rPr>
        <w:t xml:space="preserve"> </w:t>
      </w:r>
      <w:r w:rsidR="6552B506" w:rsidRPr="3C04938E">
        <w:rPr>
          <w:rStyle w:val="normaltextrun"/>
          <w:noProof/>
        </w:rPr>
        <w:t>and fostering more proportionate and risk-sensitive investor behaviour in the securitisation market.</w:t>
      </w:r>
    </w:p>
    <w:p w:rsidR="0054282F" w:rsidRPr="008F139C" w:rsidRDefault="00C57CAF" w:rsidP="00C57CAF">
      <w:pPr>
        <w:pStyle w:val="ManualConsidrant"/>
        <w:rPr>
          <w:rStyle w:val="normaltextrun"/>
          <w:noProof/>
        </w:rPr>
      </w:pPr>
      <w:r w:rsidRPr="00C57CAF">
        <w:rPr>
          <w:rStyle w:val="normaltextrun"/>
          <w:noProof/>
        </w:rPr>
        <w:t>(5)</w:t>
      </w:r>
      <w:r w:rsidRPr="00C57CAF">
        <w:rPr>
          <w:rStyle w:val="normaltextrun"/>
          <w:noProof/>
        </w:rPr>
        <w:tab/>
      </w:r>
      <w:r w:rsidR="6552B506" w:rsidRPr="3C04938E">
        <w:rPr>
          <w:rStyle w:val="normaltextrun"/>
          <w:noProof/>
        </w:rPr>
        <w:t>Originators, original lenders, sponsors or securitisation special purpose entities (SSPEs) (the ‘sell-side entities’) that are established in the Union are already subject to supervision in the Union and can be sanctioned in case they breach their obligations under Regulation (EU) 2017/2402. It is therefore appropriate that investors are no longer required to verify whether Union sell-side entities, where those entities are responsible on behalf of the sell-side parties in the transaction, comply with due diligence requirements set in Regulation (EU) 2017/2402</w:t>
      </w:r>
      <w:r w:rsidR="00937269">
        <w:rPr>
          <w:rStyle w:val="normaltextrun"/>
          <w:noProof/>
        </w:rPr>
        <w:t>.</w:t>
      </w:r>
      <w:r w:rsidR="6552B506" w:rsidRPr="3C04938E">
        <w:rPr>
          <w:rStyle w:val="normaltextrun"/>
          <w:noProof/>
        </w:rPr>
        <w:t xml:space="preserve"> Investors should, however, still verify whether have complied with their obligations for which third countries’ sell-side entities are responsible under Regulation (EU) 2017/2402.</w:t>
      </w:r>
    </w:p>
    <w:p w:rsidR="0054282F" w:rsidRPr="008F139C" w:rsidRDefault="00C57CAF" w:rsidP="00C57CAF">
      <w:pPr>
        <w:pStyle w:val="ManualConsidrant"/>
        <w:rPr>
          <w:rStyle w:val="normaltextrun"/>
          <w:noProof/>
        </w:rPr>
      </w:pPr>
      <w:r w:rsidRPr="00C57CAF">
        <w:rPr>
          <w:rStyle w:val="normaltextrun"/>
          <w:noProof/>
        </w:rPr>
        <w:t>(6)</w:t>
      </w:r>
      <w:r w:rsidRPr="00C57CAF">
        <w:rPr>
          <w:rStyle w:val="normaltextrun"/>
          <w:noProof/>
        </w:rPr>
        <w:tab/>
      </w:r>
      <w:r w:rsidR="6552B506" w:rsidRPr="3C04938E">
        <w:rPr>
          <w:rStyle w:val="normaltextrun"/>
          <w:noProof/>
        </w:rPr>
        <w:t>Senior tranches, typically benefiting from substantial credit enhancement and posing lower risk, should require a less extensive due diligence review than junior or mezzanine tranches, which bear higher risk and greater exposure to losses. That proportional approach supports more efficient allocation of resources by investors and avoids excessive burdens for low-risk investments.</w:t>
      </w:r>
    </w:p>
    <w:p w:rsidR="0054282F" w:rsidRPr="008F139C" w:rsidRDefault="00C57CAF" w:rsidP="00C57CAF">
      <w:pPr>
        <w:pStyle w:val="ManualConsidrant"/>
        <w:rPr>
          <w:rStyle w:val="normaltextrun"/>
          <w:noProof/>
        </w:rPr>
      </w:pPr>
      <w:r w:rsidRPr="00C57CAF">
        <w:rPr>
          <w:rStyle w:val="normaltextrun"/>
          <w:noProof/>
        </w:rPr>
        <w:t>(7)</w:t>
      </w:r>
      <w:r w:rsidRPr="00C57CAF">
        <w:rPr>
          <w:rStyle w:val="normaltextrun"/>
          <w:noProof/>
        </w:rPr>
        <w:tab/>
      </w:r>
      <w:r w:rsidR="6552B506" w:rsidRPr="3C04938E">
        <w:rPr>
          <w:rStyle w:val="normaltextrun"/>
          <w:noProof/>
        </w:rPr>
        <w:t xml:space="preserve">Since compliance with the STS requirements is already subject to separate regulatory oversight and notification, the obligation for investors to verify compliance with those requirements is redundant. Moreover, verifying compliance with the STS criteria is not relevant for all types of investors. The corresponding requirement should therefore be deleted. </w:t>
      </w:r>
    </w:p>
    <w:p w:rsidR="0054282F" w:rsidRDefault="00C57CAF" w:rsidP="00C57CAF">
      <w:pPr>
        <w:pStyle w:val="ManualConsidrant"/>
        <w:rPr>
          <w:rStyle w:val="normaltextrun"/>
          <w:noProof/>
        </w:rPr>
      </w:pPr>
      <w:r w:rsidRPr="00C57CAF">
        <w:rPr>
          <w:rStyle w:val="normaltextrun"/>
          <w:noProof/>
        </w:rPr>
        <w:t>(8)</w:t>
      </w:r>
      <w:r w:rsidRPr="00C57CAF">
        <w:rPr>
          <w:rStyle w:val="normaltextrun"/>
          <w:noProof/>
        </w:rPr>
        <w:tab/>
      </w:r>
      <w:r w:rsidR="1D0AF283" w:rsidRPr="2E1AC283">
        <w:rPr>
          <w:rStyle w:val="normaltextrun"/>
          <w:noProof/>
        </w:rPr>
        <w:t>Investors should be allowed to conduct simplified due diligence to investments in repeat transactions where key risk characteristics are already well understood. For those purposes, investment in repeat transactions should be considered as investment in securitisation positions issued by the same originator, backed by the same type of underlying assets, exhibiting the same structural features, and offering the same or lower level of credit risk compared to previous investments. That change should ensure consistency in due diligence practices while facilitating investor participation in well-known and transparent structures.</w:t>
      </w:r>
    </w:p>
    <w:p w:rsidR="00CD464D" w:rsidRDefault="00C57CAF" w:rsidP="00C57CAF">
      <w:pPr>
        <w:pStyle w:val="ManualConsidrant"/>
        <w:rPr>
          <w:noProof/>
        </w:rPr>
      </w:pPr>
      <w:r w:rsidRPr="00C57CAF">
        <w:rPr>
          <w:noProof/>
        </w:rPr>
        <w:t>(9)</w:t>
      </w:r>
      <w:r w:rsidRPr="00C57CAF">
        <w:rPr>
          <w:noProof/>
        </w:rPr>
        <w:tab/>
      </w:r>
      <w:r w:rsidR="1D0AF283" w:rsidRPr="008F139C">
        <w:rPr>
          <w:noProof/>
        </w:rPr>
        <w:t xml:space="preserve">Multilateral development banks can play a significant role in facilitating investor access to securitisation markets, enhancing liquidity, and supporting the objectives of the Savings and Investments Union. Where a securitisation position is fully, unconditionally and irrevocably guaranteed by a multilateral development bank listed </w:t>
      </w:r>
      <w:r w:rsidR="1D0AF283">
        <w:rPr>
          <w:noProof/>
        </w:rPr>
        <w:t>in</w:t>
      </w:r>
      <w:r w:rsidR="1D0AF283" w:rsidRPr="008F139C">
        <w:rPr>
          <w:noProof/>
        </w:rPr>
        <w:t xml:space="preserve"> Article 117(2) of Regulation (EU) 575/2013 of the European Parliament and of the Council</w:t>
      </w:r>
      <w:r w:rsidR="0054282F" w:rsidRPr="008F139C">
        <w:rPr>
          <w:rStyle w:val="FootnoteReference"/>
          <w:noProof/>
        </w:rPr>
        <w:footnoteReference w:id="21"/>
      </w:r>
      <w:r w:rsidR="1D0AF283" w:rsidRPr="008F139C">
        <w:rPr>
          <w:noProof/>
        </w:rPr>
        <w:t>, the credit risk arising from the securitisation position is effectively transferred from the pool of underlying assets to the guarantor, resulting in a 0% risk weight of such exposure. In addition, such securitisation position is categorised as Level 1 asset under Article 10(1), point (g), of Commission Delegated Regulation (EU) 2015/61</w:t>
      </w:r>
      <w:r w:rsidR="0054282F" w:rsidRPr="008F139C">
        <w:rPr>
          <w:rStyle w:val="FootnoteReference"/>
          <w:noProof/>
        </w:rPr>
        <w:footnoteReference w:id="22"/>
      </w:r>
      <w:r w:rsidR="1D0AF283" w:rsidRPr="008F139C">
        <w:rPr>
          <w:noProof/>
        </w:rPr>
        <w:t>. In such cases, it is appropriate to exempt institutional investors</w:t>
      </w:r>
      <w:r w:rsidR="1D0AF283">
        <w:rPr>
          <w:noProof/>
        </w:rPr>
        <w:t>, except the entity providing the guarantee,</w:t>
      </w:r>
      <w:r w:rsidR="1D0AF283" w:rsidRPr="008F139C">
        <w:rPr>
          <w:noProof/>
        </w:rPr>
        <w:t xml:space="preserve"> from their due diligence requirements</w:t>
      </w:r>
      <w:r w:rsidR="3BD354FA">
        <w:rPr>
          <w:noProof/>
        </w:rPr>
        <w:t xml:space="preserve"> </w:t>
      </w:r>
      <w:r w:rsidR="3BD354FA" w:rsidRPr="00001AA7">
        <w:rPr>
          <w:noProof/>
        </w:rPr>
        <w:t>in full</w:t>
      </w:r>
      <w:r w:rsidR="1D0AF283" w:rsidRPr="008F139C">
        <w:rPr>
          <w:noProof/>
        </w:rPr>
        <w:t xml:space="preserve"> under Regulation (EU) 2017/2402.</w:t>
      </w:r>
    </w:p>
    <w:p w:rsidR="00CD464D" w:rsidRPr="00CD464D" w:rsidRDefault="00C57CAF" w:rsidP="00C57CAF">
      <w:pPr>
        <w:pStyle w:val="ManualConsidrant"/>
        <w:rPr>
          <w:rStyle w:val="normaltextrun"/>
          <w:noProof/>
          <w:sz w:val="22"/>
          <w:lang w:val="en-IE"/>
        </w:rPr>
      </w:pPr>
      <w:r w:rsidRPr="00C57CAF">
        <w:rPr>
          <w:rStyle w:val="normaltextrun"/>
          <w:noProof/>
        </w:rPr>
        <w:t>(10)</w:t>
      </w:r>
      <w:r w:rsidRPr="00C57CAF">
        <w:rPr>
          <w:rStyle w:val="normaltextrun"/>
          <w:noProof/>
        </w:rPr>
        <w:tab/>
      </w:r>
      <w:r w:rsidR="00CD464D">
        <w:rPr>
          <w:rStyle w:val="normaltextrun"/>
          <w:noProof/>
        </w:rPr>
        <w:t xml:space="preserve">Transactions </w:t>
      </w:r>
      <w:r w:rsidR="00CD464D">
        <w:rPr>
          <w:noProof/>
        </w:rPr>
        <w:t xml:space="preserve">where the first loss tranche is either held or </w:t>
      </w:r>
      <w:r w:rsidR="00CD464D">
        <w:rPr>
          <w:rStyle w:val="normaltextrun"/>
          <w:noProof/>
        </w:rPr>
        <w:t>guaranteed by the Union, national promotional banks or institutions within the meaning of point (3) of Article 2 of Regulation (EU) 2015/1017 of the European Parliament and of the Council</w:t>
      </w:r>
      <w:r w:rsidR="00CD464D">
        <w:rPr>
          <w:rStyle w:val="FootnoteReference"/>
          <w:noProof/>
        </w:rPr>
        <w:footnoteReference w:id="23"/>
      </w:r>
      <w:r w:rsidR="00CD464D">
        <w:rPr>
          <w:rStyle w:val="normaltextrun"/>
          <w:noProof/>
        </w:rPr>
        <w:t xml:space="preserve"> inherently possess characteristics that mitigate the need to carry out the full due diligence and fulfil the risk retention requirement. These transactions carry an assurance by the guarantor, who carries out due diligence processes before affording such a guarantee. This assessment removes the need for the institutional investors to perform a full due diligence assessment </w:t>
      </w:r>
      <w:r w:rsidR="00CD464D">
        <w:rPr>
          <w:noProof/>
        </w:rPr>
        <w:t>under Regulation (EU) 2017/2402</w:t>
      </w:r>
      <w:r w:rsidR="00CD464D">
        <w:rPr>
          <w:rStyle w:val="normaltextrun"/>
          <w:noProof/>
        </w:rPr>
        <w:t xml:space="preserve">. Furthermore, the essence of a guarantee is the assumption of risk by the guarantor. Therefore, it is appropriate to lift the risk retention requirement. These changes are expected to crowd in private investment in derisked structures with a public guarantee. </w:t>
      </w:r>
    </w:p>
    <w:p w:rsidR="00213555" w:rsidRPr="008F139C" w:rsidRDefault="00C57CAF" w:rsidP="00C57CAF">
      <w:pPr>
        <w:pStyle w:val="ManualConsidrant"/>
        <w:rPr>
          <w:rStyle w:val="normaltextrun"/>
          <w:noProof/>
        </w:rPr>
      </w:pPr>
      <w:r w:rsidRPr="00C57CAF">
        <w:rPr>
          <w:rStyle w:val="normaltextrun"/>
          <w:noProof/>
        </w:rPr>
        <w:t>(11)</w:t>
      </w:r>
      <w:r w:rsidRPr="00C57CAF">
        <w:rPr>
          <w:rStyle w:val="normaltextrun"/>
          <w:noProof/>
        </w:rPr>
        <w:tab/>
      </w:r>
      <w:r w:rsidR="6552B506" w:rsidRPr="3C04938E">
        <w:rPr>
          <w:rStyle w:val="normaltextrun"/>
          <w:noProof/>
        </w:rPr>
        <w:t>An institutional investor that delegates the authority to make investment management decisions to another institutional investor should be able to instruct the delegate to perform the due diligence obligations set out in Regulation</w:t>
      </w:r>
      <w:r w:rsidR="6552B506">
        <w:rPr>
          <w:noProof/>
        </w:rPr>
        <w:t xml:space="preserve"> (</w:t>
      </w:r>
      <w:r w:rsidR="6552B506" w:rsidRPr="3C04938E">
        <w:rPr>
          <w:rStyle w:val="normaltextrun"/>
          <w:noProof/>
        </w:rPr>
        <w:t>EU) 2017/2402. However, such delegation should not transfer legal responsibility. The delegating institutional investor should remain ultimately responsible for ensuring compliance with the due diligence requirements. That specification is intended to reflect established regulatory practice and to ensure that obligations are fulfilled effectively while maintaining clear lines of accountability.</w:t>
      </w:r>
    </w:p>
    <w:p w:rsidR="00213555" w:rsidRDefault="00C57CAF" w:rsidP="00C57CAF">
      <w:pPr>
        <w:pStyle w:val="ManualConsidrant"/>
        <w:rPr>
          <w:noProof/>
        </w:rPr>
      </w:pPr>
      <w:r w:rsidRPr="00C57CAF">
        <w:rPr>
          <w:noProof/>
        </w:rPr>
        <w:t>(12)</w:t>
      </w:r>
      <w:r w:rsidRPr="00C57CAF">
        <w:rPr>
          <w:noProof/>
        </w:rPr>
        <w:tab/>
      </w:r>
      <w:r w:rsidR="6552B506">
        <w:rPr>
          <w:noProof/>
        </w:rPr>
        <w:t xml:space="preserve">The disclosure requirements should consider the granularity of the underlying pool of exposures, i.e. how many loans are in the underlying pool. In addition, it is important to consider the average maturity of the underlying exposures. Loan level disclosure for highly-granular pools of very short-term exposures </w:t>
      </w:r>
      <w:r w:rsidR="49CAE071">
        <w:rPr>
          <w:noProof/>
        </w:rPr>
        <w:t xml:space="preserve">can be particularly </w:t>
      </w:r>
      <w:r w:rsidR="6552B506">
        <w:rPr>
          <w:noProof/>
        </w:rPr>
        <w:t xml:space="preserve">costly and entails a considerable burden for issuers, often without offering significant benefits in terms of additional information to investors. Therefore, disclosure requirements for securitisations of credit card exposures and certain types of consumer loans should not need to </w:t>
      </w:r>
      <w:r w:rsidR="4CB5123C">
        <w:rPr>
          <w:noProof/>
        </w:rPr>
        <w:t xml:space="preserve">encompass </w:t>
      </w:r>
      <w:r w:rsidR="78C3F319">
        <w:rPr>
          <w:noProof/>
        </w:rPr>
        <w:t xml:space="preserve">reporting at </w:t>
      </w:r>
      <w:r w:rsidR="6552B506">
        <w:rPr>
          <w:noProof/>
        </w:rPr>
        <w:t xml:space="preserve">the level of </w:t>
      </w:r>
      <w:r w:rsidR="5004332F">
        <w:rPr>
          <w:noProof/>
        </w:rPr>
        <w:t xml:space="preserve">each individual </w:t>
      </w:r>
      <w:r w:rsidR="6552B506">
        <w:rPr>
          <w:noProof/>
        </w:rPr>
        <w:t xml:space="preserve">underlying exposure. However, competent authorities should still have the possibility to ask for additional information to ensure that they have a complete overview of the market, including on the exposures that constitute the underlying pool, in carrying out their duties under Regulation (EU) 2017/2402. </w:t>
      </w:r>
    </w:p>
    <w:p w:rsidR="00213555" w:rsidRPr="008F139C" w:rsidRDefault="00C57CAF" w:rsidP="00C57CAF">
      <w:pPr>
        <w:pStyle w:val="ManualConsidrant"/>
        <w:rPr>
          <w:rFonts w:eastAsia="Calibri"/>
          <w:noProof/>
        </w:rPr>
      </w:pPr>
      <w:r w:rsidRPr="00C57CAF">
        <w:rPr>
          <w:noProof/>
        </w:rPr>
        <w:t>(13)</w:t>
      </w:r>
      <w:r w:rsidRPr="00C57CAF">
        <w:rPr>
          <w:noProof/>
        </w:rPr>
        <w:tab/>
      </w:r>
      <w:r w:rsidR="6552B506" w:rsidRPr="008F139C">
        <w:rPr>
          <w:noProof/>
        </w:rPr>
        <w:t>The current reporting templates</w:t>
      </w:r>
      <w:r w:rsidR="0054282F" w:rsidRPr="008F139C">
        <w:rPr>
          <w:rStyle w:val="FootnoteReference"/>
          <w:noProof/>
        </w:rPr>
        <w:footnoteReference w:id="24"/>
      </w:r>
      <w:r w:rsidR="6552B506" w:rsidRPr="008F139C">
        <w:rPr>
          <w:noProof/>
        </w:rPr>
        <w:t xml:space="preserve"> both for public and private securitisations are too costly and burdensome. The burden on entities when complying with their reporting obligations should be therefore reduced, without undermining the goal of providing transparency to the market. </w:t>
      </w:r>
      <w:r w:rsidR="6552B506" w:rsidRPr="00213555">
        <w:rPr>
          <w:rFonts w:eastAsia="Calibri"/>
          <w:noProof/>
        </w:rPr>
        <w:t>The reporting templates should be streamlined to reduce the number of mandatory data fields. The revision of the template should aim to bring a reduction of at least 35% of mandatory data fields. The</w:t>
      </w:r>
      <w:r w:rsidR="0054282F" w:rsidRPr="3C04938E" w:rsidDel="6552B506">
        <w:rPr>
          <w:rFonts w:eastAsia="Calibri"/>
          <w:noProof/>
        </w:rPr>
        <w:t xml:space="preserve"> </w:t>
      </w:r>
      <w:r w:rsidR="1584FC4F">
        <w:rPr>
          <w:noProof/>
        </w:rPr>
        <w:t xml:space="preserve">conversion of certain mandatory fields </w:t>
      </w:r>
      <w:r w:rsidR="32D663D6">
        <w:rPr>
          <w:noProof/>
        </w:rPr>
        <w:t>into</w:t>
      </w:r>
      <w:r w:rsidR="6552B506" w:rsidRPr="00213555">
        <w:rPr>
          <w:rFonts w:eastAsia="Calibri"/>
          <w:noProof/>
        </w:rPr>
        <w:t xml:space="preserve"> voluntary fields could add further flexibility, but appropriate attention should be given to ensure that that does not compromise data quality or usability.</w:t>
      </w:r>
    </w:p>
    <w:p w:rsidR="0054282F" w:rsidRPr="008F139C" w:rsidRDefault="00C57CAF" w:rsidP="00C57CAF">
      <w:pPr>
        <w:pStyle w:val="ManualConsidrant"/>
        <w:rPr>
          <w:noProof/>
        </w:rPr>
      </w:pPr>
      <w:r w:rsidRPr="00C57CAF">
        <w:rPr>
          <w:noProof/>
        </w:rPr>
        <w:t>(14)</w:t>
      </w:r>
      <w:r w:rsidRPr="00C57CAF">
        <w:rPr>
          <w:noProof/>
        </w:rPr>
        <w:tab/>
      </w:r>
      <w:r w:rsidR="6552B506" w:rsidRPr="008F139C">
        <w:rPr>
          <w:noProof/>
        </w:rPr>
        <w:t>The reporting framework should account for the specific characteristics of private securitisation</w:t>
      </w:r>
      <w:r w:rsidR="6552B506">
        <w:rPr>
          <w:noProof/>
        </w:rPr>
        <w:t>s</w:t>
      </w:r>
      <w:r w:rsidR="6552B506" w:rsidRPr="008F139C">
        <w:rPr>
          <w:noProof/>
        </w:rPr>
        <w:t xml:space="preserve">. A dedicated and simplified reporting template for private securitisations should be developed. In specifying the details of reporting requirements, the information required to be reported should be aligned as closely as possible with </w:t>
      </w:r>
      <w:r w:rsidR="4979288A" w:rsidRPr="008F139C">
        <w:rPr>
          <w:noProof/>
        </w:rPr>
        <w:t xml:space="preserve">other </w:t>
      </w:r>
      <w:r w:rsidR="7A324218" w:rsidRPr="008F139C">
        <w:rPr>
          <w:noProof/>
        </w:rPr>
        <w:t xml:space="preserve">well-established </w:t>
      </w:r>
      <w:r w:rsidR="6552B506" w:rsidRPr="008F139C">
        <w:rPr>
          <w:noProof/>
        </w:rPr>
        <w:t xml:space="preserve">templates, in particular with the </w:t>
      </w:r>
      <w:r w:rsidR="6552B506" w:rsidRPr="00C96EFA">
        <w:rPr>
          <w:noProof/>
        </w:rPr>
        <w:t>guide on the notification of securitisation transactions</w:t>
      </w:r>
      <w:r w:rsidR="6552B506" w:rsidRPr="008F139C">
        <w:rPr>
          <w:noProof/>
        </w:rPr>
        <w:t xml:space="preserve"> developed by the European Central Bank in accordance with Article 6(5), point (a), of Council Regulation (EU) No 1024/2013</w:t>
      </w:r>
      <w:r w:rsidR="0054282F" w:rsidRPr="008F139C">
        <w:rPr>
          <w:rStyle w:val="FootnoteReference"/>
          <w:noProof/>
        </w:rPr>
        <w:footnoteReference w:id="25"/>
      </w:r>
      <w:r w:rsidR="6552B506" w:rsidRPr="008F139C">
        <w:rPr>
          <w:noProof/>
        </w:rPr>
        <w:t xml:space="preserve">. Any future changes to the European Central Bank guide should be assessed and the reporting templates </w:t>
      </w:r>
      <w:r w:rsidR="11225D3F" w:rsidRPr="008F139C">
        <w:rPr>
          <w:noProof/>
        </w:rPr>
        <w:t xml:space="preserve">may need to be </w:t>
      </w:r>
      <w:r w:rsidR="6552B506" w:rsidRPr="008F139C">
        <w:rPr>
          <w:noProof/>
        </w:rPr>
        <w:t>reviewed</w:t>
      </w:r>
      <w:r w:rsidR="421272A2" w:rsidRPr="008F139C">
        <w:rPr>
          <w:noProof/>
        </w:rPr>
        <w:t>,</w:t>
      </w:r>
      <w:r w:rsidR="6552B506" w:rsidRPr="008F139C">
        <w:rPr>
          <w:noProof/>
        </w:rPr>
        <w:t xml:space="preserve"> where appropriate. To allow for basic visibility </w:t>
      </w:r>
      <w:r w:rsidR="363B3EE4">
        <w:rPr>
          <w:noProof/>
        </w:rPr>
        <w:t xml:space="preserve">for supervisors </w:t>
      </w:r>
      <w:r w:rsidR="6552B506" w:rsidRPr="008F139C">
        <w:rPr>
          <w:noProof/>
        </w:rPr>
        <w:t xml:space="preserve">over the private market, private securitisations should report to repositories. Private </w:t>
      </w:r>
      <w:r w:rsidR="6552B506">
        <w:rPr>
          <w:noProof/>
        </w:rPr>
        <w:t>securitisations</w:t>
      </w:r>
      <w:r w:rsidR="0054282F" w:rsidDel="6552B506">
        <w:rPr>
          <w:noProof/>
        </w:rPr>
        <w:t xml:space="preserve"> </w:t>
      </w:r>
      <w:r w:rsidR="3DE8DF1C" w:rsidRPr="008F139C">
        <w:rPr>
          <w:noProof/>
        </w:rPr>
        <w:t xml:space="preserve">should </w:t>
      </w:r>
      <w:r w:rsidR="6552B506" w:rsidRPr="008F139C">
        <w:rPr>
          <w:noProof/>
        </w:rPr>
        <w:t xml:space="preserve">not need to report the same amount of information as public securitisations. Requiring private transactions to report to securitisation repositories, using a simplified template, would improve supervisory oversight and market monitoring. However, to maintain the confidentiality of private transactions, data from those transactions </w:t>
      </w:r>
      <w:r w:rsidR="6552B506">
        <w:rPr>
          <w:noProof/>
        </w:rPr>
        <w:t>should</w:t>
      </w:r>
      <w:r w:rsidR="6552B506" w:rsidRPr="008F139C">
        <w:rPr>
          <w:noProof/>
        </w:rPr>
        <w:t xml:space="preserve"> not be publicly disclosed.</w:t>
      </w:r>
    </w:p>
    <w:p w:rsidR="0054282F" w:rsidRPr="00B31042" w:rsidRDefault="00C57CAF" w:rsidP="00C57CAF">
      <w:pPr>
        <w:pStyle w:val="ManualConsidrant"/>
        <w:rPr>
          <w:noProof/>
        </w:rPr>
      </w:pPr>
      <w:r w:rsidRPr="00C57CAF">
        <w:rPr>
          <w:noProof/>
        </w:rPr>
        <w:t>(15)</w:t>
      </w:r>
      <w:r w:rsidRPr="00C57CAF">
        <w:rPr>
          <w:noProof/>
        </w:rPr>
        <w:tab/>
      </w:r>
      <w:r w:rsidR="6552B506" w:rsidRPr="0049079F">
        <w:rPr>
          <w:noProof/>
        </w:rPr>
        <w:t>The</w:t>
      </w:r>
      <w:r w:rsidR="00024E5E" w:rsidRPr="0049079F">
        <w:rPr>
          <w:noProof/>
        </w:rPr>
        <w:t xml:space="preserve"> securitisation sub-committee of the Joint Committee of the European Supervisory Authorities</w:t>
      </w:r>
      <w:r w:rsidR="540C6911" w:rsidRPr="0049079F">
        <w:rPr>
          <w:noProof/>
        </w:rPr>
        <w:t xml:space="preserve"> (the “Joint Committee Securitisation Committee - JCSC”)</w:t>
      </w:r>
      <w:r w:rsidR="00024E5E" w:rsidRPr="0049079F">
        <w:rPr>
          <w:noProof/>
        </w:rPr>
        <w:t xml:space="preserve">, </w:t>
      </w:r>
      <w:r w:rsidR="5613E65A" w:rsidRPr="0049079F">
        <w:rPr>
          <w:noProof/>
        </w:rPr>
        <w:t>referred to in Article 36(3) of Regulation (EU) 2017/2402</w:t>
      </w:r>
      <w:r w:rsidR="00024E5E" w:rsidRPr="0049079F">
        <w:rPr>
          <w:noProof/>
        </w:rPr>
        <w:t>, under the leadership of the</w:t>
      </w:r>
      <w:r w:rsidR="6552B506" w:rsidRPr="0049079F">
        <w:rPr>
          <w:noProof/>
        </w:rPr>
        <w:t xml:space="preserve"> European Banking Authority (EBA)</w:t>
      </w:r>
      <w:r w:rsidR="00024E5E" w:rsidRPr="0049079F">
        <w:rPr>
          <w:noProof/>
        </w:rPr>
        <w:t>,</w:t>
      </w:r>
      <w:r w:rsidR="6552B506" w:rsidRPr="0049079F">
        <w:rPr>
          <w:noProof/>
        </w:rPr>
        <w:t xml:space="preserve"> should develop draft regulatory technical standards to further specify the information that the originator, sponsor and SSPE are to provide to comply with the reporting obligation. Those draft regulatory technical standards should take into account</w:t>
      </w:r>
      <w:r w:rsidR="6552B506" w:rsidRPr="008F139C">
        <w:rPr>
          <w:noProof/>
        </w:rPr>
        <w:t xml:space="preserve"> the usefulness of </w:t>
      </w:r>
      <w:r w:rsidR="6552B506">
        <w:rPr>
          <w:noProof/>
        </w:rPr>
        <w:t xml:space="preserve">the </w:t>
      </w:r>
      <w:r w:rsidR="6552B506" w:rsidRPr="008F139C">
        <w:rPr>
          <w:noProof/>
        </w:rPr>
        <w:t>information for the holder of the securitisation position, whether the securitisation is public or private, whether the securitisation position is of a short-term nature and, in the case of an asset-backed commercial paper programme (ABCP) transaction, whether it is fully supported by a sponsor. The Commission should be empowered to supplement Regulation (EU) 2017/2402 by adopting those regulatory technical standards by means of delegated acts pursuant to Article 290 of the Treaty on the Functioning of the European Union (TFEU) and in accordance with Regulation (EU) No 1093/2010 of the European Parliament and of the Council</w:t>
      </w:r>
      <w:r w:rsidR="0054282F" w:rsidRPr="008F139C">
        <w:rPr>
          <w:rStyle w:val="FootnoteReference"/>
          <w:noProof/>
        </w:rPr>
        <w:footnoteReference w:id="26"/>
      </w:r>
      <w:r w:rsidR="00237D32">
        <w:rPr>
          <w:noProof/>
        </w:rPr>
        <w:t xml:space="preserve">, </w:t>
      </w:r>
      <w:r w:rsidR="00237D32" w:rsidRPr="008F139C">
        <w:rPr>
          <w:noProof/>
        </w:rPr>
        <w:t>Regulation (EU) No 109</w:t>
      </w:r>
      <w:r w:rsidR="00237D32">
        <w:rPr>
          <w:noProof/>
        </w:rPr>
        <w:t>4</w:t>
      </w:r>
      <w:r w:rsidR="00237D32" w:rsidRPr="008F139C">
        <w:rPr>
          <w:noProof/>
        </w:rPr>
        <w:t>/2010 of the European Parliament and of the Counci</w:t>
      </w:r>
      <w:r w:rsidR="00237D32">
        <w:rPr>
          <w:noProof/>
        </w:rPr>
        <w:t>l</w:t>
      </w:r>
      <w:r w:rsidR="0033698D">
        <w:rPr>
          <w:rStyle w:val="FootnoteReference"/>
          <w:noProof/>
        </w:rPr>
        <w:footnoteReference w:id="27"/>
      </w:r>
      <w:r w:rsidR="00521DC1">
        <w:rPr>
          <w:noProof/>
        </w:rPr>
        <w:t xml:space="preserve"> and </w:t>
      </w:r>
      <w:r w:rsidR="00521DC1" w:rsidRPr="008F139C">
        <w:rPr>
          <w:noProof/>
        </w:rPr>
        <w:t>Regulation (EU) No 1093/2010 of the European Parliament and of the Counci</w:t>
      </w:r>
      <w:r w:rsidR="000C6B24">
        <w:rPr>
          <w:noProof/>
        </w:rPr>
        <w:t>l</w:t>
      </w:r>
      <w:r w:rsidR="00355EE4">
        <w:rPr>
          <w:rStyle w:val="FootnoteReference"/>
          <w:noProof/>
        </w:rPr>
        <w:footnoteReference w:id="28"/>
      </w:r>
      <w:r w:rsidR="6552B506" w:rsidRPr="008F139C">
        <w:rPr>
          <w:noProof/>
        </w:rPr>
        <w:t xml:space="preserve">. Moreover, </w:t>
      </w:r>
      <w:r w:rsidR="00B123E2">
        <w:rPr>
          <w:noProof/>
        </w:rPr>
        <w:t>the</w:t>
      </w:r>
      <w:r w:rsidR="00B123E2" w:rsidRPr="0049079F">
        <w:rPr>
          <w:noProof/>
        </w:rPr>
        <w:t xml:space="preserve"> JCSC, under the leadership of the EBA, should </w:t>
      </w:r>
      <w:r w:rsidR="00B123E2">
        <w:rPr>
          <w:noProof/>
        </w:rPr>
        <w:t>de</w:t>
      </w:r>
      <w:r w:rsidR="6552B506" w:rsidRPr="008F139C">
        <w:rPr>
          <w:noProof/>
        </w:rPr>
        <w:t>velop draft implementing technical standards to specify the format for the provision of the information to repositories. The Commission should be empowered to adopt those implementing technical standards by means of an implementing act pursuant to Article 291 TFEU and in accordance with Regulation</w:t>
      </w:r>
      <w:r w:rsidR="0078113C">
        <w:rPr>
          <w:noProof/>
        </w:rPr>
        <w:t>s</w:t>
      </w:r>
      <w:r w:rsidR="6552B506" w:rsidRPr="008F139C">
        <w:rPr>
          <w:noProof/>
        </w:rPr>
        <w:t xml:space="preserve"> (EU) No 1093/2010</w:t>
      </w:r>
      <w:r w:rsidR="0078113C">
        <w:rPr>
          <w:noProof/>
        </w:rPr>
        <w:t>, (</w:t>
      </w:r>
      <w:r w:rsidR="0078113C" w:rsidRPr="0078113C">
        <w:rPr>
          <w:noProof/>
        </w:rPr>
        <w:t>EU) No 1094/2010 and (EU) No 1095/2010</w:t>
      </w:r>
      <w:r w:rsidR="6552B506" w:rsidRPr="008F139C">
        <w:rPr>
          <w:noProof/>
        </w:rPr>
        <w:t>.</w:t>
      </w:r>
    </w:p>
    <w:p w:rsidR="0054282F" w:rsidRPr="008F139C" w:rsidRDefault="00C57CAF" w:rsidP="00C57CAF">
      <w:pPr>
        <w:pStyle w:val="ManualConsidrant"/>
        <w:rPr>
          <w:noProof/>
        </w:rPr>
      </w:pPr>
      <w:r w:rsidRPr="00C57CAF">
        <w:rPr>
          <w:noProof/>
        </w:rPr>
        <w:t>(16)</w:t>
      </w:r>
      <w:r w:rsidRPr="00C57CAF">
        <w:rPr>
          <w:noProof/>
        </w:rPr>
        <w:tab/>
      </w:r>
      <w:r w:rsidR="6552B506">
        <w:rPr>
          <w:noProof/>
        </w:rPr>
        <w:t>To support access to market-based financing for SMEs, and to facilitate the development of cross-border securitisations involving exposures from multiple Member States, the criteria for the homogeneity of asset pools should be revised. While it is possible to have securitisations involving exposures from multiple Member States, the requirement o</w:t>
      </w:r>
      <w:r w:rsidR="1994AD4E">
        <w:rPr>
          <w:noProof/>
        </w:rPr>
        <w:t>f</w:t>
      </w:r>
      <w:r w:rsidR="6552B506">
        <w:rPr>
          <w:noProof/>
        </w:rPr>
        <w:t xml:space="preserve"> homogeneity</w:t>
      </w:r>
      <w:r w:rsidR="2ED909D5">
        <w:rPr>
          <w:noProof/>
        </w:rPr>
        <w:t xml:space="preserve">, as </w:t>
      </w:r>
      <w:r w:rsidR="6E4A789F">
        <w:rPr>
          <w:noProof/>
        </w:rPr>
        <w:t xml:space="preserve">defined </w:t>
      </w:r>
      <w:r w:rsidR="2ED909D5">
        <w:rPr>
          <w:noProof/>
        </w:rPr>
        <w:t>at present,</w:t>
      </w:r>
      <w:r w:rsidR="6552B506">
        <w:rPr>
          <w:noProof/>
        </w:rPr>
        <w:t xml:space="preserve"> is considered as an obstacle for SMEs securitisations. To overcome that obstacle, a pool of underlying exposures should be deemed homogeneous where at least 70 % of the exposures at origination consists of exposures to SMEs. That lower threshold recognises the specific financing needs and characteristics of SMEs and ensures that mixed pools with a predominant SME component can benefit from the legal certainty and operational efficiencies associated with homogeneous pools. The remaining portion of the pool should be allowed to include other types of exposures, also from different Member States, without affecting the securitisation’s status as STS.</w:t>
      </w:r>
    </w:p>
    <w:p w:rsidR="0054282F" w:rsidRPr="008F139C" w:rsidRDefault="00C57CAF" w:rsidP="00C57CAF">
      <w:pPr>
        <w:pStyle w:val="ManualConsidrant"/>
        <w:rPr>
          <w:rFonts w:cs="Calibri"/>
          <w:noProof/>
        </w:rPr>
      </w:pPr>
      <w:r w:rsidRPr="00C57CAF">
        <w:rPr>
          <w:noProof/>
        </w:rPr>
        <w:t>(17)</w:t>
      </w:r>
      <w:r w:rsidRPr="00C57CAF">
        <w:rPr>
          <w:noProof/>
        </w:rPr>
        <w:tab/>
      </w:r>
      <w:r w:rsidR="6552B506" w:rsidRPr="008F139C">
        <w:rPr>
          <w:noProof/>
        </w:rPr>
        <w:t xml:space="preserve">In 2021, Regulation (EU) 2017/2402 was amended by </w:t>
      </w:r>
      <w:r w:rsidR="6552B506" w:rsidRPr="005F29AF">
        <w:rPr>
          <w:noProof/>
        </w:rPr>
        <w:t>Regulation (EU) 2021/557 of the European Parliament and of the Council</w:t>
      </w:r>
      <w:r w:rsidR="0054282F" w:rsidRPr="008F139C">
        <w:rPr>
          <w:rStyle w:val="FootnoteReference"/>
          <w:noProof/>
        </w:rPr>
        <w:footnoteReference w:id="29"/>
      </w:r>
      <w:r w:rsidR="6552B506" w:rsidRPr="008F139C">
        <w:rPr>
          <w:noProof/>
        </w:rPr>
        <w:t xml:space="preserve"> to extend the STS framework to synthetic securitisations. As indicated in the report of the Joint Committee of European Supervisory Authorities, </w:t>
      </w:r>
      <w:r w:rsidR="6552B506">
        <w:rPr>
          <w:noProof/>
        </w:rPr>
        <w:t>that</w:t>
      </w:r>
      <w:r w:rsidR="6552B506" w:rsidRPr="008F139C">
        <w:rPr>
          <w:noProof/>
        </w:rPr>
        <w:t xml:space="preserve"> extension of the STS label has </w:t>
      </w:r>
      <w:r w:rsidR="4180DF95" w:rsidRPr="008F139C">
        <w:rPr>
          <w:noProof/>
        </w:rPr>
        <w:t xml:space="preserve">led to satisfactory results in terms of </w:t>
      </w:r>
      <w:r w:rsidR="65668FF8" w:rsidRPr="008F139C">
        <w:rPr>
          <w:noProof/>
        </w:rPr>
        <w:t xml:space="preserve">opening the way for </w:t>
      </w:r>
      <w:r w:rsidR="4180DF95" w:rsidRPr="008F139C">
        <w:rPr>
          <w:noProof/>
        </w:rPr>
        <w:t>new issuance and encouraging greater activity in this market segment</w:t>
      </w:r>
      <w:r w:rsidR="6552B506" w:rsidRPr="008F139C">
        <w:rPr>
          <w:noProof/>
        </w:rPr>
        <w:t xml:space="preserve">. However, the practical implementation of the STS requirements has revealed the necessity to further improve the clarity and consistency in specific requirements with some technical adjustments. </w:t>
      </w:r>
    </w:p>
    <w:p w:rsidR="0054282F" w:rsidRPr="008F139C" w:rsidRDefault="00C57CAF" w:rsidP="00C57CAF">
      <w:pPr>
        <w:pStyle w:val="ManualConsidrant"/>
        <w:rPr>
          <w:rFonts w:cs="Calibri"/>
          <w:noProof/>
        </w:rPr>
      </w:pPr>
      <w:r w:rsidRPr="00C57CAF">
        <w:rPr>
          <w:noProof/>
        </w:rPr>
        <w:t>(18)</w:t>
      </w:r>
      <w:r w:rsidRPr="00C57CAF">
        <w:rPr>
          <w:noProof/>
        </w:rPr>
        <w:tab/>
      </w:r>
      <w:r w:rsidR="6552B506">
        <w:rPr>
          <w:noProof/>
        </w:rPr>
        <w:t xml:space="preserve">To ensure the consistent selection of the underlying exposures in a securitisation and to enable investors to assess the credit risk of the asset pool prior to investment, active portfolio management on a discretionary basis of a securitisation exposure is prohibited. Article 26b of Regulation (EU) 2017/2402 contains an exhaustive list of permitted management activities and stipulates that certain activities should not be considered active portfolio management on a discretionary basis and therefore not be prohibited. It is necessary to update that list to include removals due to </w:t>
      </w:r>
      <w:r w:rsidR="6552B506" w:rsidRPr="3C04938E">
        <w:rPr>
          <w:rFonts w:cs="Calibri"/>
          <w:noProof/>
        </w:rPr>
        <w:t>sanctions imposed on an entity during the life of the transaction or fraudulent practices, or amendments to the loan due to a change in the law affecting the enforceability, which are outside the control of the originator. Both circumstances would have an impact on the enforceability of the underlying exposures (beyond the control of the originator) and the removal of those underlying exposures should not be considered as active portfolio management on a discretionary basis.</w:t>
      </w:r>
    </w:p>
    <w:p w:rsidR="0054282F" w:rsidRPr="008F139C" w:rsidRDefault="00C57CAF" w:rsidP="00C57CAF">
      <w:pPr>
        <w:pStyle w:val="ManualConsidrant"/>
        <w:rPr>
          <w:rFonts w:cs="Calibri"/>
          <w:noProof/>
        </w:rPr>
      </w:pPr>
      <w:r w:rsidRPr="00C57CAF">
        <w:rPr>
          <w:noProof/>
        </w:rPr>
        <w:t>(19)</w:t>
      </w:r>
      <w:r w:rsidRPr="00C57CAF">
        <w:rPr>
          <w:noProof/>
        </w:rPr>
        <w:tab/>
      </w:r>
      <w:r w:rsidR="6552B506" w:rsidRPr="3C04938E">
        <w:rPr>
          <w:noProof/>
          <w:lang w:eastAsia="en-GB"/>
        </w:rPr>
        <w:t xml:space="preserve">The criteria relating to standardisation laid down in Article 26c of </w:t>
      </w:r>
      <w:r w:rsidR="6552B506">
        <w:rPr>
          <w:noProof/>
        </w:rPr>
        <w:t xml:space="preserve">Regulation (EU) 2017/2402 </w:t>
      </w:r>
      <w:r w:rsidR="6552B506" w:rsidRPr="3C04938E">
        <w:rPr>
          <w:noProof/>
          <w:lang w:eastAsia="en-GB"/>
        </w:rPr>
        <w:t xml:space="preserve">outline the mechanisms for loss allocation to securitisation position holders and determine the application of various amortisation methods to tranches. The central aim of those criteria is to ensure that non-sequential amortisation is employed only when accompanied by distinctly specified contractual triggers. Those triggers are intended to prompt a switch to sequential payments based on the hierarchy of seniority, thereby protecting the transaction from the premature amortisation of credit enhancement in the event of a decline in credit quality. Such premature amortisation could expose originators holding those tranches to risks associated with a diminishing credit enhancement cushion. However, those criteria fail to adequately consider the loss-bearing capacity of tranches subordinated to the protected tranches within a securitisation, leading to misapplication when interpreted literally in the context of synthetic securitisations that include mezzanine tranches. Those criteria inadvertently assume that all associated losses fall solely on the protected tranche, and thus ignoring an assignment to more junior tranches. It should therefore be specified that, in instances where junior tranches absorb portions of the underlying exposure losses, their loss-bearing capacities should be taken into consideration for the application of the criteria. </w:t>
      </w:r>
    </w:p>
    <w:p w:rsidR="0054282F" w:rsidRPr="008F139C" w:rsidRDefault="00C57CAF" w:rsidP="00C57CAF">
      <w:pPr>
        <w:pStyle w:val="ManualConsidrant"/>
        <w:rPr>
          <w:rFonts w:cs="Calibri"/>
          <w:noProof/>
        </w:rPr>
      </w:pPr>
      <w:r w:rsidRPr="00C57CAF">
        <w:rPr>
          <w:noProof/>
        </w:rPr>
        <w:t>(20)</w:t>
      </w:r>
      <w:r w:rsidRPr="00C57CAF">
        <w:rPr>
          <w:noProof/>
        </w:rPr>
        <w:tab/>
      </w:r>
      <w:r w:rsidR="6552B506" w:rsidRPr="3C04938E">
        <w:rPr>
          <w:rFonts w:cs="Calibri"/>
          <w:noProof/>
        </w:rPr>
        <w:t xml:space="preserve">Article 26e(3) of </w:t>
      </w:r>
      <w:r w:rsidR="6552B506">
        <w:rPr>
          <w:noProof/>
        </w:rPr>
        <w:t xml:space="preserve">Regulation (EU) 2017/2402 currently specifies that the credit protection premiums to be paid under the credit protection agreement are to be structured as contingent on the outstanding nominal amount of the performing securitised exposures at the time of the payment and reflect the risk of the protected tranche. </w:t>
      </w:r>
      <w:r w:rsidR="6552B506" w:rsidRPr="3C04938E">
        <w:rPr>
          <w:rFonts w:cs="Calibri"/>
          <w:noProof/>
        </w:rPr>
        <w:t>To ensure the effectiveness of the credit protection agreement from the originators’ perspective and at the same time provide legal certainty for investors on the termination date to make payments by specifying the maximum extension period for the debt workout, it should be specified that only credit protection premiums contingent on the size of the outstanding tranche and credit risk of the protected tranche are allowed.</w:t>
      </w:r>
    </w:p>
    <w:p w:rsidR="0054282F" w:rsidRPr="008F139C" w:rsidRDefault="00C57CAF" w:rsidP="00C57CAF">
      <w:pPr>
        <w:pStyle w:val="ManualConsidrant"/>
        <w:rPr>
          <w:noProof/>
        </w:rPr>
      </w:pPr>
      <w:r w:rsidRPr="00C57CAF">
        <w:rPr>
          <w:noProof/>
        </w:rPr>
        <w:t>(21)</w:t>
      </w:r>
      <w:r w:rsidRPr="00C57CAF">
        <w:rPr>
          <w:noProof/>
        </w:rPr>
        <w:tab/>
      </w:r>
      <w:r w:rsidR="6552B506">
        <w:rPr>
          <w:noProof/>
        </w:rPr>
        <w:t>Article 26e(7) of Regulation (EU) 2017/2402 specifies the conditions under which an originator may commit synthetic excess spread as credit enhancement for investors. One of those conditions is that, for originators not using the IRB Approach referred to in Article 143 of Regulation (EU) No 575/2013, the calculation of the one-year expected loss of the underlying portfolio is to be clearly determined in the transaction documentation. In order to specify the requirements for the synthetic excess spread committed by the originator and available as credit enhancement for the investors</w:t>
      </w:r>
      <w:r w:rsidR="00EA2130">
        <w:rPr>
          <w:noProof/>
        </w:rPr>
        <w:t>,</w:t>
      </w:r>
      <w:r w:rsidR="6552B506">
        <w:rPr>
          <w:noProof/>
        </w:rPr>
        <w:t xml:space="preserve"> a specific criterion has been introduced</w:t>
      </w:r>
      <w:r w:rsidR="00C35633">
        <w:rPr>
          <w:noProof/>
        </w:rPr>
        <w:t xml:space="preserve"> in the 2021 amendment to</w:t>
      </w:r>
      <w:r w:rsidR="6552B506">
        <w:rPr>
          <w:noProof/>
        </w:rPr>
        <w:t xml:space="preserve"> Regulation</w:t>
      </w:r>
      <w:r w:rsidR="00401E25">
        <w:rPr>
          <w:noProof/>
        </w:rPr>
        <w:t xml:space="preserve"> (EU) 2017/2402</w:t>
      </w:r>
      <w:r w:rsidR="6552B506" w:rsidRPr="3C04938E">
        <w:rPr>
          <w:noProof/>
          <w:lang w:eastAsia="en-GB"/>
        </w:rPr>
        <w:t xml:space="preserve">. The application of this criterion has shown that it requires further clarification. In addition, an inconsistency has been identified regarding the requirements for </w:t>
      </w:r>
      <w:r w:rsidR="6552B506">
        <w:rPr>
          <w:noProof/>
        </w:rPr>
        <w:t>originators not using the IRB Approach. That requirement should</w:t>
      </w:r>
      <w:r w:rsidR="6552B506" w:rsidRPr="3C04938E">
        <w:rPr>
          <w:noProof/>
          <w:lang w:eastAsia="en-GB"/>
        </w:rPr>
        <w:t xml:space="preserve"> be amended to align with the intent to set a cap, </w:t>
      </w:r>
      <w:r w:rsidR="6552B506">
        <w:rPr>
          <w:noProof/>
        </w:rPr>
        <w:t xml:space="preserve">equivalent to one year's expected loss, </w:t>
      </w:r>
      <w:r w:rsidR="6552B506" w:rsidRPr="3C04938E">
        <w:rPr>
          <w:noProof/>
          <w:lang w:eastAsia="en-GB"/>
        </w:rPr>
        <w:t>on the total amount of synthetic excess spread that the originator should commit per year, thereby ensuring consistency and clarity in the application of that provision.</w:t>
      </w:r>
      <w:r w:rsidR="6552B506">
        <w:rPr>
          <w:noProof/>
        </w:rPr>
        <w:t xml:space="preserve"> </w:t>
      </w:r>
    </w:p>
    <w:p w:rsidR="0054282F" w:rsidRPr="008F139C" w:rsidRDefault="00C57CAF" w:rsidP="00C57CAF">
      <w:pPr>
        <w:pStyle w:val="ManualConsidrant"/>
        <w:rPr>
          <w:noProof/>
        </w:rPr>
      </w:pPr>
      <w:r w:rsidRPr="00C57CAF">
        <w:rPr>
          <w:noProof/>
        </w:rPr>
        <w:t>(22)</w:t>
      </w:r>
      <w:r w:rsidRPr="00C57CAF">
        <w:rPr>
          <w:noProof/>
        </w:rPr>
        <w:tab/>
      </w:r>
      <w:r w:rsidR="6552B506">
        <w:rPr>
          <w:noProof/>
        </w:rPr>
        <w:t xml:space="preserve">The current criterion requiring credit protection is to be funded in the STS framework for on-balance-sheet synthetic securitisation under the STS regime has limited the ability of insurance or reinsurance companies to participate in the on-balance-sheet STS securitisation market. That is detrimental to the development of the STS market and the ability of originators to transfer credit risk outside the banking system. Allowing unfunded credit protection to be eligible for the STS label should, however, not undermine the quality of the STS label or the reliability of the credit protection agreement, nor should it create incentives for inexperienced or undiversified insurance or reinsurance undertakings to become exposed to high levels of risk. It is therefore appropriate to put in place safeguards to ensure that participation is limited to insurers with a certain level of robustness and diversification. Therefore, eligibility for providing unfunded credit protection under the STS label should be accompanied by requirements related to diversification, solvency, risk measurement, and minimum size of the protection provider. Specifically, when it comes to risk measurement, the insurance or reinsurance undertaking should use an approved internal model to calculate capital requirements for such credit protection agreements. When it comes to solvency, the insurance or reinsurance undertaking should comply with the Solvency Capital Requirement and Minimum Capital Requirement referred to in Articles 100 and 128 of Directive 2009/138/EC, respectively, and should have been assigned to credit quality step </w:t>
      </w:r>
      <w:r w:rsidR="00A36E66">
        <w:rPr>
          <w:noProof/>
        </w:rPr>
        <w:t>3</w:t>
      </w:r>
      <w:r w:rsidR="6552B506">
        <w:rPr>
          <w:noProof/>
        </w:rPr>
        <w:t xml:space="preserve"> or better. When it comes to diversification, the insurance or reinsurance undertaking should effectively operate business activities in at least two classes of non-life insurance, which should reduce overexposure to any single risk type. Finally, when it comes to minimum size, the insurance or reinsurance undertaking should have total assets above EUR 20 billion.</w:t>
      </w:r>
    </w:p>
    <w:p w:rsidR="0054282F" w:rsidRDefault="00C57CAF" w:rsidP="00C57CAF">
      <w:pPr>
        <w:pStyle w:val="ManualConsidrant"/>
        <w:rPr>
          <w:noProof/>
          <w:lang w:eastAsia="en-GB"/>
        </w:rPr>
      </w:pPr>
      <w:r w:rsidRPr="00C57CAF">
        <w:rPr>
          <w:noProof/>
        </w:rPr>
        <w:t>(23)</w:t>
      </w:r>
      <w:r w:rsidRPr="00C57CAF">
        <w:rPr>
          <w:noProof/>
        </w:rPr>
        <w:tab/>
      </w:r>
      <w:r w:rsidR="6552B506" w:rsidRPr="3C04938E">
        <w:rPr>
          <w:noProof/>
          <w:lang w:eastAsia="en-GB"/>
        </w:rPr>
        <w:t xml:space="preserve">Third-party verifiers have a role in assessing the compliance of securitisations to the STS criteria. Regulation </w:t>
      </w:r>
      <w:r w:rsidR="005C41D7">
        <w:rPr>
          <w:noProof/>
          <w:lang w:eastAsia="en-GB"/>
        </w:rPr>
        <w:t>(</w:t>
      </w:r>
      <w:r w:rsidR="6552B506">
        <w:rPr>
          <w:noProof/>
        </w:rPr>
        <w:t xml:space="preserve">EU) 2017/2402 only requires </w:t>
      </w:r>
      <w:r w:rsidR="6552B506" w:rsidRPr="3C04938E">
        <w:rPr>
          <w:noProof/>
          <w:lang w:eastAsia="en-GB"/>
        </w:rPr>
        <w:t>third-party verifiers to be authorised by national competent authorities</w:t>
      </w:r>
      <w:r w:rsidR="005C41D7">
        <w:rPr>
          <w:noProof/>
          <w:lang w:eastAsia="en-GB"/>
        </w:rPr>
        <w:t>.</w:t>
      </w:r>
      <w:r w:rsidR="6552B506" w:rsidRPr="3C04938E">
        <w:rPr>
          <w:noProof/>
          <w:lang w:eastAsia="en-GB"/>
        </w:rPr>
        <w:t xml:space="preserve"> Such authorisation is, however, of </w:t>
      </w:r>
      <w:r w:rsidR="2F8B0EBE" w:rsidRPr="3C04938E">
        <w:rPr>
          <w:noProof/>
          <w:lang w:eastAsia="en-GB"/>
        </w:rPr>
        <w:t>limited</w:t>
      </w:r>
      <w:r w:rsidR="0054282F" w:rsidRPr="3C04938E" w:rsidDel="6552B506">
        <w:rPr>
          <w:noProof/>
          <w:lang w:eastAsia="en-GB"/>
        </w:rPr>
        <w:t xml:space="preserve"> </w:t>
      </w:r>
      <w:r w:rsidR="47A01068" w:rsidRPr="3C04938E">
        <w:rPr>
          <w:noProof/>
          <w:lang w:eastAsia="en-GB"/>
        </w:rPr>
        <w:t xml:space="preserve">assurance </w:t>
      </w:r>
      <w:r w:rsidR="6552B506" w:rsidRPr="3C04938E">
        <w:rPr>
          <w:noProof/>
          <w:lang w:eastAsia="en-GB"/>
        </w:rPr>
        <w:t xml:space="preserve">if competent authorities </w:t>
      </w:r>
      <w:r w:rsidR="39687BFE" w:rsidRPr="3C04938E">
        <w:rPr>
          <w:noProof/>
          <w:lang w:eastAsia="en-GB"/>
        </w:rPr>
        <w:t xml:space="preserve">are not in position to </w:t>
      </w:r>
      <w:r w:rsidR="6552B506" w:rsidRPr="3C04938E">
        <w:rPr>
          <w:noProof/>
          <w:lang w:eastAsia="en-GB"/>
        </w:rPr>
        <w:t>assess whether those third-party verifiers continue to comply with the conditions for their authorisation</w:t>
      </w:r>
      <w:r w:rsidR="1F1F60FD" w:rsidRPr="3C04938E">
        <w:rPr>
          <w:noProof/>
          <w:lang w:eastAsia="en-GB"/>
        </w:rPr>
        <w:t xml:space="preserve"> on an ongoing basis</w:t>
      </w:r>
      <w:r w:rsidR="6552B506" w:rsidRPr="3C04938E">
        <w:rPr>
          <w:noProof/>
          <w:lang w:eastAsia="en-GB"/>
        </w:rPr>
        <w:t xml:space="preserve">. It is therefore appropriate to lay down that competent authorities are also responsible for the </w:t>
      </w:r>
      <w:r w:rsidR="2F2A7D09" w:rsidRPr="3C04938E">
        <w:rPr>
          <w:noProof/>
          <w:lang w:eastAsia="en-GB"/>
        </w:rPr>
        <w:t xml:space="preserve">ongoing </w:t>
      </w:r>
      <w:r w:rsidR="6552B506" w:rsidRPr="3C04938E">
        <w:rPr>
          <w:noProof/>
          <w:lang w:eastAsia="en-GB"/>
        </w:rPr>
        <w:t>supervision of such third-party verifiers</w:t>
      </w:r>
      <w:r w:rsidR="54B699CB" w:rsidRPr="3C04938E">
        <w:rPr>
          <w:noProof/>
          <w:lang w:eastAsia="en-GB"/>
        </w:rPr>
        <w:t xml:space="preserve"> and adequately empowered to do so</w:t>
      </w:r>
      <w:r w:rsidR="6552B506" w:rsidRPr="3C04938E">
        <w:rPr>
          <w:noProof/>
          <w:lang w:eastAsia="en-GB"/>
        </w:rPr>
        <w:t>.</w:t>
      </w:r>
    </w:p>
    <w:p w:rsidR="0054282F" w:rsidRPr="008F139C" w:rsidRDefault="00C57CAF" w:rsidP="00C57CAF">
      <w:pPr>
        <w:pStyle w:val="ManualConsidrant"/>
        <w:rPr>
          <w:noProof/>
        </w:rPr>
      </w:pPr>
      <w:r w:rsidRPr="00C57CAF">
        <w:rPr>
          <w:noProof/>
        </w:rPr>
        <w:t>(24)</w:t>
      </w:r>
      <w:r w:rsidRPr="00C57CAF">
        <w:rPr>
          <w:noProof/>
        </w:rPr>
        <w:tab/>
      </w:r>
      <w:r w:rsidR="6552B506">
        <w:rPr>
          <w:noProof/>
        </w:rPr>
        <w:t>To ensure the effective implementation and enforcement of Regulation (EU) 2017/2402, it is necessary to clarify the responsibilities of competent authorities in supervising the compliance of all relevant parties involved in a securitisation. Competent authorities should oversee the conduct of originators, sponsors, original lenders, and SSPEs. This includes verification of whether individual securitisation transactions comply with the applicable requirements under this Regulation.</w:t>
      </w:r>
    </w:p>
    <w:p w:rsidR="0054282F" w:rsidRPr="008F139C" w:rsidRDefault="00C57CAF" w:rsidP="00C57CAF">
      <w:pPr>
        <w:pStyle w:val="ManualConsidrant"/>
        <w:rPr>
          <w:noProof/>
        </w:rPr>
      </w:pPr>
      <w:r w:rsidRPr="00C57CAF">
        <w:rPr>
          <w:noProof/>
        </w:rPr>
        <w:t>(25)</w:t>
      </w:r>
      <w:r w:rsidRPr="00C57CAF">
        <w:rPr>
          <w:noProof/>
        </w:rPr>
        <w:tab/>
      </w:r>
      <w:r w:rsidR="6552B506">
        <w:rPr>
          <w:noProof/>
        </w:rPr>
        <w:t xml:space="preserve">In order to strengthen compliance with, and to enhance the effectiveness of, </w:t>
      </w:r>
      <w:r w:rsidR="6552B506" w:rsidRPr="3C04938E">
        <w:rPr>
          <w:noProof/>
          <w:lang w:eastAsia="en-GB"/>
        </w:rPr>
        <w:t xml:space="preserve">Regulation </w:t>
      </w:r>
      <w:r w:rsidR="6552B506">
        <w:rPr>
          <w:noProof/>
        </w:rPr>
        <w:t xml:space="preserve">(EU) 2017/2402, the scope of sanctioning powers under Article 32 of that Regulation should be broadened to explicitly include infringements of due diligence obligations. Institutional investors play a key role in ensuring the soundness and transparency of the securitisation market by conducting appropriate due diligence before and during their exposures. To ensure consistent enforcement across the Union of those due diligence requirements, it should be specified that failure to comply with those requirements is to be subject to </w:t>
      </w:r>
      <w:r w:rsidR="0C1E16C7">
        <w:rPr>
          <w:noProof/>
        </w:rPr>
        <w:t xml:space="preserve">remedial </w:t>
      </w:r>
      <w:r w:rsidR="6552B506">
        <w:rPr>
          <w:noProof/>
        </w:rPr>
        <w:t xml:space="preserve">measures and </w:t>
      </w:r>
      <w:r w:rsidR="1FEE5F7E">
        <w:rPr>
          <w:noProof/>
        </w:rPr>
        <w:t>administrative</w:t>
      </w:r>
      <w:r w:rsidR="444B603D">
        <w:rPr>
          <w:noProof/>
        </w:rPr>
        <w:t xml:space="preserve"> </w:t>
      </w:r>
      <w:r w:rsidR="6552B506">
        <w:rPr>
          <w:noProof/>
        </w:rPr>
        <w:t xml:space="preserve">sanctions by competent authorities. </w:t>
      </w:r>
    </w:p>
    <w:p w:rsidR="001B6C02" w:rsidRDefault="00C57CAF" w:rsidP="00C57CAF">
      <w:pPr>
        <w:pStyle w:val="ManualConsidrant"/>
        <w:rPr>
          <w:noProof/>
        </w:rPr>
      </w:pPr>
      <w:r w:rsidRPr="00C57CAF">
        <w:rPr>
          <w:noProof/>
        </w:rPr>
        <w:t>(26)</w:t>
      </w:r>
      <w:r w:rsidRPr="00C57CAF">
        <w:rPr>
          <w:noProof/>
        </w:rPr>
        <w:tab/>
      </w:r>
      <w:r w:rsidR="6552B506">
        <w:rPr>
          <w:noProof/>
        </w:rPr>
        <w:t xml:space="preserve">Fostering supervisory convergence is </w:t>
      </w:r>
      <w:r w:rsidR="114A7144">
        <w:rPr>
          <w:noProof/>
        </w:rPr>
        <w:t>essential</w:t>
      </w:r>
      <w:r w:rsidR="6552B506">
        <w:rPr>
          <w:noProof/>
        </w:rPr>
        <w:t xml:space="preserve"> to the proper functioning and further development of the securitisation market which </w:t>
      </w:r>
      <w:r w:rsidR="2ED12F92">
        <w:rPr>
          <w:noProof/>
        </w:rPr>
        <w:t>brings together a</w:t>
      </w:r>
      <w:r w:rsidR="6552B506">
        <w:rPr>
          <w:noProof/>
        </w:rPr>
        <w:t xml:space="preserve"> </w:t>
      </w:r>
      <w:r w:rsidR="526D4019">
        <w:rPr>
          <w:noProof/>
        </w:rPr>
        <w:t xml:space="preserve">wide range </w:t>
      </w:r>
      <w:r w:rsidR="145170FC">
        <w:rPr>
          <w:noProof/>
        </w:rPr>
        <w:t>of</w:t>
      </w:r>
      <w:r w:rsidR="526D4019">
        <w:rPr>
          <w:noProof/>
        </w:rPr>
        <w:t xml:space="preserve"> </w:t>
      </w:r>
      <w:r w:rsidR="27B46C99">
        <w:rPr>
          <w:noProof/>
        </w:rPr>
        <w:t xml:space="preserve">economic </w:t>
      </w:r>
      <w:r w:rsidR="6552B506">
        <w:rPr>
          <w:noProof/>
        </w:rPr>
        <w:t xml:space="preserve">actors </w:t>
      </w:r>
      <w:r w:rsidR="442730FF">
        <w:rPr>
          <w:noProof/>
        </w:rPr>
        <w:t xml:space="preserve">often </w:t>
      </w:r>
      <w:r w:rsidR="6552B506">
        <w:rPr>
          <w:noProof/>
        </w:rPr>
        <w:t>based in different jurisdictions</w:t>
      </w:r>
      <w:r w:rsidR="6771710B">
        <w:rPr>
          <w:noProof/>
        </w:rPr>
        <w:t>, even for the same transaction</w:t>
      </w:r>
      <w:r w:rsidR="6552B506">
        <w:rPr>
          <w:noProof/>
        </w:rPr>
        <w:t xml:space="preserve">. </w:t>
      </w:r>
      <w:r w:rsidR="3703C8BA">
        <w:rPr>
          <w:noProof/>
        </w:rPr>
        <w:t xml:space="preserve">The </w:t>
      </w:r>
      <w:r w:rsidR="411F1A5F">
        <w:rPr>
          <w:noProof/>
        </w:rPr>
        <w:t xml:space="preserve">involvement of </w:t>
      </w:r>
      <w:r w:rsidR="66BCC4E8">
        <w:rPr>
          <w:noProof/>
        </w:rPr>
        <w:t xml:space="preserve">several </w:t>
      </w:r>
      <w:r w:rsidR="411F1A5F">
        <w:rPr>
          <w:noProof/>
        </w:rPr>
        <w:t>competent authorities</w:t>
      </w:r>
      <w:r w:rsidR="24D1807F">
        <w:rPr>
          <w:noProof/>
        </w:rPr>
        <w:t xml:space="preserve">, combined with the current </w:t>
      </w:r>
      <w:r w:rsidR="34B50621">
        <w:rPr>
          <w:noProof/>
        </w:rPr>
        <w:t xml:space="preserve">complexity </w:t>
      </w:r>
      <w:r w:rsidR="1CCF51B7">
        <w:rPr>
          <w:noProof/>
        </w:rPr>
        <w:t>of th</w:t>
      </w:r>
      <w:r w:rsidR="311965B9">
        <w:rPr>
          <w:noProof/>
        </w:rPr>
        <w:t>e decision</w:t>
      </w:r>
      <w:r w:rsidR="4C4EB38F">
        <w:rPr>
          <w:noProof/>
        </w:rPr>
        <w:t>-</w:t>
      </w:r>
      <w:r w:rsidR="311965B9">
        <w:rPr>
          <w:noProof/>
        </w:rPr>
        <w:t>making process</w:t>
      </w:r>
      <w:r w:rsidR="551F893D">
        <w:rPr>
          <w:noProof/>
        </w:rPr>
        <w:t xml:space="preserve">, highlights the need </w:t>
      </w:r>
      <w:r w:rsidR="4C4EB38F">
        <w:rPr>
          <w:noProof/>
        </w:rPr>
        <w:t>to strengthen the supervisory coordination.</w:t>
      </w:r>
      <w:r w:rsidR="551F893D">
        <w:rPr>
          <w:noProof/>
        </w:rPr>
        <w:t xml:space="preserve"> </w:t>
      </w:r>
      <w:r w:rsidR="0D849077">
        <w:rPr>
          <w:noProof/>
        </w:rPr>
        <w:t xml:space="preserve">Simplifying </w:t>
      </w:r>
      <w:r w:rsidR="259EDA95">
        <w:rPr>
          <w:noProof/>
        </w:rPr>
        <w:t xml:space="preserve">and reinforcing </w:t>
      </w:r>
      <w:r w:rsidR="6C317D0A">
        <w:rPr>
          <w:noProof/>
        </w:rPr>
        <w:t xml:space="preserve">existing </w:t>
      </w:r>
      <w:r w:rsidR="0119D373">
        <w:rPr>
          <w:noProof/>
        </w:rPr>
        <w:t>frameworks</w:t>
      </w:r>
      <w:r w:rsidR="28928F7B">
        <w:rPr>
          <w:noProof/>
        </w:rPr>
        <w:t xml:space="preserve"> for supervisory coordination</w:t>
      </w:r>
      <w:r w:rsidR="3E056945">
        <w:rPr>
          <w:noProof/>
        </w:rPr>
        <w:t>,</w:t>
      </w:r>
      <w:r w:rsidR="0119D373">
        <w:rPr>
          <w:noProof/>
        </w:rPr>
        <w:t xml:space="preserve"> where </w:t>
      </w:r>
      <w:r w:rsidR="74B62ADE">
        <w:rPr>
          <w:noProof/>
        </w:rPr>
        <w:t>feasible</w:t>
      </w:r>
      <w:r w:rsidR="639C2EC9">
        <w:rPr>
          <w:noProof/>
        </w:rPr>
        <w:t>,</w:t>
      </w:r>
      <w:r w:rsidR="74B62ADE">
        <w:rPr>
          <w:noProof/>
        </w:rPr>
        <w:t xml:space="preserve"> </w:t>
      </w:r>
      <w:r w:rsidR="7D33F6D3">
        <w:rPr>
          <w:noProof/>
        </w:rPr>
        <w:t xml:space="preserve">should support </w:t>
      </w:r>
      <w:r w:rsidR="74B62ADE">
        <w:rPr>
          <w:noProof/>
        </w:rPr>
        <w:t>the</w:t>
      </w:r>
      <w:r w:rsidR="0D849077">
        <w:rPr>
          <w:noProof/>
        </w:rPr>
        <w:t xml:space="preserve"> </w:t>
      </w:r>
      <w:r w:rsidR="7824D4A7">
        <w:rPr>
          <w:noProof/>
        </w:rPr>
        <w:t xml:space="preserve">broader aim of simplification in regulation and supervision. </w:t>
      </w:r>
      <w:r w:rsidR="2BC8A41E">
        <w:rPr>
          <w:noProof/>
        </w:rPr>
        <w:t>Stronger</w:t>
      </w:r>
      <w:r w:rsidR="6552B506">
        <w:rPr>
          <w:noProof/>
        </w:rPr>
        <w:t xml:space="preserve"> convergence can be achieved by using </w:t>
      </w:r>
      <w:r w:rsidR="204225D7">
        <w:rPr>
          <w:noProof/>
        </w:rPr>
        <w:t xml:space="preserve">more efficiently and effectively </w:t>
      </w:r>
      <w:r w:rsidR="6552B506">
        <w:rPr>
          <w:noProof/>
        </w:rPr>
        <w:t>existing powers that allocated to the ESAs and the competent authorities</w:t>
      </w:r>
      <w:r w:rsidR="0E00F5DB">
        <w:rPr>
          <w:noProof/>
        </w:rPr>
        <w:t>.</w:t>
      </w:r>
      <w:r w:rsidR="7785E564">
        <w:rPr>
          <w:noProof/>
        </w:rPr>
        <w:t xml:space="preserve"> </w:t>
      </w:r>
      <w:r w:rsidR="6DCA8961">
        <w:rPr>
          <w:noProof/>
        </w:rPr>
        <w:t xml:space="preserve">This outcome should be also supported by giving a more prominent role </w:t>
      </w:r>
      <w:r w:rsidR="42AAC00D">
        <w:rPr>
          <w:noProof/>
        </w:rPr>
        <w:t xml:space="preserve">to the EBA, which should assume permanent stewardship of supervision </w:t>
      </w:r>
      <w:r w:rsidR="41B42FB7">
        <w:rPr>
          <w:noProof/>
        </w:rPr>
        <w:t>coordination</w:t>
      </w:r>
      <w:r w:rsidR="6CEBEDFF">
        <w:rPr>
          <w:noProof/>
        </w:rPr>
        <w:t xml:space="preserve"> issues for the securitisation market in the Union</w:t>
      </w:r>
      <w:r w:rsidR="6552B506">
        <w:rPr>
          <w:noProof/>
        </w:rPr>
        <w:t xml:space="preserve">. </w:t>
      </w:r>
    </w:p>
    <w:p w:rsidR="0054282F" w:rsidRDefault="00C57CAF" w:rsidP="00C57CAF">
      <w:pPr>
        <w:pStyle w:val="ManualConsidrant"/>
        <w:rPr>
          <w:noProof/>
        </w:rPr>
      </w:pPr>
      <w:r w:rsidRPr="00C57CAF">
        <w:rPr>
          <w:noProof/>
        </w:rPr>
        <w:t>(27)</w:t>
      </w:r>
      <w:r w:rsidRPr="00C57CAF">
        <w:rPr>
          <w:noProof/>
        </w:rPr>
        <w:tab/>
      </w:r>
      <w:r w:rsidR="6552B506">
        <w:rPr>
          <w:noProof/>
        </w:rPr>
        <w:t>The Joint Committee Securitisation Committee</w:t>
      </w:r>
      <w:r w:rsidR="002B75D3">
        <w:rPr>
          <w:noProof/>
        </w:rPr>
        <w:t>,</w:t>
      </w:r>
      <w:r w:rsidR="009508BA">
        <w:rPr>
          <w:noProof/>
        </w:rPr>
        <w:t xml:space="preserve"> </w:t>
      </w:r>
      <w:r w:rsidR="6552B506">
        <w:rPr>
          <w:noProof/>
        </w:rPr>
        <w:t>composed of market and prudential competent authorities</w:t>
      </w:r>
      <w:r w:rsidR="002B75D3">
        <w:rPr>
          <w:noProof/>
        </w:rPr>
        <w:t>,</w:t>
      </w:r>
      <w:r w:rsidR="6552B506">
        <w:rPr>
          <w:noProof/>
        </w:rPr>
        <w:t xml:space="preserve"> should focus on issues stemming from supervision and should facilitate and promote supervisory convergence through common supervisory practices. The current mandate of the </w:t>
      </w:r>
      <w:r w:rsidR="00110044">
        <w:rPr>
          <w:noProof/>
        </w:rPr>
        <w:t>JCSC</w:t>
      </w:r>
      <w:r w:rsidR="6552B506">
        <w:rPr>
          <w:noProof/>
        </w:rPr>
        <w:t xml:space="preserve"> should be </w:t>
      </w:r>
      <w:r w:rsidR="6552B506" w:rsidRPr="0008361C">
        <w:rPr>
          <w:noProof/>
        </w:rPr>
        <w:t xml:space="preserve">reviewed to put emphasis on supervisory convergence and work related to Article 44 of this Regulation. The </w:t>
      </w:r>
      <w:r w:rsidR="00110044">
        <w:rPr>
          <w:noProof/>
        </w:rPr>
        <w:t>JCSC</w:t>
      </w:r>
      <w:r w:rsidR="6552B506" w:rsidRPr="0008361C">
        <w:rPr>
          <w:noProof/>
        </w:rPr>
        <w:t xml:space="preserve"> can meet in different format</w:t>
      </w:r>
      <w:r w:rsidR="1F55BD99" w:rsidRPr="0008361C">
        <w:rPr>
          <w:noProof/>
        </w:rPr>
        <w:t>s</w:t>
      </w:r>
      <w:r w:rsidR="6552B506" w:rsidRPr="0008361C">
        <w:rPr>
          <w:noProof/>
        </w:rPr>
        <w:t xml:space="preserve"> or establish subgroups for specific tasks according to the issues to be discussed. The EBA should provide the secretariat and </w:t>
      </w:r>
      <w:r w:rsidR="0017056D" w:rsidRPr="0008361C">
        <w:rPr>
          <w:noProof/>
        </w:rPr>
        <w:t xml:space="preserve">a </w:t>
      </w:r>
      <w:r w:rsidR="0017056D" w:rsidRPr="0008361C" w:rsidDel="00242C7B">
        <w:rPr>
          <w:noProof/>
        </w:rPr>
        <w:t>vice-</w:t>
      </w:r>
      <w:r w:rsidR="6552B506" w:rsidRPr="0008361C" w:rsidDel="00242C7B">
        <w:rPr>
          <w:noProof/>
        </w:rPr>
        <w:t>chair</w:t>
      </w:r>
      <w:r w:rsidR="0017056D" w:rsidRPr="0008361C" w:rsidDel="00242C7B">
        <w:rPr>
          <w:noProof/>
        </w:rPr>
        <w:t xml:space="preserve">person </w:t>
      </w:r>
      <w:r w:rsidR="0017056D" w:rsidRPr="0008361C">
        <w:rPr>
          <w:noProof/>
        </w:rPr>
        <w:t>for the</w:t>
      </w:r>
      <w:r w:rsidR="6552B506" w:rsidRPr="0008361C">
        <w:rPr>
          <w:noProof/>
        </w:rPr>
        <w:t xml:space="preserve"> Joint Committee Securitisation Committee on a permanent basis</w:t>
      </w:r>
      <w:r w:rsidR="5266B95E" w:rsidRPr="0008361C">
        <w:rPr>
          <w:noProof/>
        </w:rPr>
        <w:t xml:space="preserve">, </w:t>
      </w:r>
      <w:r w:rsidR="00741C65" w:rsidRPr="0008361C">
        <w:rPr>
          <w:noProof/>
        </w:rPr>
        <w:t xml:space="preserve">deputising and </w:t>
      </w:r>
      <w:r w:rsidR="5266B95E" w:rsidRPr="0008361C">
        <w:rPr>
          <w:noProof/>
        </w:rPr>
        <w:t>supporting the chairperson in the exercise of his or her duties</w:t>
      </w:r>
      <w:r w:rsidR="6552B506" w:rsidRPr="0008361C">
        <w:rPr>
          <w:noProof/>
        </w:rPr>
        <w:t>.</w:t>
      </w:r>
      <w:r w:rsidR="0017056D" w:rsidRPr="0008361C">
        <w:rPr>
          <w:noProof/>
        </w:rPr>
        <w:t xml:space="preserve"> </w:t>
      </w:r>
      <w:r w:rsidR="006B7E14" w:rsidRPr="0008361C">
        <w:rPr>
          <w:noProof/>
        </w:rPr>
        <w:t xml:space="preserve">In the absence of the chairperson, the </w:t>
      </w:r>
      <w:r w:rsidR="00B078BE" w:rsidRPr="0008361C">
        <w:rPr>
          <w:noProof/>
        </w:rPr>
        <w:t>vice-chairperson</w:t>
      </w:r>
      <w:r w:rsidR="006B7E14" w:rsidRPr="0008361C">
        <w:rPr>
          <w:noProof/>
        </w:rPr>
        <w:t xml:space="preserve"> should perform the tasks of the chairperson</w:t>
      </w:r>
      <w:r w:rsidR="007B124B" w:rsidRPr="0008361C">
        <w:rPr>
          <w:noProof/>
        </w:rPr>
        <w:t xml:space="preserve">, </w:t>
      </w:r>
      <w:r w:rsidR="00B478F3" w:rsidRPr="0008361C">
        <w:rPr>
          <w:noProof/>
        </w:rPr>
        <w:t xml:space="preserve">including </w:t>
      </w:r>
      <w:r w:rsidR="00095A58" w:rsidRPr="0008361C">
        <w:rPr>
          <w:noProof/>
        </w:rPr>
        <w:t>in situations where no chairperson is elected</w:t>
      </w:r>
      <w:r w:rsidR="0017056D" w:rsidRPr="0008361C">
        <w:rPr>
          <w:noProof/>
        </w:rPr>
        <w:t>.</w:t>
      </w:r>
      <w:r w:rsidR="6552B506" w:rsidRPr="0008361C">
        <w:rPr>
          <w:noProof/>
        </w:rPr>
        <w:t xml:space="preserve"> Representatives to this body from participating market and prudential competent authorities</w:t>
      </w:r>
      <w:r w:rsidR="6552B506">
        <w:rPr>
          <w:noProof/>
        </w:rPr>
        <w:t xml:space="preserve"> should have the appropriate level of knowledge and experience in matters under discussion. The regular monitoring of the state of the market and evaluation of the supervisory securitisation framework in the Union through monitoring reports, development of guidelines and regular peer reviews would further strengthen the supervisory framework promoting best (supervisory) practices.</w:t>
      </w:r>
    </w:p>
    <w:p w:rsidR="002729E4" w:rsidRDefault="00C57CAF" w:rsidP="00C57CAF">
      <w:pPr>
        <w:pStyle w:val="ManualConsidrant"/>
        <w:rPr>
          <w:noProof/>
          <w:sz w:val="22"/>
        </w:rPr>
      </w:pPr>
      <w:r w:rsidRPr="00C57CAF">
        <w:rPr>
          <w:noProof/>
        </w:rPr>
        <w:t>(28)</w:t>
      </w:r>
      <w:r w:rsidRPr="00C57CAF">
        <w:rPr>
          <w:noProof/>
        </w:rPr>
        <w:tab/>
      </w:r>
      <w:r w:rsidR="469D62CB">
        <w:rPr>
          <w:noProof/>
        </w:rPr>
        <w:t>Given that securitisation</w:t>
      </w:r>
      <w:r w:rsidR="5C3583A2">
        <w:rPr>
          <w:noProof/>
        </w:rPr>
        <w:t xml:space="preserve"> </w:t>
      </w:r>
      <w:r w:rsidR="1B368CE1">
        <w:rPr>
          <w:noProof/>
        </w:rPr>
        <w:t xml:space="preserve">activity </w:t>
      </w:r>
      <w:r w:rsidR="5C3583A2">
        <w:rPr>
          <w:noProof/>
        </w:rPr>
        <w:t>in</w:t>
      </w:r>
      <w:r w:rsidR="469D62CB">
        <w:rPr>
          <w:noProof/>
        </w:rPr>
        <w:t xml:space="preserve"> </w:t>
      </w:r>
      <w:r w:rsidR="1AE8E280">
        <w:rPr>
          <w:noProof/>
        </w:rPr>
        <w:t>the Union</w:t>
      </w:r>
      <w:r w:rsidR="469D62CB">
        <w:rPr>
          <w:noProof/>
        </w:rPr>
        <w:t xml:space="preserve"> is </w:t>
      </w:r>
      <w:r w:rsidR="06D37C4D">
        <w:rPr>
          <w:noProof/>
        </w:rPr>
        <w:t>primarily</w:t>
      </w:r>
      <w:r w:rsidR="469D62CB">
        <w:rPr>
          <w:noProof/>
        </w:rPr>
        <w:t xml:space="preserve"> </w:t>
      </w:r>
      <w:r w:rsidR="596BC977">
        <w:rPr>
          <w:noProof/>
        </w:rPr>
        <w:t>concentrated in the banking sector</w:t>
      </w:r>
      <w:r w:rsidR="469D62CB">
        <w:rPr>
          <w:noProof/>
        </w:rPr>
        <w:t xml:space="preserve">, it is </w:t>
      </w:r>
      <w:r w:rsidR="2C91261D">
        <w:rPr>
          <w:noProof/>
        </w:rPr>
        <w:t>appropriate</w:t>
      </w:r>
      <w:r w:rsidR="469D62CB">
        <w:rPr>
          <w:noProof/>
        </w:rPr>
        <w:t xml:space="preserve"> that the EBA assumes the permanent </w:t>
      </w:r>
      <w:r w:rsidR="00210FAE">
        <w:rPr>
          <w:noProof/>
        </w:rPr>
        <w:t xml:space="preserve">stewardship </w:t>
      </w:r>
      <w:r w:rsidR="469D62CB">
        <w:rPr>
          <w:noProof/>
        </w:rPr>
        <w:t xml:space="preserve">role in the </w:t>
      </w:r>
      <w:r w:rsidR="5B54F14F">
        <w:rPr>
          <w:noProof/>
        </w:rPr>
        <w:t xml:space="preserve">Joint </w:t>
      </w:r>
      <w:r w:rsidR="469D62CB">
        <w:rPr>
          <w:noProof/>
        </w:rPr>
        <w:t xml:space="preserve">Committee Securitisation Committee. </w:t>
      </w:r>
      <w:r w:rsidR="306929C0">
        <w:rPr>
          <w:noProof/>
        </w:rPr>
        <w:t xml:space="preserve">In the exercise of </w:t>
      </w:r>
      <w:r w:rsidR="69ECE8B6">
        <w:rPr>
          <w:noProof/>
        </w:rPr>
        <w:t xml:space="preserve">its </w:t>
      </w:r>
      <w:r w:rsidR="306929C0">
        <w:rPr>
          <w:noProof/>
        </w:rPr>
        <w:t xml:space="preserve">permanent role in the Joint Committee Securitisation Committee, </w:t>
      </w:r>
      <w:r w:rsidR="00401E25">
        <w:rPr>
          <w:noProof/>
        </w:rPr>
        <w:t xml:space="preserve">the </w:t>
      </w:r>
      <w:r w:rsidR="2DBC1117">
        <w:rPr>
          <w:noProof/>
        </w:rPr>
        <w:t xml:space="preserve">EBA should </w:t>
      </w:r>
      <w:r w:rsidR="2144CBDE">
        <w:rPr>
          <w:noProof/>
        </w:rPr>
        <w:t xml:space="preserve">attach particular attention to </w:t>
      </w:r>
      <w:r w:rsidR="56D16799">
        <w:rPr>
          <w:noProof/>
        </w:rPr>
        <w:t xml:space="preserve">nourishing </w:t>
      </w:r>
      <w:r w:rsidR="2DBC1117">
        <w:rPr>
          <w:noProof/>
        </w:rPr>
        <w:t xml:space="preserve">strong and collaborative working relationships with </w:t>
      </w:r>
      <w:r w:rsidR="00401E25">
        <w:rPr>
          <w:noProof/>
        </w:rPr>
        <w:t xml:space="preserve">the </w:t>
      </w:r>
      <w:r w:rsidR="1F21A658">
        <w:rPr>
          <w:noProof/>
        </w:rPr>
        <w:t>European</w:t>
      </w:r>
      <w:r w:rsidR="11998853">
        <w:rPr>
          <w:noProof/>
        </w:rPr>
        <w:t xml:space="preserve"> Securities Markets Authority (</w:t>
      </w:r>
      <w:r w:rsidR="06A6A5D8">
        <w:rPr>
          <w:noProof/>
        </w:rPr>
        <w:t>ESMA</w:t>
      </w:r>
      <w:r w:rsidR="14AB0665">
        <w:rPr>
          <w:noProof/>
        </w:rPr>
        <w:t>)</w:t>
      </w:r>
      <w:r w:rsidR="06A6A5D8">
        <w:rPr>
          <w:noProof/>
        </w:rPr>
        <w:t xml:space="preserve"> and </w:t>
      </w:r>
      <w:r w:rsidR="00401E25">
        <w:rPr>
          <w:noProof/>
        </w:rPr>
        <w:t xml:space="preserve">the </w:t>
      </w:r>
      <w:r w:rsidR="01BCCACB">
        <w:rPr>
          <w:noProof/>
        </w:rPr>
        <w:t>European Insurance and Occupational Pensions Authority (</w:t>
      </w:r>
      <w:r w:rsidR="06A6A5D8">
        <w:rPr>
          <w:noProof/>
        </w:rPr>
        <w:t>EIOPA</w:t>
      </w:r>
      <w:r w:rsidR="5A67D57A">
        <w:rPr>
          <w:noProof/>
        </w:rPr>
        <w:t>)</w:t>
      </w:r>
      <w:r w:rsidR="115EF440">
        <w:rPr>
          <w:noProof/>
        </w:rPr>
        <w:t xml:space="preserve"> </w:t>
      </w:r>
      <w:r w:rsidR="0B2BA1D7">
        <w:rPr>
          <w:noProof/>
        </w:rPr>
        <w:t xml:space="preserve">and </w:t>
      </w:r>
      <w:r w:rsidR="115EF440">
        <w:rPr>
          <w:noProof/>
        </w:rPr>
        <w:t>duly taking account of their sectoral perspectives</w:t>
      </w:r>
      <w:r w:rsidR="469D62CB">
        <w:rPr>
          <w:noProof/>
        </w:rPr>
        <w:t xml:space="preserve">. </w:t>
      </w:r>
      <w:r w:rsidR="5507A1FF">
        <w:rPr>
          <w:noProof/>
        </w:rPr>
        <w:t xml:space="preserve">It should be expected that </w:t>
      </w:r>
      <w:r w:rsidR="3FD0F9B8">
        <w:rPr>
          <w:noProof/>
        </w:rPr>
        <w:t xml:space="preserve">such reinforced supervisory coordination will result in </w:t>
      </w:r>
      <w:r w:rsidR="5507A1FF">
        <w:rPr>
          <w:noProof/>
        </w:rPr>
        <w:t xml:space="preserve">more </w:t>
      </w:r>
      <w:r w:rsidR="469D62CB">
        <w:rPr>
          <w:noProof/>
        </w:rPr>
        <w:t xml:space="preserve">robust and consistent supervision </w:t>
      </w:r>
      <w:r w:rsidR="420E4804">
        <w:rPr>
          <w:noProof/>
        </w:rPr>
        <w:t>of the securitisat</w:t>
      </w:r>
      <w:r w:rsidR="00210FAE">
        <w:rPr>
          <w:noProof/>
        </w:rPr>
        <w:t>i</w:t>
      </w:r>
      <w:r w:rsidR="420E4804">
        <w:rPr>
          <w:noProof/>
        </w:rPr>
        <w:t>on market in the Union</w:t>
      </w:r>
      <w:r w:rsidR="469D62CB">
        <w:rPr>
          <w:noProof/>
        </w:rPr>
        <w:t xml:space="preserve">. </w:t>
      </w:r>
      <w:r w:rsidR="00280370">
        <w:rPr>
          <w:noProof/>
        </w:rPr>
        <w:t xml:space="preserve">In </w:t>
      </w:r>
      <w:r w:rsidR="008063E1">
        <w:rPr>
          <w:noProof/>
        </w:rPr>
        <w:t xml:space="preserve">this </w:t>
      </w:r>
      <w:r w:rsidR="00280370">
        <w:rPr>
          <w:noProof/>
        </w:rPr>
        <w:t>capacity, the EBA should also</w:t>
      </w:r>
      <w:r w:rsidR="005B28A7">
        <w:rPr>
          <w:noProof/>
        </w:rPr>
        <w:t xml:space="preserve"> lead the work on the</w:t>
      </w:r>
      <w:r w:rsidR="00280370">
        <w:rPr>
          <w:noProof/>
        </w:rPr>
        <w:t xml:space="preserve"> </w:t>
      </w:r>
      <w:r w:rsidR="00362421">
        <w:rPr>
          <w:noProof/>
        </w:rPr>
        <w:t>develop</w:t>
      </w:r>
      <w:r w:rsidR="005B28A7">
        <w:rPr>
          <w:noProof/>
        </w:rPr>
        <w:t>ment of</w:t>
      </w:r>
      <w:r w:rsidR="00362421">
        <w:rPr>
          <w:noProof/>
        </w:rPr>
        <w:t xml:space="preserve"> the </w:t>
      </w:r>
      <w:r w:rsidR="002804F6">
        <w:rPr>
          <w:noProof/>
        </w:rPr>
        <w:t>disclosure template</w:t>
      </w:r>
      <w:r w:rsidR="005800B2">
        <w:rPr>
          <w:noProof/>
        </w:rPr>
        <w:t>s</w:t>
      </w:r>
      <w:r w:rsidR="002804F6">
        <w:rPr>
          <w:noProof/>
        </w:rPr>
        <w:t xml:space="preserve"> as provided for in Article 7</w:t>
      </w:r>
      <w:r w:rsidR="00401E25">
        <w:rPr>
          <w:noProof/>
        </w:rPr>
        <w:t xml:space="preserve"> of this Regulation</w:t>
      </w:r>
      <w:r w:rsidR="00EC3D8C">
        <w:rPr>
          <w:noProof/>
        </w:rPr>
        <w:t>.</w:t>
      </w:r>
      <w:r w:rsidR="00123094">
        <w:rPr>
          <w:noProof/>
        </w:rPr>
        <w:t xml:space="preserve"> </w:t>
      </w:r>
      <w:r w:rsidR="2F9DF851">
        <w:rPr>
          <w:noProof/>
        </w:rPr>
        <w:t>This</w:t>
      </w:r>
      <w:r w:rsidR="469D62CB">
        <w:rPr>
          <w:noProof/>
        </w:rPr>
        <w:t xml:space="preserve"> will be instrumental in preparing the market for the anticipated growth and </w:t>
      </w:r>
      <w:r w:rsidR="201AA181">
        <w:rPr>
          <w:noProof/>
        </w:rPr>
        <w:t xml:space="preserve">developing </w:t>
      </w:r>
      <w:r w:rsidR="469D62CB">
        <w:rPr>
          <w:noProof/>
        </w:rPr>
        <w:t xml:space="preserve">supervisory </w:t>
      </w:r>
      <w:r w:rsidR="56550BF5">
        <w:rPr>
          <w:noProof/>
        </w:rPr>
        <w:t xml:space="preserve">capacity and </w:t>
      </w:r>
      <w:r w:rsidR="469D62CB">
        <w:rPr>
          <w:noProof/>
        </w:rPr>
        <w:t xml:space="preserve">preparedness to support this expansion. Assigning a </w:t>
      </w:r>
      <w:r w:rsidR="00522C6E">
        <w:rPr>
          <w:noProof/>
        </w:rPr>
        <w:t>stewardship</w:t>
      </w:r>
      <w:r w:rsidR="469D62CB">
        <w:rPr>
          <w:noProof/>
        </w:rPr>
        <w:t xml:space="preserve"> role to EBA in this supervisory capacity aligns with </w:t>
      </w:r>
      <w:r w:rsidR="3EC2C10A">
        <w:rPr>
          <w:noProof/>
        </w:rPr>
        <w:t>the</w:t>
      </w:r>
      <w:r w:rsidR="469D62CB">
        <w:rPr>
          <w:noProof/>
        </w:rPr>
        <w:t xml:space="preserve"> strategic vision of an efficient and simplified regulatory landscape.</w:t>
      </w:r>
    </w:p>
    <w:p w:rsidR="0054282F" w:rsidRPr="008F139C" w:rsidRDefault="00C57CAF" w:rsidP="00C57CAF">
      <w:pPr>
        <w:pStyle w:val="ManualConsidrant"/>
        <w:rPr>
          <w:i/>
          <w:iCs/>
          <w:noProof/>
        </w:rPr>
      </w:pPr>
      <w:r w:rsidRPr="00C57CAF">
        <w:rPr>
          <w:noProof/>
        </w:rPr>
        <w:t>(29)</w:t>
      </w:r>
      <w:r w:rsidRPr="00C57CAF">
        <w:rPr>
          <w:noProof/>
        </w:rPr>
        <w:tab/>
      </w:r>
      <w:r w:rsidR="6552B506">
        <w:rPr>
          <w:noProof/>
        </w:rPr>
        <w:t xml:space="preserve">In case of cross-border securitisations, appointing a lead supervisor would streamline the supervision of compliance with Regulation (EU) 2017/2402 and ensure consistency and better coordination among the different competent authorities. The lead supervisor should be appointed </w:t>
      </w:r>
      <w:r w:rsidR="6F7AE1E2">
        <w:rPr>
          <w:noProof/>
        </w:rPr>
        <w:t xml:space="preserve">from among </w:t>
      </w:r>
      <w:r w:rsidR="6552B506">
        <w:rPr>
          <w:noProof/>
        </w:rPr>
        <w:t>the competent authorities of the entities involved in the transaction</w:t>
      </w:r>
      <w:r w:rsidR="4781D314">
        <w:rPr>
          <w:noProof/>
        </w:rPr>
        <w:t>, with the decision taken by the competent authorities concerned</w:t>
      </w:r>
      <w:r w:rsidR="6552B506">
        <w:rPr>
          <w:noProof/>
        </w:rPr>
        <w:t>. In case of disagreements the matter should be dealt with at the level of the Joint Committee Securitisation Committee. Whenever a new transaction involves entities supervised by the same competent authorities, the lead previously appointed can keep that role.</w:t>
      </w:r>
    </w:p>
    <w:p w:rsidR="0054282F" w:rsidRPr="008F139C" w:rsidRDefault="00C57CAF" w:rsidP="00C57CAF">
      <w:pPr>
        <w:pStyle w:val="ManualConsidrant"/>
        <w:rPr>
          <w:noProof/>
        </w:rPr>
      </w:pPr>
      <w:r w:rsidRPr="00C57CAF">
        <w:rPr>
          <w:noProof/>
        </w:rPr>
        <w:t>(30)</w:t>
      </w:r>
      <w:r w:rsidRPr="00C57CAF">
        <w:rPr>
          <w:noProof/>
        </w:rPr>
        <w:tab/>
      </w:r>
      <w:r w:rsidR="6552B506">
        <w:rPr>
          <w:noProof/>
        </w:rPr>
        <w:t xml:space="preserve">It is important to ensure that the regulatory framework for securitisations remains effective and adapts to the evolving financial landscape. For that reason, the Commission should comprehensively review the impact and functionality of this Regulation within 5 years after its adoption, with careful attention to its influence on the securitisation market and its broader economic implications. That review should focus on critical aspects, including market dynamics, the accessibility of credit </w:t>
      </w:r>
      <w:r w:rsidR="6EE9AF13">
        <w:rPr>
          <w:noProof/>
        </w:rPr>
        <w:t xml:space="preserve">in particular </w:t>
      </w:r>
      <w:r w:rsidR="6552B506">
        <w:rPr>
          <w:noProof/>
        </w:rPr>
        <w:t>for SMEs, investments, and the interconnectedness of financial institutions which is vital for maintaining the stability of the financial sector. Combining insights from the reports referred to in Article 44 of Regulation (EU) 2017/2402 and further analyses, the Commission should determine the necessity for legislative updates to safeguard the role of Regulation (EU) 2017/2402 in supporting a resilient and dynamic economy within the European Union.</w:t>
      </w:r>
    </w:p>
    <w:p w:rsidR="0054282F" w:rsidRPr="008F139C" w:rsidRDefault="00C57CAF" w:rsidP="00C57CAF">
      <w:pPr>
        <w:pStyle w:val="ManualConsidrant"/>
        <w:rPr>
          <w:noProof/>
        </w:rPr>
      </w:pPr>
      <w:r w:rsidRPr="00C57CAF">
        <w:rPr>
          <w:noProof/>
        </w:rPr>
        <w:t>(31)</w:t>
      </w:r>
      <w:r w:rsidRPr="00C57CAF">
        <w:rPr>
          <w:noProof/>
        </w:rPr>
        <w:tab/>
      </w:r>
      <w:r w:rsidR="6552B506">
        <w:rPr>
          <w:noProof/>
        </w:rPr>
        <w:t>Since the objectives of this Regulation cannot be sufficiently achieved by the Member States given that securitisation markets operate globally and that a level playing field in the internal market for all institutional investors and entities involved in securitisation should be ensured but, by reason of their scale and effects, can be better achieved at Union level, the Union may adopt measures, in accordance with the principle of subsidiarity set out in Article 5 of the Treaty on European Union. In accordance with the principle of proportionality as set out in that Article, this Regulation does not go beyond what is necessary in order to achieve those objectives.</w:t>
      </w:r>
    </w:p>
    <w:p w:rsidR="0054282F" w:rsidRPr="008F139C" w:rsidRDefault="00C57CAF" w:rsidP="00C57CAF">
      <w:pPr>
        <w:pStyle w:val="ManualConsidrant"/>
        <w:rPr>
          <w:noProof/>
        </w:rPr>
      </w:pPr>
      <w:r w:rsidRPr="00C57CAF">
        <w:rPr>
          <w:noProof/>
        </w:rPr>
        <w:t>(32)</w:t>
      </w:r>
      <w:r w:rsidRPr="00C57CAF">
        <w:rPr>
          <w:noProof/>
        </w:rPr>
        <w:tab/>
      </w:r>
      <w:r w:rsidR="6552B506">
        <w:rPr>
          <w:noProof/>
        </w:rPr>
        <w:t>Regulation (EU) 2017/2402 should therefore be amended accordingly,</w:t>
      </w:r>
    </w:p>
    <w:p w:rsidR="00D761DA" w:rsidRPr="00F96E01" w:rsidRDefault="00D761DA">
      <w:pPr>
        <w:pStyle w:val="Formuledadoption"/>
        <w:rPr>
          <w:noProof/>
        </w:rPr>
      </w:pPr>
      <w:r w:rsidRPr="00F96E01">
        <w:rPr>
          <w:noProof/>
        </w:rPr>
        <w:t>HAVE ADOPTED THIS REGULATION:</w:t>
      </w:r>
    </w:p>
    <w:p w:rsidR="000A284E" w:rsidRPr="000A284E" w:rsidRDefault="00D761DA" w:rsidP="000A284E">
      <w:pPr>
        <w:pStyle w:val="Titrearticle"/>
        <w:rPr>
          <w:noProof/>
        </w:rPr>
      </w:pPr>
      <w:r w:rsidRPr="00F96E01">
        <w:rPr>
          <w:noProof/>
        </w:rPr>
        <w:t>Article 1</w:t>
      </w:r>
      <w:r w:rsidR="003E5E83">
        <w:rPr>
          <w:noProof/>
        </w:rPr>
        <w:br/>
      </w:r>
      <w:r w:rsidR="000A284E" w:rsidRPr="003E5E83">
        <w:rPr>
          <w:b/>
          <w:bCs/>
          <w:i w:val="0"/>
          <w:iCs/>
          <w:noProof/>
        </w:rPr>
        <w:t>Amendment to Regulation (EU) No 2017/2402</w:t>
      </w:r>
    </w:p>
    <w:p w:rsidR="00A10A17" w:rsidRPr="008F139C" w:rsidRDefault="00A10A17" w:rsidP="00A10A17">
      <w:pPr>
        <w:rPr>
          <w:noProof/>
        </w:rPr>
      </w:pPr>
      <w:r w:rsidRPr="008F139C">
        <w:rPr>
          <w:noProof/>
        </w:rPr>
        <w:t xml:space="preserve">Regulation (EU) 2017/2402 is amended as follows: </w:t>
      </w:r>
    </w:p>
    <w:p w:rsidR="00A10A17" w:rsidRPr="008F139C" w:rsidRDefault="00401E25" w:rsidP="00401E25">
      <w:pPr>
        <w:pStyle w:val="Point0"/>
        <w:rPr>
          <w:noProof/>
        </w:rPr>
      </w:pPr>
      <w:r w:rsidRPr="00401E25">
        <w:rPr>
          <w:noProof/>
        </w:rPr>
        <w:t>(1)</w:t>
      </w:r>
      <w:r w:rsidRPr="00401E25">
        <w:rPr>
          <w:noProof/>
        </w:rPr>
        <w:tab/>
      </w:r>
      <w:r w:rsidR="00A10A17" w:rsidRPr="008F139C">
        <w:rPr>
          <w:noProof/>
        </w:rPr>
        <w:t>in Article 1, paragraph 2 is replaced by the following:</w:t>
      </w:r>
    </w:p>
    <w:p w:rsidR="00A10A17" w:rsidRPr="008F139C" w:rsidRDefault="00A10A17" w:rsidP="000A0806">
      <w:pPr>
        <w:pStyle w:val="Text1"/>
        <w:rPr>
          <w:noProof/>
        </w:rPr>
      </w:pPr>
      <w:r w:rsidRPr="008F139C">
        <w:rPr>
          <w:noProof/>
        </w:rPr>
        <w:t>‘This Regulation applies to institutional investors and to originators, sponsors, original lenders, servicers and securitisation special purpose entities.’</w:t>
      </w:r>
      <w:r>
        <w:rPr>
          <w:noProof/>
        </w:rPr>
        <w:t>;</w:t>
      </w:r>
    </w:p>
    <w:p w:rsidR="009C097E" w:rsidRDefault="00401E25" w:rsidP="00401E25">
      <w:pPr>
        <w:pStyle w:val="Point0"/>
        <w:rPr>
          <w:noProof/>
        </w:rPr>
      </w:pPr>
      <w:r w:rsidRPr="00401E25">
        <w:rPr>
          <w:noProof/>
        </w:rPr>
        <w:t>(2)</w:t>
      </w:r>
      <w:r w:rsidRPr="00401E25">
        <w:rPr>
          <w:noProof/>
        </w:rPr>
        <w:tab/>
      </w:r>
      <w:r w:rsidR="00A10A17" w:rsidRPr="008F139C">
        <w:rPr>
          <w:noProof/>
        </w:rPr>
        <w:t>in Article 2</w:t>
      </w:r>
      <w:r w:rsidR="00A10A17">
        <w:rPr>
          <w:noProof/>
        </w:rPr>
        <w:t>,</w:t>
      </w:r>
      <w:r w:rsidR="00A10A17" w:rsidRPr="008F139C">
        <w:rPr>
          <w:noProof/>
        </w:rPr>
        <w:t xml:space="preserve"> the following points (32) and (33) are added</w:t>
      </w:r>
      <w:r w:rsidR="00B87A4A">
        <w:rPr>
          <w:noProof/>
        </w:rPr>
        <w:t>:</w:t>
      </w:r>
    </w:p>
    <w:p w:rsidR="00A10A17" w:rsidRPr="008F139C" w:rsidRDefault="008F63BD" w:rsidP="000A0806">
      <w:pPr>
        <w:pStyle w:val="Text1"/>
        <w:rPr>
          <w:noProof/>
        </w:rPr>
      </w:pPr>
      <w:r>
        <w:rPr>
          <w:noProof/>
        </w:rPr>
        <w:t>‘</w:t>
      </w:r>
      <w:r w:rsidR="00A10A17" w:rsidRPr="008F139C">
        <w:rPr>
          <w:noProof/>
        </w:rPr>
        <w:t>(32)</w:t>
      </w:r>
      <w:r w:rsidR="00A10A17">
        <w:rPr>
          <w:noProof/>
        </w:rPr>
        <w:tab/>
      </w:r>
      <w:r w:rsidR="00A10A17" w:rsidRPr="008F139C">
        <w:rPr>
          <w:noProof/>
        </w:rPr>
        <w:t>‘public securitisation’ means a securitisation that meets any of the following criteria:</w:t>
      </w:r>
    </w:p>
    <w:p w:rsidR="00A10A17" w:rsidRPr="008F139C" w:rsidRDefault="00401E25" w:rsidP="00401E25">
      <w:pPr>
        <w:pStyle w:val="Point2"/>
        <w:rPr>
          <w:noProof/>
        </w:rPr>
      </w:pPr>
      <w:r w:rsidRPr="00401E25">
        <w:rPr>
          <w:noProof/>
        </w:rPr>
        <w:t>(a)</w:t>
      </w:r>
      <w:r w:rsidRPr="00401E25">
        <w:rPr>
          <w:noProof/>
        </w:rPr>
        <w:tab/>
      </w:r>
      <w:r w:rsidR="00A10A17" w:rsidRPr="008F139C">
        <w:rPr>
          <w:noProof/>
        </w:rPr>
        <w:t xml:space="preserve">a prospectus has to be drawn up </w:t>
      </w:r>
      <w:r w:rsidR="00A10A17">
        <w:rPr>
          <w:noProof/>
        </w:rPr>
        <w:t>for that securitisation pursuant to Article 3 of</w:t>
      </w:r>
      <w:r w:rsidR="00A10A17" w:rsidRPr="008F139C">
        <w:rPr>
          <w:noProof/>
        </w:rPr>
        <w:t xml:space="preserve"> Regulation (EU) 2017/1129 of the European Parliament and of the Council</w:t>
      </w:r>
      <w:r w:rsidR="006D3699">
        <w:rPr>
          <w:rStyle w:val="FootnoteReference"/>
          <w:noProof/>
        </w:rPr>
        <w:footnoteReference w:id="30"/>
      </w:r>
      <w:r w:rsidR="00A10A17" w:rsidRPr="008F139C">
        <w:rPr>
          <w:noProof/>
        </w:rPr>
        <w:t>;</w:t>
      </w:r>
    </w:p>
    <w:p w:rsidR="00A10A17" w:rsidRPr="008F139C" w:rsidRDefault="00401E25" w:rsidP="00401E25">
      <w:pPr>
        <w:pStyle w:val="Point2"/>
        <w:rPr>
          <w:noProof/>
        </w:rPr>
      </w:pPr>
      <w:r w:rsidRPr="00401E25">
        <w:rPr>
          <w:noProof/>
        </w:rPr>
        <w:t>(b)</w:t>
      </w:r>
      <w:r w:rsidRPr="00401E25">
        <w:rPr>
          <w:noProof/>
        </w:rPr>
        <w:tab/>
      </w:r>
      <w:r w:rsidR="00A10A17">
        <w:rPr>
          <w:noProof/>
        </w:rPr>
        <w:t xml:space="preserve">the securitisation is </w:t>
      </w:r>
      <w:r w:rsidR="00A10A17" w:rsidRPr="008F139C">
        <w:rPr>
          <w:noProof/>
        </w:rPr>
        <w:t xml:space="preserve">marketed with notes constituting securitisation positions admitted to trading </w:t>
      </w:r>
      <w:r w:rsidR="00A10A17">
        <w:rPr>
          <w:noProof/>
        </w:rPr>
        <w:t xml:space="preserve">on a Union trading venue as defined in Article 4(1), point (24) of </w:t>
      </w:r>
      <w:r w:rsidR="00A10A17" w:rsidRPr="00913619">
        <w:rPr>
          <w:noProof/>
        </w:rPr>
        <w:t>Directive 2014/65/EU of the European Parliament and of the Council</w:t>
      </w:r>
      <w:r w:rsidR="006E551C">
        <w:rPr>
          <w:rStyle w:val="FootnoteReference"/>
          <w:noProof/>
        </w:rPr>
        <w:footnoteReference w:id="31"/>
      </w:r>
      <w:r w:rsidR="00A10A17">
        <w:rPr>
          <w:noProof/>
        </w:rPr>
        <w:t xml:space="preserve">; </w:t>
      </w:r>
    </w:p>
    <w:p w:rsidR="00A10A17" w:rsidRPr="008F139C" w:rsidRDefault="00401E25" w:rsidP="00401E25">
      <w:pPr>
        <w:pStyle w:val="Point2"/>
        <w:rPr>
          <w:noProof/>
        </w:rPr>
      </w:pPr>
      <w:r w:rsidRPr="00401E25">
        <w:rPr>
          <w:noProof/>
        </w:rPr>
        <w:t>(c)</w:t>
      </w:r>
      <w:r w:rsidRPr="00401E25">
        <w:rPr>
          <w:noProof/>
        </w:rPr>
        <w:tab/>
      </w:r>
      <w:r w:rsidR="00A10A17">
        <w:rPr>
          <w:noProof/>
        </w:rPr>
        <w:t xml:space="preserve">the securitisation is </w:t>
      </w:r>
      <w:r w:rsidR="00A10A17" w:rsidRPr="008F139C">
        <w:rPr>
          <w:noProof/>
        </w:rPr>
        <w:t>marketed to investors and the terms and conditions are not negotiable among the parties.</w:t>
      </w:r>
    </w:p>
    <w:p w:rsidR="00A10A17" w:rsidRDefault="00A10A17" w:rsidP="000A0806">
      <w:pPr>
        <w:pStyle w:val="Text1"/>
        <w:rPr>
          <w:noProof/>
        </w:rPr>
      </w:pPr>
      <w:r w:rsidRPr="008F139C">
        <w:rPr>
          <w:noProof/>
        </w:rPr>
        <w:t>(33)</w:t>
      </w:r>
      <w:r>
        <w:rPr>
          <w:noProof/>
        </w:rPr>
        <w:tab/>
      </w:r>
      <w:r w:rsidRPr="008F139C">
        <w:rPr>
          <w:noProof/>
        </w:rPr>
        <w:t xml:space="preserve">‘private securitisation’ means a securitisation that does not meet any of the criteria </w:t>
      </w:r>
      <w:r>
        <w:rPr>
          <w:noProof/>
        </w:rPr>
        <w:t xml:space="preserve">laid down </w:t>
      </w:r>
      <w:r w:rsidRPr="008F139C">
        <w:rPr>
          <w:noProof/>
        </w:rPr>
        <w:t>in point (32).</w:t>
      </w:r>
      <w:r w:rsidR="00632699">
        <w:rPr>
          <w:noProof/>
        </w:rPr>
        <w:t>’</w:t>
      </w:r>
    </w:p>
    <w:p w:rsidR="005F4227" w:rsidRPr="008F139C" w:rsidRDefault="00401E25" w:rsidP="00401E25">
      <w:pPr>
        <w:pStyle w:val="Point0"/>
        <w:rPr>
          <w:noProof/>
        </w:rPr>
      </w:pPr>
      <w:r w:rsidRPr="00401E25">
        <w:rPr>
          <w:noProof/>
        </w:rPr>
        <w:t>(3)</w:t>
      </w:r>
      <w:r w:rsidRPr="00401E25">
        <w:rPr>
          <w:noProof/>
        </w:rPr>
        <w:tab/>
      </w:r>
      <w:r w:rsidR="005F4227" w:rsidRPr="008F139C">
        <w:rPr>
          <w:noProof/>
        </w:rPr>
        <w:t>Article 5 is amended as follows:</w:t>
      </w:r>
    </w:p>
    <w:p w:rsidR="005F4227" w:rsidRDefault="00401E25" w:rsidP="00401E25">
      <w:pPr>
        <w:pStyle w:val="Point1"/>
        <w:rPr>
          <w:noProof/>
        </w:rPr>
      </w:pPr>
      <w:r w:rsidRPr="00401E25">
        <w:rPr>
          <w:noProof/>
        </w:rPr>
        <w:t>(a)</w:t>
      </w:r>
      <w:r w:rsidRPr="00401E25">
        <w:rPr>
          <w:noProof/>
        </w:rPr>
        <w:tab/>
      </w:r>
      <w:r w:rsidR="005F4227" w:rsidRPr="008F139C">
        <w:rPr>
          <w:noProof/>
        </w:rPr>
        <w:t>paragraph 1</w:t>
      </w:r>
      <w:r w:rsidR="005F4227">
        <w:rPr>
          <w:noProof/>
        </w:rPr>
        <w:t xml:space="preserve"> is amended as follows:</w:t>
      </w:r>
    </w:p>
    <w:p w:rsidR="005F4227" w:rsidRPr="008F139C" w:rsidRDefault="005F4227" w:rsidP="005F4227">
      <w:pPr>
        <w:ind w:left="1701" w:hanging="567"/>
        <w:rPr>
          <w:noProof/>
        </w:rPr>
      </w:pPr>
      <w:r>
        <w:rPr>
          <w:noProof/>
        </w:rPr>
        <w:t>(i)</w:t>
      </w:r>
      <w:r>
        <w:rPr>
          <w:noProof/>
        </w:rPr>
        <w:tab/>
      </w:r>
      <w:r w:rsidRPr="008F139C">
        <w:rPr>
          <w:noProof/>
        </w:rPr>
        <w:t>point (c) is deleted</w:t>
      </w:r>
      <w:r>
        <w:rPr>
          <w:noProof/>
        </w:rPr>
        <w:t>;</w:t>
      </w:r>
    </w:p>
    <w:p w:rsidR="005F4227" w:rsidRPr="008F139C" w:rsidRDefault="005F4227" w:rsidP="005F4227">
      <w:pPr>
        <w:ind w:left="1701" w:hanging="567"/>
        <w:rPr>
          <w:noProof/>
        </w:rPr>
      </w:pPr>
      <w:r>
        <w:rPr>
          <w:noProof/>
        </w:rPr>
        <w:t>(ii)</w:t>
      </w:r>
      <w:r>
        <w:rPr>
          <w:noProof/>
        </w:rPr>
        <w:tab/>
      </w:r>
      <w:r w:rsidRPr="008F139C">
        <w:rPr>
          <w:noProof/>
        </w:rPr>
        <w:t>points (e) and (f) are replaced by the following:</w:t>
      </w:r>
    </w:p>
    <w:p w:rsidR="005F4227" w:rsidRPr="008F139C" w:rsidRDefault="005F4227" w:rsidP="005F4227">
      <w:pPr>
        <w:pStyle w:val="Text1"/>
        <w:ind w:left="2268" w:hanging="567"/>
        <w:rPr>
          <w:noProof/>
        </w:rPr>
      </w:pPr>
      <w:r w:rsidRPr="008F139C">
        <w:rPr>
          <w:noProof/>
        </w:rPr>
        <w:t>‘(e)</w:t>
      </w:r>
      <w:r>
        <w:rPr>
          <w:noProof/>
        </w:rPr>
        <w:tab/>
      </w:r>
      <w:r w:rsidRPr="008F139C">
        <w:rPr>
          <w:noProof/>
        </w:rPr>
        <w:t>if established in a third country, the originator, sponsor or SSPE designated in accordance with Article 7(2) has made available the information required by Article 7</w:t>
      </w:r>
      <w:r>
        <w:rPr>
          <w:noProof/>
        </w:rPr>
        <w:t>(1)</w:t>
      </w:r>
      <w:r w:rsidRPr="008F139C">
        <w:rPr>
          <w:noProof/>
        </w:rPr>
        <w:t xml:space="preserve"> in accordance with the frequency and modalities provided for in that </w:t>
      </w:r>
      <w:r>
        <w:rPr>
          <w:noProof/>
        </w:rPr>
        <w:t>paragraph</w:t>
      </w:r>
      <w:r w:rsidRPr="008F139C">
        <w:rPr>
          <w:noProof/>
        </w:rPr>
        <w:t>;</w:t>
      </w:r>
    </w:p>
    <w:p w:rsidR="005F4227" w:rsidRPr="008F139C" w:rsidRDefault="005F4227" w:rsidP="005F4227">
      <w:pPr>
        <w:pStyle w:val="Text1"/>
        <w:ind w:left="2268" w:hanging="567"/>
        <w:rPr>
          <w:noProof/>
        </w:rPr>
      </w:pPr>
      <w:r w:rsidRPr="008F139C">
        <w:rPr>
          <w:noProof/>
        </w:rPr>
        <w:t>(f)</w:t>
      </w:r>
      <w:r>
        <w:rPr>
          <w:noProof/>
        </w:rPr>
        <w:tab/>
      </w:r>
      <w:r w:rsidRPr="008F139C">
        <w:rPr>
          <w:noProof/>
        </w:rPr>
        <w:t>if established in a third country, in the case of non-performing exposures, the originator, sponsor or original lender has applied sound standards in the selection and pricing of the exposures.’</w:t>
      </w:r>
      <w:r>
        <w:rPr>
          <w:noProof/>
        </w:rPr>
        <w:t>;</w:t>
      </w:r>
    </w:p>
    <w:p w:rsidR="005F4227" w:rsidRDefault="00401E25" w:rsidP="00401E25">
      <w:pPr>
        <w:pStyle w:val="Point1"/>
        <w:rPr>
          <w:noProof/>
        </w:rPr>
      </w:pPr>
      <w:r w:rsidRPr="00401E25">
        <w:rPr>
          <w:noProof/>
        </w:rPr>
        <w:t>(b)</w:t>
      </w:r>
      <w:r w:rsidRPr="00401E25">
        <w:rPr>
          <w:noProof/>
        </w:rPr>
        <w:tab/>
      </w:r>
      <w:r w:rsidR="005F4227" w:rsidRPr="004D7985">
        <w:rPr>
          <w:noProof/>
        </w:rPr>
        <w:t>paragraph 3</w:t>
      </w:r>
      <w:r w:rsidR="005F4227">
        <w:rPr>
          <w:noProof/>
        </w:rPr>
        <w:t xml:space="preserve"> is amended as follows:</w:t>
      </w:r>
    </w:p>
    <w:p w:rsidR="005F4227" w:rsidRPr="004D7985" w:rsidRDefault="005F4227" w:rsidP="005F4227">
      <w:pPr>
        <w:ind w:left="1701" w:hanging="567"/>
        <w:rPr>
          <w:noProof/>
        </w:rPr>
      </w:pPr>
      <w:r>
        <w:rPr>
          <w:noProof/>
        </w:rPr>
        <w:t>(i)</w:t>
      </w:r>
      <w:r>
        <w:rPr>
          <w:noProof/>
        </w:rPr>
        <w:tab/>
      </w:r>
      <w:r w:rsidRPr="004D7985">
        <w:rPr>
          <w:noProof/>
        </w:rPr>
        <w:t>point (b) is replaced by the following:</w:t>
      </w:r>
    </w:p>
    <w:p w:rsidR="005F4227" w:rsidRDefault="005F4227" w:rsidP="005F4227">
      <w:pPr>
        <w:pStyle w:val="Text1"/>
        <w:ind w:left="2268" w:hanging="567"/>
        <w:rPr>
          <w:noProof/>
        </w:rPr>
      </w:pPr>
      <w:r w:rsidRPr="004D7985">
        <w:rPr>
          <w:noProof/>
        </w:rPr>
        <w:t>‘(b)</w:t>
      </w:r>
      <w:r>
        <w:rPr>
          <w:noProof/>
        </w:rPr>
        <w:tab/>
      </w:r>
      <w:r w:rsidRPr="004D7985">
        <w:rPr>
          <w:noProof/>
        </w:rPr>
        <w:t>all the structural features of the securitisation that can materially impact the performance of the securitisation position;</w:t>
      </w:r>
      <w:r>
        <w:rPr>
          <w:noProof/>
        </w:rPr>
        <w:t>’;</w:t>
      </w:r>
    </w:p>
    <w:p w:rsidR="005F4227" w:rsidRPr="004D7985" w:rsidRDefault="005F4227" w:rsidP="005F4227">
      <w:pPr>
        <w:pStyle w:val="Text1"/>
        <w:ind w:left="1701" w:hanging="567"/>
        <w:rPr>
          <w:noProof/>
        </w:rPr>
      </w:pPr>
      <w:r>
        <w:rPr>
          <w:noProof/>
        </w:rPr>
        <w:t>(ii)</w:t>
      </w:r>
      <w:r>
        <w:rPr>
          <w:noProof/>
        </w:rPr>
        <w:tab/>
      </w:r>
      <w:r w:rsidRPr="004D7985">
        <w:rPr>
          <w:noProof/>
        </w:rPr>
        <w:t>point (c) is deleted</w:t>
      </w:r>
      <w:r>
        <w:rPr>
          <w:noProof/>
        </w:rPr>
        <w:t>;</w:t>
      </w:r>
    </w:p>
    <w:p w:rsidR="005F4227" w:rsidRDefault="00401E25" w:rsidP="00401E25">
      <w:pPr>
        <w:pStyle w:val="Point1"/>
        <w:rPr>
          <w:noProof/>
        </w:rPr>
      </w:pPr>
      <w:r w:rsidRPr="00401E25">
        <w:rPr>
          <w:noProof/>
        </w:rPr>
        <w:t>(c)</w:t>
      </w:r>
      <w:r w:rsidRPr="00401E25">
        <w:rPr>
          <w:noProof/>
        </w:rPr>
        <w:tab/>
      </w:r>
      <w:r w:rsidR="005F4227" w:rsidRPr="004D7985">
        <w:rPr>
          <w:noProof/>
        </w:rPr>
        <w:t xml:space="preserve">paragraph 4 </w:t>
      </w:r>
      <w:r w:rsidR="005F4227">
        <w:rPr>
          <w:noProof/>
        </w:rPr>
        <w:t>is amended as follows:</w:t>
      </w:r>
    </w:p>
    <w:p w:rsidR="005F4227" w:rsidRDefault="005F4227" w:rsidP="005F4227">
      <w:pPr>
        <w:ind w:left="1701" w:hanging="567"/>
        <w:rPr>
          <w:noProof/>
        </w:rPr>
      </w:pPr>
      <w:r>
        <w:rPr>
          <w:noProof/>
        </w:rPr>
        <w:t>(i)</w:t>
      </w:r>
      <w:r>
        <w:rPr>
          <w:noProof/>
        </w:rPr>
        <w:tab/>
        <w:t xml:space="preserve">in </w:t>
      </w:r>
      <w:r w:rsidRPr="004D7985">
        <w:rPr>
          <w:noProof/>
        </w:rPr>
        <w:t>point (a)</w:t>
      </w:r>
      <w:r>
        <w:rPr>
          <w:noProof/>
        </w:rPr>
        <w:t>, the</w:t>
      </w:r>
      <w:r w:rsidRPr="004D7985">
        <w:rPr>
          <w:noProof/>
        </w:rPr>
        <w:t xml:space="preserve"> second subparagraph is deleted</w:t>
      </w:r>
      <w:r>
        <w:rPr>
          <w:noProof/>
        </w:rPr>
        <w:t>;</w:t>
      </w:r>
    </w:p>
    <w:p w:rsidR="005F4227" w:rsidRPr="004D7985" w:rsidRDefault="005F4227" w:rsidP="005F4227">
      <w:pPr>
        <w:ind w:left="1701" w:hanging="567"/>
        <w:rPr>
          <w:noProof/>
        </w:rPr>
      </w:pPr>
      <w:r>
        <w:rPr>
          <w:noProof/>
        </w:rPr>
        <w:t>(ii)</w:t>
      </w:r>
      <w:r>
        <w:rPr>
          <w:noProof/>
        </w:rPr>
        <w:tab/>
        <w:t xml:space="preserve">the following </w:t>
      </w:r>
      <w:r w:rsidRPr="004D7985">
        <w:rPr>
          <w:noProof/>
        </w:rPr>
        <w:t>point (g) is added:</w:t>
      </w:r>
    </w:p>
    <w:p w:rsidR="005F4227" w:rsidRPr="004D7985" w:rsidRDefault="005F4227" w:rsidP="005F4227">
      <w:pPr>
        <w:pStyle w:val="Text1"/>
        <w:ind w:left="2268" w:hanging="567"/>
        <w:rPr>
          <w:noProof/>
        </w:rPr>
      </w:pPr>
      <w:r w:rsidRPr="004D7985">
        <w:rPr>
          <w:noProof/>
        </w:rPr>
        <w:t>‘(g)</w:t>
      </w:r>
      <w:r>
        <w:rPr>
          <w:noProof/>
        </w:rPr>
        <w:tab/>
      </w:r>
      <w:r w:rsidRPr="004D7985">
        <w:rPr>
          <w:noProof/>
        </w:rPr>
        <w:t>in the case of secondary market investments, document the due diligence assessment and verifications within a reasonable period of time which in any case shall not exceed 15 calendar days after the investment.’</w:t>
      </w:r>
      <w:r>
        <w:rPr>
          <w:noProof/>
        </w:rPr>
        <w:t>;</w:t>
      </w:r>
    </w:p>
    <w:p w:rsidR="005F4227" w:rsidRPr="004D7985" w:rsidRDefault="00401E25" w:rsidP="00401E25">
      <w:pPr>
        <w:pStyle w:val="Point1"/>
        <w:rPr>
          <w:noProof/>
        </w:rPr>
      </w:pPr>
      <w:r w:rsidRPr="00401E25">
        <w:rPr>
          <w:noProof/>
        </w:rPr>
        <w:t>(d)</w:t>
      </w:r>
      <w:r w:rsidRPr="00401E25">
        <w:rPr>
          <w:noProof/>
        </w:rPr>
        <w:tab/>
      </w:r>
      <w:r w:rsidR="005F4227">
        <w:rPr>
          <w:noProof/>
        </w:rPr>
        <w:t>the following</w:t>
      </w:r>
      <w:r w:rsidR="005F4227" w:rsidRPr="004D7985">
        <w:rPr>
          <w:noProof/>
        </w:rPr>
        <w:t xml:space="preserve"> paragraph</w:t>
      </w:r>
      <w:r>
        <w:rPr>
          <w:noProof/>
        </w:rPr>
        <w:t>s</w:t>
      </w:r>
      <w:r w:rsidR="005F4227" w:rsidRPr="004D7985">
        <w:rPr>
          <w:noProof/>
        </w:rPr>
        <w:t xml:space="preserve"> 4a</w:t>
      </w:r>
      <w:r>
        <w:rPr>
          <w:noProof/>
        </w:rPr>
        <w:t xml:space="preserve"> and 4b</w:t>
      </w:r>
      <w:r w:rsidR="005F4227" w:rsidRPr="004D7985">
        <w:rPr>
          <w:noProof/>
        </w:rPr>
        <w:t xml:space="preserve"> </w:t>
      </w:r>
      <w:r>
        <w:rPr>
          <w:noProof/>
        </w:rPr>
        <w:t>are</w:t>
      </w:r>
      <w:r w:rsidR="005F4227" w:rsidRPr="004D7985">
        <w:rPr>
          <w:noProof/>
        </w:rPr>
        <w:t xml:space="preserve"> inserted:</w:t>
      </w:r>
    </w:p>
    <w:p w:rsidR="005F4227" w:rsidRPr="004D7985" w:rsidRDefault="005F4227" w:rsidP="005F4227">
      <w:pPr>
        <w:pStyle w:val="Text1"/>
        <w:tabs>
          <w:tab w:val="left" w:pos="1701"/>
        </w:tabs>
        <w:ind w:left="1134"/>
        <w:rPr>
          <w:noProof/>
        </w:rPr>
      </w:pPr>
      <w:r w:rsidRPr="004D7985">
        <w:rPr>
          <w:noProof/>
        </w:rPr>
        <w:t>‘(4a)</w:t>
      </w:r>
      <w:r>
        <w:rPr>
          <w:noProof/>
        </w:rPr>
        <w:tab/>
      </w:r>
      <w:r w:rsidRPr="004D7985">
        <w:rPr>
          <w:noProof/>
        </w:rPr>
        <w:t xml:space="preserve">Paragraphs 1 to 4 shall not apply to institutional investors </w:t>
      </w:r>
      <w:r>
        <w:rPr>
          <w:noProof/>
        </w:rPr>
        <w:t xml:space="preserve">that </w:t>
      </w:r>
      <w:r w:rsidRPr="004D7985">
        <w:rPr>
          <w:noProof/>
        </w:rPr>
        <w:t>hold a securitisation position where such securitisation position is guaranteed by a multilateral development bank listed in Article 117</w:t>
      </w:r>
      <w:r>
        <w:rPr>
          <w:noProof/>
        </w:rPr>
        <w:t>(2)</w:t>
      </w:r>
      <w:r w:rsidRPr="004D7985">
        <w:rPr>
          <w:noProof/>
        </w:rPr>
        <w:t xml:space="preserve"> of Regulation (EU) No 575/2013</w:t>
      </w:r>
      <w:r w:rsidR="004E2B37">
        <w:rPr>
          <w:noProof/>
        </w:rPr>
        <w:t>.</w:t>
      </w:r>
      <w:r>
        <w:rPr>
          <w:noProof/>
        </w:rPr>
        <w:t xml:space="preserve"> </w:t>
      </w:r>
    </w:p>
    <w:p w:rsidR="00315880" w:rsidRDefault="005F4227" w:rsidP="00315880">
      <w:pPr>
        <w:pStyle w:val="Text1"/>
        <w:tabs>
          <w:tab w:val="left" w:pos="1701"/>
        </w:tabs>
        <w:ind w:left="1134"/>
        <w:rPr>
          <w:noProof/>
        </w:rPr>
      </w:pPr>
      <w:r w:rsidRPr="004D7985">
        <w:rPr>
          <w:noProof/>
        </w:rPr>
        <w:t>For the purpose</w:t>
      </w:r>
      <w:r>
        <w:rPr>
          <w:noProof/>
        </w:rPr>
        <w:t>s</w:t>
      </w:r>
      <w:r w:rsidRPr="004D7985">
        <w:rPr>
          <w:noProof/>
        </w:rPr>
        <w:t xml:space="preserve"> of the first subparagraph, the guarantee shall meet the conditions of Article 213 and 215 of Regulation (EU)</w:t>
      </w:r>
      <w:r>
        <w:rPr>
          <w:noProof/>
        </w:rPr>
        <w:t xml:space="preserve"> No</w:t>
      </w:r>
      <w:r w:rsidRPr="004D7985">
        <w:rPr>
          <w:noProof/>
        </w:rPr>
        <w:t xml:space="preserve"> 575/2013.</w:t>
      </w:r>
    </w:p>
    <w:p w:rsidR="005333DB" w:rsidRPr="004D7985" w:rsidRDefault="005333DB" w:rsidP="00315880">
      <w:pPr>
        <w:pStyle w:val="Text1"/>
        <w:tabs>
          <w:tab w:val="left" w:pos="1701"/>
        </w:tabs>
        <w:ind w:left="1134"/>
        <w:rPr>
          <w:noProof/>
        </w:rPr>
      </w:pPr>
      <w:r>
        <w:rPr>
          <w:noProof/>
        </w:rPr>
        <w:t>(4b)</w:t>
      </w:r>
      <w:r>
        <w:rPr>
          <w:noProof/>
        </w:rPr>
        <w:tab/>
        <w:t>Paragraphs 1 and 4 shall not apply to institutional investors that hold a securitisation position where the first loss tranche representing at least 15% of the nominal value of the securitised exposures is either held or guaranteed by the Union or by national promotional banks or institutions within the meaning of point (3) of Article 2 of Regulation (EU) 2015/1017 of the European Parliament and of the Council.’;</w:t>
      </w:r>
    </w:p>
    <w:p w:rsidR="00973F60" w:rsidRPr="00F63535" w:rsidRDefault="00401E25" w:rsidP="00401E25">
      <w:pPr>
        <w:pStyle w:val="Point1"/>
        <w:rPr>
          <w:noProof/>
        </w:rPr>
      </w:pPr>
      <w:r w:rsidRPr="00401E25">
        <w:rPr>
          <w:noProof/>
        </w:rPr>
        <w:t>(e)</w:t>
      </w:r>
      <w:r w:rsidRPr="00401E25">
        <w:rPr>
          <w:noProof/>
        </w:rPr>
        <w:tab/>
      </w:r>
      <w:r w:rsidR="00B9427E" w:rsidRPr="00F63535">
        <w:rPr>
          <w:noProof/>
        </w:rPr>
        <w:t xml:space="preserve">paragraph 5 is replaced </w:t>
      </w:r>
      <w:r w:rsidR="00973F60" w:rsidRPr="00F63535">
        <w:rPr>
          <w:noProof/>
        </w:rPr>
        <w:t>by the following:</w:t>
      </w:r>
    </w:p>
    <w:p w:rsidR="00B9427E" w:rsidRPr="004E1B25" w:rsidRDefault="00CD021F" w:rsidP="004E1B25">
      <w:pPr>
        <w:pStyle w:val="Text1"/>
        <w:tabs>
          <w:tab w:val="left" w:pos="1701"/>
        </w:tabs>
        <w:ind w:left="1134"/>
        <w:rPr>
          <w:noProof/>
        </w:rPr>
      </w:pPr>
      <w:r w:rsidRPr="004E1B25">
        <w:rPr>
          <w:noProof/>
        </w:rPr>
        <w:t>‘(5)</w:t>
      </w:r>
      <w:r w:rsidR="009144C1" w:rsidRPr="004E1B25">
        <w:rPr>
          <w:noProof/>
        </w:rPr>
        <w:t xml:space="preserve"> Without prejudice to paragraphs 1 to 4 of this Article, where an institutional investor has given another institutional investor authority to make investment management decisions that might expose it to a securitisation, the delegating institutional investor may instruct the delegated institutional investor to fulfil its obligations under this Article in respect of any exposure to a securitisation arising from those decisions. The delegating institutional investor’s liability under this Article shall not be affected by the fact that the institutional investor has delegated functions</w:t>
      </w:r>
      <w:r w:rsidR="29EB927E" w:rsidRPr="004E1B25">
        <w:rPr>
          <w:noProof/>
        </w:rPr>
        <w:t>.</w:t>
      </w:r>
      <w:r w:rsidR="5DD37887" w:rsidRPr="004E1B25">
        <w:rPr>
          <w:noProof/>
        </w:rPr>
        <w:t>’</w:t>
      </w:r>
    </w:p>
    <w:p w:rsidR="005333DB" w:rsidRPr="005333DB" w:rsidRDefault="00401E25" w:rsidP="005333DB">
      <w:pPr>
        <w:pStyle w:val="Point0"/>
        <w:rPr>
          <w:noProof/>
        </w:rPr>
      </w:pPr>
      <w:r w:rsidRPr="00401E25">
        <w:rPr>
          <w:noProof/>
        </w:rPr>
        <w:t>(4)</w:t>
      </w:r>
      <w:r w:rsidRPr="00401E25">
        <w:rPr>
          <w:noProof/>
        </w:rPr>
        <w:tab/>
      </w:r>
      <w:r>
        <w:rPr>
          <w:noProof/>
        </w:rPr>
        <w:t>Article 6 is amended as follows:</w:t>
      </w:r>
    </w:p>
    <w:p w:rsidR="005333DB" w:rsidRPr="005333DB" w:rsidRDefault="005333DB">
      <w:pPr>
        <w:pStyle w:val="Point1"/>
        <w:rPr>
          <w:noProof/>
        </w:rPr>
      </w:pPr>
      <w:r>
        <w:rPr>
          <w:noProof/>
        </w:rPr>
        <w:t>(a)</w:t>
      </w:r>
      <w:r>
        <w:rPr>
          <w:noProof/>
        </w:rPr>
        <w:tab/>
        <w:t xml:space="preserve">in paragraph 5 point (f) is added: </w:t>
      </w:r>
    </w:p>
    <w:p w:rsidR="005333DB" w:rsidRPr="005333DB" w:rsidRDefault="005333DB">
      <w:pPr>
        <w:pStyle w:val="Text1"/>
        <w:ind w:left="1701" w:hanging="567"/>
        <w:rPr>
          <w:noProof/>
        </w:rPr>
      </w:pPr>
      <w:r>
        <w:rPr>
          <w:noProof/>
        </w:rPr>
        <w:t>‘(f) the Union.’</w:t>
      </w:r>
    </w:p>
    <w:p w:rsidR="005333DB" w:rsidRPr="005333DB" w:rsidRDefault="007E3EA0">
      <w:pPr>
        <w:pStyle w:val="Point1"/>
        <w:rPr>
          <w:noProof/>
        </w:rPr>
      </w:pPr>
      <w:r>
        <w:rPr>
          <w:noProof/>
        </w:rPr>
        <w:t>(b)</w:t>
      </w:r>
      <w:r>
        <w:rPr>
          <w:noProof/>
        </w:rPr>
        <w:tab/>
        <w:t xml:space="preserve">paragraph 5a is inserted: </w:t>
      </w:r>
    </w:p>
    <w:p w:rsidR="005333DB" w:rsidRPr="005333DB" w:rsidRDefault="005333DB">
      <w:pPr>
        <w:pStyle w:val="Text1"/>
        <w:tabs>
          <w:tab w:val="left" w:pos="1701"/>
        </w:tabs>
        <w:ind w:left="1134"/>
        <w:rPr>
          <w:noProof/>
        </w:rPr>
      </w:pPr>
      <w:r>
        <w:rPr>
          <w:noProof/>
        </w:rPr>
        <w:t xml:space="preserve">‘(5a) Paragraph 1 shall not apply where the first loss tranche representing at least 15% of the nominal value of the securitised exposures is either held or guaranteed by one of the entities listed under points (a) to (f) of paragraph 5.’  </w:t>
      </w:r>
    </w:p>
    <w:p w:rsidR="000D04F4" w:rsidRPr="008F139C" w:rsidRDefault="007E3EA0" w:rsidP="00401E25">
      <w:pPr>
        <w:pStyle w:val="Point0"/>
        <w:rPr>
          <w:noProof/>
        </w:rPr>
      </w:pPr>
      <w:r>
        <w:rPr>
          <w:noProof/>
        </w:rPr>
        <w:t>(5)</w:t>
      </w:r>
      <w:r>
        <w:rPr>
          <w:noProof/>
        </w:rPr>
        <w:tab/>
      </w:r>
      <w:r w:rsidR="000D04F4" w:rsidRPr="008F139C">
        <w:rPr>
          <w:noProof/>
        </w:rPr>
        <w:t>Article 7 is amended as follows:</w:t>
      </w:r>
    </w:p>
    <w:p w:rsidR="000D04F4" w:rsidRPr="008F139C" w:rsidRDefault="00401E25" w:rsidP="00401E25">
      <w:pPr>
        <w:pStyle w:val="Point1"/>
        <w:rPr>
          <w:noProof/>
        </w:rPr>
      </w:pPr>
      <w:r w:rsidRPr="00401E25">
        <w:rPr>
          <w:noProof/>
        </w:rPr>
        <w:t>(a)</w:t>
      </w:r>
      <w:r w:rsidRPr="00401E25">
        <w:rPr>
          <w:noProof/>
        </w:rPr>
        <w:tab/>
      </w:r>
      <w:r w:rsidR="000D04F4" w:rsidRPr="008F139C">
        <w:rPr>
          <w:noProof/>
        </w:rPr>
        <w:t xml:space="preserve">in paragraph 1 the fourth subparagraph is replaced by the following: </w:t>
      </w:r>
    </w:p>
    <w:p w:rsidR="000D04F4" w:rsidRPr="00403423" w:rsidRDefault="000D04F4" w:rsidP="00403423">
      <w:pPr>
        <w:pStyle w:val="Text1"/>
        <w:ind w:left="1134"/>
        <w:rPr>
          <w:noProof/>
        </w:rPr>
      </w:pPr>
      <w:r w:rsidRPr="008F139C">
        <w:rPr>
          <w:noProof/>
        </w:rPr>
        <w:t xml:space="preserve">‘In the case of </w:t>
      </w:r>
      <w:r>
        <w:rPr>
          <w:noProof/>
        </w:rPr>
        <w:t xml:space="preserve">an </w:t>
      </w:r>
      <w:r w:rsidRPr="008F139C">
        <w:rPr>
          <w:noProof/>
        </w:rPr>
        <w:t xml:space="preserve">ABCP or of </w:t>
      </w:r>
      <w:r>
        <w:rPr>
          <w:noProof/>
        </w:rPr>
        <w:t xml:space="preserve">a </w:t>
      </w:r>
      <w:r w:rsidRPr="008F139C">
        <w:rPr>
          <w:noProof/>
        </w:rPr>
        <w:t>securitisation of highly-granular pools of short-term exposures, the information described in points (a), (c)(ii) and (e)(i) of the first subparagraph shall be made available in aggregate form to holders of securitisation positions and, upon request, to potential investors.’</w:t>
      </w:r>
      <w:r>
        <w:rPr>
          <w:noProof/>
        </w:rPr>
        <w:t>;</w:t>
      </w:r>
    </w:p>
    <w:p w:rsidR="000D04F4" w:rsidRPr="008F139C" w:rsidRDefault="00401E25" w:rsidP="00401E25">
      <w:pPr>
        <w:pStyle w:val="Point1"/>
        <w:rPr>
          <w:noProof/>
        </w:rPr>
      </w:pPr>
      <w:r w:rsidRPr="00401E25">
        <w:rPr>
          <w:noProof/>
        </w:rPr>
        <w:t>(b)</w:t>
      </w:r>
      <w:r w:rsidRPr="00401E25">
        <w:rPr>
          <w:noProof/>
        </w:rPr>
        <w:tab/>
      </w:r>
      <w:r w:rsidR="000D04F4" w:rsidRPr="008F139C">
        <w:rPr>
          <w:noProof/>
        </w:rPr>
        <w:t>in paragraph 2</w:t>
      </w:r>
      <w:r w:rsidR="000D04F4">
        <w:rPr>
          <w:noProof/>
        </w:rPr>
        <w:t>,</w:t>
      </w:r>
      <w:r w:rsidR="000D04F4" w:rsidRPr="008F139C">
        <w:rPr>
          <w:noProof/>
        </w:rPr>
        <w:t xml:space="preserve"> the third subparagraph is replaced by the following: </w:t>
      </w:r>
    </w:p>
    <w:p w:rsidR="000D04F4" w:rsidRPr="008F139C" w:rsidRDefault="000D04F4" w:rsidP="000D04F4">
      <w:pPr>
        <w:pStyle w:val="Text1"/>
        <w:ind w:left="1134"/>
        <w:rPr>
          <w:noProof/>
        </w:rPr>
      </w:pPr>
      <w:r w:rsidRPr="008F139C">
        <w:rPr>
          <w:noProof/>
        </w:rPr>
        <w:t>‘Private securitisations shall be subject to a distinct reporting framework that acknowledges their unique characteristics, differing from public securitisation</w:t>
      </w:r>
      <w:r>
        <w:rPr>
          <w:noProof/>
        </w:rPr>
        <w:t>, in a dedicated and simplified reporting template.</w:t>
      </w:r>
      <w:r w:rsidRPr="008F139C">
        <w:rPr>
          <w:noProof/>
        </w:rPr>
        <w:t xml:space="preserve"> </w:t>
      </w:r>
      <w:r>
        <w:rPr>
          <w:noProof/>
        </w:rPr>
        <w:t xml:space="preserve">That dedicated and simplified reporting template shall </w:t>
      </w:r>
      <w:r w:rsidRPr="008F139C">
        <w:rPr>
          <w:noProof/>
        </w:rPr>
        <w:t>ensur</w:t>
      </w:r>
      <w:r>
        <w:rPr>
          <w:noProof/>
        </w:rPr>
        <w:t>e</w:t>
      </w:r>
      <w:r w:rsidRPr="008F139C">
        <w:rPr>
          <w:noProof/>
        </w:rPr>
        <w:t xml:space="preserve"> that essential information relevant to national competent authorities is adequately reported, without imposing the full extent of reporting obligations applicable to public securitisations. Private securitisations shall fulfil their obligations under this subparagraph as of [date set in the fourth subparagraphs of paragraphs 3 and 4 of this Article.].’ </w:t>
      </w:r>
    </w:p>
    <w:p w:rsidR="000D04F4" w:rsidRPr="00304C2D" w:rsidRDefault="00401E25" w:rsidP="00401E25">
      <w:pPr>
        <w:pStyle w:val="Point1"/>
        <w:rPr>
          <w:noProof/>
        </w:rPr>
      </w:pPr>
      <w:r w:rsidRPr="00401E25">
        <w:rPr>
          <w:noProof/>
        </w:rPr>
        <w:t>(c)</w:t>
      </w:r>
      <w:r w:rsidRPr="00401E25">
        <w:rPr>
          <w:noProof/>
        </w:rPr>
        <w:tab/>
      </w:r>
      <w:r w:rsidR="000D04F4" w:rsidRPr="00304C2D">
        <w:rPr>
          <w:noProof/>
        </w:rPr>
        <w:t>paragraph 3 is replaced by the following:</w:t>
      </w:r>
    </w:p>
    <w:p w:rsidR="000D04F4" w:rsidRPr="00304C2D" w:rsidRDefault="000D04F4" w:rsidP="000D04F4">
      <w:pPr>
        <w:pStyle w:val="Text1"/>
        <w:tabs>
          <w:tab w:val="left" w:pos="1701"/>
        </w:tabs>
        <w:ind w:left="1134"/>
        <w:rPr>
          <w:noProof/>
        </w:rPr>
      </w:pPr>
      <w:r w:rsidRPr="00304C2D">
        <w:rPr>
          <w:noProof/>
        </w:rPr>
        <w:t>‘3.</w:t>
      </w:r>
      <w:r w:rsidRPr="00304C2D">
        <w:rPr>
          <w:noProof/>
        </w:rPr>
        <w:tab/>
        <w:t>The</w:t>
      </w:r>
      <w:r w:rsidR="00B14486" w:rsidRPr="00304C2D">
        <w:rPr>
          <w:noProof/>
        </w:rPr>
        <w:t xml:space="preserve"> ESAs shall develop, through the Joint Committee of the European Supervisory Authorities, under the leadership of the</w:t>
      </w:r>
      <w:r w:rsidRPr="00304C2D">
        <w:rPr>
          <w:noProof/>
        </w:rPr>
        <w:t xml:space="preserve"> EBA</w:t>
      </w:r>
      <w:r w:rsidR="00B14486" w:rsidRPr="00304C2D">
        <w:rPr>
          <w:noProof/>
        </w:rPr>
        <w:t xml:space="preserve"> and </w:t>
      </w:r>
      <w:r w:rsidRPr="00304C2D">
        <w:rPr>
          <w:noProof/>
        </w:rPr>
        <w:t xml:space="preserve">in close cooperation with ESMA and EIOPA, draft regulatory technical standards </w:t>
      </w:r>
      <w:r>
        <w:rPr>
          <w:noProof/>
        </w:rPr>
        <w:t xml:space="preserve">in accordance with Articles 10 to 14 of Regulations (EU) No 1093/2010, (EU) No 1094/2010 and (EU) No 1095/2010 </w:t>
      </w:r>
      <w:r w:rsidRPr="00304C2D">
        <w:rPr>
          <w:noProof/>
        </w:rPr>
        <w:t>to specify the information that the originator, sponsor and SSPE shall provide to comply with paragraph 1, first subparagraph, points (a) and (e), and paragraph 2 taking into account:</w:t>
      </w:r>
    </w:p>
    <w:p w:rsidR="000D04F4" w:rsidRPr="00304C2D" w:rsidRDefault="000D04F4" w:rsidP="000D04F4">
      <w:pPr>
        <w:pStyle w:val="Text1"/>
        <w:ind w:left="1701" w:hanging="567"/>
        <w:rPr>
          <w:noProof/>
        </w:rPr>
      </w:pPr>
      <w:r w:rsidRPr="00304C2D">
        <w:rPr>
          <w:noProof/>
        </w:rPr>
        <w:t>(a)</w:t>
      </w:r>
      <w:r w:rsidRPr="00304C2D">
        <w:rPr>
          <w:noProof/>
        </w:rPr>
        <w:tab/>
        <w:t>the usefulness of information for the holder of the securitisation position and for supervisors;</w:t>
      </w:r>
    </w:p>
    <w:p w:rsidR="000D04F4" w:rsidRPr="00304C2D" w:rsidRDefault="000D04F4" w:rsidP="000D04F4">
      <w:pPr>
        <w:pStyle w:val="Text1"/>
        <w:ind w:left="1701" w:hanging="567"/>
        <w:rPr>
          <w:noProof/>
        </w:rPr>
      </w:pPr>
      <w:r w:rsidRPr="00304C2D">
        <w:rPr>
          <w:noProof/>
        </w:rPr>
        <w:t>(b)</w:t>
      </w:r>
      <w:r w:rsidRPr="00304C2D">
        <w:rPr>
          <w:noProof/>
        </w:rPr>
        <w:tab/>
        <w:t>whether the securitisation is public or private;</w:t>
      </w:r>
    </w:p>
    <w:p w:rsidR="000D04F4" w:rsidRPr="00304C2D" w:rsidRDefault="000D04F4" w:rsidP="000D04F4">
      <w:pPr>
        <w:pStyle w:val="Text1"/>
        <w:ind w:left="1701" w:hanging="567"/>
        <w:rPr>
          <w:noProof/>
        </w:rPr>
      </w:pPr>
      <w:r w:rsidRPr="00304C2D">
        <w:rPr>
          <w:noProof/>
        </w:rPr>
        <w:t>(c)</w:t>
      </w:r>
      <w:r w:rsidRPr="00304C2D">
        <w:rPr>
          <w:noProof/>
        </w:rPr>
        <w:tab/>
        <w:t>whether the securitisation position is of a short-term nature;</w:t>
      </w:r>
    </w:p>
    <w:p w:rsidR="000D04F4" w:rsidRPr="00304C2D" w:rsidRDefault="000D04F4" w:rsidP="000D04F4">
      <w:pPr>
        <w:pStyle w:val="Text1"/>
        <w:ind w:left="1701" w:hanging="567"/>
        <w:rPr>
          <w:noProof/>
        </w:rPr>
      </w:pPr>
      <w:r w:rsidRPr="00304C2D">
        <w:rPr>
          <w:noProof/>
        </w:rPr>
        <w:t>(d)</w:t>
      </w:r>
      <w:r w:rsidRPr="00304C2D">
        <w:rPr>
          <w:noProof/>
        </w:rPr>
        <w:tab/>
        <w:t>in the case of an ABCP transaction, whether that transaction is fully supported by a sponsor.</w:t>
      </w:r>
    </w:p>
    <w:p w:rsidR="000D04F4" w:rsidRPr="00304C2D" w:rsidRDefault="009C44F0" w:rsidP="000D04F4">
      <w:pPr>
        <w:pStyle w:val="Text1"/>
        <w:ind w:left="1134"/>
        <w:rPr>
          <w:noProof/>
        </w:rPr>
      </w:pPr>
      <w:r w:rsidRPr="00304C2D">
        <w:rPr>
          <w:noProof/>
        </w:rPr>
        <w:t>The ESAs, through the Joint Committee</w:t>
      </w:r>
      <w:r w:rsidR="00EA12EC" w:rsidRPr="00EA12EC">
        <w:rPr>
          <w:noProof/>
        </w:rPr>
        <w:t xml:space="preserve"> </w:t>
      </w:r>
      <w:r w:rsidR="00EA12EC" w:rsidRPr="00304C2D">
        <w:rPr>
          <w:noProof/>
        </w:rPr>
        <w:t>of the European Supervisory Authorities</w:t>
      </w:r>
      <w:r w:rsidRPr="00304C2D">
        <w:rPr>
          <w:noProof/>
        </w:rPr>
        <w:t>,</w:t>
      </w:r>
      <w:r w:rsidR="000D04F4" w:rsidRPr="00304C2D">
        <w:rPr>
          <w:noProof/>
        </w:rPr>
        <w:t xml:space="preserve"> </w:t>
      </w:r>
      <w:r w:rsidR="000F03E2" w:rsidRPr="00304C2D">
        <w:rPr>
          <w:noProof/>
        </w:rPr>
        <w:t>under the leadership of the EBA and in close cooperation with ESMA and EIOPA,</w:t>
      </w:r>
      <w:r w:rsidR="000F03E2">
        <w:rPr>
          <w:noProof/>
        </w:rPr>
        <w:t xml:space="preserve"> </w:t>
      </w:r>
      <w:r w:rsidR="000D04F4" w:rsidRPr="00304C2D">
        <w:rPr>
          <w:noProof/>
        </w:rPr>
        <w:t>shall submit those draft regulatory technical standards to the Commission by [</w:t>
      </w:r>
      <w:r w:rsidR="0092372A" w:rsidRPr="00304C2D">
        <w:rPr>
          <w:noProof/>
        </w:rPr>
        <w:t>6</w:t>
      </w:r>
      <w:r w:rsidR="000D04F4" w:rsidRPr="00304C2D">
        <w:rPr>
          <w:noProof/>
        </w:rPr>
        <w:t xml:space="preserve"> months after</w:t>
      </w:r>
      <w:r w:rsidR="00282666" w:rsidRPr="00304C2D">
        <w:rPr>
          <w:noProof/>
        </w:rPr>
        <w:t xml:space="preserve"> the date of entry into force of this amending Regulation</w:t>
      </w:r>
      <w:r w:rsidR="000D04F4" w:rsidRPr="00304C2D">
        <w:rPr>
          <w:noProof/>
        </w:rPr>
        <w:t>]</w:t>
      </w:r>
      <w:r>
        <w:rPr>
          <w:noProof/>
        </w:rPr>
        <w:t>.</w:t>
      </w:r>
    </w:p>
    <w:p w:rsidR="000D04F4" w:rsidRPr="00304C2D" w:rsidRDefault="000D04F4" w:rsidP="000D04F4">
      <w:pPr>
        <w:pStyle w:val="Text1"/>
        <w:ind w:left="1134"/>
        <w:rPr>
          <w:noProof/>
        </w:rPr>
      </w:pPr>
      <w:r w:rsidRPr="00304C2D">
        <w:rPr>
          <w:noProof/>
        </w:rPr>
        <w:t xml:space="preserve">The Commission is empowered to supplement this Regulation by adopting the regulatory technical standards referred to in this paragraph in accordance with Articles 10 to 14 </w:t>
      </w:r>
      <w:r w:rsidR="009D19C1">
        <w:rPr>
          <w:noProof/>
        </w:rPr>
        <w:t xml:space="preserve">of </w:t>
      </w:r>
      <w:r w:rsidR="009D19C1" w:rsidRPr="009D19C1">
        <w:rPr>
          <w:noProof/>
        </w:rPr>
        <w:t>Regulations (EU) No 1093/2010, (EU) No 1094/2010 and (EU) No 1095/2010</w:t>
      </w:r>
      <w:r w:rsidRPr="00304C2D">
        <w:rPr>
          <w:noProof/>
        </w:rPr>
        <w:t>.</w:t>
      </w:r>
    </w:p>
    <w:p w:rsidR="000D04F4" w:rsidRPr="00304C2D" w:rsidRDefault="000D04F4" w:rsidP="000D04F4">
      <w:pPr>
        <w:pStyle w:val="Text1"/>
        <w:ind w:left="1134"/>
        <w:rPr>
          <w:noProof/>
        </w:rPr>
      </w:pPr>
      <w:r w:rsidRPr="00304C2D">
        <w:rPr>
          <w:noProof/>
        </w:rPr>
        <w:t>The regulatory technical standards shall enter into force [12 months] after the adoption by the Commission.</w:t>
      </w:r>
    </w:p>
    <w:p w:rsidR="000D04F4" w:rsidRPr="00304C2D" w:rsidRDefault="000D04F4" w:rsidP="000D04F4">
      <w:pPr>
        <w:pStyle w:val="Text1"/>
        <w:ind w:left="1134"/>
        <w:rPr>
          <w:noProof/>
        </w:rPr>
      </w:pPr>
      <w:r w:rsidRPr="00304C2D">
        <w:rPr>
          <w:noProof/>
        </w:rPr>
        <w:t>At least every three years from the date of their adoption by the Commission the</w:t>
      </w:r>
      <w:r w:rsidR="005A4037" w:rsidRPr="00304C2D">
        <w:rPr>
          <w:noProof/>
        </w:rPr>
        <w:t xml:space="preserve"> ESAs, through the Joint Committee </w:t>
      </w:r>
      <w:r w:rsidR="00310E10" w:rsidRPr="00304C2D">
        <w:rPr>
          <w:noProof/>
        </w:rPr>
        <w:t>of the European Supervisory Authorities</w:t>
      </w:r>
      <w:r w:rsidR="000F03E2">
        <w:rPr>
          <w:noProof/>
        </w:rPr>
        <w:t>,</w:t>
      </w:r>
      <w:r w:rsidR="00310E10" w:rsidRPr="00304C2D">
        <w:rPr>
          <w:noProof/>
        </w:rPr>
        <w:t xml:space="preserve"> </w:t>
      </w:r>
      <w:r w:rsidRPr="00304C2D">
        <w:rPr>
          <w:noProof/>
        </w:rPr>
        <w:t xml:space="preserve">shall assess the regulatory technical standards to determine their continued relevance and accuracy, to ensure they remain effective, up to date, aligned with market practices and needs. </w:t>
      </w:r>
      <w:r w:rsidR="00EA12EC" w:rsidRPr="00304C2D">
        <w:rPr>
          <w:noProof/>
        </w:rPr>
        <w:t>The ESAs, through the Joint Committee</w:t>
      </w:r>
      <w:r w:rsidR="000F03E2">
        <w:rPr>
          <w:noProof/>
        </w:rPr>
        <w:t xml:space="preserve"> </w:t>
      </w:r>
      <w:r w:rsidR="000F03E2" w:rsidRPr="00304C2D">
        <w:rPr>
          <w:noProof/>
        </w:rPr>
        <w:t>of the European Supervisory Authorities</w:t>
      </w:r>
      <w:r w:rsidR="00240771">
        <w:rPr>
          <w:noProof/>
        </w:rPr>
        <w:t>,</w:t>
      </w:r>
      <w:r w:rsidR="00EA12EC" w:rsidRPr="00304C2D">
        <w:rPr>
          <w:noProof/>
        </w:rPr>
        <w:t xml:space="preserve"> </w:t>
      </w:r>
      <w:r w:rsidRPr="00304C2D">
        <w:rPr>
          <w:noProof/>
        </w:rPr>
        <w:t>shall inform the Commission of the results of the assessment.’</w:t>
      </w:r>
    </w:p>
    <w:p w:rsidR="000D04F4" w:rsidRPr="00304C2D" w:rsidRDefault="00401E25" w:rsidP="00401E25">
      <w:pPr>
        <w:pStyle w:val="Point1"/>
        <w:rPr>
          <w:noProof/>
        </w:rPr>
      </w:pPr>
      <w:r w:rsidRPr="00401E25">
        <w:rPr>
          <w:noProof/>
        </w:rPr>
        <w:t>(d)</w:t>
      </w:r>
      <w:r w:rsidRPr="00401E25">
        <w:rPr>
          <w:noProof/>
        </w:rPr>
        <w:tab/>
      </w:r>
      <w:r w:rsidR="000D04F4" w:rsidRPr="00304C2D">
        <w:rPr>
          <w:noProof/>
        </w:rPr>
        <w:t>paragraph 4 is replaced by the following:</w:t>
      </w:r>
    </w:p>
    <w:p w:rsidR="000D04F4" w:rsidRPr="00304C2D" w:rsidRDefault="000D04F4" w:rsidP="000D04F4">
      <w:pPr>
        <w:pStyle w:val="Text1"/>
        <w:tabs>
          <w:tab w:val="left" w:pos="1701"/>
        </w:tabs>
        <w:ind w:left="1134"/>
        <w:rPr>
          <w:noProof/>
        </w:rPr>
      </w:pPr>
      <w:r w:rsidRPr="00304C2D">
        <w:rPr>
          <w:noProof/>
        </w:rPr>
        <w:t>‘4.</w:t>
      </w:r>
      <w:r w:rsidRPr="00304C2D">
        <w:rPr>
          <w:noProof/>
        </w:rPr>
        <w:tab/>
        <w:t xml:space="preserve">In order to ensure uniform conditions of application for the information to be specified in accordance with paragraph 3, the </w:t>
      </w:r>
      <w:r w:rsidR="00DC2B70" w:rsidRPr="00304C2D">
        <w:rPr>
          <w:noProof/>
        </w:rPr>
        <w:t xml:space="preserve">ESAs, through the Joint Committee of the European Supervisory Authorities, under the leadership of the EBA and in close cooperation with ESMA and EIOPA, </w:t>
      </w:r>
      <w:r w:rsidRPr="00304C2D">
        <w:rPr>
          <w:noProof/>
        </w:rPr>
        <w:t>shall develop draft implementing technical standards</w:t>
      </w:r>
      <w:r>
        <w:rPr>
          <w:noProof/>
        </w:rPr>
        <w:t xml:space="preserve"> in accordance with Article 15 of Regulations (EU) No 1093/2010, (EU) No 1094/2010 and (EU) No 1095/2010 </w:t>
      </w:r>
      <w:r w:rsidRPr="00304C2D">
        <w:rPr>
          <w:noProof/>
        </w:rPr>
        <w:t xml:space="preserve"> specifying the format thereof by means of standardised templates.</w:t>
      </w:r>
    </w:p>
    <w:p w:rsidR="000D04F4" w:rsidRPr="008F139C" w:rsidRDefault="00DC2B70" w:rsidP="000D04F4">
      <w:pPr>
        <w:pStyle w:val="Text1"/>
        <w:tabs>
          <w:tab w:val="left" w:pos="1701"/>
        </w:tabs>
        <w:ind w:left="1134"/>
        <w:rPr>
          <w:noProof/>
        </w:rPr>
      </w:pPr>
      <w:r w:rsidRPr="00304C2D">
        <w:rPr>
          <w:noProof/>
        </w:rPr>
        <w:t>The ESAs, through the Joint Committee</w:t>
      </w:r>
      <w:r w:rsidR="00240771">
        <w:rPr>
          <w:noProof/>
        </w:rPr>
        <w:t xml:space="preserve"> </w:t>
      </w:r>
      <w:r w:rsidR="00240771" w:rsidRPr="00304C2D">
        <w:rPr>
          <w:noProof/>
        </w:rPr>
        <w:t>of the European Supervisory Authorities</w:t>
      </w:r>
      <w:r w:rsidRPr="00304C2D">
        <w:rPr>
          <w:noProof/>
        </w:rPr>
        <w:t xml:space="preserve">, </w:t>
      </w:r>
      <w:r w:rsidR="000D04F4" w:rsidRPr="00304C2D">
        <w:rPr>
          <w:noProof/>
        </w:rPr>
        <w:t xml:space="preserve">shall submit those draft implementing technical standards to the Commission by </w:t>
      </w:r>
      <w:r w:rsidR="00282666" w:rsidRPr="00304C2D">
        <w:rPr>
          <w:noProof/>
        </w:rPr>
        <w:t>[</w:t>
      </w:r>
      <w:r w:rsidR="0092372A" w:rsidRPr="00304C2D">
        <w:rPr>
          <w:noProof/>
        </w:rPr>
        <w:t>6</w:t>
      </w:r>
      <w:r w:rsidR="000D04F4" w:rsidRPr="00304C2D">
        <w:rPr>
          <w:noProof/>
        </w:rPr>
        <w:t xml:space="preserve"> months after</w:t>
      </w:r>
      <w:r w:rsidR="00282666" w:rsidRPr="00304C2D">
        <w:rPr>
          <w:noProof/>
        </w:rPr>
        <w:t xml:space="preserve"> the date of entry into force of this amending Regulation</w:t>
      </w:r>
      <w:r w:rsidR="000D04F4" w:rsidRPr="00304C2D" w:rsidDel="00474E5E">
        <w:rPr>
          <w:noProof/>
        </w:rPr>
        <w:t>]</w:t>
      </w:r>
      <w:r w:rsidR="000D04F4" w:rsidRPr="00304C2D">
        <w:rPr>
          <w:noProof/>
        </w:rPr>
        <w:t>.</w:t>
      </w:r>
    </w:p>
    <w:p w:rsidR="000D04F4" w:rsidRPr="008F139C" w:rsidRDefault="000D04F4" w:rsidP="000D04F4">
      <w:pPr>
        <w:pStyle w:val="Text1"/>
        <w:tabs>
          <w:tab w:val="left" w:pos="1701"/>
        </w:tabs>
        <w:ind w:left="1134"/>
        <w:rPr>
          <w:noProof/>
        </w:rPr>
      </w:pPr>
      <w:r w:rsidRPr="008F139C">
        <w:rPr>
          <w:noProof/>
        </w:rPr>
        <w:t xml:space="preserve">The Commission is empowered to adopt the implementing technical standards referred to in this paragraph in accordance with Article 15 of </w:t>
      </w:r>
      <w:r w:rsidR="00E653D0" w:rsidRPr="009D19C1">
        <w:rPr>
          <w:noProof/>
        </w:rPr>
        <w:t>Regulations (EU) No 1093/2010, (EU) No 1094/2010 and (EU) No 1095/2010</w:t>
      </w:r>
      <w:r w:rsidRPr="008F139C">
        <w:rPr>
          <w:noProof/>
        </w:rPr>
        <w:t>.</w:t>
      </w:r>
    </w:p>
    <w:p w:rsidR="000D04F4" w:rsidRPr="008F139C" w:rsidRDefault="000D04F4" w:rsidP="000D04F4">
      <w:pPr>
        <w:pStyle w:val="Text1"/>
        <w:tabs>
          <w:tab w:val="left" w:pos="1701"/>
        </w:tabs>
        <w:ind w:left="1134"/>
        <w:rPr>
          <w:noProof/>
        </w:rPr>
      </w:pPr>
      <w:r w:rsidRPr="008F139C">
        <w:rPr>
          <w:noProof/>
        </w:rPr>
        <w:t>The implementing technical standards shall enter into force [12 months] after the adoption by the Commission.</w:t>
      </w:r>
    </w:p>
    <w:p w:rsidR="000D04F4" w:rsidRPr="008F139C" w:rsidRDefault="000D04F4" w:rsidP="000D04F4">
      <w:pPr>
        <w:pStyle w:val="Text1"/>
        <w:tabs>
          <w:tab w:val="left" w:pos="1701"/>
        </w:tabs>
        <w:ind w:left="1134"/>
        <w:rPr>
          <w:noProof/>
        </w:rPr>
      </w:pPr>
      <w:r w:rsidRPr="008F139C">
        <w:rPr>
          <w:noProof/>
        </w:rPr>
        <w:t xml:space="preserve">At least every three years from the date of their adoption by the Commission </w:t>
      </w:r>
      <w:r w:rsidR="00240771" w:rsidRPr="00304C2D">
        <w:rPr>
          <w:noProof/>
        </w:rPr>
        <w:t>the ESAs, through the Joint Committee of the European Supervisory Authorities</w:t>
      </w:r>
      <w:r w:rsidR="00240771">
        <w:rPr>
          <w:noProof/>
        </w:rPr>
        <w:t>,</w:t>
      </w:r>
      <w:r w:rsidR="00240771" w:rsidRPr="00304C2D">
        <w:rPr>
          <w:noProof/>
        </w:rPr>
        <w:t xml:space="preserve"> </w:t>
      </w:r>
      <w:r w:rsidRPr="008F139C">
        <w:rPr>
          <w:noProof/>
        </w:rPr>
        <w:t xml:space="preserve">shall assess the implementing regulatory technical standards to determine their continued relevance and accuracy, to ensure they remain effective, up to date, aligned with market practices and needs. </w:t>
      </w:r>
      <w:r w:rsidR="00240771" w:rsidRPr="00304C2D">
        <w:rPr>
          <w:noProof/>
        </w:rPr>
        <w:t>The ESAs, through the Joint Committee</w:t>
      </w:r>
      <w:r w:rsidR="00240771">
        <w:rPr>
          <w:noProof/>
        </w:rPr>
        <w:t xml:space="preserve"> </w:t>
      </w:r>
      <w:r w:rsidR="00240771" w:rsidRPr="00304C2D">
        <w:rPr>
          <w:noProof/>
        </w:rPr>
        <w:t>of the European Supervisory Authorities</w:t>
      </w:r>
      <w:r w:rsidR="00240771">
        <w:rPr>
          <w:noProof/>
        </w:rPr>
        <w:t xml:space="preserve">, </w:t>
      </w:r>
      <w:r w:rsidRPr="008F139C">
        <w:rPr>
          <w:noProof/>
        </w:rPr>
        <w:t>shall inform the Commission of the results of th</w:t>
      </w:r>
      <w:r>
        <w:rPr>
          <w:noProof/>
        </w:rPr>
        <w:t>at</w:t>
      </w:r>
      <w:r w:rsidRPr="008F139C">
        <w:rPr>
          <w:noProof/>
        </w:rPr>
        <w:t xml:space="preserve"> assessment.’</w:t>
      </w:r>
      <w:r>
        <w:rPr>
          <w:noProof/>
        </w:rPr>
        <w:t>;</w:t>
      </w:r>
    </w:p>
    <w:p w:rsidR="006B70E4" w:rsidRDefault="00401E25" w:rsidP="00401E25">
      <w:pPr>
        <w:pStyle w:val="Point0"/>
        <w:rPr>
          <w:noProof/>
        </w:rPr>
      </w:pPr>
      <w:r w:rsidRPr="00401E25">
        <w:rPr>
          <w:noProof/>
        </w:rPr>
        <w:t>(</w:t>
      </w:r>
      <w:r>
        <w:rPr>
          <w:noProof/>
        </w:rPr>
        <w:t>6</w:t>
      </w:r>
      <w:r w:rsidRPr="00401E25">
        <w:rPr>
          <w:noProof/>
        </w:rPr>
        <w:t>)</w:t>
      </w:r>
      <w:r w:rsidRPr="00401E25">
        <w:rPr>
          <w:noProof/>
        </w:rPr>
        <w:tab/>
      </w:r>
      <w:r w:rsidR="00AE7655" w:rsidRPr="008F139C">
        <w:rPr>
          <w:noProof/>
        </w:rPr>
        <w:t xml:space="preserve">Article 10 is amended as follows:  </w:t>
      </w:r>
    </w:p>
    <w:p w:rsidR="00157D70" w:rsidRPr="008F139C" w:rsidRDefault="00401E25" w:rsidP="00401E25">
      <w:pPr>
        <w:pStyle w:val="Point1"/>
        <w:rPr>
          <w:noProof/>
        </w:rPr>
      </w:pPr>
      <w:r w:rsidRPr="00401E25">
        <w:rPr>
          <w:noProof/>
        </w:rPr>
        <w:t>(a)</w:t>
      </w:r>
      <w:r w:rsidRPr="00401E25">
        <w:rPr>
          <w:noProof/>
        </w:rPr>
        <w:tab/>
      </w:r>
      <w:r w:rsidR="00157D70" w:rsidRPr="008F139C">
        <w:rPr>
          <w:noProof/>
        </w:rPr>
        <w:t>paragraph 1 is replaced by the following:</w:t>
      </w:r>
    </w:p>
    <w:p w:rsidR="00157D70" w:rsidRPr="008F139C" w:rsidRDefault="00157D70" w:rsidP="00157D70">
      <w:pPr>
        <w:pStyle w:val="Text1"/>
        <w:tabs>
          <w:tab w:val="left" w:pos="1701"/>
        </w:tabs>
        <w:ind w:left="1134"/>
        <w:rPr>
          <w:noProof/>
        </w:rPr>
      </w:pPr>
      <w:r w:rsidRPr="008F139C">
        <w:rPr>
          <w:noProof/>
        </w:rPr>
        <w:t>‘1.</w:t>
      </w:r>
      <w:r>
        <w:rPr>
          <w:noProof/>
        </w:rPr>
        <w:tab/>
      </w:r>
      <w:r w:rsidRPr="008F139C">
        <w:rPr>
          <w:noProof/>
        </w:rPr>
        <w:t>A securitisation repository shall register with ESMA for the purposes of Article 7 under the conditions and the procedure set out in this Article.’</w:t>
      </w:r>
      <w:r>
        <w:rPr>
          <w:noProof/>
        </w:rPr>
        <w:t>;</w:t>
      </w:r>
    </w:p>
    <w:p w:rsidR="00157D70" w:rsidRPr="008F139C" w:rsidRDefault="00401E25" w:rsidP="00401E25">
      <w:pPr>
        <w:pStyle w:val="Point1"/>
        <w:rPr>
          <w:noProof/>
        </w:rPr>
      </w:pPr>
      <w:r w:rsidRPr="00401E25">
        <w:rPr>
          <w:noProof/>
        </w:rPr>
        <w:t>(b)</w:t>
      </w:r>
      <w:r w:rsidRPr="00401E25">
        <w:rPr>
          <w:noProof/>
        </w:rPr>
        <w:tab/>
      </w:r>
      <w:r w:rsidR="00157D70" w:rsidRPr="008F139C">
        <w:rPr>
          <w:noProof/>
        </w:rPr>
        <w:t xml:space="preserve">paragraph 2 is replaced by the following: </w:t>
      </w:r>
    </w:p>
    <w:p w:rsidR="00157D70" w:rsidRPr="00A960C8" w:rsidRDefault="00157D70" w:rsidP="00157D70">
      <w:pPr>
        <w:pStyle w:val="Text1"/>
        <w:tabs>
          <w:tab w:val="left" w:pos="1701"/>
        </w:tabs>
        <w:ind w:left="1134"/>
        <w:rPr>
          <w:noProof/>
        </w:rPr>
      </w:pPr>
      <w:r w:rsidRPr="008F139C">
        <w:rPr>
          <w:noProof/>
        </w:rPr>
        <w:t xml:space="preserve">‘2. To be eligible to be registered under this Article, a securitisation repository shall be a legal person established in the Union, apply procedures to verify the completeness and consistency of the information made available to it under Article 7(1) of this Regulation, and meet the requirements </w:t>
      </w:r>
      <w:r>
        <w:rPr>
          <w:noProof/>
        </w:rPr>
        <w:t>laid down in</w:t>
      </w:r>
      <w:r w:rsidRPr="008F139C">
        <w:rPr>
          <w:noProof/>
        </w:rPr>
        <w:t xml:space="preserve"> in Articles 78</w:t>
      </w:r>
      <w:r>
        <w:rPr>
          <w:noProof/>
        </w:rPr>
        <w:t xml:space="preserve"> and</w:t>
      </w:r>
      <w:r w:rsidRPr="008F139C">
        <w:rPr>
          <w:noProof/>
        </w:rPr>
        <w:t xml:space="preserve"> 79</w:t>
      </w:r>
      <w:r>
        <w:rPr>
          <w:noProof/>
        </w:rPr>
        <w:t>,</w:t>
      </w:r>
      <w:r w:rsidRPr="008F139C">
        <w:rPr>
          <w:noProof/>
        </w:rPr>
        <w:t xml:space="preserve"> and </w:t>
      </w:r>
      <w:r>
        <w:rPr>
          <w:noProof/>
        </w:rPr>
        <w:t xml:space="preserve">Article </w:t>
      </w:r>
      <w:r w:rsidRPr="008F139C">
        <w:rPr>
          <w:noProof/>
        </w:rPr>
        <w:t>80(1)</w:t>
      </w:r>
      <w:r>
        <w:rPr>
          <w:noProof/>
        </w:rPr>
        <w:t>, (2),</w:t>
      </w:r>
      <w:r w:rsidRPr="008F139C">
        <w:rPr>
          <w:noProof/>
        </w:rPr>
        <w:t xml:space="preserve"> (3), (5) and (6) of Regulation (EU) No 648/2012. For the purposes of this Article, references in Articles 78 and 80 of Regulation (EU) No 648/2012 to Article 9 thereof shall be construed as references to Article 7 of this</w:t>
      </w:r>
      <w:r w:rsidRPr="00A960C8">
        <w:rPr>
          <w:noProof/>
        </w:rPr>
        <w:t xml:space="preserve"> Regulation.’</w:t>
      </w:r>
    </w:p>
    <w:p w:rsidR="00FC359A" w:rsidRDefault="00401E25" w:rsidP="00401E25">
      <w:pPr>
        <w:pStyle w:val="Point0"/>
        <w:rPr>
          <w:noProof/>
        </w:rPr>
      </w:pPr>
      <w:r w:rsidRPr="00401E25">
        <w:rPr>
          <w:noProof/>
        </w:rPr>
        <w:t>(</w:t>
      </w:r>
      <w:r>
        <w:rPr>
          <w:noProof/>
        </w:rPr>
        <w:t>7</w:t>
      </w:r>
      <w:r w:rsidRPr="00401E25">
        <w:rPr>
          <w:noProof/>
        </w:rPr>
        <w:t>)</w:t>
      </w:r>
      <w:r w:rsidRPr="00401E25">
        <w:rPr>
          <w:noProof/>
        </w:rPr>
        <w:tab/>
      </w:r>
      <w:r w:rsidR="00A248F1" w:rsidRPr="008F139C">
        <w:rPr>
          <w:noProof/>
        </w:rPr>
        <w:t>Article 17 is amended as follows:</w:t>
      </w:r>
    </w:p>
    <w:p w:rsidR="00F0063F" w:rsidRPr="008F139C" w:rsidRDefault="00401E25" w:rsidP="00401E25">
      <w:pPr>
        <w:pStyle w:val="Point1"/>
        <w:rPr>
          <w:noProof/>
        </w:rPr>
      </w:pPr>
      <w:r w:rsidRPr="00401E25">
        <w:rPr>
          <w:noProof/>
        </w:rPr>
        <w:t>(a)</w:t>
      </w:r>
      <w:r w:rsidRPr="00401E25">
        <w:rPr>
          <w:noProof/>
        </w:rPr>
        <w:tab/>
      </w:r>
      <w:r w:rsidR="00F0063F" w:rsidRPr="008F139C">
        <w:rPr>
          <w:noProof/>
        </w:rPr>
        <w:t>paragraph 1 is replaced by the following:</w:t>
      </w:r>
    </w:p>
    <w:p w:rsidR="00F0063F" w:rsidRPr="00A960C8" w:rsidRDefault="00F0063F" w:rsidP="00F0063F">
      <w:pPr>
        <w:pStyle w:val="Text1"/>
        <w:tabs>
          <w:tab w:val="left" w:pos="1701"/>
        </w:tabs>
        <w:ind w:left="1134"/>
        <w:rPr>
          <w:noProof/>
        </w:rPr>
      </w:pPr>
      <w:r w:rsidRPr="00A960C8">
        <w:rPr>
          <w:noProof/>
        </w:rPr>
        <w:t>‘1.</w:t>
      </w:r>
      <w:r>
        <w:rPr>
          <w:noProof/>
        </w:rPr>
        <w:tab/>
      </w:r>
      <w:r w:rsidRPr="00A960C8">
        <w:rPr>
          <w:noProof/>
        </w:rPr>
        <w:t xml:space="preserve">Without prejudice to Article 7(2), </w:t>
      </w:r>
      <w:r>
        <w:rPr>
          <w:noProof/>
        </w:rPr>
        <w:t>the</w:t>
      </w:r>
      <w:r w:rsidRPr="00A960C8">
        <w:rPr>
          <w:noProof/>
        </w:rPr>
        <w:t xml:space="preserve"> securitisation repository </w:t>
      </w:r>
      <w:r>
        <w:rPr>
          <w:noProof/>
        </w:rPr>
        <w:t xml:space="preserve">referred to in Article 10 </w:t>
      </w:r>
      <w:r w:rsidRPr="00A960C8">
        <w:rPr>
          <w:noProof/>
        </w:rPr>
        <w:t>shall collect and maintain details of the securitisation. It shall provide direct and immediate access free of charge to all of the following entities to enable them to fulfil their respective responsibilities, mandates and obligations:</w:t>
      </w:r>
    </w:p>
    <w:p w:rsidR="00F0063F" w:rsidRPr="00A960C8" w:rsidRDefault="00F0063F" w:rsidP="00F0063F">
      <w:pPr>
        <w:pStyle w:val="Text1"/>
        <w:ind w:left="1701" w:hanging="567"/>
        <w:rPr>
          <w:noProof/>
        </w:rPr>
      </w:pPr>
      <w:r w:rsidRPr="00A960C8">
        <w:rPr>
          <w:noProof/>
        </w:rPr>
        <w:t>(a)</w:t>
      </w:r>
      <w:r>
        <w:rPr>
          <w:noProof/>
        </w:rPr>
        <w:tab/>
        <w:t xml:space="preserve">the </w:t>
      </w:r>
      <w:r w:rsidRPr="00A960C8">
        <w:rPr>
          <w:noProof/>
        </w:rPr>
        <w:t>EBA;</w:t>
      </w:r>
    </w:p>
    <w:p w:rsidR="00F0063F" w:rsidRPr="00A960C8" w:rsidRDefault="00F0063F" w:rsidP="00F0063F">
      <w:pPr>
        <w:pStyle w:val="Text1"/>
        <w:ind w:left="1701" w:hanging="567"/>
        <w:rPr>
          <w:noProof/>
        </w:rPr>
      </w:pPr>
      <w:r w:rsidRPr="00A960C8">
        <w:rPr>
          <w:noProof/>
        </w:rPr>
        <w:t>(b)</w:t>
      </w:r>
      <w:r>
        <w:rPr>
          <w:noProof/>
        </w:rPr>
        <w:tab/>
      </w:r>
      <w:r w:rsidRPr="00A960C8">
        <w:rPr>
          <w:noProof/>
        </w:rPr>
        <w:t>EIOPA;</w:t>
      </w:r>
    </w:p>
    <w:p w:rsidR="00F0063F" w:rsidRPr="00A960C8" w:rsidRDefault="00F0063F" w:rsidP="00F0063F">
      <w:pPr>
        <w:pStyle w:val="Text1"/>
        <w:ind w:left="1701" w:hanging="567"/>
        <w:rPr>
          <w:noProof/>
        </w:rPr>
      </w:pPr>
      <w:r w:rsidRPr="00A960C8">
        <w:rPr>
          <w:noProof/>
        </w:rPr>
        <w:t>(c)</w:t>
      </w:r>
      <w:r>
        <w:rPr>
          <w:noProof/>
        </w:rPr>
        <w:tab/>
      </w:r>
      <w:r w:rsidRPr="00A960C8">
        <w:rPr>
          <w:noProof/>
        </w:rPr>
        <w:t>ESMA;</w:t>
      </w:r>
    </w:p>
    <w:p w:rsidR="00F0063F" w:rsidRPr="00A960C8" w:rsidRDefault="00F0063F" w:rsidP="00F0063F">
      <w:pPr>
        <w:pStyle w:val="Text1"/>
        <w:ind w:left="1701" w:hanging="567"/>
        <w:rPr>
          <w:noProof/>
        </w:rPr>
      </w:pPr>
      <w:r w:rsidRPr="00A960C8">
        <w:rPr>
          <w:noProof/>
        </w:rPr>
        <w:t>(d)</w:t>
      </w:r>
      <w:r>
        <w:rPr>
          <w:noProof/>
        </w:rPr>
        <w:tab/>
      </w:r>
      <w:r w:rsidRPr="00A960C8">
        <w:rPr>
          <w:noProof/>
        </w:rPr>
        <w:t>the ESRB;</w:t>
      </w:r>
    </w:p>
    <w:p w:rsidR="00F0063F" w:rsidRPr="00A960C8" w:rsidRDefault="00F0063F" w:rsidP="00F0063F">
      <w:pPr>
        <w:pStyle w:val="Text1"/>
        <w:ind w:left="1701" w:hanging="567"/>
        <w:rPr>
          <w:noProof/>
        </w:rPr>
      </w:pPr>
      <w:r w:rsidRPr="00A960C8">
        <w:rPr>
          <w:noProof/>
        </w:rPr>
        <w:t>(e)</w:t>
      </w:r>
      <w:r>
        <w:rPr>
          <w:noProof/>
        </w:rPr>
        <w:tab/>
      </w:r>
      <w:r w:rsidRPr="00A960C8">
        <w:rPr>
          <w:noProof/>
        </w:rPr>
        <w:t>the relevant members of the European System of Central Banks (ESCB), including the European Central Bank (ECB) in carrying out its tasks within a single supervisory mechanism under Regulation (EU) No 1024/2013;</w:t>
      </w:r>
    </w:p>
    <w:p w:rsidR="00F0063F" w:rsidRPr="00A960C8" w:rsidRDefault="00F0063F" w:rsidP="00F0063F">
      <w:pPr>
        <w:pStyle w:val="Text1"/>
        <w:ind w:left="1701" w:hanging="567"/>
        <w:rPr>
          <w:noProof/>
        </w:rPr>
      </w:pPr>
      <w:r w:rsidRPr="00A960C8">
        <w:rPr>
          <w:noProof/>
        </w:rPr>
        <w:t>(f)</w:t>
      </w:r>
      <w:r>
        <w:rPr>
          <w:noProof/>
        </w:rPr>
        <w:tab/>
      </w:r>
      <w:r w:rsidRPr="00A960C8">
        <w:rPr>
          <w:noProof/>
        </w:rPr>
        <w:t>the relevant authorities whose respective supervisory responsibilities and mandates cover transactions, markets, participants and assets which fall within the scope of this Regulation;</w:t>
      </w:r>
    </w:p>
    <w:p w:rsidR="00F0063F" w:rsidRPr="007511CE" w:rsidRDefault="00F0063F" w:rsidP="00F0063F">
      <w:pPr>
        <w:pStyle w:val="Text1"/>
        <w:ind w:left="1701" w:hanging="567"/>
        <w:rPr>
          <w:noProof/>
        </w:rPr>
      </w:pPr>
      <w:r w:rsidRPr="00A960C8">
        <w:rPr>
          <w:noProof/>
        </w:rPr>
        <w:t>(g)</w:t>
      </w:r>
      <w:r>
        <w:rPr>
          <w:noProof/>
        </w:rPr>
        <w:tab/>
      </w:r>
      <w:r w:rsidRPr="00A960C8">
        <w:rPr>
          <w:noProof/>
        </w:rPr>
        <w:t>the resolution authorities designated under Article 3 of Directive 2014/59/EU of the European Parliament and the Council</w:t>
      </w:r>
      <w:r w:rsidR="00403423">
        <w:rPr>
          <w:rStyle w:val="FootnoteReference"/>
          <w:noProof/>
        </w:rPr>
        <w:footnoteReference w:id="32"/>
      </w:r>
      <w:r w:rsidRPr="007511CE">
        <w:rPr>
          <w:noProof/>
        </w:rPr>
        <w:t>;</w:t>
      </w:r>
    </w:p>
    <w:p w:rsidR="00F0063F" w:rsidRPr="008060A5" w:rsidRDefault="00F0063F" w:rsidP="00F0063F">
      <w:pPr>
        <w:pStyle w:val="Text1"/>
        <w:ind w:left="1701" w:hanging="567"/>
        <w:rPr>
          <w:noProof/>
        </w:rPr>
      </w:pPr>
      <w:r w:rsidRPr="007511CE">
        <w:rPr>
          <w:noProof/>
        </w:rPr>
        <w:t>(h)</w:t>
      </w:r>
      <w:r>
        <w:rPr>
          <w:noProof/>
        </w:rPr>
        <w:tab/>
      </w:r>
      <w:r w:rsidRPr="007511CE">
        <w:rPr>
          <w:noProof/>
        </w:rPr>
        <w:t>the Single Resolution Board established by Regulation (EU) No 806/2014 of the European Parliament and of the Council</w:t>
      </w:r>
      <w:r w:rsidR="00403423">
        <w:rPr>
          <w:rStyle w:val="FootnoteReference"/>
          <w:noProof/>
        </w:rPr>
        <w:footnoteReference w:id="33"/>
      </w:r>
      <w:r w:rsidRPr="008060A5">
        <w:rPr>
          <w:noProof/>
        </w:rPr>
        <w:t>;</w:t>
      </w:r>
    </w:p>
    <w:p w:rsidR="00F0063F" w:rsidRPr="008060A5" w:rsidRDefault="00F0063F" w:rsidP="00F0063F">
      <w:pPr>
        <w:pStyle w:val="Text1"/>
        <w:ind w:left="1701" w:hanging="567"/>
        <w:rPr>
          <w:noProof/>
        </w:rPr>
      </w:pPr>
      <w:r w:rsidRPr="008060A5">
        <w:rPr>
          <w:noProof/>
        </w:rPr>
        <w:t>(i)</w:t>
      </w:r>
      <w:r>
        <w:rPr>
          <w:noProof/>
        </w:rPr>
        <w:tab/>
      </w:r>
      <w:r w:rsidRPr="008060A5">
        <w:rPr>
          <w:noProof/>
        </w:rPr>
        <w:t>the authorities referred to in Article 29</w:t>
      </w:r>
      <w:r>
        <w:rPr>
          <w:noProof/>
        </w:rPr>
        <w:t xml:space="preserve"> of this Regulation</w:t>
      </w:r>
      <w:r w:rsidRPr="008060A5">
        <w:rPr>
          <w:noProof/>
        </w:rPr>
        <w:t>;</w:t>
      </w:r>
    </w:p>
    <w:p w:rsidR="00F0063F" w:rsidRPr="008F139C" w:rsidRDefault="00F0063F" w:rsidP="00F0063F">
      <w:pPr>
        <w:pStyle w:val="Text1"/>
        <w:ind w:left="1701" w:hanging="567"/>
        <w:rPr>
          <w:noProof/>
        </w:rPr>
      </w:pPr>
      <w:r w:rsidRPr="008F139C">
        <w:rPr>
          <w:noProof/>
        </w:rPr>
        <w:t>(j)</w:t>
      </w:r>
      <w:r>
        <w:rPr>
          <w:noProof/>
        </w:rPr>
        <w:tab/>
      </w:r>
      <w:r w:rsidRPr="008F139C">
        <w:rPr>
          <w:noProof/>
        </w:rPr>
        <w:t>the Commission, upon request;</w:t>
      </w:r>
    </w:p>
    <w:p w:rsidR="00F0063F" w:rsidRPr="008060A5" w:rsidRDefault="00F0063F" w:rsidP="00F0063F">
      <w:pPr>
        <w:pStyle w:val="Text1"/>
        <w:ind w:left="1701" w:hanging="567"/>
        <w:rPr>
          <w:noProof/>
        </w:rPr>
      </w:pPr>
      <w:r w:rsidRPr="008F139C">
        <w:rPr>
          <w:noProof/>
        </w:rPr>
        <w:t>(k)</w:t>
      </w:r>
      <w:r>
        <w:rPr>
          <w:noProof/>
        </w:rPr>
        <w:tab/>
      </w:r>
      <w:r w:rsidRPr="008F139C">
        <w:rPr>
          <w:noProof/>
        </w:rPr>
        <w:t>in case of public securitisations</w:t>
      </w:r>
      <w:r>
        <w:rPr>
          <w:noProof/>
        </w:rPr>
        <w:t>,</w:t>
      </w:r>
      <w:r w:rsidRPr="008F139C">
        <w:rPr>
          <w:noProof/>
        </w:rPr>
        <w:t xml:space="preserve"> investors</w:t>
      </w:r>
      <w:r w:rsidRPr="008060A5">
        <w:rPr>
          <w:noProof/>
        </w:rPr>
        <w:t xml:space="preserve"> and potential investors.’</w:t>
      </w:r>
    </w:p>
    <w:p w:rsidR="00F0063F" w:rsidRDefault="00401E25" w:rsidP="00401E25">
      <w:pPr>
        <w:pStyle w:val="Point1"/>
        <w:rPr>
          <w:noProof/>
        </w:rPr>
      </w:pPr>
      <w:r w:rsidRPr="00401E25">
        <w:rPr>
          <w:noProof/>
        </w:rPr>
        <w:t>(b)</w:t>
      </w:r>
      <w:r w:rsidRPr="00401E25">
        <w:rPr>
          <w:noProof/>
        </w:rPr>
        <w:tab/>
      </w:r>
      <w:r w:rsidR="00F0063F">
        <w:rPr>
          <w:noProof/>
        </w:rPr>
        <w:t>in paragraph 2,</w:t>
      </w:r>
      <w:r w:rsidR="00F0063F" w:rsidRPr="008F139C">
        <w:rPr>
          <w:noProof/>
        </w:rPr>
        <w:t xml:space="preserve"> point </w:t>
      </w:r>
      <w:r w:rsidR="00F0063F">
        <w:rPr>
          <w:noProof/>
        </w:rPr>
        <w:t>(</w:t>
      </w:r>
      <w:r w:rsidR="00F0063F" w:rsidRPr="008F139C">
        <w:rPr>
          <w:noProof/>
        </w:rPr>
        <w:t>a</w:t>
      </w:r>
      <w:r w:rsidR="00F0063F">
        <w:rPr>
          <w:noProof/>
        </w:rPr>
        <w:t>)</w:t>
      </w:r>
      <w:r w:rsidR="00F0063F" w:rsidRPr="008F139C">
        <w:rPr>
          <w:noProof/>
        </w:rPr>
        <w:t xml:space="preserve"> is deleted.</w:t>
      </w:r>
    </w:p>
    <w:p w:rsidR="00A177F0" w:rsidRDefault="00401E25" w:rsidP="00401E25">
      <w:pPr>
        <w:pStyle w:val="Point0"/>
        <w:rPr>
          <w:noProof/>
        </w:rPr>
      </w:pPr>
      <w:r w:rsidRPr="00401E25">
        <w:rPr>
          <w:noProof/>
        </w:rPr>
        <w:t>(</w:t>
      </w:r>
      <w:r>
        <w:rPr>
          <w:noProof/>
        </w:rPr>
        <w:t>8</w:t>
      </w:r>
      <w:r w:rsidRPr="00401E25">
        <w:rPr>
          <w:noProof/>
        </w:rPr>
        <w:t>)</w:t>
      </w:r>
      <w:r w:rsidRPr="00401E25">
        <w:rPr>
          <w:noProof/>
        </w:rPr>
        <w:tab/>
      </w:r>
      <w:r w:rsidR="00CE4C2B" w:rsidRPr="008F139C">
        <w:rPr>
          <w:noProof/>
        </w:rPr>
        <w:t>Article 20 is amended as follows:</w:t>
      </w:r>
    </w:p>
    <w:p w:rsidR="00721C45" w:rsidRPr="008F139C" w:rsidRDefault="00401E25" w:rsidP="00401E25">
      <w:pPr>
        <w:pStyle w:val="Point1"/>
        <w:rPr>
          <w:noProof/>
        </w:rPr>
      </w:pPr>
      <w:r w:rsidRPr="00401E25">
        <w:rPr>
          <w:noProof/>
        </w:rPr>
        <w:t>(a)</w:t>
      </w:r>
      <w:r w:rsidRPr="00401E25">
        <w:rPr>
          <w:noProof/>
        </w:rPr>
        <w:tab/>
      </w:r>
      <w:r w:rsidR="00721C45">
        <w:rPr>
          <w:noProof/>
        </w:rPr>
        <w:t xml:space="preserve">in </w:t>
      </w:r>
      <w:r w:rsidR="00721C45" w:rsidRPr="008F139C">
        <w:rPr>
          <w:noProof/>
        </w:rPr>
        <w:t>paragraph 8</w:t>
      </w:r>
      <w:r w:rsidR="00721C45">
        <w:rPr>
          <w:noProof/>
        </w:rPr>
        <w:t>,</w:t>
      </w:r>
      <w:r w:rsidR="00721C45" w:rsidRPr="008F139C">
        <w:rPr>
          <w:noProof/>
        </w:rPr>
        <w:t xml:space="preserve"> the following subparagraph is added:</w:t>
      </w:r>
    </w:p>
    <w:p w:rsidR="00721C45" w:rsidRPr="008F139C" w:rsidRDefault="00721C45" w:rsidP="00721C45">
      <w:pPr>
        <w:pStyle w:val="Text1"/>
        <w:ind w:left="1134"/>
        <w:rPr>
          <w:noProof/>
        </w:rPr>
      </w:pPr>
      <w:r w:rsidRPr="008F139C">
        <w:rPr>
          <w:noProof/>
        </w:rPr>
        <w:t>‘A pool of underlying exposures shall be deemed to comply with the first subparagraph where at least 70% of the exposures in the pool at origination consists of exposures to SMEs.’</w:t>
      </w:r>
      <w:r>
        <w:rPr>
          <w:noProof/>
        </w:rPr>
        <w:t>;</w:t>
      </w:r>
    </w:p>
    <w:p w:rsidR="00721C45" w:rsidRPr="008F139C" w:rsidRDefault="00401E25" w:rsidP="00401E25">
      <w:pPr>
        <w:pStyle w:val="Point1"/>
        <w:rPr>
          <w:noProof/>
        </w:rPr>
      </w:pPr>
      <w:r w:rsidRPr="00401E25">
        <w:rPr>
          <w:noProof/>
        </w:rPr>
        <w:t>(b)</w:t>
      </w:r>
      <w:r w:rsidRPr="00401E25">
        <w:rPr>
          <w:noProof/>
        </w:rPr>
        <w:tab/>
      </w:r>
      <w:r w:rsidR="00721C45" w:rsidRPr="008F139C">
        <w:rPr>
          <w:noProof/>
        </w:rPr>
        <w:t>in paragraph 11</w:t>
      </w:r>
      <w:r w:rsidR="00721C45">
        <w:rPr>
          <w:noProof/>
        </w:rPr>
        <w:t>,</w:t>
      </w:r>
      <w:r w:rsidR="00721C45" w:rsidRPr="008F139C">
        <w:rPr>
          <w:noProof/>
        </w:rPr>
        <w:t xml:space="preserve"> </w:t>
      </w:r>
      <w:r w:rsidR="00721C45">
        <w:rPr>
          <w:noProof/>
        </w:rPr>
        <w:t xml:space="preserve">in </w:t>
      </w:r>
      <w:r w:rsidR="00721C45" w:rsidRPr="008F139C">
        <w:rPr>
          <w:noProof/>
        </w:rPr>
        <w:t>point (a)</w:t>
      </w:r>
      <w:r w:rsidR="00721C45">
        <w:rPr>
          <w:noProof/>
        </w:rPr>
        <w:t xml:space="preserve">, point </w:t>
      </w:r>
      <w:r w:rsidR="00721C45" w:rsidRPr="008F139C">
        <w:rPr>
          <w:noProof/>
        </w:rPr>
        <w:t>(ii) is replaced by the following:</w:t>
      </w:r>
    </w:p>
    <w:p w:rsidR="00721C45" w:rsidRPr="008F139C" w:rsidRDefault="00721C45" w:rsidP="00721C45">
      <w:pPr>
        <w:pStyle w:val="Text1"/>
        <w:ind w:left="1701" w:hanging="567"/>
        <w:rPr>
          <w:noProof/>
        </w:rPr>
      </w:pPr>
      <w:r w:rsidRPr="008F139C">
        <w:rPr>
          <w:noProof/>
        </w:rPr>
        <w:t>‘(ii)</w:t>
      </w:r>
      <w:r>
        <w:rPr>
          <w:noProof/>
        </w:rPr>
        <w:tab/>
      </w:r>
      <w:r w:rsidRPr="008F139C">
        <w:rPr>
          <w:noProof/>
        </w:rPr>
        <w:t>the information provided by the originator, sponsor and SSPE explicitly sets out the proportion of restructured underlying exposures, the time and details of the restructuring</w:t>
      </w:r>
      <w:r>
        <w:rPr>
          <w:noProof/>
        </w:rPr>
        <w:t>,</w:t>
      </w:r>
      <w:r w:rsidRPr="008F139C">
        <w:rPr>
          <w:noProof/>
        </w:rPr>
        <w:t xml:space="preserve"> </w:t>
      </w:r>
      <w:r>
        <w:rPr>
          <w:noProof/>
        </w:rPr>
        <w:t>and</w:t>
      </w:r>
      <w:r w:rsidRPr="008F139C">
        <w:rPr>
          <w:noProof/>
        </w:rPr>
        <w:t xml:space="preserve"> their performance since the date of the restructuring;’</w:t>
      </w:r>
      <w:r>
        <w:rPr>
          <w:noProof/>
        </w:rPr>
        <w:t>;</w:t>
      </w:r>
    </w:p>
    <w:p w:rsidR="00B16F98" w:rsidRDefault="00401E25" w:rsidP="00401E25">
      <w:pPr>
        <w:pStyle w:val="Point0"/>
        <w:rPr>
          <w:noProof/>
        </w:rPr>
      </w:pPr>
      <w:r w:rsidRPr="00401E25">
        <w:rPr>
          <w:noProof/>
        </w:rPr>
        <w:t>(</w:t>
      </w:r>
      <w:r>
        <w:rPr>
          <w:noProof/>
        </w:rPr>
        <w:t>9</w:t>
      </w:r>
      <w:r w:rsidRPr="00401E25">
        <w:rPr>
          <w:noProof/>
        </w:rPr>
        <w:t>)</w:t>
      </w:r>
      <w:r w:rsidRPr="00401E25">
        <w:rPr>
          <w:noProof/>
        </w:rPr>
        <w:tab/>
      </w:r>
      <w:r w:rsidR="00CA52E5" w:rsidRPr="008F139C">
        <w:rPr>
          <w:noProof/>
        </w:rPr>
        <w:t>Article 2</w:t>
      </w:r>
      <w:r w:rsidR="00CA52E5">
        <w:rPr>
          <w:noProof/>
        </w:rPr>
        <w:t>2</w:t>
      </w:r>
      <w:r w:rsidR="00CA52E5" w:rsidRPr="008F139C">
        <w:rPr>
          <w:noProof/>
        </w:rPr>
        <w:t xml:space="preserve"> is amended as follows</w:t>
      </w:r>
      <w:r w:rsidR="005226CD">
        <w:rPr>
          <w:noProof/>
        </w:rPr>
        <w:t>:</w:t>
      </w:r>
    </w:p>
    <w:p w:rsidR="005226CD" w:rsidRPr="008F139C" w:rsidRDefault="00401E25" w:rsidP="00401E25">
      <w:pPr>
        <w:pStyle w:val="Point1"/>
        <w:rPr>
          <w:noProof/>
        </w:rPr>
      </w:pPr>
      <w:r w:rsidRPr="00401E25">
        <w:rPr>
          <w:noProof/>
        </w:rPr>
        <w:t>(a)</w:t>
      </w:r>
      <w:r w:rsidRPr="00401E25">
        <w:rPr>
          <w:noProof/>
        </w:rPr>
        <w:tab/>
      </w:r>
      <w:r w:rsidR="005226CD" w:rsidRPr="008F139C">
        <w:rPr>
          <w:noProof/>
        </w:rPr>
        <w:t>in paragraph 4</w:t>
      </w:r>
      <w:r w:rsidR="005226CD">
        <w:rPr>
          <w:noProof/>
        </w:rPr>
        <w:t>,</w:t>
      </w:r>
      <w:r w:rsidR="005226CD" w:rsidRPr="008F139C">
        <w:rPr>
          <w:noProof/>
        </w:rPr>
        <w:t xml:space="preserve"> the first subparagraph is replaced by the following:</w:t>
      </w:r>
    </w:p>
    <w:p w:rsidR="005226CD" w:rsidRPr="008F139C" w:rsidRDefault="005226CD" w:rsidP="005226CD">
      <w:pPr>
        <w:pStyle w:val="Text1"/>
        <w:tabs>
          <w:tab w:val="left" w:pos="1701"/>
        </w:tabs>
        <w:ind w:left="1134"/>
        <w:rPr>
          <w:noProof/>
        </w:rPr>
      </w:pPr>
      <w:r w:rsidRPr="008F139C">
        <w:rPr>
          <w:noProof/>
        </w:rPr>
        <w:t>‘In case of a securitisation where the underlying exposures are residential loans or auto loans or leases, the originator and sponsor shall publish the available information related to the environmental performance of the assets financed by such residential loans or auto loans or leases.’</w:t>
      </w:r>
      <w:r>
        <w:rPr>
          <w:noProof/>
        </w:rPr>
        <w:t>;</w:t>
      </w:r>
    </w:p>
    <w:p w:rsidR="005226CD" w:rsidRPr="008F139C" w:rsidRDefault="00401E25" w:rsidP="00401E25">
      <w:pPr>
        <w:pStyle w:val="Point1"/>
        <w:rPr>
          <w:noProof/>
        </w:rPr>
      </w:pPr>
      <w:r w:rsidRPr="00401E25">
        <w:rPr>
          <w:noProof/>
        </w:rPr>
        <w:t>(b)</w:t>
      </w:r>
      <w:r w:rsidRPr="00401E25">
        <w:rPr>
          <w:noProof/>
        </w:rPr>
        <w:tab/>
      </w:r>
      <w:r w:rsidR="005226CD" w:rsidRPr="008F139C">
        <w:rPr>
          <w:noProof/>
        </w:rPr>
        <w:t>paragraph 5 is replaced by the following:</w:t>
      </w:r>
    </w:p>
    <w:p w:rsidR="005226CD" w:rsidRPr="008F139C" w:rsidRDefault="005226CD" w:rsidP="005226CD">
      <w:pPr>
        <w:pStyle w:val="Text1"/>
        <w:tabs>
          <w:tab w:val="left" w:pos="1701"/>
        </w:tabs>
        <w:ind w:left="1134"/>
        <w:rPr>
          <w:noProof/>
        </w:rPr>
      </w:pPr>
      <w:r w:rsidRPr="008F139C">
        <w:rPr>
          <w:noProof/>
        </w:rPr>
        <w:t>‘</w:t>
      </w:r>
      <w:r>
        <w:rPr>
          <w:noProof/>
        </w:rPr>
        <w:t>5.</w:t>
      </w:r>
      <w:r>
        <w:rPr>
          <w:noProof/>
        </w:rPr>
        <w:tab/>
      </w:r>
      <w:r w:rsidRPr="008F139C">
        <w:rPr>
          <w:noProof/>
        </w:rPr>
        <w:t xml:space="preserve">The originator and the sponsor shall be responsible for compliance with Article 7. In case of </w:t>
      </w:r>
      <w:r>
        <w:rPr>
          <w:noProof/>
        </w:rPr>
        <w:t xml:space="preserve">a </w:t>
      </w:r>
      <w:r w:rsidRPr="008F139C">
        <w:rPr>
          <w:noProof/>
        </w:rPr>
        <w:t>public securitisation, the information required by Article 7(1)</w:t>
      </w:r>
      <w:r>
        <w:rPr>
          <w:noProof/>
        </w:rPr>
        <w:t>, first subparagraph,</w:t>
      </w:r>
      <w:r w:rsidRPr="008F139C">
        <w:rPr>
          <w:noProof/>
        </w:rPr>
        <w:t xml:space="preserve"> point (a)</w:t>
      </w:r>
      <w:r>
        <w:rPr>
          <w:noProof/>
        </w:rPr>
        <w:t>,</w:t>
      </w:r>
      <w:r w:rsidRPr="008F139C">
        <w:rPr>
          <w:noProof/>
        </w:rPr>
        <w:t xml:space="preserve"> shall be made available to potential investors before pricing upon request. In case of </w:t>
      </w:r>
      <w:r>
        <w:rPr>
          <w:noProof/>
        </w:rPr>
        <w:t xml:space="preserve">a </w:t>
      </w:r>
      <w:r w:rsidRPr="008F139C">
        <w:rPr>
          <w:noProof/>
        </w:rPr>
        <w:t>public securitisation, the information required by Article 7(1)</w:t>
      </w:r>
      <w:r>
        <w:rPr>
          <w:noProof/>
        </w:rPr>
        <w:t>, first subparagraph,</w:t>
      </w:r>
      <w:r w:rsidRPr="008F139C">
        <w:rPr>
          <w:noProof/>
        </w:rPr>
        <w:t xml:space="preserve"> points (b) to (d)</w:t>
      </w:r>
      <w:r>
        <w:rPr>
          <w:noProof/>
        </w:rPr>
        <w:t>,</w:t>
      </w:r>
      <w:r w:rsidRPr="008F139C">
        <w:rPr>
          <w:noProof/>
        </w:rPr>
        <w:t xml:space="preserve"> shall be made available before pricing at least in draft or initial form. The final documentation shall be made available to investors at the latest 15 days after closing of the transaction.</w:t>
      </w:r>
      <w:r>
        <w:rPr>
          <w:noProof/>
        </w:rPr>
        <w:t>’;</w:t>
      </w:r>
    </w:p>
    <w:p w:rsidR="00FF5CF4" w:rsidRDefault="00401E25" w:rsidP="00401E25">
      <w:pPr>
        <w:pStyle w:val="Point0"/>
        <w:rPr>
          <w:noProof/>
        </w:rPr>
      </w:pPr>
      <w:r w:rsidRPr="00401E25">
        <w:rPr>
          <w:noProof/>
        </w:rPr>
        <w:t>(</w:t>
      </w:r>
      <w:r>
        <w:rPr>
          <w:noProof/>
        </w:rPr>
        <w:t>10</w:t>
      </w:r>
      <w:r w:rsidRPr="00401E25">
        <w:rPr>
          <w:noProof/>
        </w:rPr>
        <w:t>)</w:t>
      </w:r>
      <w:r w:rsidRPr="00401E25">
        <w:rPr>
          <w:noProof/>
        </w:rPr>
        <w:tab/>
      </w:r>
      <w:r w:rsidR="005226CD" w:rsidRPr="008F139C">
        <w:rPr>
          <w:noProof/>
        </w:rPr>
        <w:t>Article 2</w:t>
      </w:r>
      <w:r w:rsidR="005226CD">
        <w:rPr>
          <w:noProof/>
        </w:rPr>
        <w:t>4</w:t>
      </w:r>
      <w:r w:rsidR="005226CD" w:rsidRPr="008F139C">
        <w:rPr>
          <w:noProof/>
        </w:rPr>
        <w:t xml:space="preserve"> is amended as follows</w:t>
      </w:r>
      <w:r w:rsidR="005226CD">
        <w:rPr>
          <w:noProof/>
        </w:rPr>
        <w:t>:</w:t>
      </w:r>
    </w:p>
    <w:p w:rsidR="00DD1C80" w:rsidRPr="008F139C" w:rsidRDefault="00401E25" w:rsidP="00401E25">
      <w:pPr>
        <w:pStyle w:val="Point1"/>
        <w:rPr>
          <w:noProof/>
        </w:rPr>
      </w:pPr>
      <w:r w:rsidRPr="00401E25">
        <w:rPr>
          <w:noProof/>
        </w:rPr>
        <w:t>(a)</w:t>
      </w:r>
      <w:r w:rsidRPr="00401E25">
        <w:rPr>
          <w:noProof/>
        </w:rPr>
        <w:tab/>
      </w:r>
      <w:r w:rsidR="00DD1C80" w:rsidRPr="008F139C">
        <w:rPr>
          <w:noProof/>
        </w:rPr>
        <w:t>in paragraph 9</w:t>
      </w:r>
      <w:r w:rsidR="00DD1C80">
        <w:rPr>
          <w:noProof/>
        </w:rPr>
        <w:t>, in</w:t>
      </w:r>
      <w:r w:rsidR="00DD1C80" w:rsidRPr="008F139C">
        <w:rPr>
          <w:noProof/>
        </w:rPr>
        <w:t xml:space="preserve"> point (a)</w:t>
      </w:r>
      <w:r w:rsidR="00DD1C80">
        <w:rPr>
          <w:noProof/>
        </w:rPr>
        <w:t xml:space="preserve">, point </w:t>
      </w:r>
      <w:r w:rsidR="00DD1C80" w:rsidRPr="008F139C">
        <w:rPr>
          <w:noProof/>
        </w:rPr>
        <w:t>(ii) is replaced by the following:</w:t>
      </w:r>
    </w:p>
    <w:p w:rsidR="00DD1C80" w:rsidRPr="008F139C" w:rsidRDefault="00DD1C80" w:rsidP="00DD1C80">
      <w:pPr>
        <w:pStyle w:val="Text1"/>
        <w:ind w:left="1701" w:hanging="567"/>
        <w:rPr>
          <w:noProof/>
        </w:rPr>
      </w:pPr>
      <w:r w:rsidRPr="008F139C">
        <w:rPr>
          <w:noProof/>
        </w:rPr>
        <w:t>‘(ii)</w:t>
      </w:r>
      <w:r>
        <w:rPr>
          <w:noProof/>
        </w:rPr>
        <w:tab/>
      </w:r>
      <w:r w:rsidRPr="008F139C">
        <w:rPr>
          <w:noProof/>
        </w:rPr>
        <w:t>the information provided by the originator, sponsor and SSPE explicitly sets out the proportion of restructured underlying exposures, the time and details of the restructuring</w:t>
      </w:r>
      <w:r>
        <w:rPr>
          <w:noProof/>
        </w:rPr>
        <w:t>,</w:t>
      </w:r>
      <w:r w:rsidRPr="008F139C">
        <w:rPr>
          <w:noProof/>
        </w:rPr>
        <w:t xml:space="preserve"> </w:t>
      </w:r>
      <w:r>
        <w:rPr>
          <w:noProof/>
        </w:rPr>
        <w:t>and</w:t>
      </w:r>
      <w:r w:rsidRPr="008F139C">
        <w:rPr>
          <w:noProof/>
        </w:rPr>
        <w:t xml:space="preserve"> their performance since the date of the restructuring;’</w:t>
      </w:r>
      <w:r>
        <w:rPr>
          <w:noProof/>
        </w:rPr>
        <w:t>;</w:t>
      </w:r>
    </w:p>
    <w:p w:rsidR="00DD1C80" w:rsidRPr="008F139C" w:rsidRDefault="00401E25" w:rsidP="00401E25">
      <w:pPr>
        <w:pStyle w:val="Point1"/>
        <w:rPr>
          <w:noProof/>
        </w:rPr>
      </w:pPr>
      <w:r w:rsidRPr="00401E25">
        <w:rPr>
          <w:noProof/>
        </w:rPr>
        <w:t>(b)</w:t>
      </w:r>
      <w:r w:rsidRPr="00401E25">
        <w:rPr>
          <w:noProof/>
        </w:rPr>
        <w:tab/>
      </w:r>
      <w:r w:rsidR="00DD1C80" w:rsidRPr="008F139C">
        <w:rPr>
          <w:noProof/>
        </w:rPr>
        <w:t>in paragraph 15 the following subparagraph is added:</w:t>
      </w:r>
    </w:p>
    <w:p w:rsidR="00DD1C80" w:rsidRPr="008F139C" w:rsidRDefault="00DD1C80" w:rsidP="00DD1C80">
      <w:pPr>
        <w:pStyle w:val="Text1"/>
        <w:ind w:left="1134"/>
        <w:rPr>
          <w:noProof/>
        </w:rPr>
      </w:pPr>
      <w:r w:rsidRPr="008F139C">
        <w:rPr>
          <w:noProof/>
        </w:rPr>
        <w:t>‘A pool of underlying exposures shall be deemed to comply with the first subparagraph where at least 70% of the exposures in the pool at origination consists of exposures to SMEs.’</w:t>
      </w:r>
      <w:r>
        <w:rPr>
          <w:noProof/>
        </w:rPr>
        <w:t>;</w:t>
      </w:r>
    </w:p>
    <w:p w:rsidR="00C81FC6" w:rsidRPr="008F139C" w:rsidRDefault="00401E25" w:rsidP="00401E25">
      <w:pPr>
        <w:pStyle w:val="Point0"/>
        <w:rPr>
          <w:noProof/>
        </w:rPr>
      </w:pPr>
      <w:r w:rsidRPr="00401E25">
        <w:rPr>
          <w:noProof/>
        </w:rPr>
        <w:t>(1</w:t>
      </w:r>
      <w:r>
        <w:rPr>
          <w:noProof/>
        </w:rPr>
        <w:t>1</w:t>
      </w:r>
      <w:r w:rsidRPr="00401E25">
        <w:rPr>
          <w:noProof/>
        </w:rPr>
        <w:t>)</w:t>
      </w:r>
      <w:r w:rsidRPr="00401E25">
        <w:rPr>
          <w:noProof/>
        </w:rPr>
        <w:tab/>
      </w:r>
      <w:r w:rsidR="00C81FC6" w:rsidRPr="008F139C">
        <w:rPr>
          <w:noProof/>
        </w:rPr>
        <w:t>Article 26b is amended as follows:</w:t>
      </w:r>
    </w:p>
    <w:p w:rsidR="00C81FC6" w:rsidRPr="008F139C" w:rsidRDefault="00401E25" w:rsidP="00401E25">
      <w:pPr>
        <w:pStyle w:val="Point1"/>
        <w:rPr>
          <w:noProof/>
        </w:rPr>
      </w:pPr>
      <w:r w:rsidRPr="00401E25">
        <w:rPr>
          <w:noProof/>
        </w:rPr>
        <w:t>(a)</w:t>
      </w:r>
      <w:r w:rsidRPr="00401E25">
        <w:rPr>
          <w:noProof/>
        </w:rPr>
        <w:tab/>
      </w:r>
      <w:r w:rsidR="00C81FC6" w:rsidRPr="008F139C">
        <w:rPr>
          <w:noProof/>
        </w:rPr>
        <w:t>in paragraph 7</w:t>
      </w:r>
      <w:r w:rsidR="00C81FC6">
        <w:rPr>
          <w:noProof/>
        </w:rPr>
        <w:t>, in the</w:t>
      </w:r>
      <w:r w:rsidR="00C81FC6" w:rsidRPr="008F139C">
        <w:rPr>
          <w:noProof/>
        </w:rPr>
        <w:t xml:space="preserve"> fourth subparagraph</w:t>
      </w:r>
      <w:r w:rsidR="00C81FC6">
        <w:rPr>
          <w:noProof/>
        </w:rPr>
        <w:t>, the following</w:t>
      </w:r>
      <w:r w:rsidR="00C81FC6" w:rsidRPr="008F139C">
        <w:rPr>
          <w:noProof/>
        </w:rPr>
        <w:t xml:space="preserve"> point</w:t>
      </w:r>
      <w:r w:rsidR="00C81FC6">
        <w:rPr>
          <w:noProof/>
        </w:rPr>
        <w:t>s</w:t>
      </w:r>
      <w:r w:rsidR="00C81FC6" w:rsidRPr="008F139C">
        <w:rPr>
          <w:noProof/>
        </w:rPr>
        <w:t xml:space="preserve"> (e)</w:t>
      </w:r>
      <w:r w:rsidR="00C81FC6">
        <w:rPr>
          <w:noProof/>
        </w:rPr>
        <w:t xml:space="preserve"> and (f)</w:t>
      </w:r>
      <w:r w:rsidR="00C81FC6" w:rsidRPr="008F139C">
        <w:rPr>
          <w:noProof/>
        </w:rPr>
        <w:t xml:space="preserve"> </w:t>
      </w:r>
      <w:r w:rsidR="00C81FC6">
        <w:rPr>
          <w:noProof/>
        </w:rPr>
        <w:t>are</w:t>
      </w:r>
      <w:r w:rsidR="00C81FC6" w:rsidRPr="008F139C">
        <w:rPr>
          <w:noProof/>
        </w:rPr>
        <w:t xml:space="preserve"> added:</w:t>
      </w:r>
    </w:p>
    <w:p w:rsidR="00C81FC6" w:rsidRPr="008F139C" w:rsidRDefault="00C81FC6" w:rsidP="00C81FC6">
      <w:pPr>
        <w:pStyle w:val="Text1"/>
        <w:ind w:left="1701" w:hanging="567"/>
        <w:rPr>
          <w:noProof/>
        </w:rPr>
      </w:pPr>
      <w:r w:rsidRPr="008F139C">
        <w:rPr>
          <w:noProof/>
        </w:rPr>
        <w:t>‘(e)</w:t>
      </w:r>
      <w:r>
        <w:rPr>
          <w:noProof/>
        </w:rPr>
        <w:tab/>
      </w:r>
      <w:r w:rsidRPr="008F139C">
        <w:rPr>
          <w:noProof/>
        </w:rPr>
        <w:t>has been the object of Union restrictive measures or of proven fraudulent practices;</w:t>
      </w:r>
    </w:p>
    <w:p w:rsidR="00C81FC6" w:rsidRPr="008F139C" w:rsidRDefault="00C81FC6" w:rsidP="00C81FC6">
      <w:pPr>
        <w:pStyle w:val="Text1"/>
        <w:ind w:left="1701" w:hanging="567"/>
        <w:rPr>
          <w:noProof/>
        </w:rPr>
      </w:pPr>
      <w:r w:rsidRPr="008F139C">
        <w:rPr>
          <w:noProof/>
        </w:rPr>
        <w:t>‘(f)</w:t>
      </w:r>
      <w:r>
        <w:rPr>
          <w:noProof/>
        </w:rPr>
        <w:tab/>
      </w:r>
      <w:r w:rsidRPr="008F139C">
        <w:rPr>
          <w:noProof/>
        </w:rPr>
        <w:t>has been subject to changes in the national legal framework that would affect the enforceability</w:t>
      </w:r>
      <w:r>
        <w:rPr>
          <w:noProof/>
        </w:rPr>
        <w:t xml:space="preserve"> </w:t>
      </w:r>
      <w:r w:rsidRPr="008F139C">
        <w:rPr>
          <w:rFonts w:cs="Calibri"/>
          <w:noProof/>
        </w:rPr>
        <w:t>o</w:t>
      </w:r>
      <w:r>
        <w:rPr>
          <w:rFonts w:cs="Calibri"/>
          <w:noProof/>
        </w:rPr>
        <w:t>f the claims of</w:t>
      </w:r>
      <w:r w:rsidRPr="008F139C">
        <w:rPr>
          <w:rFonts w:cs="Calibri"/>
          <w:noProof/>
        </w:rPr>
        <w:t xml:space="preserve"> the underlying exposures</w:t>
      </w:r>
      <w:r w:rsidRPr="008F139C">
        <w:rPr>
          <w:noProof/>
        </w:rPr>
        <w:t>.’</w:t>
      </w:r>
      <w:r>
        <w:rPr>
          <w:noProof/>
        </w:rPr>
        <w:t>;</w:t>
      </w:r>
    </w:p>
    <w:p w:rsidR="00C81FC6" w:rsidRPr="008F139C" w:rsidRDefault="00401E25" w:rsidP="00401E25">
      <w:pPr>
        <w:pStyle w:val="Point1"/>
        <w:rPr>
          <w:noProof/>
        </w:rPr>
      </w:pPr>
      <w:r w:rsidRPr="00401E25">
        <w:rPr>
          <w:noProof/>
        </w:rPr>
        <w:t>(b)</w:t>
      </w:r>
      <w:r w:rsidRPr="00401E25">
        <w:rPr>
          <w:noProof/>
        </w:rPr>
        <w:tab/>
      </w:r>
      <w:r w:rsidR="00C81FC6" w:rsidRPr="008F139C">
        <w:rPr>
          <w:noProof/>
        </w:rPr>
        <w:t>in paragraph 8</w:t>
      </w:r>
      <w:r w:rsidR="00C81FC6">
        <w:rPr>
          <w:noProof/>
        </w:rPr>
        <w:t>,</w:t>
      </w:r>
      <w:r w:rsidR="00C81FC6" w:rsidRPr="008F139C">
        <w:rPr>
          <w:noProof/>
        </w:rPr>
        <w:t xml:space="preserve"> the following subparagraph is added:</w:t>
      </w:r>
    </w:p>
    <w:p w:rsidR="00C81FC6" w:rsidRPr="008F139C" w:rsidRDefault="00C81FC6" w:rsidP="00C81FC6">
      <w:pPr>
        <w:pStyle w:val="Text1"/>
        <w:ind w:left="1134"/>
        <w:rPr>
          <w:noProof/>
        </w:rPr>
      </w:pPr>
      <w:r w:rsidRPr="008F139C">
        <w:rPr>
          <w:noProof/>
        </w:rPr>
        <w:t>‘A pool of underlying exposures shall be deemed to comply with the first subparagraph where at least 70% of the exposures in the pool at origination consists of exposures to SMEs.’</w:t>
      </w:r>
      <w:r>
        <w:rPr>
          <w:noProof/>
        </w:rPr>
        <w:t>;</w:t>
      </w:r>
    </w:p>
    <w:p w:rsidR="00C81FC6" w:rsidRPr="008F139C" w:rsidRDefault="00401E25" w:rsidP="00401E25">
      <w:pPr>
        <w:pStyle w:val="Point1"/>
        <w:rPr>
          <w:noProof/>
        </w:rPr>
      </w:pPr>
      <w:r w:rsidRPr="00401E25">
        <w:rPr>
          <w:noProof/>
        </w:rPr>
        <w:t>(c)</w:t>
      </w:r>
      <w:r w:rsidRPr="00401E25">
        <w:rPr>
          <w:noProof/>
        </w:rPr>
        <w:tab/>
      </w:r>
      <w:r w:rsidR="00C81FC6" w:rsidRPr="008F139C">
        <w:rPr>
          <w:noProof/>
        </w:rPr>
        <w:t>in paragraph 11</w:t>
      </w:r>
      <w:r w:rsidR="00C81FC6">
        <w:rPr>
          <w:noProof/>
        </w:rPr>
        <w:t>, in point (a),</w:t>
      </w:r>
      <w:r w:rsidR="00C81FC6" w:rsidRPr="008F139C">
        <w:rPr>
          <w:noProof/>
        </w:rPr>
        <w:t xml:space="preserve"> point (ii) is replaced by the following:</w:t>
      </w:r>
    </w:p>
    <w:p w:rsidR="00C81FC6" w:rsidRPr="008F139C" w:rsidRDefault="00C81FC6" w:rsidP="00C81FC6">
      <w:pPr>
        <w:pStyle w:val="Text1"/>
        <w:ind w:left="1701" w:hanging="567"/>
        <w:rPr>
          <w:noProof/>
        </w:rPr>
      </w:pPr>
      <w:r w:rsidRPr="008F139C">
        <w:rPr>
          <w:noProof/>
        </w:rPr>
        <w:t>‘(ii)</w:t>
      </w:r>
      <w:r>
        <w:rPr>
          <w:noProof/>
        </w:rPr>
        <w:tab/>
      </w:r>
      <w:r w:rsidRPr="008F139C">
        <w:rPr>
          <w:noProof/>
        </w:rPr>
        <w:t>the information provided by the originator, sponsor and SSPE explicitly sets out the proportion of restructured underlying exposures, the time and details of the restructuring</w:t>
      </w:r>
      <w:r>
        <w:rPr>
          <w:noProof/>
        </w:rPr>
        <w:t>,</w:t>
      </w:r>
      <w:r w:rsidRPr="008F139C">
        <w:rPr>
          <w:noProof/>
        </w:rPr>
        <w:t xml:space="preserve"> </w:t>
      </w:r>
      <w:r>
        <w:rPr>
          <w:noProof/>
        </w:rPr>
        <w:t>and</w:t>
      </w:r>
      <w:r w:rsidRPr="008F139C">
        <w:rPr>
          <w:noProof/>
        </w:rPr>
        <w:t xml:space="preserve"> their performance since the date of the restructuring;’</w:t>
      </w:r>
      <w:r>
        <w:rPr>
          <w:noProof/>
        </w:rPr>
        <w:t>;</w:t>
      </w:r>
    </w:p>
    <w:p w:rsidR="0035746B" w:rsidRPr="008F139C" w:rsidRDefault="00401E25" w:rsidP="00401E25">
      <w:pPr>
        <w:pStyle w:val="Point0"/>
        <w:rPr>
          <w:noProof/>
        </w:rPr>
      </w:pPr>
      <w:r w:rsidRPr="00401E25">
        <w:rPr>
          <w:noProof/>
        </w:rPr>
        <w:t>(1</w:t>
      </w:r>
      <w:r>
        <w:rPr>
          <w:noProof/>
        </w:rPr>
        <w:t>2</w:t>
      </w:r>
      <w:r w:rsidRPr="00401E25">
        <w:rPr>
          <w:noProof/>
        </w:rPr>
        <w:t>)</w:t>
      </w:r>
      <w:r w:rsidRPr="00401E25">
        <w:rPr>
          <w:noProof/>
        </w:rPr>
        <w:tab/>
      </w:r>
      <w:r w:rsidR="0035746B" w:rsidRPr="00E0304C">
        <w:rPr>
          <w:noProof/>
        </w:rPr>
        <w:t>in Ar</w:t>
      </w:r>
      <w:r w:rsidR="0035746B" w:rsidRPr="008F139C">
        <w:rPr>
          <w:noProof/>
        </w:rPr>
        <w:t>ticle 26c</w:t>
      </w:r>
      <w:r w:rsidR="0035746B">
        <w:rPr>
          <w:noProof/>
        </w:rPr>
        <w:t>, in</w:t>
      </w:r>
      <w:r w:rsidR="0035746B" w:rsidRPr="008F139C">
        <w:rPr>
          <w:noProof/>
        </w:rPr>
        <w:t xml:space="preserve"> paragraph 5</w:t>
      </w:r>
      <w:r w:rsidR="0035746B">
        <w:rPr>
          <w:noProof/>
        </w:rPr>
        <w:t>,</w:t>
      </w:r>
      <w:r w:rsidR="0035746B" w:rsidRPr="008F139C">
        <w:rPr>
          <w:noProof/>
        </w:rPr>
        <w:t xml:space="preserve"> the eighth subparagraph is replaced by the following:</w:t>
      </w:r>
    </w:p>
    <w:p w:rsidR="0035746B" w:rsidRPr="008F139C" w:rsidRDefault="0035746B" w:rsidP="00F21606">
      <w:pPr>
        <w:pStyle w:val="Text1"/>
        <w:ind w:left="1134"/>
        <w:rPr>
          <w:noProof/>
        </w:rPr>
      </w:pPr>
      <w:r w:rsidRPr="008F139C">
        <w:rPr>
          <w:noProof/>
        </w:rPr>
        <w:t>‘Where a credit event, as referred to in Article 26e, has occurred in relation to underlying exposures and the debt workout for those exposures has not been completed, the amount of credit protection remaining at any payment date plus the amount of any retained tranches which rank junior to the tranches covered by the credit protection remaining at any payment date shall be at least equivalent to the outstanding nominal amount of those underlying exposures, minus the amount of any interim payment made in relation to those underlying exposures.’</w:t>
      </w:r>
      <w:r>
        <w:rPr>
          <w:noProof/>
        </w:rPr>
        <w:t>;</w:t>
      </w:r>
    </w:p>
    <w:p w:rsidR="00AA7813" w:rsidRDefault="00401E25" w:rsidP="00401E25">
      <w:pPr>
        <w:pStyle w:val="Point0"/>
        <w:rPr>
          <w:noProof/>
        </w:rPr>
      </w:pPr>
      <w:r w:rsidRPr="00401E25">
        <w:rPr>
          <w:noProof/>
        </w:rPr>
        <w:t>(1</w:t>
      </w:r>
      <w:r>
        <w:rPr>
          <w:noProof/>
        </w:rPr>
        <w:t>3</w:t>
      </w:r>
      <w:r w:rsidRPr="00401E25">
        <w:rPr>
          <w:noProof/>
        </w:rPr>
        <w:t>)</w:t>
      </w:r>
      <w:r w:rsidRPr="00401E25">
        <w:rPr>
          <w:noProof/>
        </w:rPr>
        <w:tab/>
      </w:r>
      <w:r w:rsidR="00143AC2" w:rsidRPr="008F139C">
        <w:rPr>
          <w:noProof/>
        </w:rPr>
        <w:t>Article 26e is amended as follows:</w:t>
      </w:r>
    </w:p>
    <w:p w:rsidR="00456E7D" w:rsidRPr="008F139C" w:rsidRDefault="00401E25" w:rsidP="00401E25">
      <w:pPr>
        <w:pStyle w:val="Point1"/>
        <w:rPr>
          <w:noProof/>
        </w:rPr>
      </w:pPr>
      <w:r w:rsidRPr="00401E25">
        <w:rPr>
          <w:noProof/>
        </w:rPr>
        <w:t>(a)</w:t>
      </w:r>
      <w:r w:rsidRPr="00401E25">
        <w:rPr>
          <w:noProof/>
        </w:rPr>
        <w:tab/>
      </w:r>
      <w:r w:rsidR="00456E7D" w:rsidRPr="008F139C">
        <w:rPr>
          <w:noProof/>
        </w:rPr>
        <w:t>in paragraph 3</w:t>
      </w:r>
      <w:r w:rsidR="00456E7D">
        <w:rPr>
          <w:noProof/>
        </w:rPr>
        <w:t>,</w:t>
      </w:r>
      <w:r w:rsidR="00456E7D" w:rsidRPr="008F139C">
        <w:rPr>
          <w:noProof/>
        </w:rPr>
        <w:t xml:space="preserve"> the third subparagraph is replaced by the following:</w:t>
      </w:r>
    </w:p>
    <w:p w:rsidR="00456E7D" w:rsidRPr="008F139C" w:rsidRDefault="00456E7D" w:rsidP="00456E7D">
      <w:pPr>
        <w:pStyle w:val="Text1"/>
        <w:ind w:left="1134"/>
        <w:rPr>
          <w:noProof/>
        </w:rPr>
      </w:pPr>
      <w:r w:rsidRPr="008F139C">
        <w:rPr>
          <w:noProof/>
        </w:rPr>
        <w:t>‘The credit protection premiums to be paid under the credit protection agreement shall be structured as contingent on the outstanding size of the tranche and credit risk of the protected tranche. For those purposes, the credit protection agreement shall not stipulate guaranteed premiums, upfront premium payments, rebate mechanisms or other mechanisms that may avoid or reduce the actual allocation of losses to the investors or return part of the paid premiums to the originator after the maturity of the transaction.’</w:t>
      </w:r>
      <w:r>
        <w:rPr>
          <w:noProof/>
        </w:rPr>
        <w:t>;</w:t>
      </w:r>
    </w:p>
    <w:p w:rsidR="00456E7D" w:rsidRPr="00444092" w:rsidRDefault="00401E25" w:rsidP="00401E25">
      <w:pPr>
        <w:pStyle w:val="Point1"/>
        <w:rPr>
          <w:noProof/>
        </w:rPr>
      </w:pPr>
      <w:r w:rsidRPr="00401E25">
        <w:rPr>
          <w:noProof/>
        </w:rPr>
        <w:t>(b)</w:t>
      </w:r>
      <w:r w:rsidRPr="00401E25">
        <w:rPr>
          <w:noProof/>
        </w:rPr>
        <w:tab/>
      </w:r>
      <w:r w:rsidR="00456E7D">
        <w:rPr>
          <w:noProof/>
        </w:rPr>
        <w:t xml:space="preserve">in paragraph 7, </w:t>
      </w:r>
      <w:r w:rsidR="00456E7D" w:rsidRPr="00444092">
        <w:rPr>
          <w:noProof/>
        </w:rPr>
        <w:t xml:space="preserve">point </w:t>
      </w:r>
      <w:r w:rsidR="00456E7D">
        <w:rPr>
          <w:noProof/>
        </w:rPr>
        <w:t>(</w:t>
      </w:r>
      <w:r w:rsidR="00456E7D" w:rsidRPr="00444092">
        <w:rPr>
          <w:noProof/>
        </w:rPr>
        <w:t>d</w:t>
      </w:r>
      <w:r w:rsidR="00456E7D">
        <w:rPr>
          <w:noProof/>
        </w:rPr>
        <w:t>)</w:t>
      </w:r>
      <w:r w:rsidR="00456E7D" w:rsidRPr="00444092">
        <w:rPr>
          <w:noProof/>
        </w:rPr>
        <w:t xml:space="preserve"> is replaced by the following:</w:t>
      </w:r>
    </w:p>
    <w:p w:rsidR="00456E7D" w:rsidRDefault="00456E7D" w:rsidP="00456E7D">
      <w:pPr>
        <w:pStyle w:val="Text1"/>
        <w:ind w:left="1701" w:hanging="567"/>
        <w:rPr>
          <w:noProof/>
        </w:rPr>
      </w:pPr>
      <w:r w:rsidRPr="00444092">
        <w:rPr>
          <w:noProof/>
        </w:rPr>
        <w:t>‘(d)</w:t>
      </w:r>
      <w:r>
        <w:rPr>
          <w:noProof/>
        </w:rPr>
        <w:tab/>
      </w:r>
      <w:r w:rsidRPr="00444092">
        <w:rPr>
          <w:noProof/>
        </w:rPr>
        <w:t>for originators not using the IRB Approach referred to in Article 143 of Regulation (EU) No 575/2013</w:t>
      </w:r>
      <w:r>
        <w:rPr>
          <w:noProof/>
        </w:rPr>
        <w:t>:</w:t>
      </w:r>
    </w:p>
    <w:p w:rsidR="00456E7D" w:rsidRDefault="00456E7D" w:rsidP="003B38A4">
      <w:pPr>
        <w:pStyle w:val="Text2"/>
        <w:rPr>
          <w:noProof/>
        </w:rPr>
      </w:pPr>
      <w:r>
        <w:rPr>
          <w:noProof/>
        </w:rPr>
        <w:t>(i)</w:t>
      </w:r>
      <w:r>
        <w:rPr>
          <w:noProof/>
        </w:rPr>
        <w:tab/>
      </w:r>
      <w:r w:rsidRPr="008F139C">
        <w:rPr>
          <w:noProof/>
        </w:rPr>
        <w:t>the total committed amount per year shall not be higher than the one-year expected loss of the portfolio for that year</w:t>
      </w:r>
      <w:r>
        <w:rPr>
          <w:noProof/>
        </w:rPr>
        <w:t>;</w:t>
      </w:r>
    </w:p>
    <w:p w:rsidR="00456E7D" w:rsidRPr="00444092" w:rsidRDefault="00456E7D" w:rsidP="003B38A4">
      <w:pPr>
        <w:pStyle w:val="Text2"/>
        <w:rPr>
          <w:noProof/>
        </w:rPr>
      </w:pPr>
      <w:r>
        <w:rPr>
          <w:noProof/>
        </w:rPr>
        <w:t>(ii)</w:t>
      </w:r>
      <w:r>
        <w:rPr>
          <w:noProof/>
        </w:rPr>
        <w:tab/>
      </w:r>
      <w:r w:rsidRPr="00444092">
        <w:rPr>
          <w:noProof/>
        </w:rPr>
        <w:t>the calculation of the one-year expected loss of the underlying portfolio shall be clearly determined in the transaction documentation.’</w:t>
      </w:r>
      <w:r>
        <w:rPr>
          <w:noProof/>
        </w:rPr>
        <w:t>;</w:t>
      </w:r>
    </w:p>
    <w:p w:rsidR="00456E7D" w:rsidRPr="00444092" w:rsidRDefault="00401E25" w:rsidP="00401E25">
      <w:pPr>
        <w:pStyle w:val="Point1"/>
        <w:rPr>
          <w:noProof/>
        </w:rPr>
      </w:pPr>
      <w:r w:rsidRPr="00401E25">
        <w:rPr>
          <w:noProof/>
        </w:rPr>
        <w:t>(c)</w:t>
      </w:r>
      <w:r w:rsidRPr="00401E25">
        <w:rPr>
          <w:noProof/>
        </w:rPr>
        <w:tab/>
      </w:r>
      <w:r w:rsidR="00456E7D" w:rsidRPr="00444092">
        <w:rPr>
          <w:noProof/>
        </w:rPr>
        <w:t xml:space="preserve">paragraph 8 is </w:t>
      </w:r>
      <w:r w:rsidR="00456E7D">
        <w:rPr>
          <w:noProof/>
        </w:rPr>
        <w:t>amended as follows</w:t>
      </w:r>
      <w:r w:rsidR="00456E7D" w:rsidRPr="00444092">
        <w:rPr>
          <w:noProof/>
        </w:rPr>
        <w:t>:</w:t>
      </w:r>
    </w:p>
    <w:p w:rsidR="00456E7D" w:rsidRPr="00444092" w:rsidRDefault="00456E7D" w:rsidP="0027085D">
      <w:pPr>
        <w:pStyle w:val="Point2"/>
        <w:rPr>
          <w:noProof/>
        </w:rPr>
      </w:pPr>
      <w:r>
        <w:rPr>
          <w:noProof/>
        </w:rPr>
        <w:t>(i)</w:t>
      </w:r>
      <w:r>
        <w:rPr>
          <w:noProof/>
        </w:rPr>
        <w:tab/>
        <w:t>the following point (aa) is inserted:</w:t>
      </w:r>
    </w:p>
    <w:p w:rsidR="00456E7D" w:rsidRPr="008F139C" w:rsidRDefault="00456E7D" w:rsidP="00456E7D">
      <w:pPr>
        <w:pStyle w:val="Text1"/>
        <w:ind w:left="2268" w:hanging="567"/>
        <w:rPr>
          <w:noProof/>
        </w:rPr>
      </w:pPr>
      <w:r>
        <w:rPr>
          <w:noProof/>
        </w:rPr>
        <w:t>‘(aa</w:t>
      </w:r>
      <w:r w:rsidRPr="008F139C">
        <w:rPr>
          <w:noProof/>
        </w:rPr>
        <w:t>)</w:t>
      </w:r>
      <w:r>
        <w:rPr>
          <w:noProof/>
        </w:rPr>
        <w:tab/>
      </w:r>
      <w:r w:rsidRPr="008F139C">
        <w:rPr>
          <w:noProof/>
        </w:rPr>
        <w:t>a guarantee meeting the requirements set out in Part Three</w:t>
      </w:r>
      <w:r>
        <w:rPr>
          <w:noProof/>
        </w:rPr>
        <w:t xml:space="preserve">, </w:t>
      </w:r>
      <w:r w:rsidRPr="008F139C">
        <w:rPr>
          <w:noProof/>
        </w:rPr>
        <w:t>Title II</w:t>
      </w:r>
      <w:r>
        <w:rPr>
          <w:noProof/>
        </w:rPr>
        <w:t xml:space="preserve">, </w:t>
      </w:r>
      <w:r w:rsidRPr="008F139C">
        <w:rPr>
          <w:noProof/>
        </w:rPr>
        <w:t>Chapter</w:t>
      </w:r>
      <w:r>
        <w:rPr>
          <w:noProof/>
        </w:rPr>
        <w:t> </w:t>
      </w:r>
      <w:r w:rsidRPr="008F139C">
        <w:rPr>
          <w:noProof/>
        </w:rPr>
        <w:t>4  of Regulation (EU) No 575/2013, by which the credit risk is transferred to an insurance or reinsurance undertaking that meets all of the following criteria:</w:t>
      </w:r>
    </w:p>
    <w:p w:rsidR="00456E7D" w:rsidRPr="008F139C" w:rsidRDefault="00456E7D" w:rsidP="00456E7D">
      <w:pPr>
        <w:pStyle w:val="Text3"/>
        <w:ind w:left="2835" w:hanging="567"/>
        <w:rPr>
          <w:noProof/>
        </w:rPr>
      </w:pPr>
      <w:r w:rsidRPr="008F139C">
        <w:rPr>
          <w:noProof/>
        </w:rPr>
        <w:t>(i)</w:t>
      </w:r>
      <w:r>
        <w:rPr>
          <w:noProof/>
        </w:rPr>
        <w:tab/>
      </w:r>
      <w:r w:rsidRPr="008F139C">
        <w:rPr>
          <w:noProof/>
        </w:rPr>
        <w:t xml:space="preserve">the undertaking uses an internal model approved in accordance with Articles 112 and 113 of Directive 2009/138/EC for the calculation of capital requirements for such guarantees; </w:t>
      </w:r>
    </w:p>
    <w:p w:rsidR="00456E7D" w:rsidRPr="008F139C" w:rsidRDefault="00456E7D" w:rsidP="00456E7D">
      <w:pPr>
        <w:pStyle w:val="Text3"/>
        <w:ind w:left="2835" w:hanging="567"/>
        <w:rPr>
          <w:noProof/>
        </w:rPr>
      </w:pPr>
      <w:r w:rsidRPr="008F139C">
        <w:rPr>
          <w:noProof/>
        </w:rPr>
        <w:t>(ii)</w:t>
      </w:r>
      <w:r>
        <w:rPr>
          <w:noProof/>
        </w:rPr>
        <w:tab/>
      </w:r>
      <w:r w:rsidRPr="008F139C">
        <w:rPr>
          <w:noProof/>
        </w:rPr>
        <w:t xml:space="preserve">the undertaking complies with its Solvency Capital Requirement and its Minimum Capital Requirement referred to in Articles 100 and 128 of Directive 2009/138/EC, </w:t>
      </w:r>
      <w:r w:rsidRPr="00ED5558">
        <w:rPr>
          <w:noProof/>
        </w:rPr>
        <w:t xml:space="preserve">respectively, and has been assigned to credit quality step </w:t>
      </w:r>
      <w:r w:rsidR="00663EDE" w:rsidRPr="00ED5558">
        <w:rPr>
          <w:noProof/>
        </w:rPr>
        <w:t>3</w:t>
      </w:r>
      <w:r w:rsidRPr="00ED5558">
        <w:rPr>
          <w:noProof/>
        </w:rPr>
        <w:t xml:space="preserve"> or better;</w:t>
      </w:r>
    </w:p>
    <w:p w:rsidR="00456E7D" w:rsidRPr="008F139C" w:rsidRDefault="00456E7D" w:rsidP="00456E7D">
      <w:pPr>
        <w:pStyle w:val="Text3"/>
        <w:ind w:left="2835" w:hanging="567"/>
        <w:rPr>
          <w:noProof/>
        </w:rPr>
      </w:pPr>
      <w:r w:rsidRPr="008F139C">
        <w:rPr>
          <w:noProof/>
        </w:rPr>
        <w:t>(iii)</w:t>
      </w:r>
      <w:r>
        <w:rPr>
          <w:noProof/>
        </w:rPr>
        <w:tab/>
      </w:r>
      <w:r w:rsidRPr="008F139C">
        <w:rPr>
          <w:noProof/>
        </w:rPr>
        <w:t xml:space="preserve">the undertaking effectively operates business activities in at least two classes of non-life insurance within the meaning of Annex I </w:t>
      </w:r>
      <w:r>
        <w:rPr>
          <w:noProof/>
        </w:rPr>
        <w:t>to</w:t>
      </w:r>
      <w:r w:rsidRPr="008F139C">
        <w:rPr>
          <w:noProof/>
        </w:rPr>
        <w:t xml:space="preserve"> Directive 2009/138/EC;</w:t>
      </w:r>
    </w:p>
    <w:p w:rsidR="00456E7D" w:rsidRDefault="00456E7D" w:rsidP="00456E7D">
      <w:pPr>
        <w:pStyle w:val="Text3"/>
        <w:ind w:left="2835" w:hanging="567"/>
        <w:rPr>
          <w:noProof/>
        </w:rPr>
      </w:pPr>
      <w:r w:rsidRPr="008F139C">
        <w:rPr>
          <w:noProof/>
        </w:rPr>
        <w:t>(iv)</w:t>
      </w:r>
      <w:r>
        <w:rPr>
          <w:noProof/>
        </w:rPr>
        <w:tab/>
      </w:r>
      <w:r w:rsidRPr="008F139C">
        <w:rPr>
          <w:noProof/>
        </w:rPr>
        <w:t>the assets under management by the insurance or reinsurance undertaking exceed 20 billion euro;</w:t>
      </w:r>
    </w:p>
    <w:p w:rsidR="00456E7D" w:rsidRPr="008F139C" w:rsidRDefault="00456E7D" w:rsidP="000441AC">
      <w:pPr>
        <w:pStyle w:val="Point2"/>
        <w:rPr>
          <w:noProof/>
        </w:rPr>
      </w:pPr>
      <w:r>
        <w:rPr>
          <w:noProof/>
        </w:rPr>
        <w:t>(ii)</w:t>
      </w:r>
      <w:r>
        <w:rPr>
          <w:noProof/>
        </w:rPr>
        <w:tab/>
        <w:t>point (c)</w:t>
      </w:r>
      <w:r w:rsidR="00E803C9">
        <w:rPr>
          <w:noProof/>
        </w:rPr>
        <w:t xml:space="preserve"> is</w:t>
      </w:r>
      <w:r>
        <w:rPr>
          <w:noProof/>
        </w:rPr>
        <w:t xml:space="preserve"> replaced by the following:</w:t>
      </w:r>
    </w:p>
    <w:p w:rsidR="00456E7D" w:rsidRPr="00444092" w:rsidRDefault="00456E7D" w:rsidP="00456E7D">
      <w:pPr>
        <w:pStyle w:val="Text1"/>
        <w:ind w:left="2835" w:hanging="567"/>
        <w:rPr>
          <w:noProof/>
        </w:rPr>
      </w:pPr>
      <w:r>
        <w:rPr>
          <w:noProof/>
        </w:rPr>
        <w:t>(c</w:t>
      </w:r>
      <w:r w:rsidRPr="008F139C">
        <w:rPr>
          <w:noProof/>
        </w:rPr>
        <w:t>)</w:t>
      </w:r>
      <w:r>
        <w:rPr>
          <w:noProof/>
        </w:rPr>
        <w:tab/>
      </w:r>
      <w:r w:rsidRPr="008F139C">
        <w:rPr>
          <w:noProof/>
        </w:rPr>
        <w:t>another</w:t>
      </w:r>
      <w:r w:rsidRPr="00444092">
        <w:rPr>
          <w:noProof/>
        </w:rPr>
        <w:t xml:space="preserve"> credit protection not referred to in points (a), (</w:t>
      </w:r>
      <w:r>
        <w:rPr>
          <w:noProof/>
        </w:rPr>
        <w:t>aa</w:t>
      </w:r>
      <w:r w:rsidRPr="00444092">
        <w:rPr>
          <w:noProof/>
        </w:rPr>
        <w:t>) and (</w:t>
      </w:r>
      <w:r>
        <w:rPr>
          <w:noProof/>
        </w:rPr>
        <w:t>b</w:t>
      </w:r>
      <w:r w:rsidRPr="00444092">
        <w:rPr>
          <w:noProof/>
        </w:rPr>
        <w:t>) of this paragraph in the form of a guarantee, a credit derivative or a credit linked note that meets the requirements set out in Article 249 of Regulation (EU) No 575/2013, provided that the obligations of the investor are secured by collateral meeting the requirements laid down in paragraphs 9 and 10 of this Article.</w:t>
      </w:r>
      <w:r>
        <w:rPr>
          <w:noProof/>
        </w:rPr>
        <w:t>’;</w:t>
      </w:r>
    </w:p>
    <w:p w:rsidR="002A7B3C" w:rsidRDefault="00401E25" w:rsidP="00401E25">
      <w:pPr>
        <w:pStyle w:val="Point0"/>
        <w:rPr>
          <w:noProof/>
        </w:rPr>
      </w:pPr>
      <w:r w:rsidRPr="00401E25">
        <w:rPr>
          <w:noProof/>
        </w:rPr>
        <w:t>(1</w:t>
      </w:r>
      <w:r>
        <w:rPr>
          <w:noProof/>
        </w:rPr>
        <w:t>4</w:t>
      </w:r>
      <w:r w:rsidRPr="00401E25">
        <w:rPr>
          <w:noProof/>
        </w:rPr>
        <w:t>)</w:t>
      </w:r>
      <w:r w:rsidRPr="00401E25">
        <w:rPr>
          <w:noProof/>
        </w:rPr>
        <w:tab/>
      </w:r>
      <w:r w:rsidR="00892C0C" w:rsidRPr="00E0304C">
        <w:rPr>
          <w:noProof/>
        </w:rPr>
        <w:t>in Ar</w:t>
      </w:r>
      <w:r w:rsidR="00892C0C" w:rsidRPr="008F139C">
        <w:rPr>
          <w:noProof/>
        </w:rPr>
        <w:t>ticle 28</w:t>
      </w:r>
      <w:r w:rsidR="00892C0C">
        <w:rPr>
          <w:noProof/>
        </w:rPr>
        <w:t>(1),</w:t>
      </w:r>
      <w:r w:rsidR="00892C0C" w:rsidRPr="008F139C">
        <w:rPr>
          <w:noProof/>
        </w:rPr>
        <w:t xml:space="preserve"> first subparagraph</w:t>
      </w:r>
      <w:r w:rsidR="00892C0C">
        <w:rPr>
          <w:noProof/>
        </w:rPr>
        <w:t>, the introductory wording</w:t>
      </w:r>
      <w:r w:rsidR="00892C0C" w:rsidRPr="008F139C">
        <w:rPr>
          <w:noProof/>
        </w:rPr>
        <w:t xml:space="preserve"> is replaced by the following:</w:t>
      </w:r>
    </w:p>
    <w:p w:rsidR="007266E1" w:rsidRPr="008F139C" w:rsidRDefault="007266E1" w:rsidP="00633DD3">
      <w:pPr>
        <w:pStyle w:val="Text1"/>
        <w:ind w:left="1134"/>
        <w:rPr>
          <w:noProof/>
        </w:rPr>
      </w:pPr>
      <w:r w:rsidRPr="008F139C">
        <w:rPr>
          <w:noProof/>
        </w:rPr>
        <w:t xml:space="preserve">‘A third party as referred to in Article 27(2) shall be authorised and supervised by the competent authority to assess compliance of securitisations with the STS criteria provided for in Articles 19 to 22, Articles 23 to 26, </w:t>
      </w:r>
      <w:r>
        <w:rPr>
          <w:noProof/>
        </w:rPr>
        <w:t>and</w:t>
      </w:r>
      <w:r w:rsidRPr="008F139C">
        <w:rPr>
          <w:noProof/>
        </w:rPr>
        <w:t xml:space="preserve"> Articles 26a to 26e. The competent authority shall grant the authorisation if the following conditions are met:’</w:t>
      </w:r>
      <w:r>
        <w:rPr>
          <w:noProof/>
        </w:rPr>
        <w:t>;</w:t>
      </w:r>
    </w:p>
    <w:p w:rsidR="00922171" w:rsidRPr="008F139C" w:rsidRDefault="00401E25" w:rsidP="00401E25">
      <w:pPr>
        <w:pStyle w:val="Point0"/>
        <w:rPr>
          <w:noProof/>
        </w:rPr>
      </w:pPr>
      <w:r w:rsidRPr="00401E25">
        <w:rPr>
          <w:noProof/>
        </w:rPr>
        <w:t>(1</w:t>
      </w:r>
      <w:r>
        <w:rPr>
          <w:noProof/>
        </w:rPr>
        <w:t>5</w:t>
      </w:r>
      <w:r w:rsidRPr="00401E25">
        <w:rPr>
          <w:noProof/>
        </w:rPr>
        <w:t>)</w:t>
      </w:r>
      <w:r w:rsidRPr="00401E25">
        <w:rPr>
          <w:noProof/>
        </w:rPr>
        <w:tab/>
      </w:r>
      <w:r w:rsidR="00922171" w:rsidRPr="008F139C">
        <w:rPr>
          <w:noProof/>
        </w:rPr>
        <w:t>Article 29 is amended as follows</w:t>
      </w:r>
      <w:r w:rsidR="00922171">
        <w:rPr>
          <w:noProof/>
        </w:rPr>
        <w:t>:</w:t>
      </w:r>
    </w:p>
    <w:p w:rsidR="00DC0B34" w:rsidRPr="008F139C" w:rsidRDefault="00401E25" w:rsidP="00401E25">
      <w:pPr>
        <w:pStyle w:val="Point1"/>
        <w:rPr>
          <w:noProof/>
        </w:rPr>
      </w:pPr>
      <w:r w:rsidRPr="00401E25">
        <w:rPr>
          <w:noProof/>
        </w:rPr>
        <w:t>(a)</w:t>
      </w:r>
      <w:r w:rsidRPr="00401E25">
        <w:rPr>
          <w:noProof/>
        </w:rPr>
        <w:tab/>
      </w:r>
      <w:r w:rsidR="00DC0B34" w:rsidRPr="008F139C">
        <w:rPr>
          <w:noProof/>
        </w:rPr>
        <w:t>the following paragraph 4a is inserted:</w:t>
      </w:r>
    </w:p>
    <w:p w:rsidR="00DC0B34" w:rsidRPr="008F139C" w:rsidRDefault="00DC0B34" w:rsidP="00DC0B34">
      <w:pPr>
        <w:pStyle w:val="Text1"/>
        <w:tabs>
          <w:tab w:val="left" w:pos="1701"/>
        </w:tabs>
        <w:ind w:left="1134"/>
        <w:rPr>
          <w:noProof/>
        </w:rPr>
      </w:pPr>
      <w:r w:rsidRPr="008F139C">
        <w:rPr>
          <w:noProof/>
        </w:rPr>
        <w:t>‘</w:t>
      </w:r>
      <w:r>
        <w:rPr>
          <w:noProof/>
        </w:rPr>
        <w:t>4a.</w:t>
      </w:r>
      <w:r>
        <w:rPr>
          <w:noProof/>
        </w:rPr>
        <w:tab/>
      </w:r>
      <w:r w:rsidRPr="008F139C">
        <w:rPr>
          <w:noProof/>
        </w:rPr>
        <w:t>Competent authorities responsible for the supervision of originators, sponsors and SSPEs in accordance with Directive 2013/36/EU, including the ECB with regard to specific tasks conferred on it by Regulation (EU) No 1024/2013, shall supervise compliance by originators, sponsors and SSPEs with the obligations set out in Articles 18 to 27</w:t>
      </w:r>
      <w:r>
        <w:rPr>
          <w:noProof/>
        </w:rPr>
        <w:t xml:space="preserve"> of this Regulation</w:t>
      </w:r>
      <w:r w:rsidRPr="008F139C">
        <w:rPr>
          <w:noProof/>
        </w:rPr>
        <w:t>.’</w:t>
      </w:r>
      <w:r>
        <w:rPr>
          <w:noProof/>
        </w:rPr>
        <w:t>;</w:t>
      </w:r>
    </w:p>
    <w:p w:rsidR="00DC0B34" w:rsidRPr="008F139C" w:rsidRDefault="00401E25" w:rsidP="00401E25">
      <w:pPr>
        <w:pStyle w:val="Point1"/>
        <w:rPr>
          <w:noProof/>
        </w:rPr>
      </w:pPr>
      <w:r w:rsidRPr="00401E25">
        <w:rPr>
          <w:noProof/>
        </w:rPr>
        <w:t>(b)</w:t>
      </w:r>
      <w:r w:rsidRPr="00401E25">
        <w:rPr>
          <w:noProof/>
        </w:rPr>
        <w:tab/>
      </w:r>
      <w:r w:rsidR="00DC0B34">
        <w:rPr>
          <w:noProof/>
        </w:rPr>
        <w:t>in paragraph 5,</w:t>
      </w:r>
      <w:r w:rsidR="00DC0B34" w:rsidRPr="008F139C">
        <w:rPr>
          <w:noProof/>
        </w:rPr>
        <w:t xml:space="preserve"> the first sentence is replaced by the following: </w:t>
      </w:r>
    </w:p>
    <w:p w:rsidR="00DC0B34" w:rsidRPr="008F139C" w:rsidRDefault="00DC0B34" w:rsidP="00DC0B34">
      <w:pPr>
        <w:pStyle w:val="Text1"/>
        <w:ind w:left="1134"/>
        <w:rPr>
          <w:noProof/>
        </w:rPr>
      </w:pPr>
      <w:r w:rsidRPr="008F139C">
        <w:rPr>
          <w:noProof/>
        </w:rPr>
        <w:t>‘For entities supervised by competent authorities other than the ones referred to in paragraph 4a, Member States shall designate one or more competent authorities to supervise the compliance of originators, sponsors and SSPEs with Articles 18 to 27, and the compliance of third parties with Article 28.’</w:t>
      </w:r>
      <w:r>
        <w:rPr>
          <w:noProof/>
        </w:rPr>
        <w:t>;</w:t>
      </w:r>
    </w:p>
    <w:p w:rsidR="00982F59" w:rsidRDefault="00401E25" w:rsidP="00401E25">
      <w:pPr>
        <w:pStyle w:val="Point0"/>
        <w:rPr>
          <w:noProof/>
        </w:rPr>
      </w:pPr>
      <w:r w:rsidRPr="00401E25">
        <w:rPr>
          <w:noProof/>
        </w:rPr>
        <w:t>(1</w:t>
      </w:r>
      <w:r>
        <w:rPr>
          <w:noProof/>
        </w:rPr>
        <w:t>6</w:t>
      </w:r>
      <w:r w:rsidRPr="00401E25">
        <w:rPr>
          <w:noProof/>
        </w:rPr>
        <w:t>)</w:t>
      </w:r>
      <w:r w:rsidRPr="00401E25">
        <w:rPr>
          <w:noProof/>
        </w:rPr>
        <w:tab/>
      </w:r>
      <w:r w:rsidR="00982F59" w:rsidRPr="00714E84">
        <w:rPr>
          <w:noProof/>
        </w:rPr>
        <w:t xml:space="preserve">Article </w:t>
      </w:r>
      <w:r w:rsidR="00982F59">
        <w:rPr>
          <w:noProof/>
        </w:rPr>
        <w:t>30 is amended as follows</w:t>
      </w:r>
    </w:p>
    <w:p w:rsidR="004A0D50" w:rsidRPr="008F139C" w:rsidRDefault="00401E25" w:rsidP="00401E25">
      <w:pPr>
        <w:pStyle w:val="Point1"/>
        <w:rPr>
          <w:noProof/>
        </w:rPr>
      </w:pPr>
      <w:r w:rsidRPr="00401E25">
        <w:rPr>
          <w:noProof/>
        </w:rPr>
        <w:t>(a)</w:t>
      </w:r>
      <w:r w:rsidRPr="00401E25">
        <w:rPr>
          <w:noProof/>
        </w:rPr>
        <w:tab/>
      </w:r>
      <w:r w:rsidR="004A0D50" w:rsidRPr="008F139C">
        <w:rPr>
          <w:noProof/>
        </w:rPr>
        <w:t>the following paragraph 1a is inserted:</w:t>
      </w:r>
    </w:p>
    <w:p w:rsidR="004A0D50" w:rsidRPr="008F139C" w:rsidRDefault="004A0D50" w:rsidP="004A0D50">
      <w:pPr>
        <w:pStyle w:val="Text1"/>
        <w:tabs>
          <w:tab w:val="left" w:pos="1701"/>
        </w:tabs>
        <w:ind w:left="1134"/>
        <w:rPr>
          <w:noProof/>
        </w:rPr>
      </w:pPr>
      <w:r w:rsidRPr="008F139C">
        <w:rPr>
          <w:noProof/>
        </w:rPr>
        <w:t>‘</w:t>
      </w:r>
      <w:r>
        <w:rPr>
          <w:noProof/>
        </w:rPr>
        <w:t xml:space="preserve">1a. </w:t>
      </w:r>
      <w:r w:rsidRPr="008F139C">
        <w:rPr>
          <w:noProof/>
        </w:rPr>
        <w:t>The competent authority shall supervise the compliance of originators, sponsors, SSPEs and original lenders with this Regulation</w:t>
      </w:r>
      <w:r>
        <w:rPr>
          <w:noProof/>
        </w:rPr>
        <w:t xml:space="preserve"> in accordance with Article 29</w:t>
      </w:r>
      <w:r w:rsidRPr="008F139C">
        <w:rPr>
          <w:noProof/>
        </w:rPr>
        <w:t>.’</w:t>
      </w:r>
      <w:r>
        <w:rPr>
          <w:noProof/>
        </w:rPr>
        <w:t>;</w:t>
      </w:r>
    </w:p>
    <w:p w:rsidR="004A0D50" w:rsidRPr="008F139C" w:rsidRDefault="00401E25" w:rsidP="00401E25">
      <w:pPr>
        <w:pStyle w:val="Point1"/>
        <w:rPr>
          <w:noProof/>
        </w:rPr>
      </w:pPr>
      <w:r w:rsidRPr="00401E25">
        <w:rPr>
          <w:noProof/>
        </w:rPr>
        <w:t>(b)</w:t>
      </w:r>
      <w:r w:rsidRPr="00401E25">
        <w:rPr>
          <w:noProof/>
        </w:rPr>
        <w:tab/>
      </w:r>
      <w:r w:rsidR="004A0D50" w:rsidRPr="008F139C">
        <w:rPr>
          <w:noProof/>
        </w:rPr>
        <w:t>paragraph 5 is deleted.</w:t>
      </w:r>
    </w:p>
    <w:p w:rsidR="00180E0E" w:rsidRPr="008F139C" w:rsidRDefault="00401E25" w:rsidP="00401E25">
      <w:pPr>
        <w:pStyle w:val="Point0"/>
        <w:rPr>
          <w:noProof/>
        </w:rPr>
      </w:pPr>
      <w:r w:rsidRPr="00401E25">
        <w:rPr>
          <w:noProof/>
        </w:rPr>
        <w:t>(1</w:t>
      </w:r>
      <w:r>
        <w:rPr>
          <w:noProof/>
        </w:rPr>
        <w:t>7</w:t>
      </w:r>
      <w:r w:rsidRPr="00401E25">
        <w:rPr>
          <w:noProof/>
        </w:rPr>
        <w:t>)</w:t>
      </w:r>
      <w:r w:rsidRPr="00401E25">
        <w:rPr>
          <w:noProof/>
        </w:rPr>
        <w:tab/>
      </w:r>
      <w:r w:rsidR="00180E0E" w:rsidRPr="008F139C">
        <w:rPr>
          <w:noProof/>
        </w:rPr>
        <w:t>in Article 32</w:t>
      </w:r>
      <w:r w:rsidR="00180E0E">
        <w:rPr>
          <w:noProof/>
        </w:rPr>
        <w:t>(</w:t>
      </w:r>
      <w:r w:rsidR="00180E0E" w:rsidRPr="008F139C">
        <w:rPr>
          <w:noProof/>
        </w:rPr>
        <w:t>1</w:t>
      </w:r>
      <w:r w:rsidR="00180E0E">
        <w:rPr>
          <w:noProof/>
        </w:rPr>
        <w:t>),</w:t>
      </w:r>
      <w:r w:rsidR="00180E0E" w:rsidRPr="008F139C">
        <w:rPr>
          <w:noProof/>
        </w:rPr>
        <w:t xml:space="preserve"> </w:t>
      </w:r>
      <w:r w:rsidR="00180E0E">
        <w:rPr>
          <w:noProof/>
        </w:rPr>
        <w:t xml:space="preserve">first subparagraph, </w:t>
      </w:r>
      <w:r w:rsidR="00180E0E" w:rsidRPr="008F139C">
        <w:rPr>
          <w:noProof/>
        </w:rPr>
        <w:t>the following point (i) is added:</w:t>
      </w:r>
    </w:p>
    <w:p w:rsidR="00180E0E" w:rsidRPr="008F139C" w:rsidRDefault="00180E0E" w:rsidP="00D278E1">
      <w:pPr>
        <w:pStyle w:val="Text1"/>
        <w:tabs>
          <w:tab w:val="left" w:pos="1701"/>
        </w:tabs>
        <w:ind w:left="1134"/>
        <w:rPr>
          <w:noProof/>
        </w:rPr>
      </w:pPr>
      <w:r w:rsidRPr="008F139C">
        <w:rPr>
          <w:noProof/>
        </w:rPr>
        <w:t>‘(i)</w:t>
      </w:r>
      <w:r>
        <w:rPr>
          <w:noProof/>
        </w:rPr>
        <w:tab/>
      </w:r>
      <w:r w:rsidRPr="008F139C">
        <w:rPr>
          <w:noProof/>
        </w:rPr>
        <w:t>an institutional investor, other than the originator, sponsor or original lender, has failed to meet the requirements provided for in Article 5.’</w:t>
      </w:r>
      <w:r>
        <w:rPr>
          <w:noProof/>
        </w:rPr>
        <w:t>;</w:t>
      </w:r>
    </w:p>
    <w:p w:rsidR="005E3CF6" w:rsidRPr="008F139C" w:rsidRDefault="00401E25" w:rsidP="00401E25">
      <w:pPr>
        <w:pStyle w:val="Point0"/>
        <w:rPr>
          <w:noProof/>
        </w:rPr>
      </w:pPr>
      <w:r w:rsidRPr="00401E25">
        <w:rPr>
          <w:noProof/>
        </w:rPr>
        <w:t>(1</w:t>
      </w:r>
      <w:r>
        <w:rPr>
          <w:noProof/>
        </w:rPr>
        <w:t>8</w:t>
      </w:r>
      <w:r w:rsidRPr="00401E25">
        <w:rPr>
          <w:noProof/>
        </w:rPr>
        <w:t>)</w:t>
      </w:r>
      <w:r w:rsidRPr="00401E25">
        <w:rPr>
          <w:noProof/>
        </w:rPr>
        <w:tab/>
      </w:r>
      <w:r w:rsidR="005E3CF6" w:rsidRPr="008F139C">
        <w:rPr>
          <w:noProof/>
        </w:rPr>
        <w:t>Article 36 is amended as follows:</w:t>
      </w:r>
    </w:p>
    <w:p w:rsidR="005E3CF6" w:rsidRPr="008F139C" w:rsidRDefault="00401E25" w:rsidP="00401E25">
      <w:pPr>
        <w:pStyle w:val="Point1"/>
        <w:rPr>
          <w:noProof/>
        </w:rPr>
      </w:pPr>
      <w:r w:rsidRPr="00401E25">
        <w:rPr>
          <w:noProof/>
        </w:rPr>
        <w:t>(a)</w:t>
      </w:r>
      <w:r w:rsidRPr="00401E25">
        <w:rPr>
          <w:noProof/>
        </w:rPr>
        <w:tab/>
      </w:r>
      <w:r w:rsidR="005E3CF6" w:rsidRPr="008F139C">
        <w:rPr>
          <w:noProof/>
        </w:rPr>
        <w:t xml:space="preserve">paragraph 2 is deleted </w:t>
      </w:r>
    </w:p>
    <w:p w:rsidR="005E3CF6" w:rsidRPr="008F139C" w:rsidRDefault="00401E25" w:rsidP="00401E25">
      <w:pPr>
        <w:pStyle w:val="Point1"/>
        <w:rPr>
          <w:noProof/>
        </w:rPr>
      </w:pPr>
      <w:r w:rsidRPr="00401E25">
        <w:rPr>
          <w:noProof/>
        </w:rPr>
        <w:t>(b)</w:t>
      </w:r>
      <w:r w:rsidRPr="00401E25">
        <w:rPr>
          <w:noProof/>
        </w:rPr>
        <w:tab/>
      </w:r>
      <w:r w:rsidR="005E3CF6" w:rsidRPr="008F139C">
        <w:rPr>
          <w:noProof/>
        </w:rPr>
        <w:t>paragraph 3</w:t>
      </w:r>
      <w:r w:rsidR="005E3CF6">
        <w:rPr>
          <w:noProof/>
        </w:rPr>
        <w:t xml:space="preserve">, </w:t>
      </w:r>
      <w:r w:rsidR="005E3CF6" w:rsidRPr="008F139C">
        <w:rPr>
          <w:noProof/>
        </w:rPr>
        <w:t>is replaced by the following:</w:t>
      </w:r>
    </w:p>
    <w:p w:rsidR="00C14E68" w:rsidRDefault="1E268997" w:rsidP="00D278E1">
      <w:pPr>
        <w:pStyle w:val="Text1"/>
        <w:tabs>
          <w:tab w:val="left" w:pos="1701"/>
        </w:tabs>
        <w:ind w:left="1134"/>
        <w:rPr>
          <w:noProof/>
        </w:rPr>
      </w:pPr>
      <w:r>
        <w:rPr>
          <w:noProof/>
        </w:rPr>
        <w:t xml:space="preserve">‘A specific securitisation </w:t>
      </w:r>
      <w:r w:rsidR="001F7BF0">
        <w:rPr>
          <w:noProof/>
        </w:rPr>
        <w:t>sub-</w:t>
      </w:r>
      <w:r>
        <w:rPr>
          <w:noProof/>
        </w:rPr>
        <w:t>committee shall be established within the framework of the Joint Committee of the European Supervisory Authorities, within which competent authorities shall closely cooperate, in order to carry out their duties pursuant to Articles 30 to 34.</w:t>
      </w:r>
      <w:r w:rsidR="5B918E21">
        <w:rPr>
          <w:noProof/>
        </w:rPr>
        <w:t xml:space="preserve"> The</w:t>
      </w:r>
      <w:r w:rsidR="657C94C7">
        <w:rPr>
          <w:noProof/>
        </w:rPr>
        <w:t xml:space="preserve"> </w:t>
      </w:r>
      <w:r w:rsidR="657C94C7" w:rsidRPr="00223EA4">
        <w:rPr>
          <w:noProof/>
        </w:rPr>
        <w:t xml:space="preserve">securitisation </w:t>
      </w:r>
      <w:r w:rsidR="006120E2" w:rsidRPr="00223EA4">
        <w:rPr>
          <w:noProof/>
        </w:rPr>
        <w:t>sub-</w:t>
      </w:r>
      <w:r w:rsidR="657C94C7" w:rsidRPr="00223EA4">
        <w:rPr>
          <w:noProof/>
        </w:rPr>
        <w:t>co</w:t>
      </w:r>
      <w:r w:rsidR="5B918E21" w:rsidRPr="00223EA4">
        <w:rPr>
          <w:noProof/>
        </w:rPr>
        <w:t>mmittee</w:t>
      </w:r>
      <w:r w:rsidR="657C94C7" w:rsidRPr="00223EA4">
        <w:rPr>
          <w:noProof/>
        </w:rPr>
        <w:t xml:space="preserve"> shall </w:t>
      </w:r>
      <w:r w:rsidR="75CAFE98" w:rsidRPr="00223EA4">
        <w:rPr>
          <w:noProof/>
        </w:rPr>
        <w:t>be</w:t>
      </w:r>
      <w:r w:rsidR="657C94C7" w:rsidRPr="00223EA4">
        <w:rPr>
          <w:noProof/>
        </w:rPr>
        <w:t xml:space="preserve"> led by the </w:t>
      </w:r>
      <w:r w:rsidR="10A1BE27" w:rsidRPr="00223EA4">
        <w:rPr>
          <w:noProof/>
        </w:rPr>
        <w:t>EBA with the cooperation of ESMA and EIOPA.</w:t>
      </w:r>
      <w:r w:rsidR="5BCE4050" w:rsidRPr="00223EA4">
        <w:rPr>
          <w:noProof/>
        </w:rPr>
        <w:t xml:space="preserve"> The </w:t>
      </w:r>
      <w:r w:rsidR="390F7A45" w:rsidRPr="00223EA4">
        <w:rPr>
          <w:noProof/>
        </w:rPr>
        <w:t>EBA</w:t>
      </w:r>
      <w:r w:rsidR="5BCE4050" w:rsidRPr="00223EA4">
        <w:rPr>
          <w:noProof/>
        </w:rPr>
        <w:t xml:space="preserve"> shall </w:t>
      </w:r>
      <w:r w:rsidR="726EE13D" w:rsidRPr="00223EA4">
        <w:rPr>
          <w:noProof/>
        </w:rPr>
        <w:t>p</w:t>
      </w:r>
      <w:r w:rsidR="59B7DB51" w:rsidRPr="00223EA4">
        <w:rPr>
          <w:noProof/>
        </w:rPr>
        <w:t>r</w:t>
      </w:r>
      <w:r w:rsidR="726EE13D" w:rsidRPr="00223EA4">
        <w:rPr>
          <w:noProof/>
        </w:rPr>
        <w:t>ovide the</w:t>
      </w:r>
      <w:r w:rsidR="59B7DB51" w:rsidRPr="00223EA4">
        <w:rPr>
          <w:noProof/>
        </w:rPr>
        <w:t xml:space="preserve"> secretariat and</w:t>
      </w:r>
      <w:r w:rsidR="638E79C1" w:rsidRPr="00223EA4">
        <w:rPr>
          <w:noProof/>
        </w:rPr>
        <w:t xml:space="preserve"> </w:t>
      </w:r>
      <w:r w:rsidR="7EDC2A42" w:rsidRPr="00223EA4">
        <w:rPr>
          <w:noProof/>
        </w:rPr>
        <w:t>a</w:t>
      </w:r>
      <w:r w:rsidR="638E79C1" w:rsidRPr="00223EA4">
        <w:rPr>
          <w:noProof/>
        </w:rPr>
        <w:t xml:space="preserve"> </w:t>
      </w:r>
      <w:r w:rsidR="00FA684F" w:rsidRPr="00223EA4" w:rsidDel="638E79C1">
        <w:rPr>
          <w:noProof/>
        </w:rPr>
        <w:t>vice-</w:t>
      </w:r>
      <w:r w:rsidR="5BCE4050" w:rsidRPr="00223EA4">
        <w:rPr>
          <w:noProof/>
        </w:rPr>
        <w:t>chair</w:t>
      </w:r>
      <w:r w:rsidR="638E79C1" w:rsidRPr="00223EA4">
        <w:rPr>
          <w:noProof/>
        </w:rPr>
        <w:t>person</w:t>
      </w:r>
      <w:r w:rsidR="32B3BEDE" w:rsidRPr="00223EA4">
        <w:rPr>
          <w:noProof/>
        </w:rPr>
        <w:t xml:space="preserve"> </w:t>
      </w:r>
      <w:r>
        <w:rPr>
          <w:noProof/>
        </w:rPr>
        <w:t xml:space="preserve">to </w:t>
      </w:r>
      <w:r w:rsidR="32B3BEDE" w:rsidRPr="00223EA4">
        <w:rPr>
          <w:noProof/>
        </w:rPr>
        <w:t xml:space="preserve">the </w:t>
      </w:r>
      <w:r w:rsidR="7885C897" w:rsidRPr="00223EA4">
        <w:rPr>
          <w:noProof/>
        </w:rPr>
        <w:t xml:space="preserve">securitisation </w:t>
      </w:r>
      <w:r w:rsidR="00170FE0" w:rsidRPr="00223EA4">
        <w:rPr>
          <w:noProof/>
        </w:rPr>
        <w:t>sub-</w:t>
      </w:r>
      <w:r w:rsidR="32B3BEDE" w:rsidRPr="00223EA4">
        <w:rPr>
          <w:noProof/>
        </w:rPr>
        <w:t>committee</w:t>
      </w:r>
      <w:r w:rsidR="5D86442D" w:rsidRPr="00223EA4">
        <w:rPr>
          <w:noProof/>
        </w:rPr>
        <w:t xml:space="preserve"> on a permane</w:t>
      </w:r>
      <w:r w:rsidR="6A8E3602" w:rsidRPr="00223EA4">
        <w:rPr>
          <w:noProof/>
        </w:rPr>
        <w:t>nt basis</w:t>
      </w:r>
      <w:r w:rsidR="6E41CD89" w:rsidRPr="00223EA4">
        <w:rPr>
          <w:noProof/>
        </w:rPr>
        <w:t>.</w:t>
      </w:r>
      <w:r w:rsidR="10A1BE27">
        <w:rPr>
          <w:noProof/>
        </w:rPr>
        <w:t xml:space="preserve"> </w:t>
      </w:r>
      <w:r w:rsidR="4C9D83B5">
        <w:rPr>
          <w:noProof/>
        </w:rPr>
        <w:t xml:space="preserve">The securitisation </w:t>
      </w:r>
      <w:r w:rsidR="00D404DA">
        <w:rPr>
          <w:noProof/>
        </w:rPr>
        <w:t>sub-</w:t>
      </w:r>
      <w:r w:rsidR="400C4F31">
        <w:rPr>
          <w:noProof/>
        </w:rPr>
        <w:t xml:space="preserve">committee </w:t>
      </w:r>
      <w:r w:rsidR="4C9D83B5">
        <w:rPr>
          <w:noProof/>
        </w:rPr>
        <w:t>shall</w:t>
      </w:r>
      <w:r w:rsidR="774C4662">
        <w:rPr>
          <w:noProof/>
        </w:rPr>
        <w:t xml:space="preserve"> foster supervisory convergence to ensure common supervisory practices. </w:t>
      </w:r>
      <w:r w:rsidR="246A9138">
        <w:rPr>
          <w:noProof/>
        </w:rPr>
        <w:t xml:space="preserve">The </w:t>
      </w:r>
      <w:r w:rsidR="4FA6B910">
        <w:rPr>
          <w:noProof/>
        </w:rPr>
        <w:t xml:space="preserve">members of the </w:t>
      </w:r>
      <w:r w:rsidR="643C0310">
        <w:rPr>
          <w:noProof/>
        </w:rPr>
        <w:t>securitisation</w:t>
      </w:r>
      <w:r w:rsidR="4FA6B910">
        <w:rPr>
          <w:noProof/>
        </w:rPr>
        <w:t xml:space="preserve"> </w:t>
      </w:r>
      <w:r w:rsidR="00D404DA">
        <w:rPr>
          <w:noProof/>
        </w:rPr>
        <w:t>sub-</w:t>
      </w:r>
      <w:r w:rsidR="246A9138">
        <w:rPr>
          <w:noProof/>
        </w:rPr>
        <w:t>committee</w:t>
      </w:r>
      <w:r>
        <w:rPr>
          <w:noProof/>
        </w:rPr>
        <w:t>,</w:t>
      </w:r>
      <w:r w:rsidR="004017CE">
        <w:rPr>
          <w:noProof/>
        </w:rPr>
        <w:t xml:space="preserve"> under the stewardship of the EB</w:t>
      </w:r>
      <w:r w:rsidR="5377FD4A">
        <w:rPr>
          <w:noProof/>
        </w:rPr>
        <w:t>A</w:t>
      </w:r>
      <w:r w:rsidR="004017CE">
        <w:rPr>
          <w:noProof/>
        </w:rPr>
        <w:t>,</w:t>
      </w:r>
      <w:r w:rsidR="246A9138">
        <w:rPr>
          <w:noProof/>
        </w:rPr>
        <w:t xml:space="preserve"> shall</w:t>
      </w:r>
      <w:r w:rsidR="7E5A80B7">
        <w:rPr>
          <w:noProof/>
        </w:rPr>
        <w:t xml:space="preserve"> closely</w:t>
      </w:r>
      <w:r w:rsidR="4FA6B910">
        <w:rPr>
          <w:noProof/>
        </w:rPr>
        <w:t xml:space="preserve"> coordinate their supervis</w:t>
      </w:r>
      <w:r w:rsidR="45256F3E">
        <w:rPr>
          <w:noProof/>
        </w:rPr>
        <w:t>ory actions</w:t>
      </w:r>
      <w:r w:rsidR="4FA6B910">
        <w:rPr>
          <w:noProof/>
        </w:rPr>
        <w:t xml:space="preserve"> in order to identify and remedy infringements of this Regulation, develop and promote best practices, facilitate collaboration, foster consisten</w:t>
      </w:r>
      <w:r>
        <w:rPr>
          <w:noProof/>
        </w:rPr>
        <w:t xml:space="preserve">tapplication of law </w:t>
      </w:r>
      <w:r w:rsidR="4FA6B910">
        <w:rPr>
          <w:noProof/>
        </w:rPr>
        <w:t xml:space="preserve">and provide cross-jurisdictional assessments in the event of any disagreements. </w:t>
      </w:r>
      <w:r w:rsidR="36986897">
        <w:rPr>
          <w:noProof/>
        </w:rPr>
        <w:t xml:space="preserve">The </w:t>
      </w:r>
      <w:r w:rsidR="7C4307F2">
        <w:rPr>
          <w:noProof/>
        </w:rPr>
        <w:t>securitisation</w:t>
      </w:r>
      <w:r w:rsidR="36986897">
        <w:rPr>
          <w:noProof/>
        </w:rPr>
        <w:t xml:space="preserve"> </w:t>
      </w:r>
      <w:r w:rsidR="004017CE">
        <w:rPr>
          <w:noProof/>
        </w:rPr>
        <w:t>sub-</w:t>
      </w:r>
      <w:r w:rsidR="36986897">
        <w:rPr>
          <w:noProof/>
        </w:rPr>
        <w:t>committ</w:t>
      </w:r>
      <w:r w:rsidR="30C17F31">
        <w:rPr>
          <w:noProof/>
        </w:rPr>
        <w:t>e</w:t>
      </w:r>
      <w:r w:rsidR="36986897">
        <w:rPr>
          <w:noProof/>
        </w:rPr>
        <w:t xml:space="preserve">e </w:t>
      </w:r>
      <w:r w:rsidR="30C17F31">
        <w:rPr>
          <w:noProof/>
        </w:rPr>
        <w:t xml:space="preserve">shall </w:t>
      </w:r>
      <w:r w:rsidR="246A9138">
        <w:rPr>
          <w:noProof/>
        </w:rPr>
        <w:t>regularly monitor the state of the market and the application of th</w:t>
      </w:r>
      <w:r w:rsidR="3D1AD83E">
        <w:rPr>
          <w:noProof/>
        </w:rPr>
        <w:t>is</w:t>
      </w:r>
      <w:r w:rsidR="246A9138">
        <w:rPr>
          <w:noProof/>
        </w:rPr>
        <w:t xml:space="preserve"> Regulation</w:t>
      </w:r>
      <w:r w:rsidR="38D836AD">
        <w:rPr>
          <w:noProof/>
        </w:rPr>
        <w:t>.</w:t>
      </w:r>
      <w:r w:rsidR="41B17E9B">
        <w:rPr>
          <w:noProof/>
        </w:rPr>
        <w:t>’;</w:t>
      </w:r>
      <w:r w:rsidR="38D836AD">
        <w:rPr>
          <w:noProof/>
        </w:rPr>
        <w:t xml:space="preserve"> </w:t>
      </w:r>
    </w:p>
    <w:p w:rsidR="00FF5538" w:rsidRPr="008F139C" w:rsidRDefault="00401E25" w:rsidP="00401E25">
      <w:pPr>
        <w:pStyle w:val="Point1"/>
        <w:rPr>
          <w:noProof/>
        </w:rPr>
      </w:pPr>
      <w:r w:rsidRPr="00401E25">
        <w:rPr>
          <w:noProof/>
        </w:rPr>
        <w:t>(c)</w:t>
      </w:r>
      <w:r w:rsidRPr="00401E25">
        <w:rPr>
          <w:noProof/>
        </w:rPr>
        <w:tab/>
      </w:r>
      <w:r w:rsidR="00FF5538">
        <w:rPr>
          <w:noProof/>
        </w:rPr>
        <w:t>the following paragraphs 3a and 3b are inserted:</w:t>
      </w:r>
    </w:p>
    <w:p w:rsidR="00FF5538" w:rsidRPr="008F139C" w:rsidRDefault="00FF5538" w:rsidP="00FF5538">
      <w:pPr>
        <w:tabs>
          <w:tab w:val="left" w:pos="1701"/>
        </w:tabs>
        <w:ind w:left="1134"/>
        <w:rPr>
          <w:noProof/>
        </w:rPr>
      </w:pPr>
      <w:r w:rsidRPr="008F139C">
        <w:rPr>
          <w:noProof/>
        </w:rPr>
        <w:t>‘</w:t>
      </w:r>
      <w:r>
        <w:rPr>
          <w:noProof/>
        </w:rPr>
        <w:t>3a.</w:t>
      </w:r>
      <w:r>
        <w:rPr>
          <w:noProof/>
        </w:rPr>
        <w:tab/>
      </w:r>
      <w:r w:rsidRPr="008F139C">
        <w:rPr>
          <w:noProof/>
        </w:rPr>
        <w:t xml:space="preserve">The securitisation </w:t>
      </w:r>
      <w:r w:rsidR="004017CE">
        <w:rPr>
          <w:noProof/>
        </w:rPr>
        <w:t>sub-</w:t>
      </w:r>
      <w:r w:rsidRPr="008F139C">
        <w:rPr>
          <w:noProof/>
        </w:rPr>
        <w:t xml:space="preserve">committee </w:t>
      </w:r>
      <w:r>
        <w:rPr>
          <w:noProof/>
        </w:rPr>
        <w:t xml:space="preserve">referred to in paragraph 3 </w:t>
      </w:r>
      <w:r w:rsidRPr="008F139C">
        <w:rPr>
          <w:noProof/>
        </w:rPr>
        <w:t xml:space="preserve">shall by </w:t>
      </w:r>
      <w:r w:rsidRPr="004324DE">
        <w:rPr>
          <w:noProof/>
        </w:rPr>
        <w:t xml:space="preserve">[12 months after adoption] </w:t>
      </w:r>
      <w:r w:rsidRPr="008F139C">
        <w:rPr>
          <w:noProof/>
        </w:rPr>
        <w:t>develop guidelines to establish common supervisory procedures.</w:t>
      </w:r>
    </w:p>
    <w:p w:rsidR="00FF5538" w:rsidRPr="008F139C" w:rsidRDefault="00FF5538" w:rsidP="00FF5538">
      <w:pPr>
        <w:pStyle w:val="Text1"/>
        <w:tabs>
          <w:tab w:val="left" w:pos="1701"/>
        </w:tabs>
        <w:ind w:left="1134"/>
        <w:rPr>
          <w:noProof/>
        </w:rPr>
      </w:pPr>
      <w:r>
        <w:rPr>
          <w:noProof/>
        </w:rPr>
        <w:t>3b.</w:t>
      </w:r>
      <w:r>
        <w:rPr>
          <w:noProof/>
        </w:rPr>
        <w:tab/>
      </w:r>
      <w:r w:rsidRPr="008F139C">
        <w:rPr>
          <w:noProof/>
        </w:rPr>
        <w:t xml:space="preserve">Following the notification to the competent authorities under Article 7(1), the competent authorities of the sell-side entities in the transaction shall appoint a lead supervisor to coordinate actions and avoid divergences of application of this Regulation for transactions involving sell-side entities under the remit of competent authorities from more than one Member State. A competent authority may delegate the exercise of some or all of the tasks and powers referred to in this Regulation to the lead supervisor. In case the competent authorities of the sell-side entities do not reach an agreement on the appointment of the lead supervisor, the securitisation </w:t>
      </w:r>
      <w:r w:rsidR="00D37CB1">
        <w:rPr>
          <w:noProof/>
        </w:rPr>
        <w:t>sub-</w:t>
      </w:r>
      <w:r w:rsidRPr="008F139C">
        <w:rPr>
          <w:noProof/>
        </w:rPr>
        <w:t>committee established under paragraph 3 shall appoint the lead supervisor.</w:t>
      </w:r>
      <w:r>
        <w:rPr>
          <w:noProof/>
        </w:rPr>
        <w:t>’;</w:t>
      </w:r>
    </w:p>
    <w:p w:rsidR="00FF5538" w:rsidRPr="008F139C" w:rsidRDefault="00401E25" w:rsidP="00401E25">
      <w:pPr>
        <w:pStyle w:val="Point1"/>
        <w:rPr>
          <w:noProof/>
        </w:rPr>
      </w:pPr>
      <w:r w:rsidRPr="00401E25">
        <w:rPr>
          <w:noProof/>
        </w:rPr>
        <w:t>(d)</w:t>
      </w:r>
      <w:r w:rsidRPr="00401E25">
        <w:rPr>
          <w:noProof/>
        </w:rPr>
        <w:tab/>
      </w:r>
      <w:r w:rsidR="00FF5538">
        <w:rPr>
          <w:noProof/>
        </w:rPr>
        <w:t>in paragraph 6,</w:t>
      </w:r>
      <w:r w:rsidR="00FF5538" w:rsidRPr="008F139C">
        <w:rPr>
          <w:noProof/>
        </w:rPr>
        <w:t xml:space="preserve"> the first </w:t>
      </w:r>
      <w:r w:rsidR="00FF5538">
        <w:rPr>
          <w:noProof/>
        </w:rPr>
        <w:t>and second subparagraphs are</w:t>
      </w:r>
      <w:r w:rsidR="00FF5538" w:rsidRPr="008F139C">
        <w:rPr>
          <w:noProof/>
        </w:rPr>
        <w:t xml:space="preserve"> replaced by the following:</w:t>
      </w:r>
    </w:p>
    <w:p w:rsidR="00FF5538" w:rsidRPr="008F139C" w:rsidRDefault="00FF5538" w:rsidP="00FF5538">
      <w:pPr>
        <w:pStyle w:val="Text1"/>
        <w:ind w:left="1134"/>
        <w:rPr>
          <w:noProof/>
        </w:rPr>
      </w:pPr>
      <w:r w:rsidRPr="008F139C">
        <w:rPr>
          <w:noProof/>
        </w:rPr>
        <w:t>‘Upon receipt of the information referred to in paragraph 4, the competent authority of the entity suspected of the infringement shall take within 15 working days any action necessary to address the infringement identified and notify the other competent authorities involved, in particular those of the originator, sponsor and SSPE</w:t>
      </w:r>
      <w:r>
        <w:rPr>
          <w:noProof/>
        </w:rPr>
        <w:t>,</w:t>
      </w:r>
      <w:r w:rsidRPr="008F139C">
        <w:rPr>
          <w:noProof/>
        </w:rPr>
        <w:t xml:space="preserve"> and the competent authorities of the holder of a securitisation position, whe</w:t>
      </w:r>
      <w:r>
        <w:rPr>
          <w:noProof/>
        </w:rPr>
        <w:t>re</w:t>
      </w:r>
      <w:r w:rsidRPr="008F139C">
        <w:rPr>
          <w:noProof/>
        </w:rPr>
        <w:t xml:space="preserve"> known. </w:t>
      </w:r>
      <w:r>
        <w:rPr>
          <w:noProof/>
        </w:rPr>
        <w:t>A</w:t>
      </w:r>
      <w:r w:rsidRPr="008F139C">
        <w:rPr>
          <w:noProof/>
        </w:rPr>
        <w:t xml:space="preserve"> competent authority </w:t>
      </w:r>
      <w:r>
        <w:rPr>
          <w:noProof/>
        </w:rPr>
        <w:t xml:space="preserve">that </w:t>
      </w:r>
      <w:r w:rsidRPr="008F139C">
        <w:rPr>
          <w:noProof/>
        </w:rPr>
        <w:t xml:space="preserve">disagrees with another competent authority regarding the procedure or content of </w:t>
      </w:r>
      <w:r>
        <w:rPr>
          <w:noProof/>
        </w:rPr>
        <w:t>the</w:t>
      </w:r>
      <w:r w:rsidRPr="008F139C">
        <w:rPr>
          <w:noProof/>
        </w:rPr>
        <w:t xml:space="preserve"> action or inaction</w:t>
      </w:r>
      <w:r>
        <w:rPr>
          <w:noProof/>
        </w:rPr>
        <w:t xml:space="preserve"> or that other competent authority</w:t>
      </w:r>
      <w:r w:rsidRPr="008F139C">
        <w:rPr>
          <w:noProof/>
        </w:rPr>
        <w:t xml:space="preserve"> shall notify all other competent authorities involved about its disagreement without undue delay. </w:t>
      </w:r>
      <w:r>
        <w:rPr>
          <w:noProof/>
        </w:rPr>
        <w:t>Where</w:t>
      </w:r>
      <w:r w:rsidRPr="008F139C">
        <w:rPr>
          <w:noProof/>
        </w:rPr>
        <w:t xml:space="preserve"> that disagreement is not resolved within three months of the date on which all competent authorities involved </w:t>
      </w:r>
      <w:r>
        <w:rPr>
          <w:noProof/>
        </w:rPr>
        <w:t>were</w:t>
      </w:r>
      <w:r w:rsidRPr="008F139C">
        <w:rPr>
          <w:noProof/>
        </w:rPr>
        <w:t xml:space="preserve"> notified, the matter shall be referred to </w:t>
      </w:r>
      <w:r>
        <w:rPr>
          <w:noProof/>
        </w:rPr>
        <w:t xml:space="preserve">the </w:t>
      </w:r>
      <w:r w:rsidRPr="008F139C">
        <w:rPr>
          <w:noProof/>
        </w:rPr>
        <w:t>EBA in accordance with Article 19 and, where applicable, Article</w:t>
      </w:r>
      <w:r>
        <w:rPr>
          <w:noProof/>
        </w:rPr>
        <w:t> </w:t>
      </w:r>
      <w:r w:rsidRPr="008F139C">
        <w:rPr>
          <w:noProof/>
        </w:rPr>
        <w:t>20 of Regulation (EU) No 109</w:t>
      </w:r>
      <w:r w:rsidRPr="006C3306">
        <w:rPr>
          <w:noProof/>
        </w:rPr>
        <w:t>3</w:t>
      </w:r>
      <w:r w:rsidRPr="008F139C">
        <w:rPr>
          <w:noProof/>
        </w:rPr>
        <w:t>/2010. The conciliation period referred to in Article 19(2) of Regulation (EU) No 109</w:t>
      </w:r>
      <w:r w:rsidRPr="006C3306">
        <w:rPr>
          <w:noProof/>
        </w:rPr>
        <w:t>3</w:t>
      </w:r>
      <w:r w:rsidRPr="008F139C">
        <w:rPr>
          <w:noProof/>
        </w:rPr>
        <w:t>/2010 shall be one month</w:t>
      </w:r>
      <w:r w:rsidR="006C3306">
        <w:rPr>
          <w:noProof/>
        </w:rPr>
        <w:t>.</w:t>
      </w:r>
    </w:p>
    <w:p w:rsidR="00FF5538" w:rsidRPr="008F139C" w:rsidRDefault="00FF5538" w:rsidP="00FF5538">
      <w:pPr>
        <w:pStyle w:val="Text1"/>
        <w:ind w:left="1134"/>
        <w:rPr>
          <w:noProof/>
        </w:rPr>
      </w:pPr>
      <w:r w:rsidRPr="008F139C">
        <w:rPr>
          <w:noProof/>
        </w:rPr>
        <w:t xml:space="preserve">Where the competent authorities concerned fail to reach an agreement within the conciliation phase referred to in the first subparagraph, </w:t>
      </w:r>
      <w:r>
        <w:rPr>
          <w:noProof/>
        </w:rPr>
        <w:t xml:space="preserve">the </w:t>
      </w:r>
      <w:r w:rsidRPr="008F139C">
        <w:rPr>
          <w:noProof/>
        </w:rPr>
        <w:t>EBA shall take the decision referred to in Article 19(3) of Regulation (EU) No 109</w:t>
      </w:r>
      <w:r>
        <w:rPr>
          <w:noProof/>
        </w:rPr>
        <w:t>3</w:t>
      </w:r>
      <w:r w:rsidRPr="008F139C">
        <w:rPr>
          <w:noProof/>
        </w:rPr>
        <w:t>/2010 within one month. During the procedure set out in this Article, a securitisation appearing on the list maintained by ESMA pursuant to Article 27 of this Regulation shall continue to be considered a</w:t>
      </w:r>
      <w:r>
        <w:rPr>
          <w:noProof/>
        </w:rPr>
        <w:t>n</w:t>
      </w:r>
      <w:r w:rsidRPr="008F139C">
        <w:rPr>
          <w:noProof/>
        </w:rPr>
        <w:t xml:space="preserve"> STS pursuant to Chapter 4 of this Regulation and shall be kept on </w:t>
      </w:r>
      <w:r>
        <w:rPr>
          <w:noProof/>
        </w:rPr>
        <w:t>that</w:t>
      </w:r>
      <w:r w:rsidRPr="008F139C">
        <w:rPr>
          <w:noProof/>
        </w:rPr>
        <w:t xml:space="preserve"> list.’</w:t>
      </w:r>
      <w:r>
        <w:rPr>
          <w:noProof/>
        </w:rPr>
        <w:t>;</w:t>
      </w:r>
    </w:p>
    <w:p w:rsidR="00FF5538" w:rsidRPr="008F139C" w:rsidRDefault="00401E25" w:rsidP="00401E25">
      <w:pPr>
        <w:pStyle w:val="Point1"/>
        <w:rPr>
          <w:noProof/>
        </w:rPr>
      </w:pPr>
      <w:r w:rsidRPr="00401E25">
        <w:rPr>
          <w:noProof/>
        </w:rPr>
        <w:t>(e)</w:t>
      </w:r>
      <w:r w:rsidRPr="00401E25">
        <w:rPr>
          <w:noProof/>
        </w:rPr>
        <w:tab/>
      </w:r>
      <w:r w:rsidR="00FF5538" w:rsidRPr="008F139C">
        <w:rPr>
          <w:noProof/>
        </w:rPr>
        <w:t>paragraph 7 is replaced by the following</w:t>
      </w:r>
    </w:p>
    <w:p w:rsidR="00FF5538" w:rsidRPr="008F139C" w:rsidRDefault="00FF5538" w:rsidP="00FF5538">
      <w:pPr>
        <w:pStyle w:val="Text1"/>
        <w:tabs>
          <w:tab w:val="left" w:pos="1701"/>
        </w:tabs>
        <w:ind w:left="1134"/>
        <w:rPr>
          <w:noProof/>
        </w:rPr>
      </w:pPr>
      <w:r>
        <w:rPr>
          <w:noProof/>
        </w:rPr>
        <w:t>‘7.</w:t>
      </w:r>
      <w:r>
        <w:rPr>
          <w:noProof/>
        </w:rPr>
        <w:tab/>
      </w:r>
      <w:r w:rsidRPr="00ED75A4">
        <w:rPr>
          <w:noProof/>
        </w:rPr>
        <w:t>Three years</w:t>
      </w:r>
      <w:r w:rsidRPr="008F139C">
        <w:rPr>
          <w:noProof/>
        </w:rPr>
        <w:t xml:space="preserve"> from the date of application of this Regulation, and every </w:t>
      </w:r>
      <w:r w:rsidRPr="00ED75A4">
        <w:rPr>
          <w:noProof/>
        </w:rPr>
        <w:t>three years</w:t>
      </w:r>
      <w:r w:rsidRPr="008F139C">
        <w:rPr>
          <w:noProof/>
        </w:rPr>
        <w:t xml:space="preserve"> thereafter</w:t>
      </w:r>
      <w:r>
        <w:rPr>
          <w:noProof/>
        </w:rPr>
        <w:t>, the</w:t>
      </w:r>
      <w:r w:rsidRPr="008F139C">
        <w:rPr>
          <w:noProof/>
        </w:rPr>
        <w:t xml:space="preserve"> EBA, in cooperation with ESMA and EIOPA, shall conduct a peer review in accordance with Article 30 of Regulation (EU) No 1093/2010 on the implementation of the supervisory powers provided for in Article 30 of this Regulation.’</w:t>
      </w:r>
      <w:r>
        <w:rPr>
          <w:noProof/>
        </w:rPr>
        <w:t>;</w:t>
      </w:r>
    </w:p>
    <w:p w:rsidR="005B43AE" w:rsidRDefault="00401E25" w:rsidP="00401E25">
      <w:pPr>
        <w:pStyle w:val="Point1"/>
        <w:rPr>
          <w:noProof/>
        </w:rPr>
      </w:pPr>
      <w:r w:rsidRPr="00401E25">
        <w:rPr>
          <w:noProof/>
        </w:rPr>
        <w:t>(f)</w:t>
      </w:r>
      <w:r w:rsidRPr="00401E25">
        <w:rPr>
          <w:noProof/>
        </w:rPr>
        <w:tab/>
      </w:r>
      <w:r w:rsidR="00FF5538" w:rsidRPr="008F139C">
        <w:rPr>
          <w:noProof/>
        </w:rPr>
        <w:t>paragraph 8 is deleted</w:t>
      </w:r>
      <w:r w:rsidR="00FF5538">
        <w:rPr>
          <w:noProof/>
        </w:rPr>
        <w:t>;</w:t>
      </w:r>
      <w:r w:rsidR="00FF5538" w:rsidDel="00FF5538">
        <w:rPr>
          <w:noProof/>
        </w:rPr>
        <w:t xml:space="preserve"> </w:t>
      </w:r>
    </w:p>
    <w:p w:rsidR="00CE5203" w:rsidRPr="008F139C" w:rsidRDefault="00401E25" w:rsidP="00401E25">
      <w:pPr>
        <w:pStyle w:val="Point0"/>
        <w:rPr>
          <w:noProof/>
        </w:rPr>
      </w:pPr>
      <w:r w:rsidRPr="00401E25">
        <w:rPr>
          <w:noProof/>
        </w:rPr>
        <w:t>(1</w:t>
      </w:r>
      <w:r>
        <w:rPr>
          <w:noProof/>
        </w:rPr>
        <w:t>9</w:t>
      </w:r>
      <w:r w:rsidRPr="00401E25">
        <w:rPr>
          <w:noProof/>
        </w:rPr>
        <w:t>)</w:t>
      </w:r>
      <w:r w:rsidRPr="00401E25">
        <w:rPr>
          <w:noProof/>
        </w:rPr>
        <w:tab/>
      </w:r>
      <w:r w:rsidR="00CE5203" w:rsidRPr="008F139C">
        <w:rPr>
          <w:noProof/>
        </w:rPr>
        <w:t>Article 44 is amended as follows:</w:t>
      </w:r>
    </w:p>
    <w:p w:rsidR="00CE5203" w:rsidRPr="008F139C" w:rsidRDefault="00401E25" w:rsidP="00401E25">
      <w:pPr>
        <w:pStyle w:val="Point1"/>
        <w:rPr>
          <w:noProof/>
        </w:rPr>
      </w:pPr>
      <w:r w:rsidRPr="00401E25">
        <w:rPr>
          <w:noProof/>
        </w:rPr>
        <w:t>(a)</w:t>
      </w:r>
      <w:r w:rsidRPr="00401E25">
        <w:rPr>
          <w:noProof/>
        </w:rPr>
        <w:tab/>
      </w:r>
      <w:r w:rsidR="00CE5203" w:rsidRPr="008F139C">
        <w:rPr>
          <w:noProof/>
        </w:rPr>
        <w:t>in the first subparagraph</w:t>
      </w:r>
      <w:r w:rsidR="00CE5203">
        <w:rPr>
          <w:noProof/>
        </w:rPr>
        <w:t>,</w:t>
      </w:r>
      <w:r w:rsidR="00CE5203" w:rsidRPr="008F139C">
        <w:rPr>
          <w:noProof/>
        </w:rPr>
        <w:t xml:space="preserve"> point (e) is replaced by the following</w:t>
      </w:r>
      <w:r w:rsidR="00CE5203">
        <w:rPr>
          <w:noProof/>
        </w:rPr>
        <w:t>:</w:t>
      </w:r>
    </w:p>
    <w:p w:rsidR="00CE5203" w:rsidRPr="008F139C" w:rsidRDefault="00CE5203" w:rsidP="00CE5203">
      <w:pPr>
        <w:pStyle w:val="Text1"/>
        <w:ind w:left="1701" w:hanging="567"/>
        <w:rPr>
          <w:noProof/>
        </w:rPr>
      </w:pPr>
      <w:r>
        <w:rPr>
          <w:noProof/>
        </w:rPr>
        <w:t>‘(e)</w:t>
      </w:r>
      <w:r>
        <w:rPr>
          <w:noProof/>
        </w:rPr>
        <w:tab/>
      </w:r>
      <w:r w:rsidRPr="008F139C">
        <w:rPr>
          <w:noProof/>
        </w:rPr>
        <w:t>the contribution of securitisation to funding U</w:t>
      </w:r>
      <w:r>
        <w:rPr>
          <w:noProof/>
        </w:rPr>
        <w:t>nion</w:t>
      </w:r>
      <w:r w:rsidRPr="008F139C">
        <w:rPr>
          <w:noProof/>
        </w:rPr>
        <w:t xml:space="preserve"> companies and</w:t>
      </w:r>
      <w:r>
        <w:rPr>
          <w:noProof/>
        </w:rPr>
        <w:t xml:space="preserve"> to the</w:t>
      </w:r>
      <w:r w:rsidRPr="008F139C">
        <w:rPr>
          <w:noProof/>
        </w:rPr>
        <w:t xml:space="preserve"> economy</w:t>
      </w:r>
      <w:r>
        <w:rPr>
          <w:noProof/>
        </w:rPr>
        <w:t xml:space="preserve"> of the Union</w:t>
      </w:r>
      <w:r w:rsidRPr="008F139C">
        <w:rPr>
          <w:noProof/>
        </w:rPr>
        <w:t>.’</w:t>
      </w:r>
      <w:r>
        <w:rPr>
          <w:noProof/>
        </w:rPr>
        <w:t>;</w:t>
      </w:r>
    </w:p>
    <w:p w:rsidR="00CE5203" w:rsidRPr="008F139C" w:rsidRDefault="00401E25" w:rsidP="00401E25">
      <w:pPr>
        <w:pStyle w:val="Point1"/>
        <w:rPr>
          <w:noProof/>
        </w:rPr>
      </w:pPr>
      <w:r w:rsidRPr="00401E25">
        <w:rPr>
          <w:noProof/>
        </w:rPr>
        <w:t>(b)</w:t>
      </w:r>
      <w:r w:rsidRPr="00401E25">
        <w:rPr>
          <w:noProof/>
        </w:rPr>
        <w:tab/>
      </w:r>
      <w:r w:rsidR="00CE5203" w:rsidRPr="008F139C">
        <w:rPr>
          <w:noProof/>
        </w:rPr>
        <w:t>the second subparagraph is deleted</w:t>
      </w:r>
      <w:r w:rsidR="00CE5203">
        <w:rPr>
          <w:noProof/>
        </w:rPr>
        <w:t>;</w:t>
      </w:r>
    </w:p>
    <w:p w:rsidR="00CE5203" w:rsidRPr="008F139C" w:rsidRDefault="00401E25" w:rsidP="00401E25">
      <w:pPr>
        <w:pStyle w:val="Point0"/>
        <w:rPr>
          <w:noProof/>
        </w:rPr>
      </w:pPr>
      <w:r w:rsidRPr="00401E25">
        <w:rPr>
          <w:noProof/>
        </w:rPr>
        <w:t>(</w:t>
      </w:r>
      <w:r>
        <w:rPr>
          <w:noProof/>
        </w:rPr>
        <w:t>20</w:t>
      </w:r>
      <w:r w:rsidRPr="00401E25">
        <w:rPr>
          <w:noProof/>
        </w:rPr>
        <w:t>)</w:t>
      </w:r>
      <w:r w:rsidRPr="00401E25">
        <w:rPr>
          <w:noProof/>
        </w:rPr>
        <w:tab/>
      </w:r>
      <w:r w:rsidR="00CE5203" w:rsidRPr="008F139C">
        <w:rPr>
          <w:noProof/>
        </w:rPr>
        <w:t>Article 46 is replaced by the following:</w:t>
      </w:r>
    </w:p>
    <w:p w:rsidR="008E22DC" w:rsidRPr="00F704B8" w:rsidRDefault="008E22DC" w:rsidP="008E22DC">
      <w:pPr>
        <w:pStyle w:val="Text1"/>
        <w:ind w:left="567"/>
        <w:jc w:val="center"/>
        <w:rPr>
          <w:i/>
          <w:iCs/>
          <w:noProof/>
        </w:rPr>
      </w:pPr>
      <w:r w:rsidRPr="00F704B8">
        <w:rPr>
          <w:i/>
          <w:iCs/>
          <w:noProof/>
        </w:rPr>
        <w:t>’Article 46</w:t>
      </w:r>
    </w:p>
    <w:p w:rsidR="008E22DC" w:rsidRPr="00F704B8" w:rsidRDefault="008E22DC" w:rsidP="008E22DC">
      <w:pPr>
        <w:pStyle w:val="Text1"/>
        <w:ind w:left="567"/>
        <w:jc w:val="center"/>
        <w:rPr>
          <w:b/>
          <w:bCs/>
          <w:noProof/>
        </w:rPr>
      </w:pPr>
      <w:r w:rsidRPr="00F704B8">
        <w:rPr>
          <w:b/>
          <w:bCs/>
          <w:noProof/>
        </w:rPr>
        <w:t>Review</w:t>
      </w:r>
    </w:p>
    <w:p w:rsidR="00035223" w:rsidRDefault="00035223" w:rsidP="00035223">
      <w:pPr>
        <w:pStyle w:val="Text1"/>
        <w:ind w:left="567"/>
        <w:rPr>
          <w:noProof/>
        </w:rPr>
      </w:pPr>
      <w:r w:rsidRPr="008F139C">
        <w:rPr>
          <w:noProof/>
        </w:rPr>
        <w:t xml:space="preserve">By </w:t>
      </w:r>
      <w:r>
        <w:rPr>
          <w:noProof/>
        </w:rPr>
        <w:t>…[PO please insert the date: 5</w:t>
      </w:r>
      <w:r w:rsidRPr="008F139C">
        <w:rPr>
          <w:noProof/>
        </w:rPr>
        <w:t xml:space="preserve"> years after </w:t>
      </w:r>
      <w:r>
        <w:rPr>
          <w:noProof/>
        </w:rPr>
        <w:t>date of entry into force</w:t>
      </w:r>
      <w:r w:rsidRPr="008F139C">
        <w:rPr>
          <w:noProof/>
        </w:rPr>
        <w:t xml:space="preserve">], the Commission shall present a report to the European Parliament and the Council on the functioning of this Regulation, accompanied, </w:t>
      </w:r>
      <w:r>
        <w:rPr>
          <w:noProof/>
        </w:rPr>
        <w:t>where</w:t>
      </w:r>
      <w:r w:rsidRPr="008F139C">
        <w:rPr>
          <w:noProof/>
        </w:rPr>
        <w:t xml:space="preserve"> appropriate, by a legislative proposal.</w:t>
      </w:r>
    </w:p>
    <w:p w:rsidR="00321EDA" w:rsidRPr="008F139C" w:rsidRDefault="00321EDA" w:rsidP="00321EDA">
      <w:pPr>
        <w:pStyle w:val="Text1"/>
        <w:ind w:left="567"/>
        <w:rPr>
          <w:noProof/>
        </w:rPr>
      </w:pPr>
      <w:r w:rsidRPr="008F139C">
        <w:rPr>
          <w:noProof/>
        </w:rPr>
        <w:t>That report shall consider in particular the findings of the reports referred to in Article 44, and shall assess:</w:t>
      </w:r>
    </w:p>
    <w:p w:rsidR="00321EDA" w:rsidRDefault="00321EDA" w:rsidP="00321EDA">
      <w:pPr>
        <w:pStyle w:val="Text1"/>
        <w:ind w:left="1134" w:hanging="567"/>
        <w:rPr>
          <w:noProof/>
        </w:rPr>
      </w:pPr>
      <w:r w:rsidRPr="008F139C">
        <w:rPr>
          <w:noProof/>
        </w:rPr>
        <w:t>(a)</w:t>
      </w:r>
      <w:r>
        <w:rPr>
          <w:noProof/>
        </w:rPr>
        <w:tab/>
      </w:r>
      <w:r w:rsidRPr="008F139C">
        <w:rPr>
          <w:noProof/>
        </w:rPr>
        <w:t>the effects of this Regulation on the functioning and the development of the market for securitisations in the U</w:t>
      </w:r>
      <w:r>
        <w:rPr>
          <w:noProof/>
        </w:rPr>
        <w:t>nion;</w:t>
      </w:r>
    </w:p>
    <w:p w:rsidR="00321EDA" w:rsidRDefault="00321EDA" w:rsidP="00321EDA">
      <w:pPr>
        <w:pStyle w:val="Text1"/>
        <w:ind w:left="1134" w:hanging="567"/>
        <w:rPr>
          <w:noProof/>
        </w:rPr>
      </w:pPr>
      <w:r>
        <w:rPr>
          <w:noProof/>
        </w:rPr>
        <w:t>(b)</w:t>
      </w:r>
      <w:r>
        <w:rPr>
          <w:noProof/>
        </w:rPr>
        <w:tab/>
      </w:r>
      <w:r w:rsidRPr="008F139C">
        <w:rPr>
          <w:noProof/>
        </w:rPr>
        <w:t>the contribution of securitisation to</w:t>
      </w:r>
      <w:r>
        <w:rPr>
          <w:noProof/>
        </w:rPr>
        <w:t>:</w:t>
      </w:r>
    </w:p>
    <w:p w:rsidR="00321EDA" w:rsidRDefault="00321EDA" w:rsidP="00321EDA">
      <w:pPr>
        <w:pStyle w:val="Text1"/>
        <w:ind w:left="1701" w:hanging="567"/>
        <w:rPr>
          <w:noProof/>
        </w:rPr>
      </w:pPr>
      <w:r>
        <w:rPr>
          <w:noProof/>
        </w:rPr>
        <w:t>(i)</w:t>
      </w:r>
      <w:r>
        <w:rPr>
          <w:noProof/>
        </w:rPr>
        <w:tab/>
      </w:r>
      <w:r w:rsidRPr="008F139C">
        <w:rPr>
          <w:noProof/>
        </w:rPr>
        <w:t xml:space="preserve"> </w:t>
      </w:r>
      <w:r w:rsidR="00657C1F">
        <w:rPr>
          <w:noProof/>
        </w:rPr>
        <w:t xml:space="preserve">to funding </w:t>
      </w:r>
      <w:r w:rsidR="00657C1F" w:rsidRPr="00A32A14">
        <w:rPr>
          <w:noProof/>
        </w:rPr>
        <w:t>EU companies and economy</w:t>
      </w:r>
      <w:r w:rsidRPr="008F139C">
        <w:rPr>
          <w:noProof/>
        </w:rPr>
        <w:t>, in particular on access to credit for SMEs and investments</w:t>
      </w:r>
      <w:r>
        <w:rPr>
          <w:noProof/>
        </w:rPr>
        <w:t>;</w:t>
      </w:r>
    </w:p>
    <w:p w:rsidR="00321EDA" w:rsidRPr="008F139C" w:rsidRDefault="00321EDA" w:rsidP="00321EDA">
      <w:pPr>
        <w:pStyle w:val="Text1"/>
        <w:ind w:left="1701" w:hanging="567"/>
        <w:rPr>
          <w:noProof/>
        </w:rPr>
      </w:pPr>
      <w:r>
        <w:rPr>
          <w:noProof/>
        </w:rPr>
        <w:t>(ii)</w:t>
      </w:r>
      <w:r>
        <w:rPr>
          <w:noProof/>
        </w:rPr>
        <w:tab/>
        <w:t>the</w:t>
      </w:r>
      <w:r w:rsidRPr="008F139C">
        <w:rPr>
          <w:noProof/>
        </w:rPr>
        <w:t xml:space="preserve"> interconnectedness between financial institutions and the stability of the financial sector;</w:t>
      </w:r>
    </w:p>
    <w:p w:rsidR="00321EDA" w:rsidRPr="008F139C" w:rsidRDefault="00321EDA" w:rsidP="00321EDA">
      <w:pPr>
        <w:pStyle w:val="Text1"/>
        <w:ind w:left="1134" w:hanging="567"/>
        <w:rPr>
          <w:noProof/>
        </w:rPr>
      </w:pPr>
      <w:r>
        <w:rPr>
          <w:noProof/>
        </w:rPr>
        <w:t>(c</w:t>
      </w:r>
      <w:r w:rsidRPr="008F139C">
        <w:rPr>
          <w:noProof/>
        </w:rPr>
        <w:t>)</w:t>
      </w:r>
      <w:r>
        <w:rPr>
          <w:noProof/>
        </w:rPr>
        <w:tab/>
      </w:r>
      <w:r w:rsidRPr="008F139C">
        <w:rPr>
          <w:noProof/>
        </w:rPr>
        <w:t>whether in the area of STS securitisations, an equivalence regime could be introduced for third country originators, sponsors and SSPEs, including in relation to due-diligence requirements, taking into consideration international developments in the area of securitisation, in particular initiatives on simple, transparent and comparable securitisations;</w:t>
      </w:r>
    </w:p>
    <w:p w:rsidR="00321EDA" w:rsidRPr="008F139C" w:rsidRDefault="00321EDA" w:rsidP="00321EDA">
      <w:pPr>
        <w:pStyle w:val="Text1"/>
        <w:ind w:left="1134" w:hanging="567"/>
        <w:rPr>
          <w:noProof/>
        </w:rPr>
      </w:pPr>
      <w:r w:rsidRPr="008F139C">
        <w:rPr>
          <w:noProof/>
        </w:rPr>
        <w:t>(</w:t>
      </w:r>
      <w:r>
        <w:rPr>
          <w:noProof/>
        </w:rPr>
        <w:t>d</w:t>
      </w:r>
      <w:r w:rsidRPr="008F139C">
        <w:rPr>
          <w:noProof/>
        </w:rPr>
        <w:t>)</w:t>
      </w:r>
      <w:r>
        <w:rPr>
          <w:noProof/>
        </w:rPr>
        <w:tab/>
      </w:r>
      <w:r w:rsidRPr="008F139C">
        <w:rPr>
          <w:noProof/>
        </w:rPr>
        <w:t xml:space="preserve">the implementation of the requirements set out in Article 22(4) and </w:t>
      </w:r>
      <w:r>
        <w:rPr>
          <w:noProof/>
        </w:rPr>
        <w:t xml:space="preserve">Article </w:t>
      </w:r>
      <w:r w:rsidRPr="008F139C">
        <w:rPr>
          <w:noProof/>
        </w:rPr>
        <w:t xml:space="preserve">26d(4) and whether </w:t>
      </w:r>
      <w:r>
        <w:rPr>
          <w:noProof/>
        </w:rPr>
        <w:t>those requirements</w:t>
      </w:r>
      <w:r w:rsidRPr="008F139C">
        <w:rPr>
          <w:noProof/>
        </w:rPr>
        <w:t xml:space="preserve"> may be extended to securitisation where the underlying exposures are not residential loans or auto loans or leases, with a view to mainstreaming environmental, social and governance disclosure</w:t>
      </w:r>
      <w:r>
        <w:rPr>
          <w:noProof/>
        </w:rPr>
        <w:t>s</w:t>
      </w:r>
      <w:r w:rsidRPr="008F139C">
        <w:rPr>
          <w:noProof/>
        </w:rPr>
        <w:t>.</w:t>
      </w:r>
    </w:p>
    <w:p w:rsidR="00DC5712" w:rsidRDefault="00D761DA" w:rsidP="00DC5712">
      <w:pPr>
        <w:pStyle w:val="Titrearticle"/>
        <w:rPr>
          <w:b/>
          <w:bCs/>
          <w:i w:val="0"/>
          <w:iCs/>
          <w:noProof/>
        </w:rPr>
      </w:pPr>
      <w:r w:rsidRPr="00E16CEA">
        <w:rPr>
          <w:noProof/>
          <w:lang w:val="en-IE"/>
        </w:rPr>
        <w:t xml:space="preserve">Article </w:t>
      </w:r>
      <w:r w:rsidR="002B3DE5" w:rsidRPr="00EF20F5">
        <w:rPr>
          <w:noProof/>
        </w:rPr>
        <w:t>2</w:t>
      </w:r>
      <w:r w:rsidR="00DC5712" w:rsidRPr="00DC5712">
        <w:rPr>
          <w:noProof/>
        </w:rPr>
        <w:t xml:space="preserve"> </w:t>
      </w:r>
      <w:r w:rsidR="00DC5712">
        <w:rPr>
          <w:noProof/>
        </w:rPr>
        <w:br/>
      </w:r>
      <w:r w:rsidR="00DC5712">
        <w:rPr>
          <w:b/>
          <w:bCs/>
          <w:i w:val="0"/>
          <w:iCs/>
          <w:noProof/>
        </w:rPr>
        <w:t>Entry into force</w:t>
      </w:r>
    </w:p>
    <w:p w:rsidR="00D761DA" w:rsidRPr="00F96E01" w:rsidRDefault="00D761DA" w:rsidP="00E73ECF">
      <w:pPr>
        <w:rPr>
          <w:noProof/>
        </w:rPr>
      </w:pPr>
      <w:r w:rsidRPr="00F96E01">
        <w:rPr>
          <w:noProof/>
        </w:rPr>
        <w:t xml:space="preserve">This Regulation shall enter into force on the </w:t>
      </w:r>
      <w:r>
        <w:rPr>
          <w:noProof/>
        </w:rPr>
        <w:t>twentieth</w:t>
      </w:r>
      <w:r w:rsidRPr="00F96E01">
        <w:rPr>
          <w:noProof/>
        </w:rPr>
        <w:t xml:space="preserve"> day following that of its publication in the </w:t>
      </w:r>
      <w:r w:rsidRPr="00DC5712">
        <w:rPr>
          <w:noProof/>
        </w:rPr>
        <w:t>Official Journal of the European Union</w:t>
      </w:r>
      <w:r w:rsidRPr="00F96E01">
        <w:rPr>
          <w:noProof/>
        </w:rPr>
        <w:t>.</w:t>
      </w:r>
    </w:p>
    <w:p w:rsidR="00D761DA" w:rsidRPr="00F96E01" w:rsidRDefault="00D761DA">
      <w:pPr>
        <w:pStyle w:val="Applicationdirecte"/>
        <w:rPr>
          <w:noProof/>
        </w:rPr>
      </w:pPr>
      <w:r w:rsidRPr="00F96E01">
        <w:rPr>
          <w:noProof/>
        </w:rPr>
        <w:t>This Regulation shall be binding in its entirety and directly applicable in all Member States.</w:t>
      </w:r>
    </w:p>
    <w:p w:rsidR="00D761DA" w:rsidRDefault="00082703" w:rsidP="001E6185">
      <w:pPr>
        <w:pStyle w:val="Fait"/>
        <w:rPr>
          <w:noProof/>
        </w:rPr>
      </w:pPr>
      <w:r>
        <w:rPr>
          <w:noProof/>
        </w:rPr>
        <w:t>Done at Strasbourg,</w:t>
      </w:r>
    </w:p>
    <w:p w:rsidR="00D761DA" w:rsidRDefault="00D761DA" w:rsidP="001E6185">
      <w:pPr>
        <w:pStyle w:val="Institutionquisigne"/>
        <w:rPr>
          <w:noProof/>
        </w:rPr>
      </w:pPr>
      <w:r w:rsidRPr="00D761DA">
        <w:rPr>
          <w:noProof/>
        </w:rPr>
        <w:t>For the European Parliament</w:t>
      </w:r>
      <w:r w:rsidRPr="00D761DA">
        <w:rPr>
          <w:noProof/>
        </w:rPr>
        <w:tab/>
        <w:t>For the Council</w:t>
      </w:r>
    </w:p>
    <w:p w:rsidR="00D761DA" w:rsidRDefault="00D761DA" w:rsidP="00D761DA">
      <w:pPr>
        <w:pStyle w:val="Personnequisigne"/>
        <w:rPr>
          <w:noProof/>
        </w:rPr>
      </w:pPr>
      <w:r w:rsidRPr="00D761DA">
        <w:rPr>
          <w:noProof/>
        </w:rPr>
        <w:t>The President</w:t>
      </w:r>
      <w:r w:rsidRPr="00D761DA">
        <w:rPr>
          <w:noProof/>
        </w:rPr>
        <w:tab/>
        <w:t>The President</w:t>
      </w:r>
    </w:p>
    <w:p w:rsidR="00D761DA" w:rsidRDefault="00D761DA">
      <w:pPr>
        <w:pStyle w:val="TOC1"/>
        <w:ind w:left="0" w:firstLine="0"/>
        <w:rPr>
          <w:noProof/>
        </w:rPr>
        <w:sectPr w:rsidR="00D761DA" w:rsidSect="001B1F0B">
          <w:pgSz w:w="11907" w:h="16840" w:code="9"/>
          <w:pgMar w:top="1134" w:right="1418" w:bottom="1134" w:left="1418" w:header="709" w:footer="709" w:gutter="0"/>
          <w:pgNumType w:start="1"/>
          <w:cols w:space="720"/>
          <w:docGrid w:linePitch="360"/>
        </w:sectPr>
      </w:pPr>
    </w:p>
    <w:sdt>
      <w:sdtPr>
        <w:rPr>
          <w:b w:val="0"/>
          <w:noProof/>
          <w:u w:val="none"/>
        </w:rPr>
        <w:id w:val="-722060658"/>
        <w:docPartObj>
          <w:docPartGallery w:val="Table of Contents"/>
          <w:docPartUnique/>
        </w:docPartObj>
      </w:sdtPr>
      <w:sdtEndPr/>
      <w:sdtContent>
        <w:p w:rsidR="006B4685" w:rsidRPr="00921B75" w:rsidRDefault="006B4685" w:rsidP="006B4685">
          <w:pPr>
            <w:pStyle w:val="Fichefinanciretitre"/>
            <w:rPr>
              <w:noProof/>
            </w:rPr>
          </w:pPr>
          <w:r w:rsidRPr="00921B75">
            <w:rPr>
              <w:noProof/>
            </w:rPr>
            <w:t>LEGISLATIVE FINANCIAL AND DIGITAL STATEMENT</w:t>
          </w:r>
          <w:r>
            <w:rPr>
              <w:noProof/>
            </w:rPr>
            <w:t xml:space="preserve"> </w:t>
          </w:r>
          <w:r w:rsidR="00423A43">
            <w:rPr>
              <w:noProof/>
            </w:rPr>
            <w:t>–</w:t>
          </w:r>
          <w:r>
            <w:rPr>
              <w:noProof/>
            </w:rPr>
            <w:t xml:space="preserve"> AGENCIES</w:t>
          </w:r>
        </w:p>
        <w:p w:rsidR="00423A43" w:rsidRPr="00423A43" w:rsidRDefault="00423A43" w:rsidP="00423A43">
          <w:pPr>
            <w:rPr>
              <w:noProof/>
            </w:rPr>
          </w:pPr>
        </w:p>
        <w:p w:rsidR="0008284F" w:rsidRDefault="006B4685" w:rsidP="002B2A18">
          <w:pPr>
            <w:pStyle w:val="TOC1"/>
            <w:rPr>
              <w:rFonts w:asciiTheme="minorHAnsi" w:eastAsiaTheme="minorEastAsia" w:hAnsiTheme="minorHAnsi" w:cstheme="minorBidi"/>
              <w:noProof/>
              <w:kern w:val="2"/>
              <w:szCs w:val="24"/>
              <w:lang w:val="en-IE" w:eastAsia="en-IE"/>
              <w14:ligatures w14:val="standardContextual"/>
            </w:rPr>
          </w:pPr>
          <w:r>
            <w:rPr>
              <w:noProof/>
            </w:rPr>
            <w:fldChar w:fldCharType="begin"/>
          </w:r>
          <w:r>
            <w:rPr>
              <w:noProof/>
            </w:rPr>
            <w:instrText xml:space="preserve"> TOC \o "1-3" \h \z \u </w:instrText>
          </w:r>
          <w:r>
            <w:rPr>
              <w:noProof/>
            </w:rPr>
            <w:fldChar w:fldCharType="separate"/>
          </w:r>
          <w:hyperlink w:anchor="_Toc198557752" w:history="1">
            <w:r w:rsidR="0008284F" w:rsidRPr="001C1478">
              <w:rPr>
                <w:rStyle w:val="Hyperlink"/>
                <w:noProof/>
              </w:rPr>
              <w:t>1.</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FRAMEWORK OF THE PROPOSAL/INITIATIVE</w:t>
            </w:r>
            <w:r w:rsidR="0008284F">
              <w:rPr>
                <w:noProof/>
                <w:webHidden/>
              </w:rPr>
              <w:tab/>
            </w:r>
            <w:r w:rsidR="0008284F">
              <w:rPr>
                <w:noProof/>
                <w:webHidden/>
              </w:rPr>
              <w:fldChar w:fldCharType="begin"/>
            </w:r>
            <w:r w:rsidR="0008284F">
              <w:rPr>
                <w:noProof/>
                <w:webHidden/>
              </w:rPr>
              <w:instrText xml:space="preserve"> PAGEREF _Toc198557752 \h </w:instrText>
            </w:r>
            <w:r w:rsidR="0008284F">
              <w:rPr>
                <w:noProof/>
                <w:webHidden/>
              </w:rPr>
            </w:r>
            <w:r w:rsidR="0008284F">
              <w:rPr>
                <w:noProof/>
                <w:webHidden/>
              </w:rPr>
              <w:fldChar w:fldCharType="separate"/>
            </w:r>
            <w:r w:rsidR="00082703">
              <w:rPr>
                <w:noProof/>
                <w:webHidden/>
              </w:rPr>
              <w:t>3</w:t>
            </w:r>
            <w:r w:rsidR="0008284F">
              <w:rPr>
                <w:noProof/>
                <w:webHidden/>
              </w:rPr>
              <w:fldChar w:fldCharType="end"/>
            </w:r>
          </w:hyperlink>
        </w:p>
        <w:p w:rsidR="0008284F" w:rsidRDefault="001E6185">
          <w:pPr>
            <w:pStyle w:val="TOC2"/>
            <w:rPr>
              <w:rFonts w:asciiTheme="minorHAnsi" w:eastAsiaTheme="minorEastAsia" w:hAnsiTheme="minorHAnsi" w:cstheme="minorBidi"/>
              <w:noProof/>
              <w:kern w:val="2"/>
              <w:szCs w:val="24"/>
              <w:lang w:val="en-IE" w:eastAsia="en-IE"/>
              <w14:ligatures w14:val="standardContextual"/>
            </w:rPr>
          </w:pPr>
          <w:hyperlink w:anchor="_Toc198557753" w:history="1">
            <w:r w:rsidR="0008284F" w:rsidRPr="001C1478">
              <w:rPr>
                <w:rStyle w:val="Hyperlink"/>
                <w:noProof/>
              </w:rPr>
              <w:t>1.1.</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Title of the proposal/initiative</w:t>
            </w:r>
            <w:r w:rsidR="0008284F">
              <w:rPr>
                <w:noProof/>
                <w:webHidden/>
              </w:rPr>
              <w:tab/>
            </w:r>
            <w:r w:rsidR="0008284F">
              <w:rPr>
                <w:noProof/>
                <w:webHidden/>
              </w:rPr>
              <w:fldChar w:fldCharType="begin"/>
            </w:r>
            <w:r w:rsidR="0008284F">
              <w:rPr>
                <w:noProof/>
                <w:webHidden/>
              </w:rPr>
              <w:instrText xml:space="preserve"> PAGEREF _Toc198557753 \h </w:instrText>
            </w:r>
            <w:r w:rsidR="0008284F">
              <w:rPr>
                <w:noProof/>
                <w:webHidden/>
              </w:rPr>
            </w:r>
            <w:r w:rsidR="0008284F">
              <w:rPr>
                <w:noProof/>
                <w:webHidden/>
              </w:rPr>
              <w:fldChar w:fldCharType="separate"/>
            </w:r>
            <w:r w:rsidR="00082703">
              <w:rPr>
                <w:noProof/>
                <w:webHidden/>
              </w:rPr>
              <w:t>3</w:t>
            </w:r>
            <w:r w:rsidR="0008284F">
              <w:rPr>
                <w:noProof/>
                <w:webHidden/>
              </w:rPr>
              <w:fldChar w:fldCharType="end"/>
            </w:r>
          </w:hyperlink>
        </w:p>
        <w:p w:rsidR="0008284F" w:rsidRDefault="001E6185">
          <w:pPr>
            <w:pStyle w:val="TOC2"/>
            <w:rPr>
              <w:rFonts w:asciiTheme="minorHAnsi" w:eastAsiaTheme="minorEastAsia" w:hAnsiTheme="minorHAnsi" w:cstheme="minorBidi"/>
              <w:noProof/>
              <w:kern w:val="2"/>
              <w:szCs w:val="24"/>
              <w:lang w:val="en-IE" w:eastAsia="en-IE"/>
              <w14:ligatures w14:val="standardContextual"/>
            </w:rPr>
          </w:pPr>
          <w:hyperlink w:anchor="_Toc198557754" w:history="1">
            <w:r w:rsidR="0008284F" w:rsidRPr="001C1478">
              <w:rPr>
                <w:rStyle w:val="Hyperlink"/>
                <w:noProof/>
              </w:rPr>
              <w:t>1.2.</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Policy area(s) concerned</w:t>
            </w:r>
            <w:r w:rsidR="0008284F">
              <w:rPr>
                <w:noProof/>
                <w:webHidden/>
              </w:rPr>
              <w:tab/>
            </w:r>
            <w:r w:rsidR="0008284F">
              <w:rPr>
                <w:noProof/>
                <w:webHidden/>
              </w:rPr>
              <w:fldChar w:fldCharType="begin"/>
            </w:r>
            <w:r w:rsidR="0008284F">
              <w:rPr>
                <w:noProof/>
                <w:webHidden/>
              </w:rPr>
              <w:instrText xml:space="preserve"> PAGEREF _Toc198557754 \h </w:instrText>
            </w:r>
            <w:r w:rsidR="0008284F">
              <w:rPr>
                <w:noProof/>
                <w:webHidden/>
              </w:rPr>
            </w:r>
            <w:r w:rsidR="0008284F">
              <w:rPr>
                <w:noProof/>
                <w:webHidden/>
              </w:rPr>
              <w:fldChar w:fldCharType="separate"/>
            </w:r>
            <w:r w:rsidR="00082703">
              <w:rPr>
                <w:noProof/>
                <w:webHidden/>
              </w:rPr>
              <w:t>3</w:t>
            </w:r>
            <w:r w:rsidR="0008284F">
              <w:rPr>
                <w:noProof/>
                <w:webHidden/>
              </w:rPr>
              <w:fldChar w:fldCharType="end"/>
            </w:r>
          </w:hyperlink>
        </w:p>
        <w:p w:rsidR="0008284F" w:rsidRDefault="001E6185">
          <w:pPr>
            <w:pStyle w:val="TOC2"/>
            <w:rPr>
              <w:rFonts w:asciiTheme="minorHAnsi" w:eastAsiaTheme="minorEastAsia" w:hAnsiTheme="minorHAnsi" w:cstheme="minorBidi"/>
              <w:noProof/>
              <w:kern w:val="2"/>
              <w:szCs w:val="24"/>
              <w:lang w:val="en-IE" w:eastAsia="en-IE"/>
              <w14:ligatures w14:val="standardContextual"/>
            </w:rPr>
          </w:pPr>
          <w:hyperlink w:anchor="_Toc198557755" w:history="1">
            <w:r w:rsidR="0008284F" w:rsidRPr="001C1478">
              <w:rPr>
                <w:rStyle w:val="Hyperlink"/>
                <w:noProof/>
              </w:rPr>
              <w:t>1.3.</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Objective(s)</w:t>
            </w:r>
            <w:r w:rsidR="0008284F">
              <w:rPr>
                <w:noProof/>
                <w:webHidden/>
              </w:rPr>
              <w:tab/>
            </w:r>
            <w:r w:rsidR="0008284F">
              <w:rPr>
                <w:noProof/>
                <w:webHidden/>
              </w:rPr>
              <w:fldChar w:fldCharType="begin"/>
            </w:r>
            <w:r w:rsidR="0008284F">
              <w:rPr>
                <w:noProof/>
                <w:webHidden/>
              </w:rPr>
              <w:instrText xml:space="preserve"> PAGEREF _Toc198557755 \h </w:instrText>
            </w:r>
            <w:r w:rsidR="0008284F">
              <w:rPr>
                <w:noProof/>
                <w:webHidden/>
              </w:rPr>
            </w:r>
            <w:r w:rsidR="0008284F">
              <w:rPr>
                <w:noProof/>
                <w:webHidden/>
              </w:rPr>
              <w:fldChar w:fldCharType="separate"/>
            </w:r>
            <w:r w:rsidR="00082703">
              <w:rPr>
                <w:noProof/>
                <w:webHidden/>
              </w:rPr>
              <w:t>3</w:t>
            </w:r>
            <w:r w:rsidR="0008284F">
              <w:rPr>
                <w:noProof/>
                <w:webHidden/>
              </w:rPr>
              <w:fldChar w:fldCharType="end"/>
            </w:r>
          </w:hyperlink>
        </w:p>
        <w:p w:rsidR="0008284F" w:rsidRDefault="001E6185">
          <w:pPr>
            <w:pStyle w:val="TOC3"/>
            <w:rPr>
              <w:rFonts w:asciiTheme="minorHAnsi" w:eastAsiaTheme="minorEastAsia" w:hAnsiTheme="minorHAnsi" w:cstheme="minorBidi"/>
              <w:noProof/>
              <w:kern w:val="2"/>
              <w:szCs w:val="24"/>
              <w:lang w:val="en-IE" w:eastAsia="en-IE"/>
              <w14:ligatures w14:val="standardContextual"/>
            </w:rPr>
          </w:pPr>
          <w:hyperlink w:anchor="_Toc198557756" w:history="1">
            <w:r w:rsidR="0008284F" w:rsidRPr="001C1478">
              <w:rPr>
                <w:rStyle w:val="Hyperlink"/>
                <w:noProof/>
              </w:rPr>
              <w:t>1.3.1.</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General objective(s)</w:t>
            </w:r>
            <w:r w:rsidR="0008284F">
              <w:rPr>
                <w:noProof/>
                <w:webHidden/>
              </w:rPr>
              <w:tab/>
            </w:r>
            <w:r w:rsidR="0008284F">
              <w:rPr>
                <w:noProof/>
                <w:webHidden/>
              </w:rPr>
              <w:fldChar w:fldCharType="begin"/>
            </w:r>
            <w:r w:rsidR="0008284F">
              <w:rPr>
                <w:noProof/>
                <w:webHidden/>
              </w:rPr>
              <w:instrText xml:space="preserve"> PAGEREF _Toc198557756 \h </w:instrText>
            </w:r>
            <w:r w:rsidR="0008284F">
              <w:rPr>
                <w:noProof/>
                <w:webHidden/>
              </w:rPr>
            </w:r>
            <w:r w:rsidR="0008284F">
              <w:rPr>
                <w:noProof/>
                <w:webHidden/>
              </w:rPr>
              <w:fldChar w:fldCharType="separate"/>
            </w:r>
            <w:r w:rsidR="00082703">
              <w:rPr>
                <w:noProof/>
                <w:webHidden/>
              </w:rPr>
              <w:t>3</w:t>
            </w:r>
            <w:r w:rsidR="0008284F">
              <w:rPr>
                <w:noProof/>
                <w:webHidden/>
              </w:rPr>
              <w:fldChar w:fldCharType="end"/>
            </w:r>
          </w:hyperlink>
        </w:p>
        <w:p w:rsidR="0008284F" w:rsidRDefault="001E6185">
          <w:pPr>
            <w:pStyle w:val="TOC3"/>
            <w:rPr>
              <w:rFonts w:asciiTheme="minorHAnsi" w:eastAsiaTheme="minorEastAsia" w:hAnsiTheme="minorHAnsi" w:cstheme="minorBidi"/>
              <w:noProof/>
              <w:kern w:val="2"/>
              <w:szCs w:val="24"/>
              <w:lang w:val="en-IE" w:eastAsia="en-IE"/>
              <w14:ligatures w14:val="standardContextual"/>
            </w:rPr>
          </w:pPr>
          <w:hyperlink w:anchor="_Toc198557757" w:history="1">
            <w:r w:rsidR="0008284F" w:rsidRPr="001C1478">
              <w:rPr>
                <w:rStyle w:val="Hyperlink"/>
                <w:noProof/>
              </w:rPr>
              <w:t>1.3.2.</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Specific objective(s)</w:t>
            </w:r>
            <w:r w:rsidR="0008284F">
              <w:rPr>
                <w:noProof/>
                <w:webHidden/>
              </w:rPr>
              <w:tab/>
            </w:r>
            <w:r w:rsidR="0008284F">
              <w:rPr>
                <w:noProof/>
                <w:webHidden/>
              </w:rPr>
              <w:fldChar w:fldCharType="begin"/>
            </w:r>
            <w:r w:rsidR="0008284F">
              <w:rPr>
                <w:noProof/>
                <w:webHidden/>
              </w:rPr>
              <w:instrText xml:space="preserve"> PAGEREF _Toc198557757 \h </w:instrText>
            </w:r>
            <w:r w:rsidR="0008284F">
              <w:rPr>
                <w:noProof/>
                <w:webHidden/>
              </w:rPr>
            </w:r>
            <w:r w:rsidR="0008284F">
              <w:rPr>
                <w:noProof/>
                <w:webHidden/>
              </w:rPr>
              <w:fldChar w:fldCharType="separate"/>
            </w:r>
            <w:r w:rsidR="00082703">
              <w:rPr>
                <w:noProof/>
                <w:webHidden/>
              </w:rPr>
              <w:t>3</w:t>
            </w:r>
            <w:r w:rsidR="0008284F">
              <w:rPr>
                <w:noProof/>
                <w:webHidden/>
              </w:rPr>
              <w:fldChar w:fldCharType="end"/>
            </w:r>
          </w:hyperlink>
        </w:p>
        <w:p w:rsidR="0008284F" w:rsidRDefault="001E6185">
          <w:pPr>
            <w:pStyle w:val="TOC3"/>
            <w:rPr>
              <w:rFonts w:asciiTheme="minorHAnsi" w:eastAsiaTheme="minorEastAsia" w:hAnsiTheme="minorHAnsi" w:cstheme="minorBidi"/>
              <w:noProof/>
              <w:kern w:val="2"/>
              <w:szCs w:val="24"/>
              <w:lang w:val="en-IE" w:eastAsia="en-IE"/>
              <w14:ligatures w14:val="standardContextual"/>
            </w:rPr>
          </w:pPr>
          <w:hyperlink w:anchor="_Toc198557758" w:history="1">
            <w:r w:rsidR="0008284F" w:rsidRPr="001C1478">
              <w:rPr>
                <w:rStyle w:val="Hyperlink"/>
                <w:noProof/>
              </w:rPr>
              <w:t>1.3.3.</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Expected result(s) and impact</w:t>
            </w:r>
            <w:r w:rsidR="0008284F">
              <w:rPr>
                <w:noProof/>
                <w:webHidden/>
              </w:rPr>
              <w:tab/>
            </w:r>
            <w:r w:rsidR="0008284F">
              <w:rPr>
                <w:noProof/>
                <w:webHidden/>
              </w:rPr>
              <w:fldChar w:fldCharType="begin"/>
            </w:r>
            <w:r w:rsidR="0008284F">
              <w:rPr>
                <w:noProof/>
                <w:webHidden/>
              </w:rPr>
              <w:instrText xml:space="preserve"> PAGEREF _Toc198557758 \h </w:instrText>
            </w:r>
            <w:r w:rsidR="0008284F">
              <w:rPr>
                <w:noProof/>
                <w:webHidden/>
              </w:rPr>
            </w:r>
            <w:r w:rsidR="0008284F">
              <w:rPr>
                <w:noProof/>
                <w:webHidden/>
              </w:rPr>
              <w:fldChar w:fldCharType="separate"/>
            </w:r>
            <w:r w:rsidR="00082703">
              <w:rPr>
                <w:noProof/>
                <w:webHidden/>
              </w:rPr>
              <w:t>3</w:t>
            </w:r>
            <w:r w:rsidR="0008284F">
              <w:rPr>
                <w:noProof/>
                <w:webHidden/>
              </w:rPr>
              <w:fldChar w:fldCharType="end"/>
            </w:r>
          </w:hyperlink>
        </w:p>
        <w:p w:rsidR="0008284F" w:rsidRDefault="001E6185">
          <w:pPr>
            <w:pStyle w:val="TOC3"/>
            <w:rPr>
              <w:rFonts w:asciiTheme="minorHAnsi" w:eastAsiaTheme="minorEastAsia" w:hAnsiTheme="minorHAnsi" w:cstheme="minorBidi"/>
              <w:noProof/>
              <w:kern w:val="2"/>
              <w:szCs w:val="24"/>
              <w:lang w:val="en-IE" w:eastAsia="en-IE"/>
              <w14:ligatures w14:val="standardContextual"/>
            </w:rPr>
          </w:pPr>
          <w:hyperlink w:anchor="_Toc198557759" w:history="1">
            <w:r w:rsidR="0008284F" w:rsidRPr="001C1478">
              <w:rPr>
                <w:rStyle w:val="Hyperlink"/>
                <w:noProof/>
              </w:rPr>
              <w:t>1.3.4.</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Indicators of performance</w:t>
            </w:r>
            <w:r w:rsidR="0008284F">
              <w:rPr>
                <w:noProof/>
                <w:webHidden/>
              </w:rPr>
              <w:tab/>
            </w:r>
            <w:r w:rsidR="0008284F">
              <w:rPr>
                <w:noProof/>
                <w:webHidden/>
              </w:rPr>
              <w:fldChar w:fldCharType="begin"/>
            </w:r>
            <w:r w:rsidR="0008284F">
              <w:rPr>
                <w:noProof/>
                <w:webHidden/>
              </w:rPr>
              <w:instrText xml:space="preserve"> PAGEREF _Toc198557759 \h </w:instrText>
            </w:r>
            <w:r w:rsidR="0008284F">
              <w:rPr>
                <w:noProof/>
                <w:webHidden/>
              </w:rPr>
            </w:r>
            <w:r w:rsidR="0008284F">
              <w:rPr>
                <w:noProof/>
                <w:webHidden/>
              </w:rPr>
              <w:fldChar w:fldCharType="separate"/>
            </w:r>
            <w:r w:rsidR="00082703">
              <w:rPr>
                <w:noProof/>
                <w:webHidden/>
              </w:rPr>
              <w:t>4</w:t>
            </w:r>
            <w:r w:rsidR="0008284F">
              <w:rPr>
                <w:noProof/>
                <w:webHidden/>
              </w:rPr>
              <w:fldChar w:fldCharType="end"/>
            </w:r>
          </w:hyperlink>
        </w:p>
        <w:p w:rsidR="0008284F" w:rsidRDefault="001E6185">
          <w:pPr>
            <w:pStyle w:val="TOC2"/>
            <w:rPr>
              <w:rFonts w:asciiTheme="minorHAnsi" w:eastAsiaTheme="minorEastAsia" w:hAnsiTheme="minorHAnsi" w:cstheme="minorBidi"/>
              <w:noProof/>
              <w:kern w:val="2"/>
              <w:szCs w:val="24"/>
              <w:lang w:val="en-IE" w:eastAsia="en-IE"/>
              <w14:ligatures w14:val="standardContextual"/>
            </w:rPr>
          </w:pPr>
          <w:hyperlink w:anchor="_Toc198557760" w:history="1">
            <w:r w:rsidR="0008284F" w:rsidRPr="001C1478">
              <w:rPr>
                <w:rStyle w:val="Hyperlink"/>
                <w:noProof/>
              </w:rPr>
              <w:t>1.4.</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The proposal/initiative relates to:</w:t>
            </w:r>
            <w:r w:rsidR="0008284F">
              <w:rPr>
                <w:noProof/>
                <w:webHidden/>
              </w:rPr>
              <w:tab/>
            </w:r>
            <w:r w:rsidR="0008284F">
              <w:rPr>
                <w:noProof/>
                <w:webHidden/>
              </w:rPr>
              <w:fldChar w:fldCharType="begin"/>
            </w:r>
            <w:r w:rsidR="0008284F">
              <w:rPr>
                <w:noProof/>
                <w:webHidden/>
              </w:rPr>
              <w:instrText xml:space="preserve"> PAGEREF _Toc198557760 \h </w:instrText>
            </w:r>
            <w:r w:rsidR="0008284F">
              <w:rPr>
                <w:noProof/>
                <w:webHidden/>
              </w:rPr>
            </w:r>
            <w:r w:rsidR="0008284F">
              <w:rPr>
                <w:noProof/>
                <w:webHidden/>
              </w:rPr>
              <w:fldChar w:fldCharType="separate"/>
            </w:r>
            <w:r w:rsidR="00082703">
              <w:rPr>
                <w:noProof/>
                <w:webHidden/>
              </w:rPr>
              <w:t>4</w:t>
            </w:r>
            <w:r w:rsidR="0008284F">
              <w:rPr>
                <w:noProof/>
                <w:webHidden/>
              </w:rPr>
              <w:fldChar w:fldCharType="end"/>
            </w:r>
          </w:hyperlink>
        </w:p>
        <w:p w:rsidR="0008284F" w:rsidRDefault="001E6185">
          <w:pPr>
            <w:pStyle w:val="TOC2"/>
            <w:rPr>
              <w:rFonts w:asciiTheme="minorHAnsi" w:eastAsiaTheme="minorEastAsia" w:hAnsiTheme="minorHAnsi" w:cstheme="minorBidi"/>
              <w:noProof/>
              <w:kern w:val="2"/>
              <w:szCs w:val="24"/>
              <w:lang w:val="en-IE" w:eastAsia="en-IE"/>
              <w14:ligatures w14:val="standardContextual"/>
            </w:rPr>
          </w:pPr>
          <w:hyperlink w:anchor="_Toc198557761" w:history="1">
            <w:r w:rsidR="0008284F" w:rsidRPr="001C1478">
              <w:rPr>
                <w:rStyle w:val="Hyperlink"/>
                <w:noProof/>
              </w:rPr>
              <w:t>1.5.</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Grounds for the proposal/initiative</w:t>
            </w:r>
            <w:r w:rsidR="0008284F">
              <w:rPr>
                <w:noProof/>
                <w:webHidden/>
              </w:rPr>
              <w:tab/>
            </w:r>
            <w:r w:rsidR="0008284F">
              <w:rPr>
                <w:noProof/>
                <w:webHidden/>
              </w:rPr>
              <w:fldChar w:fldCharType="begin"/>
            </w:r>
            <w:r w:rsidR="0008284F">
              <w:rPr>
                <w:noProof/>
                <w:webHidden/>
              </w:rPr>
              <w:instrText xml:space="preserve"> PAGEREF _Toc198557761 \h </w:instrText>
            </w:r>
            <w:r w:rsidR="0008284F">
              <w:rPr>
                <w:noProof/>
                <w:webHidden/>
              </w:rPr>
            </w:r>
            <w:r w:rsidR="0008284F">
              <w:rPr>
                <w:noProof/>
                <w:webHidden/>
              </w:rPr>
              <w:fldChar w:fldCharType="separate"/>
            </w:r>
            <w:r w:rsidR="00082703">
              <w:rPr>
                <w:noProof/>
                <w:webHidden/>
              </w:rPr>
              <w:t>4</w:t>
            </w:r>
            <w:r w:rsidR="0008284F">
              <w:rPr>
                <w:noProof/>
                <w:webHidden/>
              </w:rPr>
              <w:fldChar w:fldCharType="end"/>
            </w:r>
          </w:hyperlink>
        </w:p>
        <w:p w:rsidR="0008284F" w:rsidRDefault="001E6185">
          <w:pPr>
            <w:pStyle w:val="TOC3"/>
            <w:rPr>
              <w:rFonts w:asciiTheme="minorHAnsi" w:eastAsiaTheme="minorEastAsia" w:hAnsiTheme="minorHAnsi" w:cstheme="minorBidi"/>
              <w:noProof/>
              <w:kern w:val="2"/>
              <w:szCs w:val="24"/>
              <w:lang w:val="en-IE" w:eastAsia="en-IE"/>
              <w14:ligatures w14:val="standardContextual"/>
            </w:rPr>
          </w:pPr>
          <w:hyperlink w:anchor="_Toc198557762" w:history="1">
            <w:r w:rsidR="0008284F" w:rsidRPr="001C1478">
              <w:rPr>
                <w:rStyle w:val="Hyperlink"/>
                <w:noProof/>
              </w:rPr>
              <w:t>1.5.1.</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Requirement(s) to be met in the short or long term including a detailed timeline for roll-out of the implementation of the initiative</w:t>
            </w:r>
            <w:r w:rsidR="0008284F">
              <w:rPr>
                <w:noProof/>
                <w:webHidden/>
              </w:rPr>
              <w:tab/>
            </w:r>
            <w:r w:rsidR="0008284F">
              <w:rPr>
                <w:noProof/>
                <w:webHidden/>
              </w:rPr>
              <w:fldChar w:fldCharType="begin"/>
            </w:r>
            <w:r w:rsidR="0008284F">
              <w:rPr>
                <w:noProof/>
                <w:webHidden/>
              </w:rPr>
              <w:instrText xml:space="preserve"> PAGEREF _Toc198557762 \h </w:instrText>
            </w:r>
            <w:r w:rsidR="0008284F">
              <w:rPr>
                <w:noProof/>
                <w:webHidden/>
              </w:rPr>
            </w:r>
            <w:r w:rsidR="0008284F">
              <w:rPr>
                <w:noProof/>
                <w:webHidden/>
              </w:rPr>
              <w:fldChar w:fldCharType="separate"/>
            </w:r>
            <w:r w:rsidR="00082703">
              <w:rPr>
                <w:noProof/>
                <w:webHidden/>
              </w:rPr>
              <w:t>4</w:t>
            </w:r>
            <w:r w:rsidR="0008284F">
              <w:rPr>
                <w:noProof/>
                <w:webHidden/>
              </w:rPr>
              <w:fldChar w:fldCharType="end"/>
            </w:r>
          </w:hyperlink>
        </w:p>
        <w:p w:rsidR="0008284F" w:rsidRDefault="001E6185">
          <w:pPr>
            <w:pStyle w:val="TOC3"/>
            <w:rPr>
              <w:rFonts w:asciiTheme="minorHAnsi" w:eastAsiaTheme="minorEastAsia" w:hAnsiTheme="minorHAnsi" w:cstheme="minorBidi"/>
              <w:noProof/>
              <w:kern w:val="2"/>
              <w:szCs w:val="24"/>
              <w:lang w:val="en-IE" w:eastAsia="en-IE"/>
              <w14:ligatures w14:val="standardContextual"/>
            </w:rPr>
          </w:pPr>
          <w:hyperlink w:anchor="_Toc198557763" w:history="1">
            <w:r w:rsidR="0008284F" w:rsidRPr="001C1478">
              <w:rPr>
                <w:rStyle w:val="Hyperlink"/>
                <w:noProof/>
              </w:rPr>
              <w:t>1.5.2.</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Added value of EU involvement (it may result from different factors, e.g. coordination gains, legal certainty, greater effectiveness or complementarities). For the purposes of this section 'added value of EU involvement' is the value resulting from EU action that is additional to the value that would have been otherwise created by Member States alone.</w:t>
            </w:r>
            <w:r w:rsidR="0008284F">
              <w:rPr>
                <w:noProof/>
                <w:webHidden/>
              </w:rPr>
              <w:tab/>
            </w:r>
            <w:r w:rsidR="0008284F">
              <w:rPr>
                <w:noProof/>
                <w:webHidden/>
              </w:rPr>
              <w:fldChar w:fldCharType="begin"/>
            </w:r>
            <w:r w:rsidR="0008284F">
              <w:rPr>
                <w:noProof/>
                <w:webHidden/>
              </w:rPr>
              <w:instrText xml:space="preserve"> PAGEREF _Toc198557763 \h </w:instrText>
            </w:r>
            <w:r w:rsidR="0008284F">
              <w:rPr>
                <w:noProof/>
                <w:webHidden/>
              </w:rPr>
            </w:r>
            <w:r w:rsidR="0008284F">
              <w:rPr>
                <w:noProof/>
                <w:webHidden/>
              </w:rPr>
              <w:fldChar w:fldCharType="separate"/>
            </w:r>
            <w:r w:rsidR="00082703">
              <w:rPr>
                <w:noProof/>
                <w:webHidden/>
              </w:rPr>
              <w:t>4</w:t>
            </w:r>
            <w:r w:rsidR="0008284F">
              <w:rPr>
                <w:noProof/>
                <w:webHidden/>
              </w:rPr>
              <w:fldChar w:fldCharType="end"/>
            </w:r>
          </w:hyperlink>
        </w:p>
        <w:p w:rsidR="0008284F" w:rsidRDefault="001E6185">
          <w:pPr>
            <w:pStyle w:val="TOC3"/>
            <w:rPr>
              <w:rFonts w:asciiTheme="minorHAnsi" w:eastAsiaTheme="minorEastAsia" w:hAnsiTheme="minorHAnsi" w:cstheme="minorBidi"/>
              <w:noProof/>
              <w:kern w:val="2"/>
              <w:szCs w:val="24"/>
              <w:lang w:val="en-IE" w:eastAsia="en-IE"/>
              <w14:ligatures w14:val="standardContextual"/>
            </w:rPr>
          </w:pPr>
          <w:hyperlink w:anchor="_Toc198557764" w:history="1">
            <w:r w:rsidR="0008284F" w:rsidRPr="001C1478">
              <w:rPr>
                <w:rStyle w:val="Hyperlink"/>
                <w:noProof/>
              </w:rPr>
              <w:t>1.5.3.</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Lessons learned from similar experiences in the past</w:t>
            </w:r>
            <w:r w:rsidR="0008284F">
              <w:rPr>
                <w:noProof/>
                <w:webHidden/>
              </w:rPr>
              <w:tab/>
            </w:r>
            <w:r w:rsidR="0008284F">
              <w:rPr>
                <w:noProof/>
                <w:webHidden/>
              </w:rPr>
              <w:fldChar w:fldCharType="begin"/>
            </w:r>
            <w:r w:rsidR="0008284F">
              <w:rPr>
                <w:noProof/>
                <w:webHidden/>
              </w:rPr>
              <w:instrText xml:space="preserve"> PAGEREF _Toc198557764 \h </w:instrText>
            </w:r>
            <w:r w:rsidR="0008284F">
              <w:rPr>
                <w:noProof/>
                <w:webHidden/>
              </w:rPr>
            </w:r>
            <w:r w:rsidR="0008284F">
              <w:rPr>
                <w:noProof/>
                <w:webHidden/>
              </w:rPr>
              <w:fldChar w:fldCharType="separate"/>
            </w:r>
            <w:r w:rsidR="00082703">
              <w:rPr>
                <w:noProof/>
                <w:webHidden/>
              </w:rPr>
              <w:t>5</w:t>
            </w:r>
            <w:r w:rsidR="0008284F">
              <w:rPr>
                <w:noProof/>
                <w:webHidden/>
              </w:rPr>
              <w:fldChar w:fldCharType="end"/>
            </w:r>
          </w:hyperlink>
        </w:p>
        <w:p w:rsidR="0008284F" w:rsidRDefault="001E6185">
          <w:pPr>
            <w:pStyle w:val="TOC3"/>
            <w:rPr>
              <w:rFonts w:asciiTheme="minorHAnsi" w:eastAsiaTheme="minorEastAsia" w:hAnsiTheme="minorHAnsi" w:cstheme="minorBidi"/>
              <w:noProof/>
              <w:kern w:val="2"/>
              <w:szCs w:val="24"/>
              <w:lang w:val="en-IE" w:eastAsia="en-IE"/>
              <w14:ligatures w14:val="standardContextual"/>
            </w:rPr>
          </w:pPr>
          <w:hyperlink w:anchor="_Toc198557765" w:history="1">
            <w:r w:rsidR="0008284F" w:rsidRPr="001C1478">
              <w:rPr>
                <w:rStyle w:val="Hyperlink"/>
                <w:noProof/>
              </w:rPr>
              <w:t>1.5.4.</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Compatibility with the multiannual financial framework and possible synergies with other appropriate instruments</w:t>
            </w:r>
            <w:r w:rsidR="0008284F">
              <w:rPr>
                <w:noProof/>
                <w:webHidden/>
              </w:rPr>
              <w:tab/>
            </w:r>
            <w:r w:rsidR="0008284F">
              <w:rPr>
                <w:noProof/>
                <w:webHidden/>
              </w:rPr>
              <w:fldChar w:fldCharType="begin"/>
            </w:r>
            <w:r w:rsidR="0008284F">
              <w:rPr>
                <w:noProof/>
                <w:webHidden/>
              </w:rPr>
              <w:instrText xml:space="preserve"> PAGEREF _Toc198557765 \h </w:instrText>
            </w:r>
            <w:r w:rsidR="0008284F">
              <w:rPr>
                <w:noProof/>
                <w:webHidden/>
              </w:rPr>
            </w:r>
            <w:r w:rsidR="0008284F">
              <w:rPr>
                <w:noProof/>
                <w:webHidden/>
              </w:rPr>
              <w:fldChar w:fldCharType="separate"/>
            </w:r>
            <w:r w:rsidR="00082703">
              <w:rPr>
                <w:noProof/>
                <w:webHidden/>
              </w:rPr>
              <w:t>5</w:t>
            </w:r>
            <w:r w:rsidR="0008284F">
              <w:rPr>
                <w:noProof/>
                <w:webHidden/>
              </w:rPr>
              <w:fldChar w:fldCharType="end"/>
            </w:r>
          </w:hyperlink>
        </w:p>
        <w:p w:rsidR="0008284F" w:rsidRDefault="001E6185">
          <w:pPr>
            <w:pStyle w:val="TOC3"/>
            <w:rPr>
              <w:rFonts w:asciiTheme="minorHAnsi" w:eastAsiaTheme="minorEastAsia" w:hAnsiTheme="minorHAnsi" w:cstheme="minorBidi"/>
              <w:noProof/>
              <w:kern w:val="2"/>
              <w:szCs w:val="24"/>
              <w:lang w:val="en-IE" w:eastAsia="en-IE"/>
              <w14:ligatures w14:val="standardContextual"/>
            </w:rPr>
          </w:pPr>
          <w:hyperlink w:anchor="_Toc198557766" w:history="1">
            <w:r w:rsidR="0008284F" w:rsidRPr="001C1478">
              <w:rPr>
                <w:rStyle w:val="Hyperlink"/>
                <w:noProof/>
              </w:rPr>
              <w:t>1.5.5.</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Assessment of the different available financing options, including scope for redeployment</w:t>
            </w:r>
            <w:r w:rsidR="0008284F">
              <w:rPr>
                <w:noProof/>
                <w:webHidden/>
              </w:rPr>
              <w:tab/>
            </w:r>
            <w:r w:rsidR="0008284F">
              <w:rPr>
                <w:noProof/>
                <w:webHidden/>
              </w:rPr>
              <w:fldChar w:fldCharType="begin"/>
            </w:r>
            <w:r w:rsidR="0008284F">
              <w:rPr>
                <w:noProof/>
                <w:webHidden/>
              </w:rPr>
              <w:instrText xml:space="preserve"> PAGEREF _Toc198557766 \h </w:instrText>
            </w:r>
            <w:r w:rsidR="0008284F">
              <w:rPr>
                <w:noProof/>
                <w:webHidden/>
              </w:rPr>
            </w:r>
            <w:r w:rsidR="0008284F">
              <w:rPr>
                <w:noProof/>
                <w:webHidden/>
              </w:rPr>
              <w:fldChar w:fldCharType="separate"/>
            </w:r>
            <w:r w:rsidR="00082703">
              <w:rPr>
                <w:noProof/>
                <w:webHidden/>
              </w:rPr>
              <w:t>6</w:t>
            </w:r>
            <w:r w:rsidR="0008284F">
              <w:rPr>
                <w:noProof/>
                <w:webHidden/>
              </w:rPr>
              <w:fldChar w:fldCharType="end"/>
            </w:r>
          </w:hyperlink>
        </w:p>
        <w:p w:rsidR="0008284F" w:rsidRDefault="001E6185">
          <w:pPr>
            <w:pStyle w:val="TOC2"/>
            <w:rPr>
              <w:rFonts w:asciiTheme="minorHAnsi" w:eastAsiaTheme="minorEastAsia" w:hAnsiTheme="minorHAnsi" w:cstheme="minorBidi"/>
              <w:noProof/>
              <w:kern w:val="2"/>
              <w:szCs w:val="24"/>
              <w:lang w:val="en-IE" w:eastAsia="en-IE"/>
              <w14:ligatures w14:val="standardContextual"/>
            </w:rPr>
          </w:pPr>
          <w:hyperlink w:anchor="_Toc198557767" w:history="1">
            <w:r w:rsidR="0008284F" w:rsidRPr="001C1478">
              <w:rPr>
                <w:rStyle w:val="Hyperlink"/>
                <w:noProof/>
              </w:rPr>
              <w:t>1.6.</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Duration of the proposal/initiative and of its financial impact</w:t>
            </w:r>
            <w:r w:rsidR="0008284F">
              <w:rPr>
                <w:noProof/>
                <w:webHidden/>
              </w:rPr>
              <w:tab/>
            </w:r>
            <w:r w:rsidR="0008284F">
              <w:rPr>
                <w:noProof/>
                <w:webHidden/>
              </w:rPr>
              <w:fldChar w:fldCharType="begin"/>
            </w:r>
            <w:r w:rsidR="0008284F">
              <w:rPr>
                <w:noProof/>
                <w:webHidden/>
              </w:rPr>
              <w:instrText xml:space="preserve"> PAGEREF _Toc198557767 \h </w:instrText>
            </w:r>
            <w:r w:rsidR="0008284F">
              <w:rPr>
                <w:noProof/>
                <w:webHidden/>
              </w:rPr>
            </w:r>
            <w:r w:rsidR="0008284F">
              <w:rPr>
                <w:noProof/>
                <w:webHidden/>
              </w:rPr>
              <w:fldChar w:fldCharType="separate"/>
            </w:r>
            <w:r w:rsidR="00082703">
              <w:rPr>
                <w:noProof/>
                <w:webHidden/>
              </w:rPr>
              <w:t>7</w:t>
            </w:r>
            <w:r w:rsidR="0008284F">
              <w:rPr>
                <w:noProof/>
                <w:webHidden/>
              </w:rPr>
              <w:fldChar w:fldCharType="end"/>
            </w:r>
          </w:hyperlink>
        </w:p>
        <w:p w:rsidR="0008284F" w:rsidRDefault="001E6185">
          <w:pPr>
            <w:pStyle w:val="TOC2"/>
            <w:rPr>
              <w:rFonts w:asciiTheme="minorHAnsi" w:eastAsiaTheme="minorEastAsia" w:hAnsiTheme="minorHAnsi" w:cstheme="minorBidi"/>
              <w:noProof/>
              <w:kern w:val="2"/>
              <w:szCs w:val="24"/>
              <w:lang w:val="en-IE" w:eastAsia="en-IE"/>
              <w14:ligatures w14:val="standardContextual"/>
            </w:rPr>
          </w:pPr>
          <w:hyperlink w:anchor="_Toc198557768" w:history="1">
            <w:r w:rsidR="0008284F" w:rsidRPr="001C1478">
              <w:rPr>
                <w:rStyle w:val="Hyperlink"/>
                <w:noProof/>
              </w:rPr>
              <w:t>1.7.</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Method(s) of budget implementation planned</w:t>
            </w:r>
            <w:r w:rsidR="0008284F">
              <w:rPr>
                <w:noProof/>
                <w:webHidden/>
              </w:rPr>
              <w:tab/>
            </w:r>
            <w:r w:rsidR="0008284F">
              <w:rPr>
                <w:noProof/>
                <w:webHidden/>
              </w:rPr>
              <w:fldChar w:fldCharType="begin"/>
            </w:r>
            <w:r w:rsidR="0008284F">
              <w:rPr>
                <w:noProof/>
                <w:webHidden/>
              </w:rPr>
              <w:instrText xml:space="preserve"> PAGEREF _Toc198557768 \h </w:instrText>
            </w:r>
            <w:r w:rsidR="0008284F">
              <w:rPr>
                <w:noProof/>
                <w:webHidden/>
              </w:rPr>
            </w:r>
            <w:r w:rsidR="0008284F">
              <w:rPr>
                <w:noProof/>
                <w:webHidden/>
              </w:rPr>
              <w:fldChar w:fldCharType="separate"/>
            </w:r>
            <w:r w:rsidR="00082703">
              <w:rPr>
                <w:noProof/>
                <w:webHidden/>
              </w:rPr>
              <w:t>7</w:t>
            </w:r>
            <w:r w:rsidR="0008284F">
              <w:rPr>
                <w:noProof/>
                <w:webHidden/>
              </w:rPr>
              <w:fldChar w:fldCharType="end"/>
            </w:r>
          </w:hyperlink>
        </w:p>
        <w:p w:rsidR="0008284F" w:rsidRDefault="001E6185">
          <w:pPr>
            <w:pStyle w:val="TOC1"/>
            <w:rPr>
              <w:rFonts w:asciiTheme="minorHAnsi" w:eastAsiaTheme="minorEastAsia" w:hAnsiTheme="minorHAnsi" w:cstheme="minorBidi"/>
              <w:noProof/>
              <w:kern w:val="2"/>
              <w:szCs w:val="24"/>
              <w:lang w:val="en-IE" w:eastAsia="en-IE"/>
              <w14:ligatures w14:val="standardContextual"/>
            </w:rPr>
          </w:pPr>
          <w:hyperlink w:anchor="_Toc198557769" w:history="1">
            <w:r w:rsidR="0008284F" w:rsidRPr="001C1478">
              <w:rPr>
                <w:rStyle w:val="Hyperlink"/>
                <w:noProof/>
              </w:rPr>
              <w:t>2.</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MANAGEMENT MEASURES</w:t>
            </w:r>
            <w:r w:rsidR="0008284F">
              <w:rPr>
                <w:noProof/>
                <w:webHidden/>
              </w:rPr>
              <w:tab/>
            </w:r>
            <w:r w:rsidR="0008284F">
              <w:rPr>
                <w:noProof/>
                <w:webHidden/>
              </w:rPr>
              <w:fldChar w:fldCharType="begin"/>
            </w:r>
            <w:r w:rsidR="0008284F">
              <w:rPr>
                <w:noProof/>
                <w:webHidden/>
              </w:rPr>
              <w:instrText xml:space="preserve"> PAGEREF _Toc198557769 \h </w:instrText>
            </w:r>
            <w:r w:rsidR="0008284F">
              <w:rPr>
                <w:noProof/>
                <w:webHidden/>
              </w:rPr>
            </w:r>
            <w:r w:rsidR="0008284F">
              <w:rPr>
                <w:noProof/>
                <w:webHidden/>
              </w:rPr>
              <w:fldChar w:fldCharType="separate"/>
            </w:r>
            <w:r w:rsidR="00082703">
              <w:rPr>
                <w:noProof/>
                <w:webHidden/>
              </w:rPr>
              <w:t>9</w:t>
            </w:r>
            <w:r w:rsidR="0008284F">
              <w:rPr>
                <w:noProof/>
                <w:webHidden/>
              </w:rPr>
              <w:fldChar w:fldCharType="end"/>
            </w:r>
          </w:hyperlink>
        </w:p>
        <w:p w:rsidR="0008284F" w:rsidRDefault="001E6185">
          <w:pPr>
            <w:pStyle w:val="TOC2"/>
            <w:rPr>
              <w:rFonts w:asciiTheme="minorHAnsi" w:eastAsiaTheme="minorEastAsia" w:hAnsiTheme="minorHAnsi" w:cstheme="minorBidi"/>
              <w:noProof/>
              <w:kern w:val="2"/>
              <w:szCs w:val="24"/>
              <w:lang w:val="en-IE" w:eastAsia="en-IE"/>
              <w14:ligatures w14:val="standardContextual"/>
            </w:rPr>
          </w:pPr>
          <w:hyperlink w:anchor="_Toc198557770" w:history="1">
            <w:r w:rsidR="0008284F" w:rsidRPr="001C1478">
              <w:rPr>
                <w:rStyle w:val="Hyperlink"/>
                <w:noProof/>
              </w:rPr>
              <w:t>2.1.</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Monitoring and reporting rules</w:t>
            </w:r>
            <w:r w:rsidR="0008284F">
              <w:rPr>
                <w:noProof/>
                <w:webHidden/>
              </w:rPr>
              <w:tab/>
            </w:r>
            <w:r w:rsidR="0008284F">
              <w:rPr>
                <w:noProof/>
                <w:webHidden/>
              </w:rPr>
              <w:fldChar w:fldCharType="begin"/>
            </w:r>
            <w:r w:rsidR="0008284F">
              <w:rPr>
                <w:noProof/>
                <w:webHidden/>
              </w:rPr>
              <w:instrText xml:space="preserve"> PAGEREF _Toc198557770 \h </w:instrText>
            </w:r>
            <w:r w:rsidR="0008284F">
              <w:rPr>
                <w:noProof/>
                <w:webHidden/>
              </w:rPr>
            </w:r>
            <w:r w:rsidR="0008284F">
              <w:rPr>
                <w:noProof/>
                <w:webHidden/>
              </w:rPr>
              <w:fldChar w:fldCharType="separate"/>
            </w:r>
            <w:r w:rsidR="00082703">
              <w:rPr>
                <w:noProof/>
                <w:webHidden/>
              </w:rPr>
              <w:t>9</w:t>
            </w:r>
            <w:r w:rsidR="0008284F">
              <w:rPr>
                <w:noProof/>
                <w:webHidden/>
              </w:rPr>
              <w:fldChar w:fldCharType="end"/>
            </w:r>
          </w:hyperlink>
        </w:p>
        <w:p w:rsidR="0008284F" w:rsidRDefault="001E6185">
          <w:pPr>
            <w:pStyle w:val="TOC2"/>
            <w:rPr>
              <w:rFonts w:asciiTheme="minorHAnsi" w:eastAsiaTheme="minorEastAsia" w:hAnsiTheme="minorHAnsi" w:cstheme="minorBidi"/>
              <w:noProof/>
              <w:kern w:val="2"/>
              <w:szCs w:val="24"/>
              <w:lang w:val="en-IE" w:eastAsia="en-IE"/>
              <w14:ligatures w14:val="standardContextual"/>
            </w:rPr>
          </w:pPr>
          <w:hyperlink w:anchor="_Toc198557771" w:history="1">
            <w:r w:rsidR="0008284F" w:rsidRPr="001C1478">
              <w:rPr>
                <w:rStyle w:val="Hyperlink"/>
                <w:noProof/>
              </w:rPr>
              <w:t>2.2.</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Management and control system(s)</w:t>
            </w:r>
            <w:r w:rsidR="0008284F">
              <w:rPr>
                <w:noProof/>
                <w:webHidden/>
              </w:rPr>
              <w:tab/>
            </w:r>
            <w:r w:rsidR="0008284F">
              <w:rPr>
                <w:noProof/>
                <w:webHidden/>
              </w:rPr>
              <w:fldChar w:fldCharType="begin"/>
            </w:r>
            <w:r w:rsidR="0008284F">
              <w:rPr>
                <w:noProof/>
                <w:webHidden/>
              </w:rPr>
              <w:instrText xml:space="preserve"> PAGEREF _Toc198557771 \h </w:instrText>
            </w:r>
            <w:r w:rsidR="0008284F">
              <w:rPr>
                <w:noProof/>
                <w:webHidden/>
              </w:rPr>
            </w:r>
            <w:r w:rsidR="0008284F">
              <w:rPr>
                <w:noProof/>
                <w:webHidden/>
              </w:rPr>
              <w:fldChar w:fldCharType="separate"/>
            </w:r>
            <w:r w:rsidR="00082703">
              <w:rPr>
                <w:noProof/>
                <w:webHidden/>
              </w:rPr>
              <w:t>9</w:t>
            </w:r>
            <w:r w:rsidR="0008284F">
              <w:rPr>
                <w:noProof/>
                <w:webHidden/>
              </w:rPr>
              <w:fldChar w:fldCharType="end"/>
            </w:r>
          </w:hyperlink>
        </w:p>
        <w:p w:rsidR="0008284F" w:rsidRDefault="001E6185">
          <w:pPr>
            <w:pStyle w:val="TOC3"/>
            <w:rPr>
              <w:rFonts w:asciiTheme="minorHAnsi" w:eastAsiaTheme="minorEastAsia" w:hAnsiTheme="minorHAnsi" w:cstheme="minorBidi"/>
              <w:noProof/>
              <w:kern w:val="2"/>
              <w:szCs w:val="24"/>
              <w:lang w:val="en-IE" w:eastAsia="en-IE"/>
              <w14:ligatures w14:val="standardContextual"/>
            </w:rPr>
          </w:pPr>
          <w:hyperlink w:anchor="_Toc198557772" w:history="1">
            <w:r w:rsidR="0008284F" w:rsidRPr="001C1478">
              <w:rPr>
                <w:rStyle w:val="Hyperlink"/>
                <w:noProof/>
              </w:rPr>
              <w:t>2.2.1.</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Justification of the budget implementation method(s), the funding implementation mechanism(s), the payment modalities and the control strategy proposed</w:t>
            </w:r>
            <w:r w:rsidR="0008284F">
              <w:rPr>
                <w:noProof/>
                <w:webHidden/>
              </w:rPr>
              <w:tab/>
            </w:r>
            <w:r w:rsidR="0008284F">
              <w:rPr>
                <w:noProof/>
                <w:webHidden/>
              </w:rPr>
              <w:fldChar w:fldCharType="begin"/>
            </w:r>
            <w:r w:rsidR="0008284F">
              <w:rPr>
                <w:noProof/>
                <w:webHidden/>
              </w:rPr>
              <w:instrText xml:space="preserve"> PAGEREF _Toc198557772 \h </w:instrText>
            </w:r>
            <w:r w:rsidR="0008284F">
              <w:rPr>
                <w:noProof/>
                <w:webHidden/>
              </w:rPr>
            </w:r>
            <w:r w:rsidR="0008284F">
              <w:rPr>
                <w:noProof/>
                <w:webHidden/>
              </w:rPr>
              <w:fldChar w:fldCharType="separate"/>
            </w:r>
            <w:r w:rsidR="00082703">
              <w:rPr>
                <w:noProof/>
                <w:webHidden/>
              </w:rPr>
              <w:t>9</w:t>
            </w:r>
            <w:r w:rsidR="0008284F">
              <w:rPr>
                <w:noProof/>
                <w:webHidden/>
              </w:rPr>
              <w:fldChar w:fldCharType="end"/>
            </w:r>
          </w:hyperlink>
        </w:p>
        <w:p w:rsidR="0008284F" w:rsidRDefault="001E6185">
          <w:pPr>
            <w:pStyle w:val="TOC3"/>
            <w:rPr>
              <w:rFonts w:asciiTheme="minorHAnsi" w:eastAsiaTheme="minorEastAsia" w:hAnsiTheme="minorHAnsi" w:cstheme="minorBidi"/>
              <w:noProof/>
              <w:kern w:val="2"/>
              <w:szCs w:val="24"/>
              <w:lang w:val="en-IE" w:eastAsia="en-IE"/>
              <w14:ligatures w14:val="standardContextual"/>
            </w:rPr>
          </w:pPr>
          <w:hyperlink w:anchor="_Toc198557773" w:history="1">
            <w:r w:rsidR="0008284F" w:rsidRPr="001C1478">
              <w:rPr>
                <w:rStyle w:val="Hyperlink"/>
                <w:noProof/>
              </w:rPr>
              <w:t>2.2.2.</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Information concerning the risks identified and the internal control system(s) set up to mitigate them</w:t>
            </w:r>
            <w:r w:rsidR="0008284F">
              <w:rPr>
                <w:noProof/>
                <w:webHidden/>
              </w:rPr>
              <w:tab/>
            </w:r>
            <w:r w:rsidR="0008284F">
              <w:rPr>
                <w:noProof/>
                <w:webHidden/>
              </w:rPr>
              <w:fldChar w:fldCharType="begin"/>
            </w:r>
            <w:r w:rsidR="0008284F">
              <w:rPr>
                <w:noProof/>
                <w:webHidden/>
              </w:rPr>
              <w:instrText xml:space="preserve"> PAGEREF _Toc198557773 \h </w:instrText>
            </w:r>
            <w:r w:rsidR="0008284F">
              <w:rPr>
                <w:noProof/>
                <w:webHidden/>
              </w:rPr>
            </w:r>
            <w:r w:rsidR="0008284F">
              <w:rPr>
                <w:noProof/>
                <w:webHidden/>
              </w:rPr>
              <w:fldChar w:fldCharType="separate"/>
            </w:r>
            <w:r w:rsidR="00082703">
              <w:rPr>
                <w:noProof/>
                <w:webHidden/>
              </w:rPr>
              <w:t>9</w:t>
            </w:r>
            <w:r w:rsidR="0008284F">
              <w:rPr>
                <w:noProof/>
                <w:webHidden/>
              </w:rPr>
              <w:fldChar w:fldCharType="end"/>
            </w:r>
          </w:hyperlink>
        </w:p>
        <w:p w:rsidR="0008284F" w:rsidRDefault="001E6185">
          <w:pPr>
            <w:pStyle w:val="TOC3"/>
            <w:rPr>
              <w:rFonts w:asciiTheme="minorHAnsi" w:eastAsiaTheme="minorEastAsia" w:hAnsiTheme="minorHAnsi" w:cstheme="minorBidi"/>
              <w:noProof/>
              <w:kern w:val="2"/>
              <w:szCs w:val="24"/>
              <w:lang w:val="en-IE" w:eastAsia="en-IE"/>
              <w14:ligatures w14:val="standardContextual"/>
            </w:rPr>
          </w:pPr>
          <w:hyperlink w:anchor="_Toc198557774" w:history="1">
            <w:r w:rsidR="0008284F" w:rsidRPr="001C1478">
              <w:rPr>
                <w:rStyle w:val="Hyperlink"/>
                <w:noProof/>
              </w:rPr>
              <w:t>2.2.3.</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Estimation and justification of the cost-effectiveness of the controls (ratio between the control costs and the value of the related funds managed), and assessment of the expected levels of risk of error (at payment &amp; at closure)</w:t>
            </w:r>
            <w:r w:rsidR="0008284F">
              <w:rPr>
                <w:noProof/>
                <w:webHidden/>
              </w:rPr>
              <w:tab/>
            </w:r>
            <w:r w:rsidR="0008284F">
              <w:rPr>
                <w:noProof/>
                <w:webHidden/>
              </w:rPr>
              <w:fldChar w:fldCharType="begin"/>
            </w:r>
            <w:r w:rsidR="0008284F">
              <w:rPr>
                <w:noProof/>
                <w:webHidden/>
              </w:rPr>
              <w:instrText xml:space="preserve"> PAGEREF _Toc198557774 \h </w:instrText>
            </w:r>
            <w:r w:rsidR="0008284F">
              <w:rPr>
                <w:noProof/>
                <w:webHidden/>
              </w:rPr>
            </w:r>
            <w:r w:rsidR="0008284F">
              <w:rPr>
                <w:noProof/>
                <w:webHidden/>
              </w:rPr>
              <w:fldChar w:fldCharType="separate"/>
            </w:r>
            <w:r w:rsidR="00082703">
              <w:rPr>
                <w:noProof/>
                <w:webHidden/>
              </w:rPr>
              <w:t>9</w:t>
            </w:r>
            <w:r w:rsidR="0008284F">
              <w:rPr>
                <w:noProof/>
                <w:webHidden/>
              </w:rPr>
              <w:fldChar w:fldCharType="end"/>
            </w:r>
          </w:hyperlink>
        </w:p>
        <w:p w:rsidR="0008284F" w:rsidRDefault="001E6185">
          <w:pPr>
            <w:pStyle w:val="TOC2"/>
            <w:rPr>
              <w:rFonts w:asciiTheme="minorHAnsi" w:eastAsiaTheme="minorEastAsia" w:hAnsiTheme="minorHAnsi" w:cstheme="minorBidi"/>
              <w:noProof/>
              <w:kern w:val="2"/>
              <w:szCs w:val="24"/>
              <w:lang w:val="en-IE" w:eastAsia="en-IE"/>
              <w14:ligatures w14:val="standardContextual"/>
            </w:rPr>
          </w:pPr>
          <w:hyperlink w:anchor="_Toc198557775" w:history="1">
            <w:r w:rsidR="0008284F" w:rsidRPr="001C1478">
              <w:rPr>
                <w:rStyle w:val="Hyperlink"/>
                <w:noProof/>
              </w:rPr>
              <w:t>2.3.</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Measures to prevent fraud and irregularities</w:t>
            </w:r>
            <w:r w:rsidR="0008284F">
              <w:rPr>
                <w:noProof/>
                <w:webHidden/>
              </w:rPr>
              <w:tab/>
            </w:r>
            <w:r w:rsidR="0008284F">
              <w:rPr>
                <w:noProof/>
                <w:webHidden/>
              </w:rPr>
              <w:fldChar w:fldCharType="begin"/>
            </w:r>
            <w:r w:rsidR="0008284F">
              <w:rPr>
                <w:noProof/>
                <w:webHidden/>
              </w:rPr>
              <w:instrText xml:space="preserve"> PAGEREF _Toc198557775 \h </w:instrText>
            </w:r>
            <w:r w:rsidR="0008284F">
              <w:rPr>
                <w:noProof/>
                <w:webHidden/>
              </w:rPr>
            </w:r>
            <w:r w:rsidR="0008284F">
              <w:rPr>
                <w:noProof/>
                <w:webHidden/>
              </w:rPr>
              <w:fldChar w:fldCharType="separate"/>
            </w:r>
            <w:r w:rsidR="00082703">
              <w:rPr>
                <w:noProof/>
                <w:webHidden/>
              </w:rPr>
              <w:t>10</w:t>
            </w:r>
            <w:r w:rsidR="0008284F">
              <w:rPr>
                <w:noProof/>
                <w:webHidden/>
              </w:rPr>
              <w:fldChar w:fldCharType="end"/>
            </w:r>
          </w:hyperlink>
        </w:p>
        <w:p w:rsidR="0008284F" w:rsidRDefault="001E6185">
          <w:pPr>
            <w:pStyle w:val="TOC1"/>
            <w:rPr>
              <w:rFonts w:asciiTheme="minorHAnsi" w:eastAsiaTheme="minorEastAsia" w:hAnsiTheme="minorHAnsi" w:cstheme="minorBidi"/>
              <w:noProof/>
              <w:kern w:val="2"/>
              <w:szCs w:val="24"/>
              <w:lang w:val="en-IE" w:eastAsia="en-IE"/>
              <w14:ligatures w14:val="standardContextual"/>
            </w:rPr>
          </w:pPr>
          <w:hyperlink w:anchor="_Toc198557776" w:history="1">
            <w:r w:rsidR="0008284F" w:rsidRPr="001C1478">
              <w:rPr>
                <w:rStyle w:val="Hyperlink"/>
                <w:noProof/>
              </w:rPr>
              <w:t>3.</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ESTIMATED FINANCIAL IMPACT OF THE PROPOSAL/INITIATIVE</w:t>
            </w:r>
            <w:r w:rsidR="0008284F">
              <w:rPr>
                <w:noProof/>
                <w:webHidden/>
              </w:rPr>
              <w:tab/>
            </w:r>
            <w:r w:rsidR="0008284F">
              <w:rPr>
                <w:noProof/>
                <w:webHidden/>
              </w:rPr>
              <w:fldChar w:fldCharType="begin"/>
            </w:r>
            <w:r w:rsidR="0008284F">
              <w:rPr>
                <w:noProof/>
                <w:webHidden/>
              </w:rPr>
              <w:instrText xml:space="preserve"> PAGEREF _Toc198557776 \h </w:instrText>
            </w:r>
            <w:r w:rsidR="0008284F">
              <w:rPr>
                <w:noProof/>
                <w:webHidden/>
              </w:rPr>
            </w:r>
            <w:r w:rsidR="0008284F">
              <w:rPr>
                <w:noProof/>
                <w:webHidden/>
              </w:rPr>
              <w:fldChar w:fldCharType="separate"/>
            </w:r>
            <w:r w:rsidR="00082703">
              <w:rPr>
                <w:noProof/>
                <w:webHidden/>
              </w:rPr>
              <w:t>11</w:t>
            </w:r>
            <w:r w:rsidR="0008284F">
              <w:rPr>
                <w:noProof/>
                <w:webHidden/>
              </w:rPr>
              <w:fldChar w:fldCharType="end"/>
            </w:r>
          </w:hyperlink>
        </w:p>
        <w:p w:rsidR="0008284F" w:rsidRDefault="001E6185">
          <w:pPr>
            <w:pStyle w:val="TOC2"/>
            <w:rPr>
              <w:rFonts w:asciiTheme="minorHAnsi" w:eastAsiaTheme="minorEastAsia" w:hAnsiTheme="minorHAnsi" w:cstheme="minorBidi"/>
              <w:noProof/>
              <w:kern w:val="2"/>
              <w:szCs w:val="24"/>
              <w:lang w:val="en-IE" w:eastAsia="en-IE"/>
              <w14:ligatures w14:val="standardContextual"/>
            </w:rPr>
          </w:pPr>
          <w:hyperlink w:anchor="_Toc198557777" w:history="1">
            <w:r w:rsidR="0008284F" w:rsidRPr="001C1478">
              <w:rPr>
                <w:rStyle w:val="Hyperlink"/>
                <w:noProof/>
              </w:rPr>
              <w:t>3.1.</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Heading(s) of the multiannual financial framework and expenditure budget line(s) affected</w:t>
            </w:r>
            <w:r w:rsidR="0008284F">
              <w:rPr>
                <w:noProof/>
                <w:webHidden/>
              </w:rPr>
              <w:tab/>
            </w:r>
            <w:r w:rsidR="0008284F">
              <w:rPr>
                <w:noProof/>
                <w:webHidden/>
              </w:rPr>
              <w:fldChar w:fldCharType="begin"/>
            </w:r>
            <w:r w:rsidR="0008284F">
              <w:rPr>
                <w:noProof/>
                <w:webHidden/>
              </w:rPr>
              <w:instrText xml:space="preserve"> PAGEREF _Toc198557777 \h </w:instrText>
            </w:r>
            <w:r w:rsidR="0008284F">
              <w:rPr>
                <w:noProof/>
                <w:webHidden/>
              </w:rPr>
            </w:r>
            <w:r w:rsidR="0008284F">
              <w:rPr>
                <w:noProof/>
                <w:webHidden/>
              </w:rPr>
              <w:fldChar w:fldCharType="separate"/>
            </w:r>
            <w:r w:rsidR="00082703">
              <w:rPr>
                <w:noProof/>
                <w:webHidden/>
              </w:rPr>
              <w:t>11</w:t>
            </w:r>
            <w:r w:rsidR="0008284F">
              <w:rPr>
                <w:noProof/>
                <w:webHidden/>
              </w:rPr>
              <w:fldChar w:fldCharType="end"/>
            </w:r>
          </w:hyperlink>
        </w:p>
        <w:p w:rsidR="0008284F" w:rsidRDefault="001E6185">
          <w:pPr>
            <w:pStyle w:val="TOC2"/>
            <w:rPr>
              <w:rFonts w:asciiTheme="minorHAnsi" w:eastAsiaTheme="minorEastAsia" w:hAnsiTheme="minorHAnsi" w:cstheme="minorBidi"/>
              <w:noProof/>
              <w:kern w:val="2"/>
              <w:szCs w:val="24"/>
              <w:lang w:val="en-IE" w:eastAsia="en-IE"/>
              <w14:ligatures w14:val="standardContextual"/>
            </w:rPr>
          </w:pPr>
          <w:hyperlink w:anchor="_Toc198557778" w:history="1">
            <w:r w:rsidR="0008284F" w:rsidRPr="001C1478">
              <w:rPr>
                <w:rStyle w:val="Hyperlink"/>
                <w:noProof/>
              </w:rPr>
              <w:t>3.2.</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Estimated financial impact of the proposal on appropriations</w:t>
            </w:r>
            <w:r w:rsidR="0008284F">
              <w:rPr>
                <w:noProof/>
                <w:webHidden/>
              </w:rPr>
              <w:tab/>
            </w:r>
            <w:r w:rsidR="0008284F">
              <w:rPr>
                <w:noProof/>
                <w:webHidden/>
              </w:rPr>
              <w:fldChar w:fldCharType="begin"/>
            </w:r>
            <w:r w:rsidR="0008284F">
              <w:rPr>
                <w:noProof/>
                <w:webHidden/>
              </w:rPr>
              <w:instrText xml:space="preserve"> PAGEREF _Toc198557778 \h </w:instrText>
            </w:r>
            <w:r w:rsidR="0008284F">
              <w:rPr>
                <w:noProof/>
                <w:webHidden/>
              </w:rPr>
            </w:r>
            <w:r w:rsidR="0008284F">
              <w:rPr>
                <w:noProof/>
                <w:webHidden/>
              </w:rPr>
              <w:fldChar w:fldCharType="separate"/>
            </w:r>
            <w:r w:rsidR="00082703">
              <w:rPr>
                <w:noProof/>
                <w:webHidden/>
              </w:rPr>
              <w:t>12</w:t>
            </w:r>
            <w:r w:rsidR="0008284F">
              <w:rPr>
                <w:noProof/>
                <w:webHidden/>
              </w:rPr>
              <w:fldChar w:fldCharType="end"/>
            </w:r>
          </w:hyperlink>
        </w:p>
        <w:p w:rsidR="0008284F" w:rsidRDefault="001E6185">
          <w:pPr>
            <w:pStyle w:val="TOC3"/>
            <w:rPr>
              <w:rFonts w:asciiTheme="minorHAnsi" w:eastAsiaTheme="minorEastAsia" w:hAnsiTheme="minorHAnsi" w:cstheme="minorBidi"/>
              <w:noProof/>
              <w:kern w:val="2"/>
              <w:szCs w:val="24"/>
              <w:lang w:val="en-IE" w:eastAsia="en-IE"/>
              <w14:ligatures w14:val="standardContextual"/>
            </w:rPr>
          </w:pPr>
          <w:hyperlink w:anchor="_Toc198557779" w:history="1">
            <w:r w:rsidR="0008284F" w:rsidRPr="001C1478">
              <w:rPr>
                <w:rStyle w:val="Hyperlink"/>
                <w:noProof/>
              </w:rPr>
              <w:t>3.2.1.</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Summary of estimated impact on operational appropriations (select, if appropriate, also for decentralised agencies)</w:t>
            </w:r>
            <w:r w:rsidR="0008284F">
              <w:rPr>
                <w:noProof/>
                <w:webHidden/>
              </w:rPr>
              <w:tab/>
            </w:r>
            <w:r w:rsidR="0008284F">
              <w:rPr>
                <w:noProof/>
                <w:webHidden/>
              </w:rPr>
              <w:fldChar w:fldCharType="begin"/>
            </w:r>
            <w:r w:rsidR="0008284F">
              <w:rPr>
                <w:noProof/>
                <w:webHidden/>
              </w:rPr>
              <w:instrText xml:space="preserve"> PAGEREF _Toc198557779 \h </w:instrText>
            </w:r>
            <w:r w:rsidR="0008284F">
              <w:rPr>
                <w:noProof/>
                <w:webHidden/>
              </w:rPr>
            </w:r>
            <w:r w:rsidR="0008284F">
              <w:rPr>
                <w:noProof/>
                <w:webHidden/>
              </w:rPr>
              <w:fldChar w:fldCharType="separate"/>
            </w:r>
            <w:r w:rsidR="00082703">
              <w:rPr>
                <w:noProof/>
                <w:webHidden/>
              </w:rPr>
              <w:t>12</w:t>
            </w:r>
            <w:r w:rsidR="0008284F">
              <w:rPr>
                <w:noProof/>
                <w:webHidden/>
              </w:rPr>
              <w:fldChar w:fldCharType="end"/>
            </w:r>
          </w:hyperlink>
        </w:p>
        <w:p w:rsidR="0008284F" w:rsidRDefault="001E6185">
          <w:pPr>
            <w:pStyle w:val="TOC3"/>
            <w:rPr>
              <w:rFonts w:asciiTheme="minorHAnsi" w:eastAsiaTheme="minorEastAsia" w:hAnsiTheme="minorHAnsi" w:cstheme="minorBidi"/>
              <w:noProof/>
              <w:kern w:val="2"/>
              <w:szCs w:val="24"/>
              <w:lang w:val="en-IE" w:eastAsia="en-IE"/>
              <w14:ligatures w14:val="standardContextual"/>
            </w:rPr>
          </w:pPr>
          <w:hyperlink w:anchor="_Toc198557780" w:history="1">
            <w:r w:rsidR="0008284F" w:rsidRPr="001C1478">
              <w:rPr>
                <w:rStyle w:val="Hyperlink"/>
                <w:noProof/>
              </w:rPr>
              <w:t>3.2.1.1.</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Appropriations from voted budget</w:t>
            </w:r>
            <w:r w:rsidR="0008284F">
              <w:rPr>
                <w:noProof/>
                <w:webHidden/>
              </w:rPr>
              <w:tab/>
            </w:r>
            <w:r w:rsidR="0008284F">
              <w:rPr>
                <w:noProof/>
                <w:webHidden/>
              </w:rPr>
              <w:fldChar w:fldCharType="begin"/>
            </w:r>
            <w:r w:rsidR="0008284F">
              <w:rPr>
                <w:noProof/>
                <w:webHidden/>
              </w:rPr>
              <w:instrText xml:space="preserve"> PAGEREF _Toc198557780 \h </w:instrText>
            </w:r>
            <w:r w:rsidR="0008284F">
              <w:rPr>
                <w:noProof/>
                <w:webHidden/>
              </w:rPr>
            </w:r>
            <w:r w:rsidR="0008284F">
              <w:rPr>
                <w:noProof/>
                <w:webHidden/>
              </w:rPr>
              <w:fldChar w:fldCharType="separate"/>
            </w:r>
            <w:r w:rsidR="00082703">
              <w:rPr>
                <w:noProof/>
                <w:webHidden/>
              </w:rPr>
              <w:t>12</w:t>
            </w:r>
            <w:r w:rsidR="0008284F">
              <w:rPr>
                <w:noProof/>
                <w:webHidden/>
              </w:rPr>
              <w:fldChar w:fldCharType="end"/>
            </w:r>
          </w:hyperlink>
        </w:p>
        <w:p w:rsidR="0008284F" w:rsidRDefault="001E6185">
          <w:pPr>
            <w:pStyle w:val="TOC3"/>
            <w:rPr>
              <w:rFonts w:asciiTheme="minorHAnsi" w:eastAsiaTheme="minorEastAsia" w:hAnsiTheme="minorHAnsi" w:cstheme="minorBidi"/>
              <w:noProof/>
              <w:kern w:val="2"/>
              <w:szCs w:val="24"/>
              <w:lang w:val="en-IE" w:eastAsia="en-IE"/>
              <w14:ligatures w14:val="standardContextual"/>
            </w:rPr>
          </w:pPr>
          <w:hyperlink w:anchor="_Toc198557781" w:history="1">
            <w:r w:rsidR="0008284F" w:rsidRPr="001C1478">
              <w:rPr>
                <w:rStyle w:val="Hyperlink"/>
                <w:noProof/>
              </w:rPr>
              <w:t>3.2.1.2.</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Appropriations from external assigned revenues (not to be completed for decentralised agencies)</w:t>
            </w:r>
            <w:r w:rsidR="0008284F">
              <w:rPr>
                <w:noProof/>
                <w:webHidden/>
              </w:rPr>
              <w:tab/>
            </w:r>
            <w:r w:rsidR="0008284F">
              <w:rPr>
                <w:noProof/>
                <w:webHidden/>
              </w:rPr>
              <w:fldChar w:fldCharType="begin"/>
            </w:r>
            <w:r w:rsidR="0008284F">
              <w:rPr>
                <w:noProof/>
                <w:webHidden/>
              </w:rPr>
              <w:instrText xml:space="preserve"> PAGEREF _Toc198557781 \h </w:instrText>
            </w:r>
            <w:r w:rsidR="0008284F">
              <w:rPr>
                <w:noProof/>
                <w:webHidden/>
              </w:rPr>
            </w:r>
            <w:r w:rsidR="0008284F">
              <w:rPr>
                <w:noProof/>
                <w:webHidden/>
              </w:rPr>
              <w:fldChar w:fldCharType="separate"/>
            </w:r>
            <w:r w:rsidR="00082703">
              <w:rPr>
                <w:noProof/>
                <w:webHidden/>
              </w:rPr>
              <w:t>15</w:t>
            </w:r>
            <w:r w:rsidR="0008284F">
              <w:rPr>
                <w:noProof/>
                <w:webHidden/>
              </w:rPr>
              <w:fldChar w:fldCharType="end"/>
            </w:r>
          </w:hyperlink>
        </w:p>
        <w:p w:rsidR="0008284F" w:rsidRDefault="001E6185">
          <w:pPr>
            <w:pStyle w:val="TOC3"/>
            <w:rPr>
              <w:rFonts w:asciiTheme="minorHAnsi" w:eastAsiaTheme="minorEastAsia" w:hAnsiTheme="minorHAnsi" w:cstheme="minorBidi"/>
              <w:noProof/>
              <w:kern w:val="2"/>
              <w:szCs w:val="24"/>
              <w:lang w:val="en-IE" w:eastAsia="en-IE"/>
              <w14:ligatures w14:val="standardContextual"/>
            </w:rPr>
          </w:pPr>
          <w:hyperlink w:anchor="_Toc198557782" w:history="1">
            <w:r w:rsidR="0008284F" w:rsidRPr="001C1478">
              <w:rPr>
                <w:rStyle w:val="Hyperlink"/>
                <w:noProof/>
              </w:rPr>
              <w:t>3.2.2.</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Estimated output funded from operational appropriations (not to be completed for decentralised agencies)</w:t>
            </w:r>
            <w:r w:rsidR="0008284F">
              <w:rPr>
                <w:noProof/>
                <w:webHidden/>
              </w:rPr>
              <w:tab/>
            </w:r>
            <w:r w:rsidR="0008284F">
              <w:rPr>
                <w:noProof/>
                <w:webHidden/>
              </w:rPr>
              <w:fldChar w:fldCharType="begin"/>
            </w:r>
            <w:r w:rsidR="0008284F">
              <w:rPr>
                <w:noProof/>
                <w:webHidden/>
              </w:rPr>
              <w:instrText xml:space="preserve"> PAGEREF _Toc198557782 \h </w:instrText>
            </w:r>
            <w:r w:rsidR="0008284F">
              <w:rPr>
                <w:noProof/>
                <w:webHidden/>
              </w:rPr>
            </w:r>
            <w:r w:rsidR="0008284F">
              <w:rPr>
                <w:noProof/>
                <w:webHidden/>
              </w:rPr>
              <w:fldChar w:fldCharType="separate"/>
            </w:r>
            <w:r w:rsidR="00082703">
              <w:rPr>
                <w:noProof/>
                <w:webHidden/>
              </w:rPr>
              <w:t>16</w:t>
            </w:r>
            <w:r w:rsidR="0008284F">
              <w:rPr>
                <w:noProof/>
                <w:webHidden/>
              </w:rPr>
              <w:fldChar w:fldCharType="end"/>
            </w:r>
          </w:hyperlink>
        </w:p>
        <w:p w:rsidR="0008284F" w:rsidRDefault="001E6185">
          <w:pPr>
            <w:pStyle w:val="TOC3"/>
            <w:rPr>
              <w:rFonts w:asciiTheme="minorHAnsi" w:eastAsiaTheme="minorEastAsia" w:hAnsiTheme="minorHAnsi" w:cstheme="minorBidi"/>
              <w:noProof/>
              <w:kern w:val="2"/>
              <w:szCs w:val="24"/>
              <w:lang w:val="en-IE" w:eastAsia="en-IE"/>
              <w14:ligatures w14:val="standardContextual"/>
            </w:rPr>
          </w:pPr>
          <w:hyperlink w:anchor="_Toc198557783" w:history="1">
            <w:r w:rsidR="0008284F" w:rsidRPr="001C1478">
              <w:rPr>
                <w:rStyle w:val="Hyperlink"/>
                <w:noProof/>
              </w:rPr>
              <w:t>3.2.3.</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Summary of estimated impact on administrative appropriations (not to be completed for decentralised agencies)</w:t>
            </w:r>
            <w:r w:rsidR="0008284F">
              <w:rPr>
                <w:noProof/>
                <w:webHidden/>
              </w:rPr>
              <w:tab/>
            </w:r>
            <w:r w:rsidR="0008284F">
              <w:rPr>
                <w:noProof/>
                <w:webHidden/>
              </w:rPr>
              <w:fldChar w:fldCharType="begin"/>
            </w:r>
            <w:r w:rsidR="0008284F">
              <w:rPr>
                <w:noProof/>
                <w:webHidden/>
              </w:rPr>
              <w:instrText xml:space="preserve"> PAGEREF _Toc198557783 \h </w:instrText>
            </w:r>
            <w:r w:rsidR="0008284F">
              <w:rPr>
                <w:noProof/>
                <w:webHidden/>
              </w:rPr>
            </w:r>
            <w:r w:rsidR="0008284F">
              <w:rPr>
                <w:noProof/>
                <w:webHidden/>
              </w:rPr>
              <w:fldChar w:fldCharType="separate"/>
            </w:r>
            <w:r w:rsidR="00082703">
              <w:rPr>
                <w:noProof/>
                <w:webHidden/>
              </w:rPr>
              <w:t>18</w:t>
            </w:r>
            <w:r w:rsidR="0008284F">
              <w:rPr>
                <w:noProof/>
                <w:webHidden/>
              </w:rPr>
              <w:fldChar w:fldCharType="end"/>
            </w:r>
          </w:hyperlink>
        </w:p>
        <w:p w:rsidR="0008284F" w:rsidRDefault="001E6185">
          <w:pPr>
            <w:pStyle w:val="TOC3"/>
            <w:rPr>
              <w:rFonts w:asciiTheme="minorHAnsi" w:eastAsiaTheme="minorEastAsia" w:hAnsiTheme="minorHAnsi" w:cstheme="minorBidi"/>
              <w:noProof/>
              <w:kern w:val="2"/>
              <w:szCs w:val="24"/>
              <w:lang w:val="en-IE" w:eastAsia="en-IE"/>
              <w14:ligatures w14:val="standardContextual"/>
            </w:rPr>
          </w:pPr>
          <w:hyperlink w:anchor="_Toc198557784" w:history="1">
            <w:r w:rsidR="0008284F" w:rsidRPr="001C1478">
              <w:rPr>
                <w:rStyle w:val="Hyperlink"/>
                <w:noProof/>
              </w:rPr>
              <w:t xml:space="preserve">3.2.3.1. Appropriations </w:t>
            </w:r>
            <w:r w:rsidR="0008284F" w:rsidRPr="001C1478">
              <w:rPr>
                <w:rStyle w:val="Hyperlink"/>
                <w:rFonts w:eastAsia="Calibri"/>
                <w:noProof/>
              </w:rPr>
              <w:t>from</w:t>
            </w:r>
            <w:r w:rsidR="0008284F" w:rsidRPr="001C1478">
              <w:rPr>
                <w:rStyle w:val="Hyperlink"/>
                <w:noProof/>
              </w:rPr>
              <w:t xml:space="preserve"> voted budget</w:t>
            </w:r>
            <w:r w:rsidR="0008284F">
              <w:rPr>
                <w:noProof/>
                <w:webHidden/>
              </w:rPr>
              <w:tab/>
            </w:r>
            <w:r w:rsidR="0008284F">
              <w:rPr>
                <w:noProof/>
                <w:webHidden/>
              </w:rPr>
              <w:fldChar w:fldCharType="begin"/>
            </w:r>
            <w:r w:rsidR="0008284F">
              <w:rPr>
                <w:noProof/>
                <w:webHidden/>
              </w:rPr>
              <w:instrText xml:space="preserve"> PAGEREF _Toc198557784 \h </w:instrText>
            </w:r>
            <w:r w:rsidR="0008284F">
              <w:rPr>
                <w:noProof/>
                <w:webHidden/>
              </w:rPr>
            </w:r>
            <w:r w:rsidR="0008284F">
              <w:rPr>
                <w:noProof/>
                <w:webHidden/>
              </w:rPr>
              <w:fldChar w:fldCharType="separate"/>
            </w:r>
            <w:r w:rsidR="00082703">
              <w:rPr>
                <w:noProof/>
                <w:webHidden/>
              </w:rPr>
              <w:t>18</w:t>
            </w:r>
            <w:r w:rsidR="0008284F">
              <w:rPr>
                <w:noProof/>
                <w:webHidden/>
              </w:rPr>
              <w:fldChar w:fldCharType="end"/>
            </w:r>
          </w:hyperlink>
        </w:p>
        <w:p w:rsidR="0008284F" w:rsidRDefault="001E6185">
          <w:pPr>
            <w:pStyle w:val="TOC3"/>
            <w:rPr>
              <w:rFonts w:asciiTheme="minorHAnsi" w:eastAsiaTheme="minorEastAsia" w:hAnsiTheme="minorHAnsi" w:cstheme="minorBidi"/>
              <w:noProof/>
              <w:kern w:val="2"/>
              <w:szCs w:val="24"/>
              <w:lang w:val="en-IE" w:eastAsia="en-IE"/>
              <w14:ligatures w14:val="standardContextual"/>
            </w:rPr>
          </w:pPr>
          <w:hyperlink w:anchor="_Toc198557785" w:history="1">
            <w:r w:rsidR="0008284F" w:rsidRPr="001C1478">
              <w:rPr>
                <w:rStyle w:val="Hyperlink"/>
                <w:noProof/>
              </w:rPr>
              <w:t>3.2.4.</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Estimated requirements of human resources (not to be completed for decentralised agencies)</w:t>
            </w:r>
            <w:r w:rsidR="0008284F">
              <w:rPr>
                <w:noProof/>
                <w:webHidden/>
              </w:rPr>
              <w:tab/>
            </w:r>
            <w:r w:rsidR="0008284F">
              <w:rPr>
                <w:noProof/>
                <w:webHidden/>
              </w:rPr>
              <w:fldChar w:fldCharType="begin"/>
            </w:r>
            <w:r w:rsidR="0008284F">
              <w:rPr>
                <w:noProof/>
                <w:webHidden/>
              </w:rPr>
              <w:instrText xml:space="preserve"> PAGEREF _Toc198557785 \h </w:instrText>
            </w:r>
            <w:r w:rsidR="0008284F">
              <w:rPr>
                <w:noProof/>
                <w:webHidden/>
              </w:rPr>
            </w:r>
            <w:r w:rsidR="0008284F">
              <w:rPr>
                <w:noProof/>
                <w:webHidden/>
              </w:rPr>
              <w:fldChar w:fldCharType="separate"/>
            </w:r>
            <w:r w:rsidR="00082703">
              <w:rPr>
                <w:noProof/>
                <w:webHidden/>
              </w:rPr>
              <w:t>18</w:t>
            </w:r>
            <w:r w:rsidR="0008284F">
              <w:rPr>
                <w:noProof/>
                <w:webHidden/>
              </w:rPr>
              <w:fldChar w:fldCharType="end"/>
            </w:r>
          </w:hyperlink>
        </w:p>
        <w:p w:rsidR="0008284F" w:rsidRDefault="001E6185">
          <w:pPr>
            <w:pStyle w:val="TOC3"/>
            <w:rPr>
              <w:rFonts w:asciiTheme="minorHAnsi" w:eastAsiaTheme="minorEastAsia" w:hAnsiTheme="minorHAnsi" w:cstheme="minorBidi"/>
              <w:noProof/>
              <w:kern w:val="2"/>
              <w:szCs w:val="24"/>
              <w:lang w:val="en-IE" w:eastAsia="en-IE"/>
              <w14:ligatures w14:val="standardContextual"/>
            </w:rPr>
          </w:pPr>
          <w:hyperlink w:anchor="_Toc198557786" w:history="1">
            <w:r w:rsidR="0008284F" w:rsidRPr="001C1478">
              <w:rPr>
                <w:rStyle w:val="Hyperlink"/>
                <w:noProof/>
              </w:rPr>
              <w:t>3.2.4.1.</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Financed from voted budget</w:t>
            </w:r>
            <w:r w:rsidR="0008284F">
              <w:rPr>
                <w:noProof/>
                <w:webHidden/>
              </w:rPr>
              <w:tab/>
            </w:r>
            <w:r w:rsidR="0008284F">
              <w:rPr>
                <w:noProof/>
                <w:webHidden/>
              </w:rPr>
              <w:fldChar w:fldCharType="begin"/>
            </w:r>
            <w:r w:rsidR="0008284F">
              <w:rPr>
                <w:noProof/>
                <w:webHidden/>
              </w:rPr>
              <w:instrText xml:space="preserve"> PAGEREF _Toc198557786 \h </w:instrText>
            </w:r>
            <w:r w:rsidR="0008284F">
              <w:rPr>
                <w:noProof/>
                <w:webHidden/>
              </w:rPr>
            </w:r>
            <w:r w:rsidR="0008284F">
              <w:rPr>
                <w:noProof/>
                <w:webHidden/>
              </w:rPr>
              <w:fldChar w:fldCharType="separate"/>
            </w:r>
            <w:r w:rsidR="00082703">
              <w:rPr>
                <w:noProof/>
                <w:webHidden/>
              </w:rPr>
              <w:t>18</w:t>
            </w:r>
            <w:r w:rsidR="0008284F">
              <w:rPr>
                <w:noProof/>
                <w:webHidden/>
              </w:rPr>
              <w:fldChar w:fldCharType="end"/>
            </w:r>
          </w:hyperlink>
        </w:p>
        <w:p w:rsidR="0008284F" w:rsidRDefault="001E6185">
          <w:pPr>
            <w:pStyle w:val="TOC3"/>
            <w:rPr>
              <w:rFonts w:asciiTheme="minorHAnsi" w:eastAsiaTheme="minorEastAsia" w:hAnsiTheme="minorHAnsi" w:cstheme="minorBidi"/>
              <w:noProof/>
              <w:kern w:val="2"/>
              <w:szCs w:val="24"/>
              <w:lang w:val="en-IE" w:eastAsia="en-IE"/>
              <w14:ligatures w14:val="standardContextual"/>
            </w:rPr>
          </w:pPr>
          <w:hyperlink w:anchor="_Toc198557787" w:history="1">
            <w:r w:rsidR="0008284F" w:rsidRPr="001C1478">
              <w:rPr>
                <w:rStyle w:val="Hyperlink"/>
                <w:noProof/>
              </w:rPr>
              <w:t>3.2.5.</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Overview of estimated impact on digital technology-related investments (not to be completed for decentralised agencies)</w:t>
            </w:r>
            <w:r w:rsidR="0008284F">
              <w:rPr>
                <w:noProof/>
                <w:webHidden/>
              </w:rPr>
              <w:tab/>
            </w:r>
            <w:r w:rsidR="0008284F">
              <w:rPr>
                <w:noProof/>
                <w:webHidden/>
              </w:rPr>
              <w:fldChar w:fldCharType="begin"/>
            </w:r>
            <w:r w:rsidR="0008284F">
              <w:rPr>
                <w:noProof/>
                <w:webHidden/>
              </w:rPr>
              <w:instrText xml:space="preserve"> PAGEREF _Toc198557787 \h </w:instrText>
            </w:r>
            <w:r w:rsidR="0008284F">
              <w:rPr>
                <w:noProof/>
                <w:webHidden/>
              </w:rPr>
            </w:r>
            <w:r w:rsidR="0008284F">
              <w:rPr>
                <w:noProof/>
                <w:webHidden/>
              </w:rPr>
              <w:fldChar w:fldCharType="separate"/>
            </w:r>
            <w:r w:rsidR="00082703">
              <w:rPr>
                <w:noProof/>
                <w:webHidden/>
              </w:rPr>
              <w:t>19</w:t>
            </w:r>
            <w:r w:rsidR="0008284F">
              <w:rPr>
                <w:noProof/>
                <w:webHidden/>
              </w:rPr>
              <w:fldChar w:fldCharType="end"/>
            </w:r>
          </w:hyperlink>
        </w:p>
        <w:p w:rsidR="0008284F" w:rsidRDefault="001E6185">
          <w:pPr>
            <w:pStyle w:val="TOC3"/>
            <w:rPr>
              <w:rFonts w:asciiTheme="minorHAnsi" w:eastAsiaTheme="minorEastAsia" w:hAnsiTheme="minorHAnsi" w:cstheme="minorBidi"/>
              <w:noProof/>
              <w:kern w:val="2"/>
              <w:szCs w:val="24"/>
              <w:lang w:val="en-IE" w:eastAsia="en-IE"/>
              <w14:ligatures w14:val="standardContextual"/>
            </w:rPr>
          </w:pPr>
          <w:hyperlink w:anchor="_Toc198557788" w:history="1">
            <w:r w:rsidR="0008284F" w:rsidRPr="001C1478">
              <w:rPr>
                <w:rStyle w:val="Hyperlink"/>
                <w:noProof/>
              </w:rPr>
              <w:t>3.2.6.</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Compatibility with the current multiannual financial framework (not to be completed for decentralised agencies)</w:t>
            </w:r>
            <w:r w:rsidR="0008284F">
              <w:rPr>
                <w:noProof/>
                <w:webHidden/>
              </w:rPr>
              <w:tab/>
            </w:r>
            <w:r w:rsidR="0008284F">
              <w:rPr>
                <w:noProof/>
                <w:webHidden/>
              </w:rPr>
              <w:fldChar w:fldCharType="begin"/>
            </w:r>
            <w:r w:rsidR="0008284F">
              <w:rPr>
                <w:noProof/>
                <w:webHidden/>
              </w:rPr>
              <w:instrText xml:space="preserve"> PAGEREF _Toc198557788 \h </w:instrText>
            </w:r>
            <w:r w:rsidR="0008284F">
              <w:rPr>
                <w:noProof/>
                <w:webHidden/>
              </w:rPr>
            </w:r>
            <w:r w:rsidR="0008284F">
              <w:rPr>
                <w:noProof/>
                <w:webHidden/>
              </w:rPr>
              <w:fldChar w:fldCharType="separate"/>
            </w:r>
            <w:r w:rsidR="00082703">
              <w:rPr>
                <w:noProof/>
                <w:webHidden/>
              </w:rPr>
              <w:t>20</w:t>
            </w:r>
            <w:r w:rsidR="0008284F">
              <w:rPr>
                <w:noProof/>
                <w:webHidden/>
              </w:rPr>
              <w:fldChar w:fldCharType="end"/>
            </w:r>
          </w:hyperlink>
        </w:p>
        <w:p w:rsidR="0008284F" w:rsidRDefault="001E6185">
          <w:pPr>
            <w:pStyle w:val="TOC3"/>
            <w:rPr>
              <w:rFonts w:asciiTheme="minorHAnsi" w:eastAsiaTheme="minorEastAsia" w:hAnsiTheme="minorHAnsi" w:cstheme="minorBidi"/>
              <w:noProof/>
              <w:kern w:val="2"/>
              <w:szCs w:val="24"/>
              <w:lang w:val="en-IE" w:eastAsia="en-IE"/>
              <w14:ligatures w14:val="standardContextual"/>
            </w:rPr>
          </w:pPr>
          <w:hyperlink w:anchor="_Toc198557789" w:history="1">
            <w:r w:rsidR="0008284F" w:rsidRPr="001C1478">
              <w:rPr>
                <w:rStyle w:val="Hyperlink"/>
                <w:noProof/>
              </w:rPr>
              <w:t>3.2.7.</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Third-party contributions (not to be completed for decentralised agencies</w:t>
            </w:r>
            <w:r w:rsidR="0008284F" w:rsidRPr="001C1478">
              <w:rPr>
                <w:rStyle w:val="Hyperlink"/>
                <w:iCs/>
                <w:noProof/>
              </w:rPr>
              <w:t>)</w:t>
            </w:r>
            <w:r w:rsidR="0008284F">
              <w:rPr>
                <w:noProof/>
                <w:webHidden/>
              </w:rPr>
              <w:tab/>
            </w:r>
            <w:r w:rsidR="0008284F">
              <w:rPr>
                <w:noProof/>
                <w:webHidden/>
              </w:rPr>
              <w:fldChar w:fldCharType="begin"/>
            </w:r>
            <w:r w:rsidR="0008284F">
              <w:rPr>
                <w:noProof/>
                <w:webHidden/>
              </w:rPr>
              <w:instrText xml:space="preserve"> PAGEREF _Toc198557789 \h </w:instrText>
            </w:r>
            <w:r w:rsidR="0008284F">
              <w:rPr>
                <w:noProof/>
                <w:webHidden/>
              </w:rPr>
            </w:r>
            <w:r w:rsidR="0008284F">
              <w:rPr>
                <w:noProof/>
                <w:webHidden/>
              </w:rPr>
              <w:fldChar w:fldCharType="separate"/>
            </w:r>
            <w:r w:rsidR="00082703">
              <w:rPr>
                <w:noProof/>
                <w:webHidden/>
              </w:rPr>
              <w:t>20</w:t>
            </w:r>
            <w:r w:rsidR="0008284F">
              <w:rPr>
                <w:noProof/>
                <w:webHidden/>
              </w:rPr>
              <w:fldChar w:fldCharType="end"/>
            </w:r>
          </w:hyperlink>
        </w:p>
        <w:p w:rsidR="0008284F" w:rsidRDefault="001E6185">
          <w:pPr>
            <w:pStyle w:val="TOC3"/>
            <w:rPr>
              <w:rFonts w:asciiTheme="minorHAnsi" w:eastAsiaTheme="minorEastAsia" w:hAnsiTheme="minorHAnsi" w:cstheme="minorBidi"/>
              <w:noProof/>
              <w:kern w:val="2"/>
              <w:szCs w:val="24"/>
              <w:lang w:val="en-IE" w:eastAsia="en-IE"/>
              <w14:ligatures w14:val="standardContextual"/>
            </w:rPr>
          </w:pPr>
          <w:hyperlink w:anchor="_Toc198557790" w:history="1">
            <w:r w:rsidR="0008284F" w:rsidRPr="001C1478">
              <w:rPr>
                <w:rStyle w:val="Hyperlink"/>
                <w:noProof/>
              </w:rPr>
              <w:t>3.2.8.</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Estimated human resources and the use of appropriations required in a decentralised agency</w:t>
            </w:r>
            <w:r w:rsidR="0008284F">
              <w:rPr>
                <w:noProof/>
                <w:webHidden/>
              </w:rPr>
              <w:tab/>
            </w:r>
            <w:r w:rsidR="0008284F">
              <w:rPr>
                <w:noProof/>
                <w:webHidden/>
              </w:rPr>
              <w:fldChar w:fldCharType="begin"/>
            </w:r>
            <w:r w:rsidR="0008284F">
              <w:rPr>
                <w:noProof/>
                <w:webHidden/>
              </w:rPr>
              <w:instrText xml:space="preserve"> PAGEREF _Toc198557790 \h </w:instrText>
            </w:r>
            <w:r w:rsidR="0008284F">
              <w:rPr>
                <w:noProof/>
                <w:webHidden/>
              </w:rPr>
            </w:r>
            <w:r w:rsidR="0008284F">
              <w:rPr>
                <w:noProof/>
                <w:webHidden/>
              </w:rPr>
              <w:fldChar w:fldCharType="separate"/>
            </w:r>
            <w:r w:rsidR="00082703">
              <w:rPr>
                <w:noProof/>
                <w:webHidden/>
              </w:rPr>
              <w:t>20</w:t>
            </w:r>
            <w:r w:rsidR="0008284F">
              <w:rPr>
                <w:noProof/>
                <w:webHidden/>
              </w:rPr>
              <w:fldChar w:fldCharType="end"/>
            </w:r>
          </w:hyperlink>
        </w:p>
        <w:p w:rsidR="0008284F" w:rsidRDefault="001E6185">
          <w:pPr>
            <w:pStyle w:val="TOC2"/>
            <w:rPr>
              <w:rFonts w:asciiTheme="minorHAnsi" w:eastAsiaTheme="minorEastAsia" w:hAnsiTheme="minorHAnsi" w:cstheme="minorBidi"/>
              <w:noProof/>
              <w:kern w:val="2"/>
              <w:szCs w:val="24"/>
              <w:lang w:val="en-IE" w:eastAsia="en-IE"/>
              <w14:ligatures w14:val="standardContextual"/>
            </w:rPr>
          </w:pPr>
          <w:hyperlink w:anchor="_Toc198557791" w:history="1">
            <w:r w:rsidR="0008284F" w:rsidRPr="001C1478">
              <w:rPr>
                <w:rStyle w:val="Hyperlink"/>
                <w:noProof/>
              </w:rPr>
              <w:t>3.3.</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Estimated impact on revenue (not to be completed for decentralised agencies)</w:t>
            </w:r>
            <w:r w:rsidR="0008284F">
              <w:rPr>
                <w:noProof/>
                <w:webHidden/>
              </w:rPr>
              <w:tab/>
            </w:r>
            <w:r w:rsidR="0008284F">
              <w:rPr>
                <w:noProof/>
                <w:webHidden/>
              </w:rPr>
              <w:fldChar w:fldCharType="begin"/>
            </w:r>
            <w:r w:rsidR="0008284F">
              <w:rPr>
                <w:noProof/>
                <w:webHidden/>
              </w:rPr>
              <w:instrText xml:space="preserve"> PAGEREF _Toc198557791 \h </w:instrText>
            </w:r>
            <w:r w:rsidR="0008284F">
              <w:rPr>
                <w:noProof/>
                <w:webHidden/>
              </w:rPr>
            </w:r>
            <w:r w:rsidR="0008284F">
              <w:rPr>
                <w:noProof/>
                <w:webHidden/>
              </w:rPr>
              <w:fldChar w:fldCharType="separate"/>
            </w:r>
            <w:r w:rsidR="00082703">
              <w:rPr>
                <w:noProof/>
                <w:webHidden/>
              </w:rPr>
              <w:t>24</w:t>
            </w:r>
            <w:r w:rsidR="0008284F">
              <w:rPr>
                <w:noProof/>
                <w:webHidden/>
              </w:rPr>
              <w:fldChar w:fldCharType="end"/>
            </w:r>
          </w:hyperlink>
        </w:p>
        <w:p w:rsidR="0008284F" w:rsidRDefault="001E6185">
          <w:pPr>
            <w:pStyle w:val="TOC1"/>
            <w:rPr>
              <w:rFonts w:asciiTheme="minorHAnsi" w:eastAsiaTheme="minorEastAsia" w:hAnsiTheme="minorHAnsi" w:cstheme="minorBidi"/>
              <w:noProof/>
              <w:kern w:val="2"/>
              <w:szCs w:val="24"/>
              <w:lang w:val="en-IE" w:eastAsia="en-IE"/>
              <w14:ligatures w14:val="standardContextual"/>
            </w:rPr>
          </w:pPr>
          <w:hyperlink w:anchor="_Toc198557792" w:history="1">
            <w:r w:rsidR="0008284F" w:rsidRPr="001C1478">
              <w:rPr>
                <w:rStyle w:val="Hyperlink"/>
                <w:noProof/>
              </w:rPr>
              <w:t>4.</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Digital dimensions (not to be completed for decentralised agencies)</w:t>
            </w:r>
            <w:r w:rsidR="0008284F">
              <w:rPr>
                <w:noProof/>
                <w:webHidden/>
              </w:rPr>
              <w:tab/>
            </w:r>
            <w:r w:rsidR="0008284F">
              <w:rPr>
                <w:noProof/>
                <w:webHidden/>
              </w:rPr>
              <w:fldChar w:fldCharType="begin"/>
            </w:r>
            <w:r w:rsidR="0008284F">
              <w:rPr>
                <w:noProof/>
                <w:webHidden/>
              </w:rPr>
              <w:instrText xml:space="preserve"> PAGEREF _Toc198557792 \h </w:instrText>
            </w:r>
            <w:r w:rsidR="0008284F">
              <w:rPr>
                <w:noProof/>
                <w:webHidden/>
              </w:rPr>
            </w:r>
            <w:r w:rsidR="0008284F">
              <w:rPr>
                <w:noProof/>
                <w:webHidden/>
              </w:rPr>
              <w:fldChar w:fldCharType="separate"/>
            </w:r>
            <w:r w:rsidR="00082703">
              <w:rPr>
                <w:noProof/>
                <w:webHidden/>
              </w:rPr>
              <w:t>24</w:t>
            </w:r>
            <w:r w:rsidR="0008284F">
              <w:rPr>
                <w:noProof/>
                <w:webHidden/>
              </w:rPr>
              <w:fldChar w:fldCharType="end"/>
            </w:r>
          </w:hyperlink>
        </w:p>
        <w:p w:rsidR="0008284F" w:rsidRDefault="001E6185">
          <w:pPr>
            <w:pStyle w:val="TOC2"/>
            <w:rPr>
              <w:rFonts w:asciiTheme="minorHAnsi" w:eastAsiaTheme="minorEastAsia" w:hAnsiTheme="minorHAnsi" w:cstheme="minorBidi"/>
              <w:noProof/>
              <w:kern w:val="2"/>
              <w:szCs w:val="24"/>
              <w:lang w:val="en-IE" w:eastAsia="en-IE"/>
              <w14:ligatures w14:val="standardContextual"/>
            </w:rPr>
          </w:pPr>
          <w:hyperlink w:anchor="_Toc198557793" w:history="1">
            <w:r w:rsidR="0008284F" w:rsidRPr="001C1478">
              <w:rPr>
                <w:rStyle w:val="Hyperlink"/>
                <w:noProof/>
              </w:rPr>
              <w:t>4.1.</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Requirements of digital relevance</w:t>
            </w:r>
            <w:r w:rsidR="0008284F">
              <w:rPr>
                <w:noProof/>
                <w:webHidden/>
              </w:rPr>
              <w:tab/>
            </w:r>
            <w:r w:rsidR="0008284F">
              <w:rPr>
                <w:noProof/>
                <w:webHidden/>
              </w:rPr>
              <w:fldChar w:fldCharType="begin"/>
            </w:r>
            <w:r w:rsidR="0008284F">
              <w:rPr>
                <w:noProof/>
                <w:webHidden/>
              </w:rPr>
              <w:instrText xml:space="preserve"> PAGEREF _Toc198557793 \h </w:instrText>
            </w:r>
            <w:r w:rsidR="0008284F">
              <w:rPr>
                <w:noProof/>
                <w:webHidden/>
              </w:rPr>
            </w:r>
            <w:r w:rsidR="0008284F">
              <w:rPr>
                <w:noProof/>
                <w:webHidden/>
              </w:rPr>
              <w:fldChar w:fldCharType="separate"/>
            </w:r>
            <w:r w:rsidR="00082703">
              <w:rPr>
                <w:noProof/>
                <w:webHidden/>
              </w:rPr>
              <w:t>24</w:t>
            </w:r>
            <w:r w:rsidR="0008284F">
              <w:rPr>
                <w:noProof/>
                <w:webHidden/>
              </w:rPr>
              <w:fldChar w:fldCharType="end"/>
            </w:r>
          </w:hyperlink>
        </w:p>
        <w:p w:rsidR="0008284F" w:rsidRDefault="001E6185">
          <w:pPr>
            <w:pStyle w:val="TOC2"/>
            <w:rPr>
              <w:rFonts w:asciiTheme="minorHAnsi" w:eastAsiaTheme="minorEastAsia" w:hAnsiTheme="minorHAnsi" w:cstheme="minorBidi"/>
              <w:noProof/>
              <w:kern w:val="2"/>
              <w:szCs w:val="24"/>
              <w:lang w:val="en-IE" w:eastAsia="en-IE"/>
              <w14:ligatures w14:val="standardContextual"/>
            </w:rPr>
          </w:pPr>
          <w:hyperlink w:anchor="_Toc198557794" w:history="1">
            <w:r w:rsidR="0008284F" w:rsidRPr="001C1478">
              <w:rPr>
                <w:rStyle w:val="Hyperlink"/>
                <w:noProof/>
              </w:rPr>
              <w:t>4.2.</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Data</w:t>
            </w:r>
            <w:r w:rsidR="0008284F">
              <w:rPr>
                <w:noProof/>
                <w:webHidden/>
              </w:rPr>
              <w:tab/>
            </w:r>
            <w:r w:rsidR="0008284F">
              <w:rPr>
                <w:noProof/>
                <w:webHidden/>
              </w:rPr>
              <w:fldChar w:fldCharType="begin"/>
            </w:r>
            <w:r w:rsidR="0008284F">
              <w:rPr>
                <w:noProof/>
                <w:webHidden/>
              </w:rPr>
              <w:instrText xml:space="preserve"> PAGEREF _Toc198557794 \h </w:instrText>
            </w:r>
            <w:r w:rsidR="0008284F">
              <w:rPr>
                <w:noProof/>
                <w:webHidden/>
              </w:rPr>
            </w:r>
            <w:r w:rsidR="0008284F">
              <w:rPr>
                <w:noProof/>
                <w:webHidden/>
              </w:rPr>
              <w:fldChar w:fldCharType="separate"/>
            </w:r>
            <w:r w:rsidR="00082703">
              <w:rPr>
                <w:noProof/>
                <w:webHidden/>
              </w:rPr>
              <w:t>24</w:t>
            </w:r>
            <w:r w:rsidR="0008284F">
              <w:rPr>
                <w:noProof/>
                <w:webHidden/>
              </w:rPr>
              <w:fldChar w:fldCharType="end"/>
            </w:r>
          </w:hyperlink>
        </w:p>
        <w:p w:rsidR="0008284F" w:rsidRDefault="001E6185">
          <w:pPr>
            <w:pStyle w:val="TOC2"/>
            <w:rPr>
              <w:rFonts w:asciiTheme="minorHAnsi" w:eastAsiaTheme="minorEastAsia" w:hAnsiTheme="minorHAnsi" w:cstheme="minorBidi"/>
              <w:noProof/>
              <w:kern w:val="2"/>
              <w:szCs w:val="24"/>
              <w:lang w:val="en-IE" w:eastAsia="en-IE"/>
              <w14:ligatures w14:val="standardContextual"/>
            </w:rPr>
          </w:pPr>
          <w:hyperlink w:anchor="_Toc198557795" w:history="1">
            <w:r w:rsidR="0008284F" w:rsidRPr="001C1478">
              <w:rPr>
                <w:rStyle w:val="Hyperlink"/>
                <w:noProof/>
              </w:rPr>
              <w:t>4.3.</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Digital solutions</w:t>
            </w:r>
            <w:r w:rsidR="0008284F">
              <w:rPr>
                <w:noProof/>
                <w:webHidden/>
              </w:rPr>
              <w:tab/>
            </w:r>
            <w:r w:rsidR="0008284F">
              <w:rPr>
                <w:noProof/>
                <w:webHidden/>
              </w:rPr>
              <w:fldChar w:fldCharType="begin"/>
            </w:r>
            <w:r w:rsidR="0008284F">
              <w:rPr>
                <w:noProof/>
                <w:webHidden/>
              </w:rPr>
              <w:instrText xml:space="preserve"> PAGEREF _Toc198557795 \h </w:instrText>
            </w:r>
            <w:r w:rsidR="0008284F">
              <w:rPr>
                <w:noProof/>
                <w:webHidden/>
              </w:rPr>
            </w:r>
            <w:r w:rsidR="0008284F">
              <w:rPr>
                <w:noProof/>
                <w:webHidden/>
              </w:rPr>
              <w:fldChar w:fldCharType="separate"/>
            </w:r>
            <w:r w:rsidR="00082703">
              <w:rPr>
                <w:noProof/>
                <w:webHidden/>
              </w:rPr>
              <w:t>24</w:t>
            </w:r>
            <w:r w:rsidR="0008284F">
              <w:rPr>
                <w:noProof/>
                <w:webHidden/>
              </w:rPr>
              <w:fldChar w:fldCharType="end"/>
            </w:r>
          </w:hyperlink>
        </w:p>
        <w:p w:rsidR="0008284F" w:rsidRPr="00423A43" w:rsidRDefault="001E6185">
          <w:pPr>
            <w:pStyle w:val="TOC2"/>
            <w:rPr>
              <w:rFonts w:asciiTheme="minorHAnsi" w:eastAsiaTheme="minorEastAsia" w:hAnsiTheme="minorHAnsi" w:cstheme="minorBidi"/>
              <w:noProof/>
              <w:kern w:val="2"/>
              <w:szCs w:val="24"/>
              <w:lang w:val="en-IE" w:eastAsia="en-IE"/>
              <w14:ligatures w14:val="standardContextual"/>
            </w:rPr>
          </w:pPr>
          <w:hyperlink w:anchor="_Toc198557796" w:history="1">
            <w:r w:rsidR="0008284F" w:rsidRPr="00423A43">
              <w:rPr>
                <w:rStyle w:val="Hyperlink"/>
                <w:bCs/>
                <w:noProof/>
              </w:rPr>
              <w:t>4.4.</w:t>
            </w:r>
            <w:r w:rsidR="0008284F" w:rsidRPr="00423A43">
              <w:rPr>
                <w:rFonts w:asciiTheme="minorHAnsi" w:eastAsiaTheme="minorEastAsia" w:hAnsiTheme="minorHAnsi" w:cstheme="minorBidi"/>
                <w:noProof/>
                <w:kern w:val="2"/>
                <w:szCs w:val="24"/>
                <w:lang w:val="en-IE" w:eastAsia="en-IE"/>
                <w14:ligatures w14:val="standardContextual"/>
              </w:rPr>
              <w:tab/>
            </w:r>
            <w:r w:rsidR="0008284F" w:rsidRPr="00423A43">
              <w:rPr>
                <w:rStyle w:val="Hyperlink"/>
                <w:bCs/>
                <w:noProof/>
              </w:rPr>
              <w:t>Interoperability assessment</w:t>
            </w:r>
            <w:r w:rsidR="0008284F" w:rsidRPr="00423A43">
              <w:rPr>
                <w:noProof/>
                <w:webHidden/>
              </w:rPr>
              <w:tab/>
            </w:r>
            <w:r w:rsidR="0008284F" w:rsidRPr="00423A43">
              <w:rPr>
                <w:noProof/>
                <w:webHidden/>
              </w:rPr>
              <w:fldChar w:fldCharType="begin"/>
            </w:r>
            <w:r w:rsidR="0008284F" w:rsidRPr="00423A43">
              <w:rPr>
                <w:noProof/>
                <w:webHidden/>
              </w:rPr>
              <w:instrText xml:space="preserve"> PAGEREF _Toc198557796 \h </w:instrText>
            </w:r>
            <w:r w:rsidR="0008284F" w:rsidRPr="00423A43">
              <w:rPr>
                <w:noProof/>
                <w:webHidden/>
              </w:rPr>
            </w:r>
            <w:r w:rsidR="0008284F" w:rsidRPr="00423A43">
              <w:rPr>
                <w:noProof/>
                <w:webHidden/>
              </w:rPr>
              <w:fldChar w:fldCharType="separate"/>
            </w:r>
            <w:r w:rsidR="00082703">
              <w:rPr>
                <w:noProof/>
                <w:webHidden/>
              </w:rPr>
              <w:t>24</w:t>
            </w:r>
            <w:r w:rsidR="0008284F" w:rsidRPr="00423A43">
              <w:rPr>
                <w:noProof/>
                <w:webHidden/>
              </w:rPr>
              <w:fldChar w:fldCharType="end"/>
            </w:r>
          </w:hyperlink>
        </w:p>
        <w:p w:rsidR="0008284F" w:rsidRDefault="001E6185">
          <w:pPr>
            <w:pStyle w:val="TOC2"/>
            <w:rPr>
              <w:rFonts w:asciiTheme="minorHAnsi" w:eastAsiaTheme="minorEastAsia" w:hAnsiTheme="minorHAnsi" w:cstheme="minorBidi"/>
              <w:noProof/>
              <w:kern w:val="2"/>
              <w:szCs w:val="24"/>
              <w:lang w:val="en-IE" w:eastAsia="en-IE"/>
              <w14:ligatures w14:val="standardContextual"/>
            </w:rPr>
          </w:pPr>
          <w:hyperlink w:anchor="_Toc198557797" w:history="1">
            <w:r w:rsidR="0008284F" w:rsidRPr="001C1478">
              <w:rPr>
                <w:rStyle w:val="Hyperlink"/>
                <w:noProof/>
              </w:rPr>
              <w:t>4.5.</w:t>
            </w:r>
            <w:r w:rsidR="0008284F">
              <w:rPr>
                <w:rFonts w:asciiTheme="minorHAnsi" w:eastAsiaTheme="minorEastAsia" w:hAnsiTheme="minorHAnsi" w:cstheme="minorBidi"/>
                <w:noProof/>
                <w:kern w:val="2"/>
                <w:szCs w:val="24"/>
                <w:lang w:val="en-IE" w:eastAsia="en-IE"/>
                <w14:ligatures w14:val="standardContextual"/>
              </w:rPr>
              <w:tab/>
            </w:r>
            <w:r w:rsidR="0008284F" w:rsidRPr="001C1478">
              <w:rPr>
                <w:rStyle w:val="Hyperlink"/>
                <w:noProof/>
              </w:rPr>
              <w:t>Measures to support digital implementation</w:t>
            </w:r>
            <w:r w:rsidR="0008284F">
              <w:rPr>
                <w:noProof/>
                <w:webHidden/>
              </w:rPr>
              <w:tab/>
            </w:r>
            <w:r w:rsidR="0008284F">
              <w:rPr>
                <w:noProof/>
                <w:webHidden/>
              </w:rPr>
              <w:fldChar w:fldCharType="begin"/>
            </w:r>
            <w:r w:rsidR="0008284F">
              <w:rPr>
                <w:noProof/>
                <w:webHidden/>
              </w:rPr>
              <w:instrText xml:space="preserve"> PAGEREF _Toc198557797 \h </w:instrText>
            </w:r>
            <w:r w:rsidR="0008284F">
              <w:rPr>
                <w:noProof/>
                <w:webHidden/>
              </w:rPr>
            </w:r>
            <w:r w:rsidR="0008284F">
              <w:rPr>
                <w:noProof/>
                <w:webHidden/>
              </w:rPr>
              <w:fldChar w:fldCharType="separate"/>
            </w:r>
            <w:r w:rsidR="00082703">
              <w:rPr>
                <w:noProof/>
                <w:webHidden/>
              </w:rPr>
              <w:t>25</w:t>
            </w:r>
            <w:r w:rsidR="0008284F">
              <w:rPr>
                <w:noProof/>
                <w:webHidden/>
              </w:rPr>
              <w:fldChar w:fldCharType="end"/>
            </w:r>
          </w:hyperlink>
        </w:p>
        <w:p w:rsidR="006B4685" w:rsidRDefault="006B4685" w:rsidP="006B4685">
          <w:pPr>
            <w:rPr>
              <w:noProof/>
            </w:rPr>
          </w:pPr>
          <w:r>
            <w:rPr>
              <w:b/>
              <w:bCs/>
              <w:noProof/>
            </w:rPr>
            <w:fldChar w:fldCharType="end"/>
          </w:r>
        </w:p>
      </w:sdtContent>
    </w:sdt>
    <w:p w:rsidR="006B4685" w:rsidRDefault="006B4685" w:rsidP="006B4685">
      <w:pPr>
        <w:rPr>
          <w:noProof/>
        </w:rPr>
        <w:sectPr w:rsidR="006B4685" w:rsidSect="001B1F0B">
          <w:pgSz w:w="11907" w:h="16840" w:code="9"/>
          <w:pgMar w:top="1134" w:right="1418" w:bottom="1134" w:left="1418" w:header="709" w:footer="709" w:gutter="0"/>
          <w:pgNumType w:start="1"/>
          <w:cols w:space="720"/>
          <w:docGrid w:linePitch="360"/>
        </w:sectPr>
      </w:pPr>
    </w:p>
    <w:p w:rsidR="006B4685" w:rsidRDefault="006B4685" w:rsidP="006B4685">
      <w:pPr>
        <w:pStyle w:val="ManualHeading1"/>
        <w:rPr>
          <w:noProof/>
        </w:rPr>
      </w:pPr>
      <w:bookmarkStart w:id="25" w:name="_Toc514938007"/>
      <w:bookmarkStart w:id="26" w:name="_Toc520485025"/>
      <w:bookmarkStart w:id="27" w:name="_Toc160804567"/>
      <w:bookmarkStart w:id="28" w:name="_Toc198557752"/>
      <w:r w:rsidRPr="0021790A">
        <w:rPr>
          <w:noProof/>
        </w:rPr>
        <w:t>1.</w:t>
      </w:r>
      <w:r w:rsidRPr="0021790A">
        <w:rPr>
          <w:noProof/>
        </w:rPr>
        <w:tab/>
      </w:r>
      <w:r>
        <w:rPr>
          <w:noProof/>
        </w:rPr>
        <w:t>FRAMEWORK OF THE PROPOSAL/INITIATIVE</w:t>
      </w:r>
      <w:bookmarkEnd w:id="25"/>
      <w:bookmarkEnd w:id="26"/>
      <w:bookmarkEnd w:id="27"/>
      <w:bookmarkEnd w:id="28"/>
      <w:r>
        <w:rPr>
          <w:noProof/>
        </w:rPr>
        <w:t xml:space="preserve"> </w:t>
      </w:r>
    </w:p>
    <w:p w:rsidR="006B4685" w:rsidRDefault="006B4685" w:rsidP="006B4685">
      <w:pPr>
        <w:pStyle w:val="ManualHeading2"/>
        <w:rPr>
          <w:noProof/>
        </w:rPr>
      </w:pPr>
      <w:bookmarkStart w:id="29" w:name="_Toc514938008"/>
      <w:bookmarkStart w:id="30" w:name="_Toc520485026"/>
      <w:bookmarkStart w:id="31" w:name="_Toc160804568"/>
      <w:bookmarkStart w:id="32" w:name="_Toc198557753"/>
      <w:r w:rsidRPr="0021790A">
        <w:rPr>
          <w:noProof/>
        </w:rPr>
        <w:t>1.1.</w:t>
      </w:r>
      <w:r w:rsidRPr="0021790A">
        <w:rPr>
          <w:noProof/>
        </w:rPr>
        <w:tab/>
      </w:r>
      <w:r>
        <w:rPr>
          <w:noProof/>
        </w:rPr>
        <w:t>Title of the proposal/initiative</w:t>
      </w:r>
      <w:bookmarkEnd w:id="29"/>
      <w:bookmarkEnd w:id="30"/>
      <w:bookmarkEnd w:id="31"/>
      <w:bookmarkEnd w:id="32"/>
    </w:p>
    <w:p w:rsidR="006B4685" w:rsidRPr="004670A6" w:rsidRDefault="006B4685" w:rsidP="006B4685">
      <w:pPr>
        <w:pStyle w:val="Text1"/>
        <w:pBdr>
          <w:top w:val="single" w:sz="4" w:space="1" w:color="auto"/>
          <w:left w:val="single" w:sz="4" w:space="4" w:color="auto"/>
          <w:bottom w:val="single" w:sz="4" w:space="1" w:color="auto"/>
          <w:right w:val="single" w:sz="4" w:space="4" w:color="auto"/>
        </w:pBdr>
        <w:rPr>
          <w:noProof/>
        </w:rPr>
      </w:pPr>
      <w:r w:rsidRPr="00186012">
        <w:rPr>
          <w:noProof/>
        </w:rPr>
        <w:t>Regulation of the European Parliament and of the Council amending Regulation (EU) 2017/2402 of the European Parliament and of the Council of 12 December 2017 laying down a general framework for securitisation and creating a specific framework for simple, transparent and standardised securitisation</w:t>
      </w:r>
      <w:r>
        <w:rPr>
          <w:noProof/>
        </w:rPr>
        <w:t>.</w:t>
      </w:r>
    </w:p>
    <w:p w:rsidR="006B4685" w:rsidRDefault="006B4685" w:rsidP="006B4685">
      <w:pPr>
        <w:pStyle w:val="ManualHeading2"/>
        <w:rPr>
          <w:i/>
          <w:noProof/>
        </w:rPr>
      </w:pPr>
      <w:bookmarkStart w:id="33" w:name="_Toc514938011"/>
      <w:bookmarkStart w:id="34" w:name="_Toc520485027"/>
      <w:bookmarkStart w:id="35" w:name="_Toc160804569"/>
      <w:bookmarkStart w:id="36" w:name="_Toc198557754"/>
      <w:r w:rsidRPr="0021790A">
        <w:rPr>
          <w:noProof/>
        </w:rPr>
        <w:t>1.2.</w:t>
      </w:r>
      <w:r w:rsidRPr="0021790A">
        <w:rPr>
          <w:noProof/>
        </w:rPr>
        <w:tab/>
      </w:r>
      <w:r>
        <w:rPr>
          <w:noProof/>
        </w:rPr>
        <w:t>Policy area(s) concerned</w:t>
      </w:r>
      <w:bookmarkEnd w:id="33"/>
      <w:bookmarkEnd w:id="34"/>
      <w:bookmarkEnd w:id="35"/>
      <w:bookmarkEnd w:id="36"/>
      <w:r>
        <w:rPr>
          <w:i/>
          <w:noProof/>
        </w:rPr>
        <w:t xml:space="preserve"> </w:t>
      </w:r>
    </w:p>
    <w:p w:rsidR="006B4685" w:rsidRPr="004670A6" w:rsidRDefault="006B4685" w:rsidP="006B4685">
      <w:pPr>
        <w:pStyle w:val="Text1"/>
        <w:pBdr>
          <w:top w:val="single" w:sz="4" w:space="1" w:color="auto"/>
          <w:left w:val="single" w:sz="4" w:space="4" w:color="auto"/>
          <w:bottom w:val="single" w:sz="4" w:space="1" w:color="auto"/>
          <w:right w:val="single" w:sz="4" w:space="4" w:color="auto"/>
        </w:pBdr>
        <w:rPr>
          <w:noProof/>
        </w:rPr>
      </w:pPr>
      <w:r w:rsidRPr="00186012">
        <w:rPr>
          <w:noProof/>
        </w:rPr>
        <w:t>Policy area: Financial stability, financial services and Capital Markets Union</w:t>
      </w:r>
    </w:p>
    <w:p w:rsidR="006B4685" w:rsidRPr="004670A6" w:rsidRDefault="006B4685" w:rsidP="006B4685">
      <w:pPr>
        <w:pStyle w:val="Text1"/>
        <w:pBdr>
          <w:top w:val="single" w:sz="4" w:space="1" w:color="auto"/>
          <w:left w:val="single" w:sz="4" w:space="4" w:color="auto"/>
          <w:bottom w:val="single" w:sz="4" w:space="1" w:color="auto"/>
          <w:right w:val="single" w:sz="4" w:space="4" w:color="auto"/>
        </w:pBdr>
        <w:rPr>
          <w:noProof/>
        </w:rPr>
      </w:pPr>
      <w:r w:rsidRPr="00186012">
        <w:rPr>
          <w:noProof/>
        </w:rPr>
        <w:t>Activity: Financial markets</w:t>
      </w:r>
    </w:p>
    <w:p w:rsidR="006B4685" w:rsidRDefault="006B4685" w:rsidP="0055145B">
      <w:pPr>
        <w:pStyle w:val="ManualHeading2"/>
        <w:ind w:left="851" w:hanging="851"/>
        <w:rPr>
          <w:noProof/>
        </w:rPr>
      </w:pPr>
      <w:bookmarkStart w:id="37" w:name="_Toc514938014"/>
      <w:bookmarkStart w:id="38" w:name="_Toc520485028"/>
      <w:bookmarkStart w:id="39" w:name="_Toc160804570"/>
      <w:bookmarkStart w:id="40" w:name="_Toc514938015"/>
      <w:bookmarkStart w:id="41" w:name="_Toc520485029"/>
      <w:bookmarkStart w:id="42" w:name="_Toc160804571"/>
      <w:bookmarkStart w:id="43" w:name="_Toc198557755"/>
      <w:bookmarkEnd w:id="37"/>
      <w:bookmarkEnd w:id="38"/>
      <w:bookmarkEnd w:id="39"/>
      <w:r>
        <w:rPr>
          <w:noProof/>
        </w:rPr>
        <w:t>1.3.</w:t>
      </w:r>
      <w:r>
        <w:rPr>
          <w:noProof/>
        </w:rPr>
        <w:tab/>
      </w:r>
      <w:r w:rsidRPr="68E41AC8">
        <w:rPr>
          <w:noProof/>
        </w:rPr>
        <w:t>Objective(s)</w:t>
      </w:r>
      <w:bookmarkEnd w:id="40"/>
      <w:bookmarkEnd w:id="41"/>
      <w:bookmarkEnd w:id="42"/>
      <w:bookmarkEnd w:id="43"/>
    </w:p>
    <w:p w:rsidR="006B4685" w:rsidRPr="009B753E" w:rsidRDefault="006B4685" w:rsidP="006B4685">
      <w:pPr>
        <w:pStyle w:val="ManualHeading3"/>
        <w:rPr>
          <w:noProof/>
        </w:rPr>
      </w:pPr>
      <w:bookmarkStart w:id="44" w:name="_Toc514938016"/>
      <w:bookmarkStart w:id="45" w:name="_Toc520485030"/>
      <w:bookmarkStart w:id="46" w:name="_Toc160804572"/>
      <w:bookmarkStart w:id="47" w:name="_Toc198557756"/>
      <w:r>
        <w:rPr>
          <w:noProof/>
        </w:rPr>
        <w:t>1.3.1.</w:t>
      </w:r>
      <w:r>
        <w:rPr>
          <w:noProof/>
        </w:rPr>
        <w:tab/>
      </w:r>
      <w:r w:rsidRPr="68E41AC8">
        <w:rPr>
          <w:noProof/>
        </w:rPr>
        <w:t>General objective(s)</w:t>
      </w:r>
      <w:bookmarkEnd w:id="44"/>
      <w:bookmarkEnd w:id="45"/>
      <w:bookmarkEnd w:id="46"/>
      <w:bookmarkEnd w:id="47"/>
    </w:p>
    <w:p w:rsidR="006B4685" w:rsidRPr="00186012" w:rsidRDefault="006B4685" w:rsidP="006B4685">
      <w:pPr>
        <w:pStyle w:val="Text1"/>
        <w:pBdr>
          <w:top w:val="single" w:sz="4" w:space="1" w:color="auto"/>
          <w:left w:val="single" w:sz="4" w:space="4" w:color="auto"/>
          <w:bottom w:val="single" w:sz="4" w:space="1" w:color="auto"/>
          <w:right w:val="single" w:sz="4" w:space="4" w:color="auto"/>
        </w:pBdr>
        <w:rPr>
          <w:noProof/>
        </w:rPr>
      </w:pPr>
      <w:r w:rsidRPr="00186012">
        <w:rPr>
          <w:noProof/>
        </w:rPr>
        <w:t>This initiative is one of the components of the Savings and Investments Union. This proposal aims to:</w:t>
      </w:r>
    </w:p>
    <w:p w:rsidR="006B4685" w:rsidRPr="00186012" w:rsidRDefault="006B4685" w:rsidP="006B4685">
      <w:pPr>
        <w:pStyle w:val="Text1"/>
        <w:pBdr>
          <w:top w:val="single" w:sz="4" w:space="1" w:color="auto"/>
          <w:left w:val="single" w:sz="4" w:space="4" w:color="auto"/>
          <w:bottom w:val="single" w:sz="4" w:space="1" w:color="auto"/>
          <w:right w:val="single" w:sz="4" w:space="4" w:color="auto"/>
        </w:pBdr>
        <w:rPr>
          <w:noProof/>
        </w:rPr>
      </w:pPr>
      <w:r w:rsidRPr="00186012">
        <w:rPr>
          <w:noProof/>
        </w:rPr>
        <w:t xml:space="preserve">(1) to revive a securitisation market that will improve financing of the EU economy and </w:t>
      </w:r>
    </w:p>
    <w:p w:rsidR="006B4685" w:rsidRPr="00186012" w:rsidRDefault="006B4685" w:rsidP="006B4685">
      <w:pPr>
        <w:pStyle w:val="Text1"/>
        <w:pBdr>
          <w:top w:val="single" w:sz="4" w:space="1" w:color="auto"/>
          <w:left w:val="single" w:sz="4" w:space="4" w:color="auto"/>
          <w:bottom w:val="single" w:sz="4" w:space="1" w:color="auto"/>
          <w:right w:val="single" w:sz="4" w:space="4" w:color="auto"/>
        </w:pBdr>
        <w:rPr>
          <w:noProof/>
        </w:rPr>
      </w:pPr>
      <w:r w:rsidRPr="00186012">
        <w:rPr>
          <w:noProof/>
        </w:rPr>
        <w:t xml:space="preserve">(2) to strike a better balance between safety and market development. </w:t>
      </w:r>
    </w:p>
    <w:p w:rsidR="006B4685" w:rsidRPr="00700E39" w:rsidRDefault="006B4685" w:rsidP="006B4685">
      <w:pPr>
        <w:pStyle w:val="Text1"/>
        <w:pBdr>
          <w:top w:val="single" w:sz="4" w:space="1" w:color="auto"/>
          <w:left w:val="single" w:sz="4" w:space="4" w:color="auto"/>
          <w:bottom w:val="single" w:sz="4" w:space="1" w:color="auto"/>
          <w:right w:val="single" w:sz="4" w:space="4" w:color="auto"/>
        </w:pBdr>
        <w:rPr>
          <w:noProof/>
        </w:rPr>
      </w:pPr>
      <w:r w:rsidRPr="00186012">
        <w:rPr>
          <w:noProof/>
        </w:rPr>
        <w:t>The aim is to create conditions and environment for greater lending to the real economy. A well-functioning securitisation market will incentivise banks to be more active in the market ultimately also making them lend more to the economy.</w:t>
      </w:r>
      <w:r w:rsidRPr="003B193C">
        <w:rPr>
          <w:noProof/>
        </w:rPr>
        <w:t xml:space="preserve">  </w:t>
      </w:r>
    </w:p>
    <w:p w:rsidR="006B4685" w:rsidRDefault="006B4685" w:rsidP="006B4685">
      <w:pPr>
        <w:pStyle w:val="ManualHeading3"/>
        <w:rPr>
          <w:noProof/>
        </w:rPr>
      </w:pPr>
      <w:bookmarkStart w:id="48" w:name="_Toc514938018"/>
      <w:bookmarkStart w:id="49" w:name="_Toc520485031"/>
      <w:bookmarkStart w:id="50" w:name="_Toc160804573"/>
      <w:bookmarkStart w:id="51" w:name="_Toc198557757"/>
      <w:r>
        <w:rPr>
          <w:noProof/>
        </w:rPr>
        <w:t>1.3.2.</w:t>
      </w:r>
      <w:r>
        <w:rPr>
          <w:noProof/>
        </w:rPr>
        <w:tab/>
      </w:r>
      <w:r w:rsidRPr="68E41AC8">
        <w:rPr>
          <w:noProof/>
        </w:rPr>
        <w:t>Specific objective(s)</w:t>
      </w:r>
      <w:bookmarkEnd w:id="48"/>
      <w:bookmarkEnd w:id="49"/>
      <w:bookmarkEnd w:id="50"/>
      <w:bookmarkEnd w:id="51"/>
    </w:p>
    <w:p w:rsidR="006B4685" w:rsidRPr="00186012" w:rsidRDefault="006B4685" w:rsidP="006B4685">
      <w:pPr>
        <w:pStyle w:val="Text1"/>
        <w:pBdr>
          <w:top w:val="single" w:sz="4" w:space="1" w:color="auto"/>
          <w:left w:val="single" w:sz="4" w:space="4" w:color="auto"/>
          <w:bottom w:val="single" w:sz="4" w:space="1" w:color="auto"/>
          <w:right w:val="single" w:sz="4" w:space="4" w:color="auto"/>
        </w:pBdr>
        <w:rPr>
          <w:noProof/>
        </w:rPr>
      </w:pPr>
      <w:r w:rsidRPr="00186012">
        <w:rPr>
          <w:noProof/>
        </w:rPr>
        <w:t>This proposal has the following objectives:</w:t>
      </w:r>
    </w:p>
    <w:p w:rsidR="006B4685" w:rsidRPr="00186012" w:rsidRDefault="006B4685" w:rsidP="006B4685">
      <w:pPr>
        <w:pStyle w:val="Text1"/>
        <w:pBdr>
          <w:top w:val="single" w:sz="4" w:space="1" w:color="auto"/>
          <w:left w:val="single" w:sz="4" w:space="4" w:color="auto"/>
          <w:bottom w:val="single" w:sz="4" w:space="1" w:color="auto"/>
          <w:right w:val="single" w:sz="4" w:space="4" w:color="auto"/>
        </w:pBdr>
        <w:rPr>
          <w:noProof/>
        </w:rPr>
      </w:pPr>
      <w:r w:rsidRPr="00186012">
        <w:rPr>
          <w:noProof/>
        </w:rPr>
        <w:t xml:space="preserve">(1) Reduction of high operational costs for issuers and investors balancing with robust and proportionate standards of transparency, investor protection and supervision;. </w:t>
      </w:r>
    </w:p>
    <w:p w:rsidR="006B4685" w:rsidRPr="00186012" w:rsidRDefault="006B4685" w:rsidP="006B4685">
      <w:pPr>
        <w:pStyle w:val="Text1"/>
        <w:pBdr>
          <w:top w:val="single" w:sz="4" w:space="1" w:color="auto"/>
          <w:left w:val="single" w:sz="4" w:space="4" w:color="auto"/>
          <w:bottom w:val="single" w:sz="4" w:space="1" w:color="auto"/>
          <w:right w:val="single" w:sz="4" w:space="4" w:color="auto"/>
        </w:pBdr>
        <w:rPr>
          <w:noProof/>
        </w:rPr>
      </w:pPr>
      <w:r w:rsidRPr="00186012">
        <w:rPr>
          <w:noProof/>
        </w:rPr>
        <w:t xml:space="preserve">(2) Removal of regulatory barriers, allowing the market to develop in a more sustainable and resilient way; </w:t>
      </w:r>
    </w:p>
    <w:p w:rsidR="006B4685" w:rsidRPr="00186012" w:rsidRDefault="006B4685" w:rsidP="006B4685">
      <w:pPr>
        <w:pStyle w:val="Text1"/>
        <w:pBdr>
          <w:top w:val="single" w:sz="4" w:space="1" w:color="auto"/>
          <w:left w:val="single" w:sz="4" w:space="4" w:color="auto"/>
          <w:bottom w:val="single" w:sz="4" w:space="1" w:color="auto"/>
          <w:right w:val="single" w:sz="4" w:space="4" w:color="auto"/>
        </w:pBdr>
        <w:rPr>
          <w:noProof/>
        </w:rPr>
      </w:pPr>
      <w:r w:rsidRPr="00186012">
        <w:rPr>
          <w:noProof/>
        </w:rPr>
        <w:t>(3) Contribute to the Commission's effort to reduce the regulatory burden on market participants.</w:t>
      </w:r>
    </w:p>
    <w:p w:rsidR="006B4685" w:rsidRPr="005350F5" w:rsidRDefault="006B4685" w:rsidP="006B4685">
      <w:pPr>
        <w:pStyle w:val="Text1"/>
        <w:pBdr>
          <w:top w:val="single" w:sz="4" w:space="1" w:color="auto"/>
          <w:left w:val="single" w:sz="4" w:space="4" w:color="auto"/>
          <w:bottom w:val="single" w:sz="4" w:space="1" w:color="auto"/>
          <w:right w:val="single" w:sz="4" w:space="4" w:color="auto"/>
        </w:pBdr>
        <w:rPr>
          <w:noProof/>
        </w:rPr>
      </w:pPr>
      <w:r w:rsidRPr="00186012">
        <w:rPr>
          <w:noProof/>
        </w:rPr>
        <w:t>Securitisation can be an important channel for diversifying funding sources and allocating risk more efficiently within the EU financial system. It would allow for a broader distribution of financial sector risk and can help to free up banks' balance sheets to allow for further lending to the different categories of economic agent (e.g. non-financial companies, SME, individuals). Overall, it can improve efficiencies in the financial system and provide additional investment opportunities. Securitisation can bridge banks and capital markets with an indirect benefit for businesses and citizens (through, for example, less expensive loans, mortgages and credit cards).</w:t>
      </w:r>
    </w:p>
    <w:p w:rsidR="006B4685" w:rsidRPr="00BD0A20" w:rsidRDefault="006B4685" w:rsidP="006B4685">
      <w:pPr>
        <w:pStyle w:val="ManualHeading3"/>
        <w:rPr>
          <w:noProof/>
        </w:rPr>
      </w:pPr>
      <w:bookmarkStart w:id="52" w:name="_Toc514938019"/>
      <w:bookmarkStart w:id="53" w:name="_Toc520485032"/>
      <w:bookmarkStart w:id="54" w:name="_Toc160804574"/>
      <w:bookmarkStart w:id="55" w:name="_Toc198557758"/>
      <w:r>
        <w:rPr>
          <w:noProof/>
        </w:rPr>
        <w:t>1.3.3.</w:t>
      </w:r>
      <w:r>
        <w:rPr>
          <w:noProof/>
        </w:rPr>
        <w:tab/>
      </w:r>
      <w:r w:rsidRPr="68E41AC8">
        <w:rPr>
          <w:noProof/>
        </w:rPr>
        <w:t>Expected result(s) and impact</w:t>
      </w:r>
      <w:bookmarkEnd w:id="52"/>
      <w:bookmarkEnd w:id="53"/>
      <w:bookmarkEnd w:id="54"/>
      <w:bookmarkEnd w:id="55"/>
    </w:p>
    <w:p w:rsidR="006B4685" w:rsidRDefault="006B4685" w:rsidP="006B4685">
      <w:pPr>
        <w:pStyle w:val="Text1"/>
        <w:rPr>
          <w:i/>
          <w:noProof/>
          <w:sz w:val="20"/>
        </w:rPr>
      </w:pPr>
      <w:r>
        <w:rPr>
          <w:i/>
          <w:noProof/>
          <w:sz w:val="20"/>
        </w:rPr>
        <w:t>Specify the effects which the proposal/initiative should have on the beneficiaries / groups targeted.</w:t>
      </w:r>
    </w:p>
    <w:p w:rsidR="006B4685" w:rsidRPr="00186012" w:rsidRDefault="006B4685" w:rsidP="006B4685">
      <w:pPr>
        <w:pStyle w:val="Text1"/>
        <w:pBdr>
          <w:top w:val="single" w:sz="4" w:space="1" w:color="auto"/>
          <w:left w:val="single" w:sz="4" w:space="4" w:color="auto"/>
          <w:bottom w:val="single" w:sz="4" w:space="1" w:color="auto"/>
          <w:right w:val="single" w:sz="4" w:space="4" w:color="auto"/>
        </w:pBdr>
        <w:rPr>
          <w:noProof/>
        </w:rPr>
      </w:pPr>
      <w:r w:rsidRPr="00186012">
        <w:rPr>
          <w:noProof/>
        </w:rPr>
        <w:t>Suggested changes will revitalise securitisation market and allow securitisation to play a role in the development of the Savings and Investments Union and to reduce burden and compliance costs for issuers and investors. By addressing the high operational costs that have deterred banks and insurers from participating in the EU securitisation market, proposed changes will contribute to the Commission's effort to reduce the regulatory burden on market participants and stimulate market development the use of securitisation. At the same time, the proposed changes will continue to safeguard financial stability and provide an adequate level of investor and consumer protection.</w:t>
      </w:r>
    </w:p>
    <w:p w:rsidR="006B4685" w:rsidRDefault="006B4685" w:rsidP="006B4685">
      <w:pPr>
        <w:pStyle w:val="ManualHeading3"/>
        <w:rPr>
          <w:noProof/>
        </w:rPr>
      </w:pPr>
      <w:bookmarkStart w:id="56" w:name="_Toc514938023"/>
      <w:bookmarkStart w:id="57" w:name="_Toc520485033"/>
      <w:bookmarkStart w:id="58" w:name="_Toc160804575"/>
      <w:bookmarkStart w:id="59" w:name="_Toc198557759"/>
      <w:r>
        <w:rPr>
          <w:noProof/>
        </w:rPr>
        <w:t>1.3.4.</w:t>
      </w:r>
      <w:r>
        <w:rPr>
          <w:noProof/>
        </w:rPr>
        <w:tab/>
      </w:r>
      <w:r w:rsidRPr="68E41AC8">
        <w:rPr>
          <w:noProof/>
        </w:rPr>
        <w:t>Indicators of performance</w:t>
      </w:r>
      <w:bookmarkEnd w:id="56"/>
      <w:bookmarkEnd w:id="57"/>
      <w:bookmarkEnd w:id="58"/>
      <w:bookmarkEnd w:id="59"/>
    </w:p>
    <w:p w:rsidR="006B4685" w:rsidRDefault="006B4685" w:rsidP="006B4685">
      <w:pPr>
        <w:pStyle w:val="Text1"/>
        <w:rPr>
          <w:i/>
          <w:noProof/>
          <w:sz w:val="20"/>
        </w:rPr>
      </w:pPr>
      <w:r>
        <w:rPr>
          <w:i/>
          <w:noProof/>
          <w:sz w:val="20"/>
        </w:rPr>
        <w:t>Specify the indicators for monitoring progress and achievements.</w:t>
      </w:r>
    </w:p>
    <w:p w:rsidR="006B4685" w:rsidRPr="00186012" w:rsidRDefault="006B4685" w:rsidP="006B4685">
      <w:pPr>
        <w:pStyle w:val="Text1"/>
        <w:pBdr>
          <w:top w:val="single" w:sz="4" w:space="1" w:color="auto"/>
          <w:left w:val="single" w:sz="4" w:space="4" w:color="auto"/>
          <w:bottom w:val="single" w:sz="4" w:space="1" w:color="auto"/>
          <w:right w:val="single" w:sz="4" w:space="4" w:color="auto"/>
        </w:pBdr>
        <w:rPr>
          <w:noProof/>
        </w:rPr>
      </w:pPr>
      <w:r w:rsidRPr="00186012">
        <w:rPr>
          <w:noProof/>
        </w:rPr>
        <w:t xml:space="preserve">The following indicators will be used to monitor progress and achievements: </w:t>
      </w:r>
    </w:p>
    <w:p w:rsidR="006B4685" w:rsidRPr="00186012" w:rsidRDefault="006B4685" w:rsidP="00186012">
      <w:pPr>
        <w:pStyle w:val="Text1"/>
        <w:pBdr>
          <w:top w:val="single" w:sz="4" w:space="1" w:color="auto"/>
          <w:left w:val="single" w:sz="4" w:space="4" w:color="auto"/>
          <w:bottom w:val="single" w:sz="4" w:space="1" w:color="auto"/>
          <w:right w:val="single" w:sz="4" w:space="4" w:color="auto"/>
        </w:pBdr>
        <w:rPr>
          <w:noProof/>
        </w:rPr>
      </w:pPr>
      <w:r w:rsidRPr="00186012">
        <w:rPr>
          <w:noProof/>
        </w:rPr>
        <w:t>Monitoring the cost of conducting due diligence to invest in securitisation transactions.</w:t>
      </w:r>
    </w:p>
    <w:p w:rsidR="006B4685" w:rsidRDefault="006B4685" w:rsidP="00186012">
      <w:pPr>
        <w:pStyle w:val="Text1"/>
        <w:pBdr>
          <w:top w:val="single" w:sz="4" w:space="1" w:color="auto"/>
          <w:left w:val="single" w:sz="4" w:space="4" w:color="auto"/>
          <w:bottom w:val="single" w:sz="4" w:space="1" w:color="auto"/>
          <w:right w:val="single" w:sz="4" w:space="4" w:color="auto"/>
        </w:pBdr>
        <w:rPr>
          <w:noProof/>
        </w:rPr>
      </w:pPr>
      <w:r w:rsidRPr="00186012">
        <w:rPr>
          <w:noProof/>
        </w:rPr>
        <w:t xml:space="preserve">Monitoring issuance cost stemming from the </w:t>
      </w:r>
      <w:r w:rsidR="00A13407">
        <w:rPr>
          <w:noProof/>
        </w:rPr>
        <w:t>reporting</w:t>
      </w:r>
      <w:r w:rsidRPr="00186012">
        <w:rPr>
          <w:noProof/>
        </w:rPr>
        <w:t xml:space="preserve"> requirements. </w:t>
      </w:r>
    </w:p>
    <w:p w:rsidR="006B4685" w:rsidRPr="00186012" w:rsidRDefault="006B4685" w:rsidP="00186012">
      <w:pPr>
        <w:pStyle w:val="Text1"/>
        <w:pBdr>
          <w:top w:val="single" w:sz="4" w:space="1" w:color="auto"/>
          <w:left w:val="single" w:sz="4" w:space="4" w:color="auto"/>
          <w:bottom w:val="single" w:sz="4" w:space="1" w:color="auto"/>
          <w:right w:val="single" w:sz="4" w:space="4" w:color="auto"/>
        </w:pBdr>
        <w:rPr>
          <w:noProof/>
        </w:rPr>
      </w:pPr>
      <w:r w:rsidRPr="00186012">
        <w:rPr>
          <w:noProof/>
        </w:rPr>
        <w:t>Tracking the number of securitisation issuers and investors.</w:t>
      </w:r>
    </w:p>
    <w:p w:rsidR="006B4685" w:rsidRDefault="006B4685" w:rsidP="006B4685">
      <w:pPr>
        <w:pStyle w:val="ManualHeading2"/>
        <w:rPr>
          <w:noProof/>
        </w:rPr>
      </w:pPr>
      <w:bookmarkStart w:id="60" w:name="_Toc198557760"/>
      <w:r>
        <w:rPr>
          <w:noProof/>
        </w:rPr>
        <w:t>1.4.</w:t>
      </w:r>
      <w:r>
        <w:rPr>
          <w:noProof/>
        </w:rPr>
        <w:tab/>
      </w:r>
      <w:r w:rsidRPr="68E41AC8">
        <w:rPr>
          <w:noProof/>
        </w:rPr>
        <w:t>The proposal/initiative relates to:</w:t>
      </w:r>
      <w:bookmarkEnd w:id="60"/>
      <w:r w:rsidRPr="68E41AC8">
        <w:rPr>
          <w:noProof/>
        </w:rPr>
        <w:t xml:space="preserve"> </w:t>
      </w:r>
    </w:p>
    <w:p w:rsidR="006B4685" w:rsidRPr="001617BA" w:rsidRDefault="006B4685" w:rsidP="006B4685">
      <w:pPr>
        <w:pStyle w:val="Text1"/>
        <w:rPr>
          <w:noProof/>
          <w:sz w:val="22"/>
        </w:rPr>
      </w:pPr>
      <w:r w:rsidRPr="68E41AC8">
        <w:rPr>
          <w:rFonts w:ascii="Wingdings" w:eastAsia="Wingdings" w:hAnsi="Wingdings" w:cs="Wingdings"/>
          <w:noProof/>
          <w:sz w:val="22"/>
        </w:rPr>
        <w:t></w:t>
      </w:r>
      <w:r w:rsidRPr="68E41AC8">
        <w:rPr>
          <w:b/>
          <w:bCs/>
          <w:i/>
          <w:iCs/>
          <w:noProof/>
          <w:sz w:val="22"/>
        </w:rPr>
        <w:t xml:space="preserve"> </w:t>
      </w:r>
      <w:r w:rsidRPr="001617BA">
        <w:rPr>
          <w:noProof/>
        </w:rPr>
        <w:t>a new action</w:t>
      </w:r>
      <w:r w:rsidRPr="001617BA">
        <w:rPr>
          <w:noProof/>
          <w:sz w:val="22"/>
        </w:rPr>
        <w:t xml:space="preserve"> </w:t>
      </w:r>
    </w:p>
    <w:p w:rsidR="006B4685" w:rsidRPr="001617BA" w:rsidRDefault="006B4685" w:rsidP="006B4685">
      <w:pPr>
        <w:pStyle w:val="Text1"/>
        <w:rPr>
          <w:noProof/>
          <w:sz w:val="22"/>
        </w:rPr>
      </w:pPr>
      <w:r w:rsidRPr="001617BA">
        <w:rPr>
          <w:rFonts w:ascii="Wingdings" w:eastAsia="Wingdings" w:hAnsi="Wingdings" w:cs="Wingdings"/>
          <w:noProof/>
          <w:sz w:val="22"/>
        </w:rPr>
        <w:t></w:t>
      </w:r>
      <w:r w:rsidRPr="001617BA">
        <w:rPr>
          <w:i/>
          <w:iCs/>
          <w:noProof/>
          <w:sz w:val="22"/>
        </w:rPr>
        <w:t xml:space="preserve"> </w:t>
      </w:r>
      <w:r w:rsidRPr="001617BA">
        <w:rPr>
          <w:noProof/>
        </w:rPr>
        <w:t>a new action following a pilot project / preparatory action</w:t>
      </w:r>
      <w:r w:rsidRPr="001617BA">
        <w:rPr>
          <w:rStyle w:val="FootnoteReference"/>
          <w:noProof/>
        </w:rPr>
        <w:footnoteReference w:id="34"/>
      </w:r>
      <w:r w:rsidRPr="001617BA">
        <w:rPr>
          <w:noProof/>
          <w:sz w:val="22"/>
        </w:rPr>
        <w:t xml:space="preserve"> </w:t>
      </w:r>
    </w:p>
    <w:p w:rsidR="006B4685" w:rsidRPr="001617BA" w:rsidRDefault="006B4685" w:rsidP="006B4685">
      <w:pPr>
        <w:pStyle w:val="Text1"/>
        <w:rPr>
          <w:noProof/>
          <w:sz w:val="22"/>
        </w:rPr>
      </w:pPr>
      <w:r>
        <w:rPr>
          <w:rFonts w:ascii="Wingdings" w:eastAsia="Wingdings" w:hAnsi="Wingdings" w:cs="Wingdings"/>
          <w:noProof/>
          <w:sz w:val="22"/>
        </w:rPr>
        <w:t></w:t>
      </w:r>
      <w:r w:rsidRPr="001617BA">
        <w:rPr>
          <w:i/>
          <w:iCs/>
          <w:noProof/>
          <w:sz w:val="22"/>
        </w:rPr>
        <w:t xml:space="preserve"> </w:t>
      </w:r>
      <w:r w:rsidRPr="001617BA">
        <w:rPr>
          <w:noProof/>
        </w:rPr>
        <w:t>the extension of an existing action</w:t>
      </w:r>
      <w:r w:rsidRPr="001617BA">
        <w:rPr>
          <w:noProof/>
          <w:sz w:val="22"/>
        </w:rPr>
        <w:t xml:space="preserve"> </w:t>
      </w:r>
    </w:p>
    <w:p w:rsidR="006B4685" w:rsidRPr="001617BA" w:rsidRDefault="006B4685" w:rsidP="006B4685">
      <w:pPr>
        <w:pStyle w:val="Text1"/>
        <w:rPr>
          <w:noProof/>
        </w:rPr>
      </w:pPr>
      <w:r w:rsidRPr="001617BA">
        <w:rPr>
          <w:rFonts w:ascii="Wingdings" w:eastAsia="Wingdings" w:hAnsi="Wingdings" w:cs="Wingdings"/>
          <w:noProof/>
          <w:sz w:val="22"/>
        </w:rPr>
        <w:t></w:t>
      </w:r>
      <w:r w:rsidRPr="001617BA">
        <w:rPr>
          <w:i/>
          <w:iCs/>
          <w:noProof/>
          <w:sz w:val="22"/>
        </w:rPr>
        <w:t xml:space="preserve"> </w:t>
      </w:r>
      <w:r w:rsidRPr="001617BA">
        <w:rPr>
          <w:noProof/>
        </w:rPr>
        <w:t>a merger or redirection of one or more actions towards another/a new action</w:t>
      </w:r>
    </w:p>
    <w:p w:rsidR="006B4685" w:rsidRDefault="006B4685" w:rsidP="006B4685">
      <w:pPr>
        <w:pStyle w:val="ManualHeading2"/>
        <w:rPr>
          <w:bCs/>
          <w:noProof/>
          <w:szCs w:val="24"/>
        </w:rPr>
      </w:pPr>
      <w:bookmarkStart w:id="61" w:name="_Toc514938025"/>
      <w:bookmarkStart w:id="62" w:name="_Toc520485034"/>
      <w:bookmarkStart w:id="63" w:name="_Toc160804576"/>
      <w:bookmarkStart w:id="64" w:name="_Toc198557761"/>
      <w:r w:rsidRPr="0021790A">
        <w:rPr>
          <w:noProof/>
        </w:rPr>
        <w:t>1.5.</w:t>
      </w:r>
      <w:r w:rsidRPr="0021790A">
        <w:rPr>
          <w:noProof/>
        </w:rPr>
        <w:tab/>
      </w:r>
      <w:r>
        <w:rPr>
          <w:noProof/>
        </w:rPr>
        <w:t>Grounds for the proposal/initiative</w:t>
      </w:r>
      <w:bookmarkEnd w:id="61"/>
      <w:bookmarkEnd w:id="62"/>
      <w:bookmarkEnd w:id="63"/>
      <w:bookmarkEnd w:id="64"/>
      <w:r>
        <w:rPr>
          <w:noProof/>
        </w:rPr>
        <w:t xml:space="preserve"> </w:t>
      </w:r>
    </w:p>
    <w:p w:rsidR="006B4685" w:rsidRDefault="006B4685" w:rsidP="006B4685">
      <w:pPr>
        <w:pStyle w:val="ManualHeading3"/>
        <w:rPr>
          <w:noProof/>
        </w:rPr>
      </w:pPr>
      <w:bookmarkStart w:id="65" w:name="_Toc514938026"/>
      <w:bookmarkStart w:id="66" w:name="_Toc520485035"/>
      <w:bookmarkStart w:id="67" w:name="_Toc160804577"/>
      <w:bookmarkStart w:id="68" w:name="_Toc198557762"/>
      <w:r w:rsidRPr="0021790A">
        <w:rPr>
          <w:noProof/>
        </w:rPr>
        <w:t>1.5.1.</w:t>
      </w:r>
      <w:r w:rsidRPr="0021790A">
        <w:rPr>
          <w:noProof/>
        </w:rPr>
        <w:tab/>
      </w:r>
      <w:r>
        <w:rPr>
          <w:noProof/>
        </w:rPr>
        <w:t>Requirement(s) to be met in the short or long term including a detailed timeline for roll-out of the implementation of the initiative</w:t>
      </w:r>
      <w:bookmarkEnd w:id="65"/>
      <w:bookmarkEnd w:id="66"/>
      <w:bookmarkEnd w:id="67"/>
      <w:bookmarkEnd w:id="68"/>
    </w:p>
    <w:p w:rsidR="006B4685" w:rsidRPr="00186012" w:rsidRDefault="006B4685" w:rsidP="006B4685">
      <w:pPr>
        <w:pStyle w:val="Text1"/>
        <w:pBdr>
          <w:top w:val="single" w:sz="4" w:space="1" w:color="auto"/>
          <w:left w:val="single" w:sz="4" w:space="4" w:color="auto"/>
          <w:bottom w:val="single" w:sz="4" w:space="1" w:color="auto"/>
          <w:right w:val="single" w:sz="4" w:space="4" w:color="auto"/>
        </w:pBdr>
        <w:rPr>
          <w:noProof/>
        </w:rPr>
      </w:pPr>
      <w:r w:rsidRPr="00186012">
        <w:rPr>
          <w:noProof/>
        </w:rPr>
        <w:t>The proposal presents a series of simplifications and refinements to enhance efficiency within the securitisation market. Through targeted adjustments and simplification, these measures are positioned to bolster the market's capacity, attract a broader base of investors, and encourage economic growth—while maintaining a resilient and transparent financial ecosystem. The changes are expected to boost the competitiveness and sustainability of the EU Securitisation Framework, driving growth for all stakeholders involved.</w:t>
      </w:r>
    </w:p>
    <w:p w:rsidR="006B4685" w:rsidRDefault="006B4685" w:rsidP="006B4685">
      <w:pPr>
        <w:pStyle w:val="Text1"/>
        <w:pBdr>
          <w:top w:val="single" w:sz="4" w:space="1" w:color="auto"/>
          <w:left w:val="single" w:sz="4" w:space="4" w:color="auto"/>
          <w:bottom w:val="single" w:sz="4" w:space="1" w:color="auto"/>
          <w:right w:val="single" w:sz="4" w:space="4" w:color="auto"/>
        </w:pBdr>
        <w:rPr>
          <w:noProof/>
        </w:rPr>
      </w:pPr>
      <w:r w:rsidRPr="00186012">
        <w:rPr>
          <w:noProof/>
        </w:rPr>
        <w:t>A significant simplification of due diligence duties for businesses and a more efficient transparency framework would involve a streamlining of the processes companies need to follow to ensure compliance. By reducing these obligations, businesses will face lower compliance costs, enabling more resources to be allocated to core business activities.</w:t>
      </w:r>
    </w:p>
    <w:p w:rsidR="006B4685" w:rsidRDefault="006B4685" w:rsidP="006B4685">
      <w:pPr>
        <w:pStyle w:val="ManualHeading3"/>
        <w:rPr>
          <w:bCs/>
          <w:noProof/>
          <w:szCs w:val="24"/>
        </w:rPr>
      </w:pPr>
      <w:bookmarkStart w:id="69" w:name="_Toc514938029"/>
      <w:bookmarkStart w:id="70" w:name="_Toc520485036"/>
      <w:bookmarkStart w:id="71" w:name="_Toc160804578"/>
      <w:bookmarkStart w:id="72" w:name="_Toc198557763"/>
      <w:r w:rsidRPr="0021790A">
        <w:rPr>
          <w:noProof/>
        </w:rPr>
        <w:t>1.5.2.</w:t>
      </w:r>
      <w:r w:rsidRPr="0021790A">
        <w:rPr>
          <w:noProof/>
        </w:rPr>
        <w:tab/>
      </w:r>
      <w:r>
        <w:rPr>
          <w:noProof/>
        </w:rPr>
        <w:t xml:space="preserve">Added value of EU </w:t>
      </w:r>
      <w:r w:rsidRPr="00CD72BB">
        <w:rPr>
          <w:noProof/>
        </w:rPr>
        <w:t>involvement (it may result from different factors, e.g. coordination gains, legal certainty, great</w:t>
      </w:r>
      <w:r w:rsidRPr="004830A5">
        <w:rPr>
          <w:noProof/>
        </w:rPr>
        <w:t>er effectiveness or complementarities).</w:t>
      </w:r>
      <w:r>
        <w:rPr>
          <w:noProof/>
        </w:rPr>
        <w:t xml:space="preserve"> For the purposes of this section 'added value of EU involvement' is the value resulting from EU action that is additional to the value that would have been otherwise created by Member States alone.</w:t>
      </w:r>
      <w:bookmarkEnd w:id="69"/>
      <w:bookmarkEnd w:id="70"/>
      <w:bookmarkEnd w:id="71"/>
      <w:bookmarkEnd w:id="72"/>
    </w:p>
    <w:p w:rsidR="006B4685" w:rsidRDefault="006B4685" w:rsidP="006B4685">
      <w:pPr>
        <w:pStyle w:val="Text1"/>
        <w:pBdr>
          <w:top w:val="single" w:sz="4" w:space="1" w:color="auto"/>
          <w:left w:val="single" w:sz="4" w:space="4" w:color="auto"/>
          <w:bottom w:val="single" w:sz="4" w:space="1" w:color="auto"/>
          <w:right w:val="single" w:sz="4" w:space="4" w:color="auto"/>
        </w:pBdr>
        <w:rPr>
          <w:noProof/>
        </w:rPr>
      </w:pPr>
      <w:r w:rsidRPr="00AD1FB8">
        <w:rPr>
          <w:noProof/>
        </w:rPr>
        <w:t xml:space="preserve">Reasons for action at </w:t>
      </w:r>
      <w:r>
        <w:rPr>
          <w:noProof/>
        </w:rPr>
        <w:t>EU</w:t>
      </w:r>
      <w:r w:rsidRPr="00AD1FB8">
        <w:rPr>
          <w:noProof/>
        </w:rPr>
        <w:t xml:space="preserve"> level (ex-ante)</w:t>
      </w:r>
      <w:r>
        <w:rPr>
          <w:noProof/>
        </w:rPr>
        <w:t>:</w:t>
      </w:r>
    </w:p>
    <w:p w:rsidR="006B4685" w:rsidRDefault="006B4685" w:rsidP="006B4685">
      <w:pPr>
        <w:pStyle w:val="Text1"/>
        <w:pBdr>
          <w:top w:val="single" w:sz="4" w:space="1" w:color="auto"/>
          <w:left w:val="single" w:sz="4" w:space="4" w:color="auto"/>
          <w:bottom w:val="single" w:sz="4" w:space="1" w:color="auto"/>
          <w:right w:val="single" w:sz="4" w:space="4" w:color="auto"/>
        </w:pBdr>
        <w:rPr>
          <w:noProof/>
        </w:rPr>
      </w:pPr>
      <w:r>
        <w:rPr>
          <w:noProof/>
        </w:rPr>
        <w:t xml:space="preserve">Securitisation products are part of EU capital markets which are open and integrated. Securitisation links financial institutions from different Member States and non-Member States: often banks originate the loans that are securitised, while financial institutions such as insurers and investment funds invest in these products and they do so across European borders. </w:t>
      </w:r>
    </w:p>
    <w:p w:rsidR="006B4685" w:rsidRDefault="006B4685" w:rsidP="006B4685">
      <w:pPr>
        <w:pStyle w:val="Text1"/>
        <w:pBdr>
          <w:top w:val="single" w:sz="4" w:space="1" w:color="auto"/>
          <w:left w:val="single" w:sz="4" w:space="4" w:color="auto"/>
          <w:bottom w:val="single" w:sz="4" w:space="1" w:color="auto"/>
          <w:right w:val="single" w:sz="4" w:space="4" w:color="auto"/>
        </w:pBdr>
        <w:rPr>
          <w:noProof/>
        </w:rPr>
      </w:pPr>
      <w:r>
        <w:rPr>
          <w:noProof/>
        </w:rPr>
        <w:t>Securitisation is a tool to deepen EU capital markets, to diversify their risk profile and to free up banks’ balance sheet for additional lending, for EU households and businesses, to make the EU economy more competitive and resilient.</w:t>
      </w:r>
    </w:p>
    <w:p w:rsidR="006B4685" w:rsidRDefault="006B4685" w:rsidP="006B4685">
      <w:pPr>
        <w:pStyle w:val="Text1"/>
        <w:pBdr>
          <w:top w:val="single" w:sz="4" w:space="1" w:color="auto"/>
          <w:left w:val="single" w:sz="4" w:space="4" w:color="auto"/>
          <w:bottom w:val="single" w:sz="4" w:space="1" w:color="auto"/>
          <w:right w:val="single" w:sz="4" w:space="4" w:color="auto"/>
        </w:pBdr>
        <w:rPr>
          <w:noProof/>
        </w:rPr>
      </w:pPr>
      <w:r>
        <w:rPr>
          <w:noProof/>
        </w:rPr>
        <w:t xml:space="preserve">The ability of Member States to adopt national measures is limited, given that the existing EU securitisation framework, already provides for a harmonised set of rules at EU level and that changes at national level would conflict with Union law currently in force. Individual Member State action cannot by itself attain the objectives outlined above. </w:t>
      </w:r>
    </w:p>
    <w:p w:rsidR="006B4685" w:rsidRDefault="006B4685" w:rsidP="006B4685">
      <w:pPr>
        <w:pStyle w:val="Text1"/>
        <w:pBdr>
          <w:top w:val="single" w:sz="4" w:space="1" w:color="auto"/>
          <w:left w:val="single" w:sz="4" w:space="4" w:color="auto"/>
          <w:bottom w:val="single" w:sz="4" w:space="1" w:color="auto"/>
          <w:right w:val="single" w:sz="4" w:space="4" w:color="auto"/>
        </w:pBdr>
        <w:rPr>
          <w:noProof/>
        </w:rPr>
      </w:pPr>
      <w:r w:rsidRPr="00AD1FB8">
        <w:rPr>
          <w:noProof/>
        </w:rPr>
        <w:t xml:space="preserve">Expected generated </w:t>
      </w:r>
      <w:r>
        <w:rPr>
          <w:noProof/>
        </w:rPr>
        <w:t>EU</w:t>
      </w:r>
      <w:r w:rsidRPr="00AD1FB8">
        <w:rPr>
          <w:noProof/>
        </w:rPr>
        <w:t xml:space="preserve"> added value (ex-post)</w:t>
      </w:r>
      <w:r>
        <w:rPr>
          <w:noProof/>
        </w:rPr>
        <w:t>:</w:t>
      </w:r>
    </w:p>
    <w:p w:rsidR="006B4685" w:rsidRDefault="006B4685" w:rsidP="006B4685">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aims to </w:t>
      </w:r>
      <w:r w:rsidRPr="30D9F364">
        <w:rPr>
          <w:rFonts w:eastAsia="Times New Roman"/>
          <w:noProof/>
          <w:color w:val="000000" w:themeColor="text1"/>
          <w:lang w:val="en-IE" w:eastAsia="en-IE"/>
        </w:rPr>
        <w:t>aims to remove undue issuance and investment barriers in the EU securitisation market</w:t>
      </w:r>
      <w:r>
        <w:rPr>
          <w:rFonts w:eastAsia="Times New Roman"/>
          <w:noProof/>
          <w:color w:val="000000" w:themeColor="text1"/>
          <w:lang w:val="en-IE" w:eastAsia="en-IE"/>
        </w:rPr>
        <w:t xml:space="preserve"> and </w:t>
      </w:r>
      <w:r>
        <w:rPr>
          <w:noProof/>
        </w:rPr>
        <w:t>will deliver</w:t>
      </w:r>
      <w:r w:rsidRPr="003B193C">
        <w:rPr>
          <w:noProof/>
        </w:rPr>
        <w:t xml:space="preserve"> a level playing field in the internal market for all institutional investors and entities involved in securitisation</w:t>
      </w:r>
      <w:r>
        <w:rPr>
          <w:noProof/>
        </w:rPr>
        <w:t>.</w:t>
      </w:r>
    </w:p>
    <w:p w:rsidR="006B4685" w:rsidRDefault="006B4685" w:rsidP="006B4685">
      <w:pPr>
        <w:pStyle w:val="ManualHeading3"/>
        <w:rPr>
          <w:noProof/>
        </w:rPr>
      </w:pPr>
      <w:bookmarkStart w:id="73" w:name="_Toc514938030"/>
      <w:bookmarkStart w:id="74" w:name="_Toc520485037"/>
      <w:bookmarkStart w:id="75" w:name="_Toc160804579"/>
      <w:bookmarkStart w:id="76" w:name="_Toc198557764"/>
      <w:r w:rsidRPr="0021790A">
        <w:rPr>
          <w:noProof/>
        </w:rPr>
        <w:t>1.5.3.</w:t>
      </w:r>
      <w:r w:rsidRPr="0021790A">
        <w:rPr>
          <w:noProof/>
        </w:rPr>
        <w:tab/>
      </w:r>
      <w:r>
        <w:rPr>
          <w:noProof/>
        </w:rPr>
        <w:t>Lessons learned from similar experiences in the past</w:t>
      </w:r>
      <w:bookmarkEnd w:id="73"/>
      <w:bookmarkEnd w:id="74"/>
      <w:bookmarkEnd w:id="75"/>
      <w:bookmarkEnd w:id="76"/>
    </w:p>
    <w:p w:rsidR="006B4685" w:rsidRDefault="006B4685" w:rsidP="006B4685">
      <w:pPr>
        <w:pStyle w:val="Text1"/>
        <w:pBdr>
          <w:top w:val="single" w:sz="4" w:space="1" w:color="auto"/>
          <w:left w:val="single" w:sz="4" w:space="4" w:color="auto"/>
          <w:bottom w:val="single" w:sz="4" w:space="1" w:color="auto"/>
          <w:right w:val="single" w:sz="4" w:space="4" w:color="auto"/>
        </w:pBdr>
        <w:rPr>
          <w:noProof/>
        </w:rPr>
      </w:pPr>
      <w:r w:rsidRPr="00707CED">
        <w:rPr>
          <w:noProof/>
        </w:rPr>
        <w:t>The evaluation and impact assessment accompanying the legislative proposal have assessed how the existing framework has performed and identify a few shortcomings. The general objective “to revive a safer securitisation market that will improve the financing of the EU economy, weakening the link between banks’ deleveraging needs and credit tightening in the short run, and creating a more balanced and stable funding structure of the EU economy in the long run” has been only partially achieved because, while the securitisation market is safer, the initiative has not been sufficient to revive the market or improve financing opportunities. Most of the measures that were introduced in the framework aimed first and foremost to mitigate potential risks associated with securitisation, rather than support market development. Going forward, the objective is to strike a better balance between safety and market development. For this reason, most of the proposed changes focus on developing further the EU securitisation market by making the framework more proportionate.</w:t>
      </w:r>
    </w:p>
    <w:p w:rsidR="006B4685" w:rsidRDefault="006B4685" w:rsidP="006B4685">
      <w:pPr>
        <w:pStyle w:val="ManualHeading3"/>
        <w:rPr>
          <w:noProof/>
        </w:rPr>
      </w:pPr>
      <w:bookmarkStart w:id="77" w:name="_Toc514938033"/>
      <w:bookmarkStart w:id="78" w:name="_Toc520485038"/>
      <w:bookmarkStart w:id="79" w:name="_Toc160804580"/>
      <w:bookmarkStart w:id="80" w:name="_Toc198557765"/>
      <w:r w:rsidRPr="0021790A">
        <w:rPr>
          <w:noProof/>
        </w:rPr>
        <w:t>1.5.4.</w:t>
      </w:r>
      <w:r w:rsidRPr="0021790A">
        <w:rPr>
          <w:noProof/>
        </w:rPr>
        <w:tab/>
      </w:r>
      <w:r>
        <w:rPr>
          <w:noProof/>
        </w:rPr>
        <w:t>Compatibility with the multiannual financial framework and possible synergies with other appropriate instruments</w:t>
      </w:r>
      <w:bookmarkEnd w:id="77"/>
      <w:bookmarkEnd w:id="78"/>
      <w:bookmarkEnd w:id="79"/>
      <w:bookmarkEnd w:id="80"/>
    </w:p>
    <w:p w:rsidR="006B4685" w:rsidRPr="00186012" w:rsidRDefault="006B4685" w:rsidP="006B4685">
      <w:pPr>
        <w:pStyle w:val="Text1"/>
        <w:pBdr>
          <w:top w:val="single" w:sz="4" w:space="1" w:color="auto"/>
          <w:left w:val="single" w:sz="4" w:space="4" w:color="auto"/>
          <w:bottom w:val="single" w:sz="4" w:space="1" w:color="auto"/>
          <w:right w:val="single" w:sz="4" w:space="4" w:color="auto"/>
        </w:pBdr>
        <w:rPr>
          <w:noProof/>
        </w:rPr>
      </w:pPr>
      <w:r w:rsidRPr="00186012">
        <w:rPr>
          <w:noProof/>
        </w:rPr>
        <w:t>The objectives of the initiative are consistent with a number of other EU policies and ongoing initiatives, in particular with the Union policies aimed at creating Savings and Investments Union. In its March 2025 Communication on Savings and Investments Union, the European Commission announced adoption of measures focusing on simplifying due diligence and transparency to further boost securitisation market.</w:t>
      </w:r>
    </w:p>
    <w:p w:rsidR="006B4685" w:rsidRPr="00186012" w:rsidRDefault="006B4685" w:rsidP="006B4685">
      <w:pPr>
        <w:pStyle w:val="Text1"/>
        <w:pBdr>
          <w:top w:val="single" w:sz="4" w:space="1" w:color="auto"/>
          <w:left w:val="single" w:sz="4" w:space="4" w:color="auto"/>
          <w:bottom w:val="single" w:sz="4" w:space="1" w:color="auto"/>
          <w:right w:val="single" w:sz="4" w:space="4" w:color="auto"/>
        </w:pBdr>
        <w:rPr>
          <w:noProof/>
        </w:rPr>
      </w:pPr>
      <w:r w:rsidRPr="00186012">
        <w:rPr>
          <w:noProof/>
        </w:rPr>
        <w:t xml:space="preserve">The legislative proposal would remain compatible with the MFF with limited budgetary impacts as it foresees additional Union contribution to </w:t>
      </w:r>
      <w:r w:rsidR="0055145B" w:rsidRPr="00186012">
        <w:rPr>
          <w:noProof/>
        </w:rPr>
        <w:t>European Banking Authority (</w:t>
      </w:r>
      <w:r w:rsidRPr="00186012">
        <w:rPr>
          <w:noProof/>
        </w:rPr>
        <w:t>EBA</w:t>
      </w:r>
      <w:r w:rsidR="0055145B" w:rsidRPr="00186012">
        <w:rPr>
          <w:noProof/>
        </w:rPr>
        <w:t>)</w:t>
      </w:r>
      <w:r w:rsidRPr="00186012">
        <w:rPr>
          <w:noProof/>
        </w:rPr>
        <w:t xml:space="preserve"> stemming from the additional 2 FTEs that the </w:t>
      </w:r>
      <w:r w:rsidR="0055145B" w:rsidRPr="00186012">
        <w:rPr>
          <w:noProof/>
        </w:rPr>
        <w:t xml:space="preserve">EBA </w:t>
      </w:r>
      <w:r w:rsidRPr="00186012">
        <w:rPr>
          <w:noProof/>
        </w:rPr>
        <w:t>would receive to implement additional tasks conferred by the legislators.</w:t>
      </w:r>
    </w:p>
    <w:p w:rsidR="006B4685" w:rsidRDefault="006B4685" w:rsidP="006B4685">
      <w:pPr>
        <w:pStyle w:val="Text1"/>
        <w:pBdr>
          <w:top w:val="single" w:sz="4" w:space="1" w:color="auto"/>
          <w:left w:val="single" w:sz="4" w:space="4" w:color="auto"/>
          <w:bottom w:val="single" w:sz="4" w:space="1" w:color="auto"/>
          <w:right w:val="single" w:sz="4" w:space="4" w:color="auto"/>
        </w:pBdr>
        <w:rPr>
          <w:noProof/>
        </w:rPr>
      </w:pPr>
      <w:r>
        <w:rPr>
          <w:noProof/>
        </w:rPr>
        <w:t xml:space="preserve">Synergies and room for redeployment were examined, resulting in one FTE who would be transferred from ESMA to the EBA to reflect the transfer of a task between the authorities. The FTE transferred from ESMA would have no significant budgetary </w:t>
      </w:r>
      <w:r w:rsidR="00431762">
        <w:rPr>
          <w:noProof/>
        </w:rPr>
        <w:t xml:space="preserve">impacts </w:t>
      </w:r>
      <w:r>
        <w:rPr>
          <w:noProof/>
        </w:rPr>
        <w:t>except for a transfer within Heading 1.</w:t>
      </w:r>
    </w:p>
    <w:p w:rsidR="006B4685" w:rsidRDefault="006B4685" w:rsidP="006B4685">
      <w:pPr>
        <w:pStyle w:val="Text1"/>
        <w:pBdr>
          <w:top w:val="single" w:sz="4" w:space="1" w:color="auto"/>
          <w:left w:val="single" w:sz="4" w:space="4" w:color="auto"/>
          <w:bottom w:val="single" w:sz="4" w:space="1" w:color="auto"/>
          <w:right w:val="single" w:sz="4" w:space="4" w:color="auto"/>
        </w:pBdr>
        <w:rPr>
          <w:noProof/>
        </w:rPr>
      </w:pPr>
      <w:r>
        <w:rPr>
          <w:noProof/>
        </w:rPr>
        <w:t>Altogether, the proposal</w:t>
      </w:r>
      <w:r w:rsidRPr="00707CED">
        <w:rPr>
          <w:noProof/>
        </w:rPr>
        <w:t xml:space="preserve"> will increase </w:t>
      </w:r>
      <w:r w:rsidR="00A008BB">
        <w:rPr>
          <w:noProof/>
        </w:rPr>
        <w:t xml:space="preserve">of 3 more FTEs </w:t>
      </w:r>
      <w:r w:rsidRPr="00707CED">
        <w:rPr>
          <w:noProof/>
        </w:rPr>
        <w:t>the authorised staff of the EBA during the future annual budgetary procedure</w:t>
      </w:r>
      <w:r w:rsidR="00E521FE">
        <w:rPr>
          <w:noProof/>
        </w:rPr>
        <w:t xml:space="preserve">, </w:t>
      </w:r>
      <w:r w:rsidR="00D0023A">
        <w:rPr>
          <w:noProof/>
        </w:rPr>
        <w:t xml:space="preserve">including </w:t>
      </w:r>
      <w:r w:rsidR="00686468">
        <w:rPr>
          <w:noProof/>
        </w:rPr>
        <w:t xml:space="preserve">1 FTE </w:t>
      </w:r>
      <w:r w:rsidR="00FA3AB1">
        <w:rPr>
          <w:noProof/>
        </w:rPr>
        <w:t xml:space="preserve">transferred from </w:t>
      </w:r>
      <w:r w:rsidR="009D7F93">
        <w:rPr>
          <w:noProof/>
        </w:rPr>
        <w:t>ESMA</w:t>
      </w:r>
      <w:r w:rsidRPr="00707CED">
        <w:rPr>
          <w:noProof/>
        </w:rPr>
        <w:t>. The EBA will continue to work towards maximising synergies and efficiency gains (inter alia via IT systems), and closely monitor the additional workload associated with this proposal, which would be reflected in the level of authorised staff requested by the agency in the annual budgetary procedure.</w:t>
      </w:r>
    </w:p>
    <w:p w:rsidR="006B4685" w:rsidRDefault="006B4685" w:rsidP="006B4685">
      <w:pPr>
        <w:pStyle w:val="ManualHeading3"/>
        <w:rPr>
          <w:noProof/>
        </w:rPr>
      </w:pPr>
      <w:bookmarkStart w:id="81" w:name="_Toc514938036"/>
      <w:bookmarkStart w:id="82" w:name="_Toc520485039"/>
      <w:bookmarkStart w:id="83" w:name="_Toc160804581"/>
      <w:bookmarkStart w:id="84" w:name="_Toc198557766"/>
      <w:r w:rsidRPr="0021790A">
        <w:rPr>
          <w:noProof/>
        </w:rPr>
        <w:t>1.5.5.</w:t>
      </w:r>
      <w:r w:rsidRPr="0021790A">
        <w:rPr>
          <w:noProof/>
        </w:rPr>
        <w:tab/>
      </w:r>
      <w:r>
        <w:rPr>
          <w:noProof/>
        </w:rPr>
        <w:t>Assessment of the different available financing options, including scope for redeployment</w:t>
      </w:r>
      <w:bookmarkEnd w:id="81"/>
      <w:bookmarkEnd w:id="82"/>
      <w:bookmarkEnd w:id="83"/>
      <w:bookmarkEnd w:id="84"/>
    </w:p>
    <w:p w:rsidR="006B4685" w:rsidRPr="00920251" w:rsidRDefault="002A3DE9" w:rsidP="006B4685">
      <w:pPr>
        <w:pStyle w:val="Text1"/>
        <w:pBdr>
          <w:top w:val="single" w:sz="4" w:space="1" w:color="auto"/>
          <w:left w:val="single" w:sz="4" w:space="4" w:color="auto"/>
          <w:bottom w:val="single" w:sz="4" w:space="1" w:color="auto"/>
          <w:right w:val="single" w:sz="4" w:space="4" w:color="auto"/>
        </w:pBdr>
        <w:rPr>
          <w:noProof/>
        </w:rPr>
      </w:pPr>
      <w:r w:rsidRPr="00186012">
        <w:rPr>
          <w:noProof/>
        </w:rPr>
        <w:t xml:space="preserve">Different financing options were discussed, including in particular covering the costs by fees and internal redeployment. </w:t>
      </w:r>
      <w:r w:rsidR="000B0257" w:rsidRPr="00186012">
        <w:rPr>
          <w:noProof/>
        </w:rPr>
        <w:t>The fee option is practically unworkable</w:t>
      </w:r>
      <w:r w:rsidR="00F01F89" w:rsidRPr="00186012">
        <w:rPr>
          <w:noProof/>
        </w:rPr>
        <w:t xml:space="preserve"> as </w:t>
      </w:r>
      <w:r w:rsidR="00F01F89" w:rsidRPr="00920251">
        <w:rPr>
          <w:noProof/>
        </w:rPr>
        <w:t xml:space="preserve">fees </w:t>
      </w:r>
      <w:r w:rsidR="006B4685" w:rsidRPr="00920251">
        <w:rPr>
          <w:noProof/>
        </w:rPr>
        <w:t xml:space="preserve">levied on firms would not be able to cover the costs of the proposals. Such an approach would </w:t>
      </w:r>
      <w:r w:rsidR="00FD0E33">
        <w:rPr>
          <w:noProof/>
        </w:rPr>
        <w:t xml:space="preserve">also </w:t>
      </w:r>
      <w:r w:rsidR="006B4685" w:rsidRPr="00920251">
        <w:rPr>
          <w:noProof/>
        </w:rPr>
        <w:t>be difficult to justify, as the considered measures are not directly linked to supervisory powers, but part of developing the regulatory framework.</w:t>
      </w:r>
    </w:p>
    <w:p w:rsidR="006B4685" w:rsidRPr="00920251" w:rsidRDefault="006B4685" w:rsidP="006B4685">
      <w:pPr>
        <w:pStyle w:val="Text1"/>
        <w:pBdr>
          <w:top w:val="single" w:sz="4" w:space="1" w:color="auto"/>
          <w:left w:val="single" w:sz="4" w:space="4" w:color="auto"/>
          <w:bottom w:val="single" w:sz="4" w:space="1" w:color="auto"/>
          <w:right w:val="single" w:sz="4" w:space="4" w:color="auto"/>
        </w:pBdr>
        <w:rPr>
          <w:noProof/>
        </w:rPr>
      </w:pPr>
      <w:r w:rsidRPr="00920251">
        <w:rPr>
          <w:noProof/>
        </w:rPr>
        <w:t>Potential for redeployment was examined, resulting in the transfer of 1 temporary agent from ESMA to the EBA.</w:t>
      </w:r>
      <w:r w:rsidR="0064697B" w:rsidRPr="00920251">
        <w:rPr>
          <w:noProof/>
        </w:rPr>
        <w:t xml:space="preserve"> </w:t>
      </w:r>
      <w:r w:rsidR="001D6DAD" w:rsidRPr="00920251">
        <w:rPr>
          <w:noProof/>
        </w:rPr>
        <w:t xml:space="preserve">Further </w:t>
      </w:r>
      <w:r w:rsidR="001D6DAD" w:rsidRPr="00186012">
        <w:rPr>
          <w:noProof/>
        </w:rPr>
        <w:t xml:space="preserve">internal redeployment within the ESAs is not an option, given </w:t>
      </w:r>
      <w:r w:rsidR="00EF5701" w:rsidRPr="00186012">
        <w:rPr>
          <w:noProof/>
        </w:rPr>
        <w:t xml:space="preserve">that ESAs already struggle significantly to deliver on their </w:t>
      </w:r>
      <w:r w:rsidR="00B8538C" w:rsidRPr="00186012">
        <w:rPr>
          <w:noProof/>
        </w:rPr>
        <w:t>regulator</w:t>
      </w:r>
      <w:r w:rsidR="00CF03D1" w:rsidRPr="00186012">
        <w:rPr>
          <w:noProof/>
        </w:rPr>
        <w:t>y</w:t>
      </w:r>
      <w:r w:rsidR="00B8538C" w:rsidRPr="00186012">
        <w:rPr>
          <w:noProof/>
        </w:rPr>
        <w:t xml:space="preserve"> </w:t>
      </w:r>
      <w:r w:rsidR="00EF5701" w:rsidRPr="00186012">
        <w:rPr>
          <w:noProof/>
        </w:rPr>
        <w:t>tasks.</w:t>
      </w:r>
      <w:r w:rsidR="001D6DAD" w:rsidRPr="00186012">
        <w:rPr>
          <w:noProof/>
        </w:rPr>
        <w:t xml:space="preserve"> </w:t>
      </w:r>
    </w:p>
    <w:p w:rsidR="006B4685" w:rsidRDefault="006B4685" w:rsidP="006B4685">
      <w:pPr>
        <w:pStyle w:val="ManualHeading2"/>
        <w:rPr>
          <w:bCs/>
          <w:noProof/>
          <w:szCs w:val="24"/>
        </w:rPr>
      </w:pPr>
      <w:r>
        <w:rPr>
          <w:noProof/>
        </w:rPr>
        <w:br w:type="page"/>
      </w:r>
      <w:bookmarkStart w:id="85" w:name="_Toc514938039"/>
      <w:bookmarkStart w:id="86" w:name="_Toc520485040"/>
      <w:bookmarkStart w:id="87" w:name="_Toc160804582"/>
      <w:bookmarkStart w:id="88" w:name="_Toc198557767"/>
      <w:r w:rsidRPr="0021790A">
        <w:rPr>
          <w:noProof/>
        </w:rPr>
        <w:t>1.6.</w:t>
      </w:r>
      <w:r w:rsidRPr="0021790A">
        <w:rPr>
          <w:noProof/>
        </w:rPr>
        <w:tab/>
      </w:r>
      <w:r>
        <w:rPr>
          <w:noProof/>
        </w:rPr>
        <w:t>Duration of the proposal/initiative</w:t>
      </w:r>
      <w:bookmarkEnd w:id="85"/>
      <w:bookmarkEnd w:id="86"/>
      <w:r>
        <w:rPr>
          <w:noProof/>
        </w:rPr>
        <w:t xml:space="preserve"> and of its financial impact</w:t>
      </w:r>
      <w:bookmarkEnd w:id="87"/>
      <w:bookmarkEnd w:id="88"/>
    </w:p>
    <w:p w:rsidR="006B4685" w:rsidRDefault="006B4685" w:rsidP="006B4685">
      <w:pPr>
        <w:pStyle w:val="Text1"/>
        <w:rPr>
          <w:noProof/>
        </w:rPr>
      </w:pPr>
      <w:r>
        <w:rPr>
          <w:rFonts w:ascii="Wingdings" w:eastAsia="Wingdings" w:hAnsi="Wingdings" w:cs="Wingdings"/>
          <w:noProof/>
        </w:rPr>
        <w:t></w:t>
      </w:r>
      <w:r>
        <w:rPr>
          <w:b/>
          <w:i/>
          <w:noProof/>
        </w:rPr>
        <w:t xml:space="preserve"> </w:t>
      </w:r>
      <w:r>
        <w:rPr>
          <w:b/>
          <w:noProof/>
        </w:rPr>
        <w:t xml:space="preserve">limited duration </w:t>
      </w:r>
    </w:p>
    <w:p w:rsidR="006B4685" w:rsidRDefault="006B4685" w:rsidP="006B4685">
      <w:pPr>
        <w:pStyle w:val="ListDash2"/>
        <w:rPr>
          <w:noProof/>
        </w:rPr>
      </w:pPr>
      <w:r>
        <w:rPr>
          <w:rFonts w:ascii="Wingdings" w:eastAsia="Wingdings" w:hAnsi="Wingdings" w:cs="Wingdings"/>
          <w:noProof/>
        </w:rPr>
        <w:t></w:t>
      </w:r>
      <w:r>
        <w:rPr>
          <w:noProof/>
        </w:rPr>
        <w:tab/>
        <w:t xml:space="preserve">in effect from [DD/MM]YYYY to [DD/MM]YYYY </w:t>
      </w:r>
    </w:p>
    <w:p w:rsidR="006B4685" w:rsidRDefault="006B4685" w:rsidP="006B4685">
      <w:pPr>
        <w:pStyle w:val="ListDash2"/>
        <w:rPr>
          <w:noProof/>
        </w:rPr>
      </w:pPr>
      <w:r>
        <w:rPr>
          <w:rFonts w:ascii="Wingdings" w:eastAsia="Wingdings" w:hAnsi="Wingdings" w:cs="Wingdings"/>
          <w:noProof/>
        </w:rPr>
        <w:t></w:t>
      </w:r>
      <w:r>
        <w:rPr>
          <w:noProof/>
        </w:rPr>
        <w:tab/>
        <w:t xml:space="preserve">financial impact from YYYY to YYYY for commitment appropriations and from YYYY to YYYY for payment appropriations. </w:t>
      </w:r>
    </w:p>
    <w:p w:rsidR="006B4685" w:rsidRDefault="006B4685" w:rsidP="006B4685">
      <w:pPr>
        <w:pStyle w:val="Text1"/>
        <w:rPr>
          <w:noProof/>
        </w:rPr>
      </w:pPr>
      <w:r w:rsidRPr="00707CED">
        <w:rPr>
          <w:rFonts w:ascii="Wingdings" w:eastAsia="Wingdings" w:hAnsi="Wingdings" w:cs="Wingdings"/>
          <w:noProof/>
        </w:rPr>
        <w:t></w:t>
      </w:r>
      <w:r>
        <w:rPr>
          <w:b/>
          <w:i/>
          <w:noProof/>
        </w:rPr>
        <w:t xml:space="preserve"> </w:t>
      </w:r>
      <w:r>
        <w:rPr>
          <w:b/>
          <w:noProof/>
        </w:rPr>
        <w:t>unlimited duration</w:t>
      </w:r>
    </w:p>
    <w:p w:rsidR="006B4685" w:rsidRDefault="006B4685" w:rsidP="006B4685">
      <w:pPr>
        <w:pStyle w:val="ListDash1"/>
        <w:rPr>
          <w:noProof/>
        </w:rPr>
      </w:pPr>
      <w:r>
        <w:rPr>
          <w:noProof/>
        </w:rPr>
        <w:t>Implementation with a start-up period from 2027 to 2029,</w:t>
      </w:r>
    </w:p>
    <w:p w:rsidR="006B4685" w:rsidRDefault="006B4685" w:rsidP="006B4685">
      <w:pPr>
        <w:pStyle w:val="ListDash1"/>
        <w:rPr>
          <w:noProof/>
        </w:rPr>
      </w:pPr>
      <w:r>
        <w:rPr>
          <w:noProof/>
        </w:rPr>
        <w:t>followed by full-scale operation.</w:t>
      </w:r>
    </w:p>
    <w:p w:rsidR="006B4685" w:rsidRDefault="006B4685" w:rsidP="006B4685">
      <w:pPr>
        <w:pStyle w:val="ManualHeading2"/>
        <w:rPr>
          <w:bCs/>
          <w:noProof/>
          <w:szCs w:val="24"/>
        </w:rPr>
      </w:pPr>
      <w:bookmarkStart w:id="89" w:name="_Toc514938040"/>
      <w:bookmarkStart w:id="90" w:name="_Toc520485041"/>
      <w:bookmarkStart w:id="91" w:name="_Toc160804583"/>
      <w:bookmarkStart w:id="92" w:name="_Toc198557768"/>
      <w:r w:rsidRPr="0021790A">
        <w:rPr>
          <w:noProof/>
        </w:rPr>
        <w:t>1.7.</w:t>
      </w:r>
      <w:r w:rsidRPr="0021790A">
        <w:rPr>
          <w:noProof/>
        </w:rPr>
        <w:tab/>
      </w:r>
      <w:r>
        <w:rPr>
          <w:noProof/>
        </w:rPr>
        <w:t>Method(s) of budget implementation planned</w:t>
      </w:r>
      <w:r>
        <w:rPr>
          <w:rStyle w:val="FootnoteReference"/>
          <w:noProof/>
        </w:rPr>
        <w:footnoteReference w:id="35"/>
      </w:r>
      <w:bookmarkEnd w:id="89"/>
      <w:bookmarkEnd w:id="90"/>
      <w:bookmarkEnd w:id="91"/>
      <w:bookmarkEnd w:id="92"/>
      <w:r>
        <w:rPr>
          <w:rStyle w:val="FootnoteReference"/>
          <w:noProof/>
        </w:rPr>
        <w:t xml:space="preserve"> </w:t>
      </w:r>
    </w:p>
    <w:p w:rsidR="006B4685" w:rsidRDefault="006B4685" w:rsidP="006B4685">
      <w:pPr>
        <w:pStyle w:val="Text1"/>
        <w:rPr>
          <w:noProof/>
        </w:rPr>
      </w:pPr>
      <w:r>
        <w:rPr>
          <w:rFonts w:ascii="Wingdings" w:eastAsia="Wingdings" w:hAnsi="Wingdings" w:cs="Wingdings"/>
          <w:noProof/>
        </w:rPr>
        <w:t></w:t>
      </w:r>
      <w:r>
        <w:rPr>
          <w:i/>
          <w:noProof/>
        </w:rPr>
        <w:t xml:space="preserve"> </w:t>
      </w:r>
      <w:r>
        <w:rPr>
          <w:b/>
          <w:noProof/>
        </w:rPr>
        <w:t>Direct management</w:t>
      </w:r>
      <w:r>
        <w:rPr>
          <w:noProof/>
        </w:rPr>
        <w:t xml:space="preserve"> by the Commission</w:t>
      </w:r>
    </w:p>
    <w:p w:rsidR="006B4685" w:rsidRDefault="006B4685" w:rsidP="006B4685">
      <w:pPr>
        <w:pStyle w:val="ListDash2"/>
        <w:rPr>
          <w:rFonts w:cs="EUAlbertina"/>
          <w:noProof/>
        </w:rPr>
      </w:pPr>
      <w:r>
        <w:rPr>
          <w:rFonts w:ascii="Wingdings" w:eastAsia="Wingdings" w:hAnsi="Wingdings" w:cs="Wingdings"/>
          <w:noProof/>
        </w:rPr>
        <w:t></w:t>
      </w:r>
      <w:r>
        <w:rPr>
          <w:noProof/>
        </w:rPr>
        <w:t xml:space="preserve"> by its departments, including by its staff in the Union delegations; </w:t>
      </w:r>
    </w:p>
    <w:p w:rsidR="006B4685" w:rsidRDefault="006B4685" w:rsidP="006B4685">
      <w:pPr>
        <w:pStyle w:val="ListDash2"/>
        <w:rPr>
          <w:noProof/>
        </w:rPr>
      </w:pPr>
      <w:r>
        <w:rPr>
          <w:rFonts w:ascii="Wingdings" w:eastAsia="Wingdings" w:hAnsi="Wingdings" w:cs="Wingdings"/>
          <w:noProof/>
        </w:rPr>
        <w:t></w:t>
      </w:r>
      <w:r>
        <w:rPr>
          <w:noProof/>
        </w:rPr>
        <w:tab/>
        <w:t xml:space="preserve">by the executive agencies </w:t>
      </w:r>
    </w:p>
    <w:p w:rsidR="006B4685" w:rsidRDefault="006B4685" w:rsidP="006B4685">
      <w:pPr>
        <w:pStyle w:val="Text1"/>
        <w:rPr>
          <w:noProof/>
        </w:rPr>
      </w:pPr>
      <w:r>
        <w:rPr>
          <w:rFonts w:ascii="Wingdings" w:eastAsia="Wingdings" w:hAnsi="Wingdings" w:cs="Wingdings"/>
          <w:noProof/>
        </w:rPr>
        <w:t></w:t>
      </w:r>
      <w:r>
        <w:rPr>
          <w:b/>
          <w:i/>
          <w:noProof/>
        </w:rPr>
        <w:t xml:space="preserve"> </w:t>
      </w:r>
      <w:r>
        <w:rPr>
          <w:b/>
          <w:noProof/>
        </w:rPr>
        <w:t>Shared management</w:t>
      </w:r>
      <w:r>
        <w:rPr>
          <w:noProof/>
        </w:rPr>
        <w:t xml:space="preserve"> with the Member States </w:t>
      </w:r>
    </w:p>
    <w:p w:rsidR="006B4685" w:rsidRDefault="006B4685" w:rsidP="006B4685">
      <w:pPr>
        <w:pStyle w:val="Text1"/>
        <w:rPr>
          <w:noProof/>
        </w:rPr>
      </w:pPr>
      <w:r w:rsidRPr="00707CED">
        <w:rPr>
          <w:rFonts w:ascii="Wingdings" w:eastAsia="Wingdings" w:hAnsi="Wingdings" w:cs="Wingdings"/>
          <w:noProof/>
        </w:rPr>
        <w:t></w:t>
      </w:r>
      <w:r>
        <w:rPr>
          <w:i/>
          <w:noProof/>
        </w:rPr>
        <w:t xml:space="preserve"> </w:t>
      </w:r>
      <w:r>
        <w:rPr>
          <w:b/>
          <w:noProof/>
        </w:rPr>
        <w:t>Indirect management</w:t>
      </w:r>
      <w:r>
        <w:rPr>
          <w:noProof/>
        </w:rPr>
        <w:t xml:space="preserve"> by entrusting budget implementation tasks to:</w:t>
      </w:r>
    </w:p>
    <w:p w:rsidR="006B4685" w:rsidRDefault="006B4685" w:rsidP="006B4685">
      <w:pPr>
        <w:pStyle w:val="ListDash2"/>
        <w:rPr>
          <w:noProof/>
        </w:rPr>
      </w:pPr>
      <w:r>
        <w:rPr>
          <w:rFonts w:ascii="Wingdings" w:eastAsia="Wingdings" w:hAnsi="Wingdings" w:cs="Wingdings"/>
          <w:noProof/>
        </w:rPr>
        <w:t></w:t>
      </w:r>
      <w:r>
        <w:rPr>
          <w:noProof/>
        </w:rPr>
        <w:t xml:space="preserve"> third countries or the bodies they have designated</w:t>
      </w:r>
    </w:p>
    <w:p w:rsidR="006B4685" w:rsidRDefault="006B4685" w:rsidP="006B4685">
      <w:pPr>
        <w:pStyle w:val="ListDash2"/>
        <w:rPr>
          <w:noProof/>
        </w:rPr>
      </w:pPr>
      <w:r>
        <w:rPr>
          <w:rFonts w:ascii="Wingdings" w:eastAsia="Wingdings" w:hAnsi="Wingdings" w:cs="Wingdings"/>
          <w:noProof/>
        </w:rPr>
        <w:t></w:t>
      </w:r>
      <w:r>
        <w:rPr>
          <w:noProof/>
        </w:rPr>
        <w:t xml:space="preserve"> international organisations and their agencies (to be specified)</w:t>
      </w:r>
    </w:p>
    <w:p w:rsidR="006B4685" w:rsidRDefault="006B4685" w:rsidP="006B4685">
      <w:pPr>
        <w:pStyle w:val="ListDash2"/>
        <w:rPr>
          <w:noProof/>
        </w:rPr>
      </w:pPr>
      <w:r>
        <w:rPr>
          <w:rFonts w:ascii="Wingdings" w:eastAsia="Wingdings" w:hAnsi="Wingdings" w:cs="Wingdings"/>
          <w:noProof/>
        </w:rPr>
        <w:t></w:t>
      </w:r>
      <w:r>
        <w:rPr>
          <w:noProof/>
        </w:rPr>
        <w:t xml:space="preserve"> the European Investment Bank and the European Investment Fund</w:t>
      </w:r>
    </w:p>
    <w:p w:rsidR="006B4685" w:rsidRDefault="006B4685" w:rsidP="006B4685">
      <w:pPr>
        <w:pStyle w:val="ListDash2"/>
        <w:rPr>
          <w:noProof/>
        </w:rPr>
      </w:pPr>
      <w:r w:rsidRPr="00707CED">
        <w:rPr>
          <w:rFonts w:ascii="Wingdings" w:eastAsia="Wingdings" w:hAnsi="Wingdings" w:cs="Wingdings"/>
          <w:noProof/>
        </w:rPr>
        <w:t></w:t>
      </w:r>
      <w:r>
        <w:rPr>
          <w:noProof/>
        </w:rPr>
        <w:t xml:space="preserve"> bodies referred to in Articles 70 and 71 of the Financial Regulation</w:t>
      </w:r>
    </w:p>
    <w:p w:rsidR="006B4685" w:rsidRDefault="006B4685" w:rsidP="006B4685">
      <w:pPr>
        <w:pStyle w:val="ListDash2"/>
        <w:rPr>
          <w:noProof/>
        </w:rPr>
      </w:pPr>
      <w:r>
        <w:rPr>
          <w:rFonts w:ascii="Wingdings" w:eastAsia="Wingdings" w:hAnsi="Wingdings" w:cs="Wingdings"/>
          <w:noProof/>
        </w:rPr>
        <w:t></w:t>
      </w:r>
      <w:r>
        <w:rPr>
          <w:noProof/>
        </w:rPr>
        <w:t xml:space="preserve"> public law bodies</w:t>
      </w:r>
    </w:p>
    <w:p w:rsidR="006B4685" w:rsidRDefault="006B4685" w:rsidP="006B4685">
      <w:pPr>
        <w:pStyle w:val="ListDash2"/>
        <w:rPr>
          <w:noProof/>
        </w:rPr>
      </w:pPr>
      <w:r>
        <w:rPr>
          <w:rFonts w:ascii="Wingdings" w:eastAsia="Wingdings" w:hAnsi="Wingdings" w:cs="Wingdings"/>
          <w:noProof/>
        </w:rPr>
        <w:t></w:t>
      </w:r>
      <w:r>
        <w:rPr>
          <w:noProof/>
        </w:rPr>
        <w:t xml:space="preserve"> bodies governed by private law with a public service mission to the extent that they are provided with adequate financial guarantees</w:t>
      </w:r>
    </w:p>
    <w:p w:rsidR="006B4685" w:rsidRDefault="006B4685" w:rsidP="006B4685">
      <w:pPr>
        <w:pStyle w:val="ListDash2"/>
        <w:rPr>
          <w:noProof/>
        </w:rPr>
      </w:pPr>
      <w:r>
        <w:rPr>
          <w:rFonts w:ascii="Wingdings" w:eastAsia="Wingdings" w:hAnsi="Wingdings" w:cs="Wingdings"/>
          <w:noProof/>
        </w:rPr>
        <w:t></w:t>
      </w:r>
      <w:r>
        <w:rPr>
          <w:noProof/>
        </w:rPr>
        <w:t xml:space="preserve"> bodies governed by the private law of a Member State that are entrusted with the implementation of a public-private partnership and that are provided with adequate financial guarantees</w:t>
      </w:r>
    </w:p>
    <w:p w:rsidR="006B4685" w:rsidRDefault="006B4685" w:rsidP="006B4685">
      <w:pPr>
        <w:pStyle w:val="ListDash2"/>
        <w:rPr>
          <w:noProof/>
        </w:rPr>
      </w:pPr>
      <w:r>
        <w:rPr>
          <w:rFonts w:ascii="Wingdings" w:eastAsia="Wingdings" w:hAnsi="Wingdings" w:cs="Wingdings"/>
          <w:noProof/>
        </w:rPr>
        <w:t></w:t>
      </w:r>
      <w:r>
        <w:rPr>
          <w:noProof/>
        </w:rPr>
        <w:t xml:space="preserve"> bodies or persons entrusted with the implementation of specific actions in the common foreign and security policy pursuant to Title V of the Treaty on European Union, and identified in the relevant basic act</w:t>
      </w:r>
    </w:p>
    <w:p w:rsidR="006B4685" w:rsidRDefault="006B4685" w:rsidP="006B4685">
      <w:pPr>
        <w:pStyle w:val="ListDash2"/>
        <w:rPr>
          <w:noProof/>
        </w:rPr>
      </w:pPr>
      <w:r>
        <w:rPr>
          <w:rFonts w:ascii="Wingdings" w:eastAsia="Wingdings" w:hAnsi="Wingdings" w:cs="Wingdings"/>
          <w:noProof/>
        </w:rPr>
        <w:t></w:t>
      </w:r>
      <w:r>
        <w:rPr>
          <w:rFonts w:ascii="Wingdings" w:eastAsia="Wingdings" w:hAnsi="Wingdings" w:cs="Wingdings"/>
          <w:noProof/>
        </w:rPr>
        <w:t></w:t>
      </w:r>
      <w:r>
        <w:rPr>
          <w:noProof/>
        </w:rPr>
        <w:t>bodies established in a Member State, governed by the private law of a Member State or Union law and eligible to be entrusted, in accordance with sector-specific rules, with the implementation of Union funds or budgetary guarantees, to the extent that such bodies are controlled by public law bodies or by bodies governed by private law with a public service mission, and are provided with adequate financial guarantees in the form of joint and several liability by the controlling bodies or equivalent financial guarantees and which may be, for each action, limited to the maximum amount of the Union support.</w:t>
      </w:r>
    </w:p>
    <w:p w:rsidR="006B4685" w:rsidRDefault="006B4685" w:rsidP="006B4685">
      <w:pPr>
        <w:rPr>
          <w:noProof/>
        </w:rPr>
      </w:pPr>
      <w:r>
        <w:rPr>
          <w:noProof/>
        </w:rPr>
        <w:t xml:space="preserve">Comments </w:t>
      </w:r>
    </w:p>
    <w:p w:rsidR="006B4685" w:rsidRPr="00707CED" w:rsidRDefault="006B4685" w:rsidP="006B4685">
      <w:pPr>
        <w:pBdr>
          <w:top w:val="single" w:sz="4" w:space="1" w:color="auto"/>
          <w:left w:val="single" w:sz="4" w:space="4" w:color="auto"/>
          <w:bottom w:val="single" w:sz="4" w:space="1" w:color="auto"/>
          <w:right w:val="single" w:sz="4" w:space="4" w:color="auto"/>
        </w:pBdr>
        <w:rPr>
          <w:noProof/>
        </w:rPr>
      </w:pPr>
      <w:r w:rsidRPr="00186012">
        <w:rPr>
          <w:noProof/>
        </w:rPr>
        <w:t>N/A</w:t>
      </w:r>
    </w:p>
    <w:p w:rsidR="006B4685" w:rsidRDefault="006B4685" w:rsidP="006B4685">
      <w:pPr>
        <w:pBdr>
          <w:top w:val="single" w:sz="4" w:space="1" w:color="auto"/>
          <w:left w:val="single" w:sz="4" w:space="4" w:color="auto"/>
          <w:bottom w:val="single" w:sz="4" w:space="1" w:color="auto"/>
          <w:right w:val="single" w:sz="4" w:space="4" w:color="auto"/>
        </w:pBdr>
        <w:rPr>
          <w:noProof/>
        </w:rPr>
        <w:sectPr w:rsidR="006B4685" w:rsidSect="001B1F0B">
          <w:pgSz w:w="11907" w:h="16840" w:code="9"/>
          <w:pgMar w:top="1134" w:right="1418" w:bottom="1134" w:left="1418" w:header="709" w:footer="709" w:gutter="0"/>
          <w:cols w:space="708"/>
          <w:docGrid w:linePitch="360"/>
        </w:sectPr>
      </w:pPr>
    </w:p>
    <w:p w:rsidR="006B4685" w:rsidRDefault="006B4685" w:rsidP="006B4685">
      <w:pPr>
        <w:pStyle w:val="ManualHeading1"/>
        <w:rPr>
          <w:bCs/>
          <w:noProof/>
          <w:szCs w:val="24"/>
        </w:rPr>
      </w:pPr>
      <w:bookmarkStart w:id="93" w:name="_Toc514938041"/>
      <w:bookmarkStart w:id="94" w:name="_Toc520485042"/>
      <w:bookmarkStart w:id="95" w:name="_Toc160804584"/>
      <w:bookmarkStart w:id="96" w:name="_Toc198557769"/>
      <w:r w:rsidRPr="0021790A">
        <w:rPr>
          <w:noProof/>
        </w:rPr>
        <w:t>2.</w:t>
      </w:r>
      <w:r w:rsidRPr="0021790A">
        <w:rPr>
          <w:noProof/>
        </w:rPr>
        <w:tab/>
      </w:r>
      <w:r>
        <w:rPr>
          <w:noProof/>
        </w:rPr>
        <w:t>MANAGEMENT MEASURES</w:t>
      </w:r>
      <w:bookmarkEnd w:id="93"/>
      <w:bookmarkEnd w:id="94"/>
      <w:bookmarkEnd w:id="95"/>
      <w:bookmarkEnd w:id="96"/>
      <w:r>
        <w:rPr>
          <w:noProof/>
        </w:rPr>
        <w:t xml:space="preserve"> </w:t>
      </w:r>
    </w:p>
    <w:p w:rsidR="006B4685" w:rsidRDefault="006B4685" w:rsidP="006B4685">
      <w:pPr>
        <w:pStyle w:val="ManualHeading2"/>
        <w:rPr>
          <w:noProof/>
        </w:rPr>
      </w:pPr>
      <w:bookmarkStart w:id="97" w:name="_Toc514938042"/>
      <w:bookmarkStart w:id="98" w:name="_Toc520485043"/>
      <w:bookmarkStart w:id="99" w:name="_Toc160804585"/>
      <w:bookmarkStart w:id="100" w:name="_Toc198557770"/>
      <w:r w:rsidRPr="0021790A">
        <w:rPr>
          <w:noProof/>
        </w:rPr>
        <w:t>2.1.</w:t>
      </w:r>
      <w:r w:rsidRPr="0021790A">
        <w:rPr>
          <w:noProof/>
        </w:rPr>
        <w:tab/>
      </w:r>
      <w:r>
        <w:rPr>
          <w:noProof/>
        </w:rPr>
        <w:t>Monitoring and reporting rules</w:t>
      </w:r>
      <w:bookmarkEnd w:id="97"/>
      <w:bookmarkEnd w:id="98"/>
      <w:bookmarkEnd w:id="99"/>
      <w:bookmarkEnd w:id="100"/>
      <w:r>
        <w:rPr>
          <w:noProof/>
        </w:rPr>
        <w:t xml:space="preserve"> </w:t>
      </w:r>
    </w:p>
    <w:p w:rsidR="006B4685" w:rsidRDefault="006B4685" w:rsidP="006B4685">
      <w:pPr>
        <w:pStyle w:val="Text1"/>
        <w:pBdr>
          <w:top w:val="single" w:sz="4" w:space="1" w:color="auto"/>
          <w:left w:val="single" w:sz="4" w:space="4" w:color="auto"/>
          <w:bottom w:val="single" w:sz="4" w:space="1" w:color="auto"/>
          <w:right w:val="single" w:sz="4" w:space="4" w:color="auto"/>
        </w:pBdr>
        <w:rPr>
          <w:noProof/>
        </w:rPr>
      </w:pPr>
      <w:r>
        <w:rPr>
          <w:noProof/>
        </w:rPr>
        <w:t>In line with standard arrangements practiced in existing agencies, the European Banking Authority (EBA) will prepare regular reports on its activity (including internal reporting to Senior Management, reporting to Boards and the production of the annual report), and will be subject to audits by the Court of Auditors and the Commission's Internal Audit Service on its use of resources and performance.</w:t>
      </w:r>
    </w:p>
    <w:p w:rsidR="006B4685" w:rsidRDefault="006B4685" w:rsidP="006B4685">
      <w:pPr>
        <w:pStyle w:val="Text1"/>
        <w:pBdr>
          <w:top w:val="single" w:sz="4" w:space="1" w:color="auto"/>
          <w:left w:val="single" w:sz="4" w:space="4" w:color="auto"/>
          <w:bottom w:val="single" w:sz="4" w:space="1" w:color="auto"/>
          <w:right w:val="single" w:sz="4" w:space="4" w:color="auto"/>
        </w:pBdr>
        <w:rPr>
          <w:noProof/>
        </w:rPr>
      </w:pPr>
      <w:r>
        <w:rPr>
          <w:noProof/>
        </w:rPr>
        <w:t>The EBA Regulation (EU) No 1093/2010 is subject to regular reviews.</w:t>
      </w:r>
    </w:p>
    <w:p w:rsidR="006B4685" w:rsidRDefault="006B4685" w:rsidP="006B4685">
      <w:pPr>
        <w:pStyle w:val="ManualHeading2"/>
        <w:rPr>
          <w:bCs/>
          <w:noProof/>
          <w:szCs w:val="24"/>
        </w:rPr>
      </w:pPr>
      <w:bookmarkStart w:id="101" w:name="_Toc514938045"/>
      <w:bookmarkStart w:id="102" w:name="_Toc520485044"/>
      <w:bookmarkStart w:id="103" w:name="_Toc160804586"/>
      <w:bookmarkStart w:id="104" w:name="_Toc198557771"/>
      <w:r w:rsidRPr="0021790A">
        <w:rPr>
          <w:noProof/>
        </w:rPr>
        <w:t>2.2.</w:t>
      </w:r>
      <w:r w:rsidRPr="0021790A">
        <w:rPr>
          <w:noProof/>
        </w:rPr>
        <w:tab/>
      </w:r>
      <w:r>
        <w:rPr>
          <w:noProof/>
        </w:rPr>
        <w:t>Management and control system(s)</w:t>
      </w:r>
      <w:bookmarkEnd w:id="101"/>
      <w:bookmarkEnd w:id="102"/>
      <w:bookmarkEnd w:id="103"/>
      <w:bookmarkEnd w:id="104"/>
      <w:r>
        <w:rPr>
          <w:noProof/>
        </w:rPr>
        <w:t xml:space="preserve"> </w:t>
      </w:r>
    </w:p>
    <w:p w:rsidR="006B4685" w:rsidRPr="00721674" w:rsidRDefault="006B4685" w:rsidP="006B4685">
      <w:pPr>
        <w:pStyle w:val="ManualHeading3"/>
        <w:rPr>
          <w:noProof/>
        </w:rPr>
      </w:pPr>
      <w:bookmarkStart w:id="105" w:name="_Toc514938046"/>
      <w:bookmarkStart w:id="106" w:name="_Toc520485045"/>
      <w:bookmarkStart w:id="107" w:name="_Toc160804587"/>
      <w:bookmarkStart w:id="108" w:name="_Toc198557772"/>
      <w:r w:rsidRPr="0021790A">
        <w:rPr>
          <w:noProof/>
        </w:rPr>
        <w:t>2.2.1.</w:t>
      </w:r>
      <w:r w:rsidRPr="0021790A">
        <w:rPr>
          <w:noProof/>
        </w:rPr>
        <w:tab/>
      </w:r>
      <w:r>
        <w:rPr>
          <w:noProof/>
        </w:rPr>
        <w:t>Justification of the budget implementation method(s), the funding implementation mechanism(s), the payment modalities and the control strategy proposed</w:t>
      </w:r>
      <w:bookmarkEnd w:id="105"/>
      <w:bookmarkEnd w:id="106"/>
      <w:bookmarkEnd w:id="107"/>
      <w:bookmarkEnd w:id="108"/>
    </w:p>
    <w:p w:rsidR="006B4685" w:rsidRPr="00186012" w:rsidRDefault="006B4685" w:rsidP="006B4685">
      <w:pPr>
        <w:pStyle w:val="Text1"/>
        <w:pBdr>
          <w:top w:val="single" w:sz="4" w:space="1" w:color="auto"/>
          <w:left w:val="single" w:sz="4" w:space="4" w:color="auto"/>
          <w:bottom w:val="single" w:sz="4" w:space="1" w:color="auto"/>
          <w:right w:val="single" w:sz="4" w:space="4" w:color="auto"/>
        </w:pBdr>
        <w:rPr>
          <w:noProof/>
        </w:rPr>
      </w:pPr>
      <w:r w:rsidRPr="00186012">
        <w:rPr>
          <w:noProof/>
        </w:rPr>
        <w:t xml:space="preserve">The European Supervisory Agencies for financial services (EBA, EIOPA, ESMA), are decentralised regulatory agencies pursuant to Art. 70 Financial Regulation. </w:t>
      </w:r>
    </w:p>
    <w:p w:rsidR="006B4685" w:rsidRPr="00186012" w:rsidRDefault="006B4685" w:rsidP="006B4685">
      <w:pPr>
        <w:pStyle w:val="Text1"/>
        <w:pBdr>
          <w:top w:val="single" w:sz="4" w:space="1" w:color="auto"/>
          <w:left w:val="single" w:sz="4" w:space="4" w:color="auto"/>
          <w:bottom w:val="single" w:sz="4" w:space="1" w:color="auto"/>
          <w:right w:val="single" w:sz="4" w:space="4" w:color="auto"/>
        </w:pBdr>
        <w:rPr>
          <w:noProof/>
        </w:rPr>
      </w:pPr>
      <w:r w:rsidRPr="00186012">
        <w:rPr>
          <w:noProof/>
        </w:rPr>
        <w:t>Management and control systems of the European Banking Authority are provided for in Chapter VI of Regulation (EU) No 1093/2010 establishing it, in combination with the applicable framework financial Regulation (EU) 2019/715 as endorsed by the Authority.</w:t>
      </w:r>
    </w:p>
    <w:p w:rsidR="006B4685" w:rsidRPr="00235FE8" w:rsidRDefault="006B4685" w:rsidP="006B4685">
      <w:pPr>
        <w:pStyle w:val="Text1"/>
        <w:pBdr>
          <w:top w:val="single" w:sz="4" w:space="1" w:color="auto"/>
          <w:left w:val="single" w:sz="4" w:space="4" w:color="auto"/>
          <w:bottom w:val="single" w:sz="4" w:space="1" w:color="auto"/>
          <w:right w:val="single" w:sz="4" w:space="4" w:color="auto"/>
        </w:pBdr>
        <w:rPr>
          <w:noProof/>
        </w:rPr>
      </w:pPr>
      <w:r w:rsidRPr="00186012">
        <w:rPr>
          <w:noProof/>
        </w:rPr>
        <w:t>The Authority must ensure that the appropriate standards are met in all areas of the internal control framework and is subject to audits by the Commission’s Internal Audit Service. In addition, every financial year, the European Parliament, following a recommendation from the Council, grants discharge to this agency for the implementation of its budget.</w:t>
      </w:r>
    </w:p>
    <w:p w:rsidR="006B4685" w:rsidRDefault="006B4685" w:rsidP="006B4685">
      <w:pPr>
        <w:pStyle w:val="ManualHeading3"/>
        <w:rPr>
          <w:bCs/>
          <w:noProof/>
          <w:szCs w:val="24"/>
        </w:rPr>
      </w:pPr>
      <w:bookmarkStart w:id="109" w:name="_Toc514938047"/>
      <w:bookmarkStart w:id="110" w:name="_Toc520485046"/>
      <w:bookmarkStart w:id="111" w:name="_Toc160804588"/>
      <w:bookmarkStart w:id="112" w:name="_Toc198557773"/>
      <w:r w:rsidRPr="0021790A">
        <w:rPr>
          <w:noProof/>
        </w:rPr>
        <w:t>2.2.2.</w:t>
      </w:r>
      <w:r w:rsidRPr="0021790A">
        <w:rPr>
          <w:noProof/>
        </w:rPr>
        <w:tab/>
      </w:r>
      <w:r>
        <w:rPr>
          <w:noProof/>
        </w:rPr>
        <w:t>Information concerning the risks identified and the internal control system(s) set up to mitigate them</w:t>
      </w:r>
      <w:bookmarkEnd w:id="109"/>
      <w:bookmarkEnd w:id="110"/>
      <w:bookmarkEnd w:id="111"/>
      <w:bookmarkEnd w:id="112"/>
    </w:p>
    <w:p w:rsidR="006B4685" w:rsidRPr="00235FE8" w:rsidRDefault="006B4685" w:rsidP="006B4685">
      <w:pPr>
        <w:pStyle w:val="Text1"/>
        <w:pBdr>
          <w:top w:val="single" w:sz="4" w:space="1" w:color="auto"/>
          <w:left w:val="single" w:sz="4" w:space="4" w:color="auto"/>
          <w:bottom w:val="single" w:sz="4" w:space="1" w:color="auto"/>
          <w:right w:val="single" w:sz="4" w:space="4" w:color="auto"/>
        </w:pBdr>
        <w:rPr>
          <w:noProof/>
        </w:rPr>
      </w:pPr>
      <w:r w:rsidRPr="00707CED">
        <w:rPr>
          <w:noProof/>
        </w:rPr>
        <w:t>In relation to the legal, economic, efficient and effective use of appropriations resulting from the actions to be carried out in the context of this proposal by the EBA, this initiative does not bring about new significant risks that would not be covered by an existing internal control framework</w:t>
      </w:r>
      <w:r>
        <w:rPr>
          <w:noProof/>
        </w:rPr>
        <w:t>.</w:t>
      </w:r>
    </w:p>
    <w:p w:rsidR="006B4685" w:rsidRDefault="006B4685" w:rsidP="006B4685">
      <w:pPr>
        <w:pStyle w:val="ManualHeading3"/>
        <w:rPr>
          <w:noProof/>
        </w:rPr>
      </w:pPr>
      <w:bookmarkStart w:id="113" w:name="_Toc514938048"/>
      <w:bookmarkStart w:id="114" w:name="_Toc520485047"/>
      <w:bookmarkStart w:id="115" w:name="_Toc160804589"/>
      <w:bookmarkStart w:id="116" w:name="_Toc198557774"/>
      <w:r w:rsidRPr="0021790A">
        <w:rPr>
          <w:noProof/>
        </w:rPr>
        <w:t>2.2.3.</w:t>
      </w:r>
      <w:r w:rsidRPr="0021790A">
        <w:rPr>
          <w:noProof/>
        </w:rPr>
        <w:tab/>
      </w:r>
      <w:r>
        <w:rPr>
          <w:noProof/>
        </w:rPr>
        <w:t>Estimation and justification of the cost-effectiveness of the controls (ratio between the control costs and the value of the related funds managed), and assessment of the expected levels of risk of error (at payment &amp; at closure)</w:t>
      </w:r>
      <w:bookmarkEnd w:id="113"/>
      <w:bookmarkEnd w:id="114"/>
      <w:bookmarkEnd w:id="115"/>
      <w:bookmarkEnd w:id="116"/>
      <w:r>
        <w:rPr>
          <w:noProof/>
        </w:rPr>
        <w:t xml:space="preserve"> </w:t>
      </w:r>
    </w:p>
    <w:p w:rsidR="006B4685" w:rsidRDefault="006B4685" w:rsidP="006B4685">
      <w:pPr>
        <w:pStyle w:val="Text1"/>
        <w:pBdr>
          <w:top w:val="single" w:sz="4" w:space="1" w:color="auto"/>
          <w:left w:val="single" w:sz="4" w:space="4" w:color="auto"/>
          <w:bottom w:val="single" w:sz="4" w:space="1" w:color="auto"/>
          <w:right w:val="single" w:sz="4" w:space="4" w:color="auto"/>
        </w:pBdr>
        <w:rPr>
          <w:noProof/>
        </w:rPr>
      </w:pPr>
      <w:r>
        <w:rPr>
          <w:noProof/>
        </w:rPr>
        <w:t>Management and control systems are provided in the Regulation (EU) 1093/2010 which governs the functioning of the EBA. These are deemed to be cost effective. The initiative will have no significant effect on costs to be supported by those of the Member States or the EBA from that angle. Impacts on risks of error rates are expected to be very low.</w:t>
      </w:r>
    </w:p>
    <w:p w:rsidR="006B4685" w:rsidRPr="00235FE8" w:rsidRDefault="006B4685" w:rsidP="006B4685">
      <w:pPr>
        <w:pStyle w:val="Text1"/>
        <w:pBdr>
          <w:top w:val="single" w:sz="4" w:space="1" w:color="auto"/>
          <w:left w:val="single" w:sz="4" w:space="4" w:color="auto"/>
          <w:bottom w:val="single" w:sz="4" w:space="1" w:color="auto"/>
          <w:right w:val="single" w:sz="4" w:space="4" w:color="auto"/>
        </w:pBdr>
        <w:rPr>
          <w:noProof/>
        </w:rPr>
      </w:pPr>
      <w:r>
        <w:rPr>
          <w:noProof/>
        </w:rPr>
        <w:t>Historically DG FISMA’s costs of the overall supervision of an Authority such as the EBA have been estimated at 0.5% of the annual contributions paid to it. Such costs include, for example but not exclusively, the costs related to the assessment of the annual programming and budget, the participation of DG FISMA's representatives in Management Boards, Boards of Supervisors and related preparatory work.</w:t>
      </w:r>
    </w:p>
    <w:p w:rsidR="006B4685" w:rsidRDefault="006B4685" w:rsidP="006B4685">
      <w:pPr>
        <w:pStyle w:val="ManualHeading2"/>
        <w:rPr>
          <w:bCs/>
          <w:noProof/>
          <w:szCs w:val="24"/>
        </w:rPr>
      </w:pPr>
      <w:bookmarkStart w:id="117" w:name="_Toc514938049"/>
      <w:bookmarkStart w:id="118" w:name="_Toc520485048"/>
      <w:bookmarkStart w:id="119" w:name="_Toc160804590"/>
      <w:bookmarkStart w:id="120" w:name="_Toc198557775"/>
      <w:r w:rsidRPr="0021790A">
        <w:rPr>
          <w:noProof/>
        </w:rPr>
        <w:t>2.3.</w:t>
      </w:r>
      <w:r w:rsidRPr="0021790A">
        <w:rPr>
          <w:noProof/>
        </w:rPr>
        <w:tab/>
      </w:r>
      <w:r>
        <w:rPr>
          <w:noProof/>
        </w:rPr>
        <w:t>Measures to prevent fraud and irregularities</w:t>
      </w:r>
      <w:bookmarkEnd w:id="117"/>
      <w:bookmarkEnd w:id="118"/>
      <w:bookmarkEnd w:id="119"/>
      <w:bookmarkEnd w:id="120"/>
      <w:r>
        <w:rPr>
          <w:noProof/>
        </w:rPr>
        <w:t xml:space="preserve"> </w:t>
      </w:r>
    </w:p>
    <w:p w:rsidR="006B4685" w:rsidRDefault="006B4685" w:rsidP="006B4685">
      <w:pPr>
        <w:pStyle w:val="Text1"/>
        <w:pBdr>
          <w:top w:val="single" w:sz="4" w:space="1" w:color="auto"/>
          <w:left w:val="single" w:sz="4" w:space="4" w:color="auto"/>
          <w:bottom w:val="single" w:sz="4" w:space="1" w:color="auto"/>
          <w:right w:val="single" w:sz="4" w:space="4" w:color="auto"/>
        </w:pBdr>
        <w:rPr>
          <w:noProof/>
        </w:rPr>
      </w:pPr>
      <w:r w:rsidRPr="00186012">
        <w:rPr>
          <w:noProof/>
        </w:rPr>
        <w:t>For the purposes of combating fraud, corruption and any other illegal activity, the provisions of Regulation (EC) No 1073/1999 of the European Parliament and of the Council of 25 May 1999 concerning investigations conducted by the European Anti-Fraud Office (OLAF) applies to EBA without any restrictions</w:t>
      </w:r>
      <w:r>
        <w:rPr>
          <w:noProof/>
        </w:rPr>
        <w:t>.</w:t>
      </w:r>
    </w:p>
    <w:p w:rsidR="006B4685" w:rsidRDefault="006B4685" w:rsidP="006B4685">
      <w:pPr>
        <w:rPr>
          <w:noProof/>
        </w:rPr>
        <w:sectPr w:rsidR="006B4685" w:rsidSect="001B1F0B">
          <w:pgSz w:w="11907" w:h="16840" w:code="9"/>
          <w:pgMar w:top="1134" w:right="1418" w:bottom="1134" w:left="1418" w:header="709" w:footer="709" w:gutter="0"/>
          <w:cols w:space="708"/>
          <w:docGrid w:linePitch="360"/>
        </w:sectPr>
      </w:pPr>
    </w:p>
    <w:p w:rsidR="006B4685" w:rsidRDefault="006B4685" w:rsidP="006B4685">
      <w:pPr>
        <w:pStyle w:val="ManualHeading1"/>
        <w:rPr>
          <w:bCs/>
          <w:noProof/>
          <w:szCs w:val="24"/>
        </w:rPr>
      </w:pPr>
      <w:bookmarkStart w:id="121" w:name="_Toc514938050"/>
      <w:bookmarkStart w:id="122" w:name="_Toc520485049"/>
      <w:bookmarkStart w:id="123" w:name="_Toc160804591"/>
      <w:bookmarkStart w:id="124" w:name="_Toc198557776"/>
      <w:r w:rsidRPr="0021790A">
        <w:rPr>
          <w:noProof/>
        </w:rPr>
        <w:t>3.</w:t>
      </w:r>
      <w:r w:rsidRPr="0021790A">
        <w:rPr>
          <w:noProof/>
        </w:rPr>
        <w:tab/>
      </w:r>
      <w:r>
        <w:rPr>
          <w:noProof/>
        </w:rPr>
        <w:t>ESTIMATED FINANCIAL IMPACT OF THE PROPOSAL/INITIATIVE</w:t>
      </w:r>
      <w:bookmarkEnd w:id="121"/>
      <w:bookmarkEnd w:id="122"/>
      <w:bookmarkEnd w:id="123"/>
      <w:bookmarkEnd w:id="124"/>
      <w:r>
        <w:rPr>
          <w:noProof/>
        </w:rPr>
        <w:t xml:space="preserve"> </w:t>
      </w:r>
    </w:p>
    <w:p w:rsidR="006B4685" w:rsidRDefault="006B4685" w:rsidP="006B4685">
      <w:pPr>
        <w:pStyle w:val="ManualHeading2"/>
        <w:rPr>
          <w:noProof/>
        </w:rPr>
      </w:pPr>
      <w:bookmarkStart w:id="125" w:name="_Toc514938051"/>
      <w:bookmarkStart w:id="126" w:name="_Toc520485050"/>
      <w:bookmarkStart w:id="127" w:name="_Toc160804592"/>
      <w:bookmarkStart w:id="128" w:name="_Toc198557777"/>
      <w:r w:rsidRPr="0021790A">
        <w:rPr>
          <w:noProof/>
        </w:rPr>
        <w:t>3.1.</w:t>
      </w:r>
      <w:r w:rsidRPr="0021790A">
        <w:rPr>
          <w:noProof/>
        </w:rPr>
        <w:tab/>
      </w:r>
      <w:r>
        <w:rPr>
          <w:noProof/>
        </w:rPr>
        <w:t>Heading(s) of the multiannual financial framework and expenditure budget line(s) affected</w:t>
      </w:r>
      <w:bookmarkEnd w:id="125"/>
      <w:bookmarkEnd w:id="126"/>
      <w:bookmarkEnd w:id="127"/>
      <w:bookmarkEnd w:id="128"/>
      <w:r>
        <w:rPr>
          <w:noProof/>
        </w:rPr>
        <w:t xml:space="preserve"> </w:t>
      </w:r>
    </w:p>
    <w:p w:rsidR="006B4685" w:rsidRDefault="006B4685" w:rsidP="006B4685">
      <w:pPr>
        <w:pStyle w:val="ListBullet1"/>
        <w:rPr>
          <w:noProof/>
        </w:rPr>
      </w:pPr>
      <w:r>
        <w:rPr>
          <w:noProof/>
        </w:rPr>
        <w:t xml:space="preserve">Existing budget lines </w:t>
      </w:r>
    </w:p>
    <w:p w:rsidR="006B4685" w:rsidRDefault="006B4685" w:rsidP="006B4685">
      <w:pPr>
        <w:pStyle w:val="Text1"/>
        <w:rPr>
          <w:i/>
          <w:noProof/>
        </w:rPr>
      </w:pPr>
      <w:r w:rsidRPr="009B753E">
        <w:rPr>
          <w:i/>
          <w:noProof/>
          <w:u w:val="single"/>
        </w:rPr>
        <w:t>In order</w:t>
      </w:r>
      <w:r w:rsidRPr="009B753E">
        <w:rPr>
          <w:i/>
          <w:noProof/>
        </w:rPr>
        <w:t xml:space="preserve"> of multiannual financial framework headings and budget lines.</w:t>
      </w: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4002"/>
        <w:gridCol w:w="1092"/>
        <w:gridCol w:w="966"/>
        <w:gridCol w:w="1092"/>
        <w:gridCol w:w="966"/>
        <w:gridCol w:w="1463"/>
      </w:tblGrid>
      <w:tr w:rsidR="006B4685">
        <w:trPr>
          <w:jc w:val="center"/>
        </w:trPr>
        <w:tc>
          <w:tcPr>
            <w:tcW w:w="1092" w:type="dxa"/>
            <w:vMerge w:val="restart"/>
            <w:vAlign w:val="center"/>
          </w:tcPr>
          <w:p w:rsidR="006B4685" w:rsidRPr="003A769F" w:rsidRDefault="006B4685">
            <w:pPr>
              <w:spacing w:before="60" w:after="60"/>
              <w:jc w:val="center"/>
              <w:rPr>
                <w:noProof/>
                <w:lang w:val="en-IE"/>
              </w:rPr>
            </w:pPr>
            <w:r w:rsidRPr="003A769F">
              <w:rPr>
                <w:noProof/>
                <w:sz w:val="18"/>
                <w:lang w:val="en-IE"/>
              </w:rPr>
              <w:t>Heading of multiannual financial framework</w:t>
            </w:r>
          </w:p>
        </w:tc>
        <w:tc>
          <w:tcPr>
            <w:tcW w:w="4002" w:type="dxa"/>
            <w:vAlign w:val="center"/>
          </w:tcPr>
          <w:p w:rsidR="006B4685" w:rsidRDefault="006B4685">
            <w:pPr>
              <w:spacing w:before="60" w:after="60"/>
              <w:jc w:val="center"/>
              <w:rPr>
                <w:noProof/>
              </w:rPr>
            </w:pPr>
            <w:r>
              <w:rPr>
                <w:noProof/>
                <w:sz w:val="20"/>
              </w:rPr>
              <w:t>Budget line</w:t>
            </w:r>
          </w:p>
        </w:tc>
        <w:tc>
          <w:tcPr>
            <w:tcW w:w="1092" w:type="dxa"/>
            <w:vAlign w:val="center"/>
          </w:tcPr>
          <w:p w:rsidR="006B4685" w:rsidRDefault="006B4685">
            <w:pPr>
              <w:spacing w:before="60" w:after="60"/>
              <w:jc w:val="center"/>
              <w:rPr>
                <w:noProof/>
              </w:rPr>
            </w:pPr>
            <w:r>
              <w:rPr>
                <w:noProof/>
                <w:sz w:val="18"/>
              </w:rPr>
              <w:t>Type of expenditure</w:t>
            </w:r>
          </w:p>
        </w:tc>
        <w:tc>
          <w:tcPr>
            <w:tcW w:w="4487" w:type="dxa"/>
            <w:gridSpan w:val="4"/>
            <w:vAlign w:val="center"/>
          </w:tcPr>
          <w:p w:rsidR="006B4685" w:rsidRDefault="006B4685">
            <w:pPr>
              <w:spacing w:before="60" w:after="60"/>
              <w:jc w:val="center"/>
              <w:rPr>
                <w:noProof/>
              </w:rPr>
            </w:pPr>
            <w:r>
              <w:rPr>
                <w:noProof/>
                <w:sz w:val="20"/>
              </w:rPr>
              <w:t xml:space="preserve">Contribution </w:t>
            </w:r>
          </w:p>
        </w:tc>
      </w:tr>
      <w:tr w:rsidR="006B4685" w:rsidRPr="00FF5DD8">
        <w:trPr>
          <w:cantSplit/>
          <w:jc w:val="center"/>
        </w:trPr>
        <w:tc>
          <w:tcPr>
            <w:tcW w:w="1092" w:type="dxa"/>
            <w:vMerge/>
            <w:vAlign w:val="center"/>
          </w:tcPr>
          <w:p w:rsidR="006B4685" w:rsidRPr="00FF5DD8" w:rsidRDefault="006B4685">
            <w:pPr>
              <w:jc w:val="center"/>
              <w:rPr>
                <w:noProof/>
              </w:rPr>
            </w:pPr>
          </w:p>
        </w:tc>
        <w:tc>
          <w:tcPr>
            <w:tcW w:w="4002" w:type="dxa"/>
            <w:vAlign w:val="center"/>
          </w:tcPr>
          <w:p w:rsidR="006B4685" w:rsidRPr="00FF5DD8" w:rsidRDefault="006B4685">
            <w:pPr>
              <w:rPr>
                <w:noProof/>
              </w:rPr>
            </w:pPr>
            <w:r w:rsidRPr="00FF5DD8">
              <w:rPr>
                <w:noProof/>
                <w:sz w:val="20"/>
              </w:rPr>
              <w:t xml:space="preserve">Number </w:t>
            </w:r>
            <w:r w:rsidRPr="00FF5DD8">
              <w:rPr>
                <w:noProof/>
                <w:sz w:val="22"/>
              </w:rPr>
              <w:br/>
            </w:r>
          </w:p>
        </w:tc>
        <w:tc>
          <w:tcPr>
            <w:tcW w:w="1092" w:type="dxa"/>
            <w:vAlign w:val="center"/>
          </w:tcPr>
          <w:p w:rsidR="006B4685" w:rsidRPr="00FF5DD8" w:rsidRDefault="006B4685">
            <w:pPr>
              <w:jc w:val="center"/>
              <w:rPr>
                <w:noProof/>
              </w:rPr>
            </w:pPr>
            <w:r w:rsidRPr="00FF5DD8">
              <w:rPr>
                <w:noProof/>
                <w:sz w:val="18"/>
              </w:rPr>
              <w:t>Diff./Non-diff.</w:t>
            </w:r>
            <w:r w:rsidRPr="00FF5DD8">
              <w:rPr>
                <w:rStyle w:val="FootnoteReference"/>
                <w:noProof/>
                <w:sz w:val="18"/>
              </w:rPr>
              <w:footnoteReference w:id="36"/>
            </w:r>
          </w:p>
        </w:tc>
        <w:tc>
          <w:tcPr>
            <w:tcW w:w="966" w:type="dxa"/>
            <w:vAlign w:val="center"/>
          </w:tcPr>
          <w:p w:rsidR="006B4685" w:rsidRPr="00FF5DD8" w:rsidRDefault="006B4685">
            <w:pPr>
              <w:jc w:val="center"/>
              <w:rPr>
                <w:b/>
                <w:noProof/>
                <w:sz w:val="18"/>
              </w:rPr>
            </w:pPr>
            <w:r w:rsidRPr="00FF5DD8">
              <w:rPr>
                <w:noProof/>
                <w:sz w:val="18"/>
              </w:rPr>
              <w:t>from EFTA countries</w:t>
            </w:r>
            <w:r w:rsidRPr="00FF5DD8">
              <w:rPr>
                <w:rStyle w:val="FootnoteReference"/>
                <w:noProof/>
                <w:sz w:val="18"/>
              </w:rPr>
              <w:footnoteReference w:id="37"/>
            </w:r>
          </w:p>
        </w:tc>
        <w:tc>
          <w:tcPr>
            <w:tcW w:w="1092" w:type="dxa"/>
            <w:vAlign w:val="center"/>
          </w:tcPr>
          <w:p w:rsidR="006B4685" w:rsidRPr="003A769F" w:rsidRDefault="006B4685">
            <w:pPr>
              <w:jc w:val="center"/>
              <w:rPr>
                <w:noProof/>
                <w:sz w:val="18"/>
                <w:lang w:val="en-IE"/>
              </w:rPr>
            </w:pPr>
            <w:r w:rsidRPr="003A769F">
              <w:rPr>
                <w:noProof/>
                <w:sz w:val="18"/>
                <w:lang w:val="en-IE"/>
              </w:rPr>
              <w:t>from candidate countries and potential candidates</w:t>
            </w:r>
            <w:r w:rsidRPr="00FF5DD8">
              <w:rPr>
                <w:rStyle w:val="FootnoteReference"/>
                <w:noProof/>
                <w:sz w:val="18"/>
              </w:rPr>
              <w:footnoteReference w:id="38"/>
            </w:r>
          </w:p>
        </w:tc>
        <w:tc>
          <w:tcPr>
            <w:tcW w:w="966" w:type="dxa"/>
            <w:vAlign w:val="center"/>
          </w:tcPr>
          <w:p w:rsidR="006B4685" w:rsidRPr="00FF5DD8" w:rsidRDefault="006B4685">
            <w:pPr>
              <w:jc w:val="center"/>
              <w:rPr>
                <w:noProof/>
                <w:sz w:val="18"/>
              </w:rPr>
            </w:pPr>
            <w:r>
              <w:rPr>
                <w:noProof/>
                <w:sz w:val="18"/>
              </w:rPr>
              <w:t>F</w:t>
            </w:r>
            <w:r w:rsidRPr="00FF5DD8">
              <w:rPr>
                <w:noProof/>
                <w:sz w:val="18"/>
              </w:rPr>
              <w:t>rom</w:t>
            </w:r>
            <w:r>
              <w:rPr>
                <w:noProof/>
                <w:sz w:val="18"/>
              </w:rPr>
              <w:t xml:space="preserve"> other </w:t>
            </w:r>
            <w:r w:rsidRPr="00FF5DD8">
              <w:rPr>
                <w:noProof/>
                <w:sz w:val="18"/>
              </w:rPr>
              <w:t>third countries</w:t>
            </w:r>
          </w:p>
        </w:tc>
        <w:tc>
          <w:tcPr>
            <w:tcW w:w="1463" w:type="dxa"/>
            <w:vAlign w:val="center"/>
          </w:tcPr>
          <w:p w:rsidR="006B4685" w:rsidRPr="00FF5DD8" w:rsidRDefault="006B4685">
            <w:pPr>
              <w:jc w:val="center"/>
              <w:rPr>
                <w:noProof/>
              </w:rPr>
            </w:pPr>
            <w:r w:rsidRPr="00154373">
              <w:rPr>
                <w:noProof/>
                <w:sz w:val="18"/>
                <w:szCs w:val="18"/>
                <w:lang w:val="en-IE"/>
              </w:rPr>
              <w:t>other assigned revenue</w:t>
            </w:r>
          </w:p>
        </w:tc>
      </w:tr>
      <w:tr w:rsidR="006B4685">
        <w:trPr>
          <w:jc w:val="center"/>
        </w:trPr>
        <w:tc>
          <w:tcPr>
            <w:tcW w:w="1092" w:type="dxa"/>
            <w:vAlign w:val="center"/>
          </w:tcPr>
          <w:p w:rsidR="006B4685" w:rsidRDefault="006B4685">
            <w:pPr>
              <w:jc w:val="center"/>
              <w:rPr>
                <w:noProof/>
                <w:color w:val="0000FF"/>
              </w:rPr>
            </w:pPr>
            <w:r>
              <w:rPr>
                <w:noProof/>
                <w:color w:val="0000FF"/>
              </w:rPr>
              <w:t>1.</w:t>
            </w:r>
          </w:p>
        </w:tc>
        <w:tc>
          <w:tcPr>
            <w:tcW w:w="4002" w:type="dxa"/>
            <w:vAlign w:val="center"/>
          </w:tcPr>
          <w:p w:rsidR="006B4685" w:rsidRDefault="006B4685">
            <w:pPr>
              <w:spacing w:before="60"/>
              <w:rPr>
                <w:noProof/>
              </w:rPr>
            </w:pPr>
            <w:r w:rsidRPr="00BB17D1">
              <w:rPr>
                <w:noProof/>
                <w:sz w:val="22"/>
              </w:rPr>
              <w:t>03 10 02 00: European Banking Authority (EBA)</w:t>
            </w:r>
          </w:p>
        </w:tc>
        <w:tc>
          <w:tcPr>
            <w:tcW w:w="1092" w:type="dxa"/>
            <w:vAlign w:val="center"/>
          </w:tcPr>
          <w:p w:rsidR="006B4685" w:rsidRPr="00BB17D1" w:rsidRDefault="006B4685">
            <w:pPr>
              <w:jc w:val="center"/>
              <w:rPr>
                <w:noProof/>
                <w:sz w:val="22"/>
              </w:rPr>
            </w:pPr>
            <w:r>
              <w:rPr>
                <w:noProof/>
                <w:sz w:val="20"/>
                <w:szCs w:val="20"/>
              </w:rPr>
              <w:t>Diff.</w:t>
            </w:r>
          </w:p>
        </w:tc>
        <w:tc>
          <w:tcPr>
            <w:tcW w:w="966" w:type="dxa"/>
            <w:vAlign w:val="center"/>
          </w:tcPr>
          <w:p w:rsidR="006B4685" w:rsidRPr="00BB17D1" w:rsidRDefault="006B4685">
            <w:pPr>
              <w:jc w:val="center"/>
              <w:rPr>
                <w:noProof/>
                <w:sz w:val="22"/>
              </w:rPr>
            </w:pPr>
            <w:r w:rsidRPr="007974DD">
              <w:rPr>
                <w:noProof/>
                <w:sz w:val="20"/>
                <w:szCs w:val="20"/>
              </w:rPr>
              <w:t>NO</w:t>
            </w:r>
          </w:p>
        </w:tc>
        <w:tc>
          <w:tcPr>
            <w:tcW w:w="1092" w:type="dxa"/>
            <w:vAlign w:val="center"/>
          </w:tcPr>
          <w:p w:rsidR="006B4685" w:rsidRPr="00BB17D1" w:rsidRDefault="006B4685">
            <w:pPr>
              <w:jc w:val="center"/>
              <w:rPr>
                <w:noProof/>
                <w:sz w:val="22"/>
              </w:rPr>
            </w:pPr>
            <w:r w:rsidRPr="007974DD">
              <w:rPr>
                <w:noProof/>
                <w:sz w:val="20"/>
                <w:szCs w:val="20"/>
              </w:rPr>
              <w:t>NO</w:t>
            </w:r>
          </w:p>
        </w:tc>
        <w:tc>
          <w:tcPr>
            <w:tcW w:w="966" w:type="dxa"/>
            <w:vAlign w:val="center"/>
          </w:tcPr>
          <w:p w:rsidR="006B4685" w:rsidRPr="00BB17D1" w:rsidRDefault="006B4685">
            <w:pPr>
              <w:jc w:val="center"/>
              <w:rPr>
                <w:noProof/>
                <w:sz w:val="22"/>
              </w:rPr>
            </w:pPr>
            <w:r w:rsidRPr="007974DD">
              <w:rPr>
                <w:noProof/>
                <w:sz w:val="20"/>
                <w:szCs w:val="20"/>
              </w:rPr>
              <w:t>NO</w:t>
            </w:r>
          </w:p>
        </w:tc>
        <w:tc>
          <w:tcPr>
            <w:tcW w:w="1463" w:type="dxa"/>
            <w:vAlign w:val="center"/>
          </w:tcPr>
          <w:p w:rsidR="006B4685" w:rsidRPr="008D0E8A" w:rsidRDefault="006B4685">
            <w:pPr>
              <w:jc w:val="center"/>
              <w:rPr>
                <w:noProof/>
                <w:sz w:val="20"/>
                <w:szCs w:val="20"/>
              </w:rPr>
            </w:pPr>
            <w:r w:rsidRPr="007974DD">
              <w:rPr>
                <w:noProof/>
                <w:sz w:val="20"/>
                <w:szCs w:val="20"/>
              </w:rPr>
              <w:t>NO</w:t>
            </w:r>
          </w:p>
        </w:tc>
      </w:tr>
      <w:tr w:rsidR="006B4685">
        <w:trPr>
          <w:jc w:val="center"/>
        </w:trPr>
        <w:tc>
          <w:tcPr>
            <w:tcW w:w="1092" w:type="dxa"/>
            <w:vAlign w:val="center"/>
          </w:tcPr>
          <w:p w:rsidR="006B4685" w:rsidRDefault="006B4685">
            <w:pPr>
              <w:jc w:val="center"/>
              <w:rPr>
                <w:noProof/>
                <w:color w:val="0000FF"/>
              </w:rPr>
            </w:pPr>
            <w:r>
              <w:rPr>
                <w:noProof/>
                <w:color w:val="0000FF"/>
              </w:rPr>
              <w:t>1.</w:t>
            </w:r>
          </w:p>
        </w:tc>
        <w:tc>
          <w:tcPr>
            <w:tcW w:w="4002" w:type="dxa"/>
            <w:vAlign w:val="center"/>
          </w:tcPr>
          <w:p w:rsidR="006B4685" w:rsidRDefault="006B4685">
            <w:pPr>
              <w:spacing w:after="60"/>
              <w:rPr>
                <w:noProof/>
              </w:rPr>
            </w:pPr>
            <w:r w:rsidRPr="00BB17D1">
              <w:rPr>
                <w:noProof/>
                <w:sz w:val="22"/>
              </w:rPr>
              <w:t>03 10 04 00: European Securities and Markets Auhority (ESMA)</w:t>
            </w:r>
          </w:p>
        </w:tc>
        <w:tc>
          <w:tcPr>
            <w:tcW w:w="1092" w:type="dxa"/>
            <w:vAlign w:val="center"/>
          </w:tcPr>
          <w:p w:rsidR="006B4685" w:rsidRPr="00BB17D1" w:rsidRDefault="006B4685">
            <w:pPr>
              <w:jc w:val="center"/>
              <w:rPr>
                <w:noProof/>
                <w:sz w:val="22"/>
              </w:rPr>
            </w:pPr>
            <w:r>
              <w:rPr>
                <w:noProof/>
                <w:sz w:val="20"/>
                <w:szCs w:val="20"/>
              </w:rPr>
              <w:t>Diff.</w:t>
            </w:r>
          </w:p>
        </w:tc>
        <w:tc>
          <w:tcPr>
            <w:tcW w:w="966" w:type="dxa"/>
            <w:vAlign w:val="center"/>
          </w:tcPr>
          <w:p w:rsidR="006B4685" w:rsidRPr="00BB17D1" w:rsidRDefault="006B4685">
            <w:pPr>
              <w:jc w:val="center"/>
              <w:rPr>
                <w:noProof/>
                <w:sz w:val="22"/>
              </w:rPr>
            </w:pPr>
            <w:r w:rsidRPr="007974DD">
              <w:rPr>
                <w:noProof/>
                <w:sz w:val="20"/>
                <w:szCs w:val="20"/>
              </w:rPr>
              <w:t>NO</w:t>
            </w:r>
          </w:p>
        </w:tc>
        <w:tc>
          <w:tcPr>
            <w:tcW w:w="1092" w:type="dxa"/>
            <w:vAlign w:val="center"/>
          </w:tcPr>
          <w:p w:rsidR="006B4685" w:rsidRPr="00BB17D1" w:rsidRDefault="006B4685">
            <w:pPr>
              <w:jc w:val="center"/>
              <w:rPr>
                <w:noProof/>
                <w:sz w:val="22"/>
              </w:rPr>
            </w:pPr>
            <w:r w:rsidRPr="007974DD">
              <w:rPr>
                <w:noProof/>
                <w:sz w:val="20"/>
                <w:szCs w:val="20"/>
              </w:rPr>
              <w:t>NO</w:t>
            </w:r>
          </w:p>
        </w:tc>
        <w:tc>
          <w:tcPr>
            <w:tcW w:w="966" w:type="dxa"/>
            <w:vAlign w:val="center"/>
          </w:tcPr>
          <w:p w:rsidR="006B4685" w:rsidRPr="00BB17D1" w:rsidRDefault="006B4685">
            <w:pPr>
              <w:jc w:val="center"/>
              <w:rPr>
                <w:noProof/>
                <w:sz w:val="22"/>
              </w:rPr>
            </w:pPr>
            <w:r w:rsidRPr="007974DD">
              <w:rPr>
                <w:noProof/>
                <w:sz w:val="20"/>
                <w:szCs w:val="20"/>
              </w:rPr>
              <w:t>NO</w:t>
            </w:r>
          </w:p>
        </w:tc>
        <w:tc>
          <w:tcPr>
            <w:tcW w:w="1463" w:type="dxa"/>
            <w:vAlign w:val="center"/>
          </w:tcPr>
          <w:p w:rsidR="006B4685" w:rsidRPr="008D0E8A" w:rsidRDefault="006B4685">
            <w:pPr>
              <w:jc w:val="center"/>
              <w:rPr>
                <w:noProof/>
                <w:sz w:val="20"/>
                <w:szCs w:val="20"/>
              </w:rPr>
            </w:pPr>
            <w:r w:rsidRPr="007974DD">
              <w:rPr>
                <w:noProof/>
                <w:sz w:val="20"/>
                <w:szCs w:val="20"/>
              </w:rPr>
              <w:t>NO</w:t>
            </w:r>
          </w:p>
        </w:tc>
      </w:tr>
    </w:tbl>
    <w:p w:rsidR="006B4685" w:rsidRDefault="006B4685" w:rsidP="006B4685">
      <w:pPr>
        <w:pStyle w:val="ListBullet1"/>
        <w:rPr>
          <w:noProof/>
        </w:rPr>
      </w:pPr>
      <w:r>
        <w:rPr>
          <w:noProof/>
        </w:rPr>
        <w:t xml:space="preserve">New budget lines requested </w:t>
      </w:r>
    </w:p>
    <w:p w:rsidR="006B4685" w:rsidRDefault="006B4685" w:rsidP="006B4685">
      <w:pPr>
        <w:pStyle w:val="Text1"/>
        <w:rPr>
          <w:i/>
          <w:noProof/>
          <w:sz w:val="20"/>
        </w:rPr>
      </w:pPr>
      <w:r>
        <w:rPr>
          <w:i/>
          <w:noProof/>
          <w:u w:val="single"/>
        </w:rPr>
        <w:t>In order</w:t>
      </w:r>
      <w:r>
        <w:rPr>
          <w:i/>
          <w:noProof/>
        </w:rPr>
        <w:t xml:space="preserve"> of multiannual financial framework headings and budget lines.</w:t>
      </w: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4002"/>
        <w:gridCol w:w="1092"/>
        <w:gridCol w:w="966"/>
        <w:gridCol w:w="1092"/>
        <w:gridCol w:w="966"/>
        <w:gridCol w:w="1463"/>
      </w:tblGrid>
      <w:tr w:rsidR="006B4685">
        <w:trPr>
          <w:jc w:val="center"/>
        </w:trPr>
        <w:tc>
          <w:tcPr>
            <w:tcW w:w="1092" w:type="dxa"/>
            <w:vMerge w:val="restart"/>
            <w:vAlign w:val="center"/>
          </w:tcPr>
          <w:p w:rsidR="006B4685" w:rsidRPr="003A769F" w:rsidRDefault="006B4685">
            <w:pPr>
              <w:spacing w:before="60" w:after="60"/>
              <w:jc w:val="center"/>
              <w:rPr>
                <w:noProof/>
                <w:sz w:val="18"/>
                <w:szCs w:val="18"/>
                <w:lang w:val="en-IE"/>
              </w:rPr>
            </w:pPr>
            <w:r w:rsidRPr="003A769F">
              <w:rPr>
                <w:noProof/>
                <w:sz w:val="18"/>
                <w:lang w:val="en-IE"/>
              </w:rPr>
              <w:t>Heading of multiannual financial framework</w:t>
            </w:r>
          </w:p>
        </w:tc>
        <w:tc>
          <w:tcPr>
            <w:tcW w:w="4002" w:type="dxa"/>
            <w:vAlign w:val="center"/>
          </w:tcPr>
          <w:p w:rsidR="006B4685" w:rsidRDefault="006B4685">
            <w:pPr>
              <w:spacing w:before="60" w:after="60"/>
              <w:jc w:val="center"/>
              <w:rPr>
                <w:noProof/>
              </w:rPr>
            </w:pPr>
            <w:r>
              <w:rPr>
                <w:noProof/>
                <w:sz w:val="20"/>
              </w:rPr>
              <w:t>Budget line</w:t>
            </w:r>
          </w:p>
        </w:tc>
        <w:tc>
          <w:tcPr>
            <w:tcW w:w="1092" w:type="dxa"/>
            <w:vAlign w:val="center"/>
          </w:tcPr>
          <w:p w:rsidR="006B4685" w:rsidRDefault="006B4685">
            <w:pPr>
              <w:spacing w:before="60" w:after="60"/>
              <w:jc w:val="center"/>
              <w:rPr>
                <w:noProof/>
              </w:rPr>
            </w:pPr>
            <w:r>
              <w:rPr>
                <w:noProof/>
                <w:sz w:val="18"/>
              </w:rPr>
              <w:t>Type of expenditure</w:t>
            </w:r>
          </w:p>
        </w:tc>
        <w:tc>
          <w:tcPr>
            <w:tcW w:w="4487" w:type="dxa"/>
            <w:gridSpan w:val="4"/>
            <w:vAlign w:val="center"/>
          </w:tcPr>
          <w:p w:rsidR="006B4685" w:rsidRDefault="006B4685">
            <w:pPr>
              <w:spacing w:before="60" w:after="60"/>
              <w:jc w:val="center"/>
              <w:rPr>
                <w:noProof/>
              </w:rPr>
            </w:pPr>
            <w:r>
              <w:rPr>
                <w:noProof/>
                <w:sz w:val="20"/>
              </w:rPr>
              <w:t xml:space="preserve">Contribution </w:t>
            </w:r>
          </w:p>
        </w:tc>
      </w:tr>
      <w:tr w:rsidR="006B4685">
        <w:trPr>
          <w:cantSplit/>
          <w:jc w:val="center"/>
        </w:trPr>
        <w:tc>
          <w:tcPr>
            <w:tcW w:w="1092" w:type="dxa"/>
            <w:vMerge/>
            <w:vAlign w:val="center"/>
          </w:tcPr>
          <w:p w:rsidR="006B4685" w:rsidRDefault="006B4685">
            <w:pPr>
              <w:jc w:val="center"/>
              <w:rPr>
                <w:noProof/>
              </w:rPr>
            </w:pPr>
          </w:p>
        </w:tc>
        <w:tc>
          <w:tcPr>
            <w:tcW w:w="4002" w:type="dxa"/>
            <w:vAlign w:val="center"/>
          </w:tcPr>
          <w:p w:rsidR="006B4685" w:rsidRDefault="006B4685">
            <w:pPr>
              <w:rPr>
                <w:noProof/>
              </w:rPr>
            </w:pPr>
            <w:r>
              <w:rPr>
                <w:noProof/>
                <w:sz w:val="20"/>
              </w:rPr>
              <w:t xml:space="preserve">Number </w:t>
            </w:r>
            <w:r>
              <w:rPr>
                <w:noProof/>
                <w:sz w:val="22"/>
              </w:rPr>
              <w:br/>
            </w:r>
          </w:p>
        </w:tc>
        <w:tc>
          <w:tcPr>
            <w:tcW w:w="1092" w:type="dxa"/>
            <w:vAlign w:val="center"/>
          </w:tcPr>
          <w:p w:rsidR="006B4685" w:rsidRDefault="006B4685">
            <w:pPr>
              <w:jc w:val="center"/>
              <w:rPr>
                <w:noProof/>
              </w:rPr>
            </w:pPr>
            <w:r>
              <w:rPr>
                <w:noProof/>
                <w:sz w:val="18"/>
              </w:rPr>
              <w:t>Diff./Non-diff.</w:t>
            </w:r>
          </w:p>
        </w:tc>
        <w:tc>
          <w:tcPr>
            <w:tcW w:w="966" w:type="dxa"/>
            <w:vAlign w:val="center"/>
          </w:tcPr>
          <w:p w:rsidR="006B4685" w:rsidRDefault="006B4685">
            <w:pPr>
              <w:jc w:val="center"/>
              <w:rPr>
                <w:noProof/>
                <w:sz w:val="18"/>
              </w:rPr>
            </w:pPr>
            <w:r>
              <w:rPr>
                <w:noProof/>
                <w:sz w:val="18"/>
              </w:rPr>
              <w:t>from EFTA countries</w:t>
            </w:r>
          </w:p>
        </w:tc>
        <w:tc>
          <w:tcPr>
            <w:tcW w:w="1092" w:type="dxa"/>
            <w:vAlign w:val="center"/>
          </w:tcPr>
          <w:p w:rsidR="006B4685" w:rsidRPr="003A769F" w:rsidRDefault="006B4685">
            <w:pPr>
              <w:jc w:val="center"/>
              <w:rPr>
                <w:noProof/>
                <w:sz w:val="18"/>
                <w:lang w:val="en-IE"/>
              </w:rPr>
            </w:pPr>
            <w:r w:rsidRPr="003A769F">
              <w:rPr>
                <w:noProof/>
                <w:sz w:val="18"/>
                <w:lang w:val="en-IE"/>
              </w:rPr>
              <w:t>from candidate countries and potential candidates</w:t>
            </w:r>
          </w:p>
        </w:tc>
        <w:tc>
          <w:tcPr>
            <w:tcW w:w="966" w:type="dxa"/>
            <w:vAlign w:val="center"/>
          </w:tcPr>
          <w:p w:rsidR="006B4685" w:rsidRPr="00FF5DD8" w:rsidRDefault="006B4685">
            <w:pPr>
              <w:jc w:val="center"/>
              <w:rPr>
                <w:noProof/>
                <w:sz w:val="18"/>
              </w:rPr>
            </w:pPr>
            <w:r w:rsidRPr="00FF5DD8">
              <w:rPr>
                <w:noProof/>
                <w:sz w:val="18"/>
              </w:rPr>
              <w:t>from other third countries</w:t>
            </w:r>
          </w:p>
        </w:tc>
        <w:tc>
          <w:tcPr>
            <w:tcW w:w="1463" w:type="dxa"/>
            <w:vAlign w:val="center"/>
          </w:tcPr>
          <w:p w:rsidR="006B4685" w:rsidRPr="00FF5DD8" w:rsidRDefault="006B4685">
            <w:pPr>
              <w:jc w:val="center"/>
              <w:rPr>
                <w:noProof/>
              </w:rPr>
            </w:pPr>
            <w:r w:rsidRPr="00154373">
              <w:rPr>
                <w:noProof/>
                <w:sz w:val="18"/>
                <w:szCs w:val="18"/>
                <w:lang w:val="en-IE"/>
              </w:rPr>
              <w:t xml:space="preserve">other assigned revenue </w:t>
            </w:r>
          </w:p>
        </w:tc>
      </w:tr>
      <w:tr w:rsidR="006B4685">
        <w:trPr>
          <w:cantSplit/>
          <w:jc w:val="center"/>
        </w:trPr>
        <w:tc>
          <w:tcPr>
            <w:tcW w:w="1092" w:type="dxa"/>
            <w:vAlign w:val="center"/>
          </w:tcPr>
          <w:p w:rsidR="006B4685" w:rsidRDefault="006B4685">
            <w:pPr>
              <w:jc w:val="center"/>
              <w:rPr>
                <w:noProof/>
                <w:color w:val="0000FF"/>
              </w:rPr>
            </w:pPr>
          </w:p>
        </w:tc>
        <w:tc>
          <w:tcPr>
            <w:tcW w:w="4002" w:type="dxa"/>
            <w:vAlign w:val="center"/>
          </w:tcPr>
          <w:p w:rsidR="006B4685" w:rsidRDefault="006B4685">
            <w:pPr>
              <w:spacing w:before="60"/>
              <w:rPr>
                <w:noProof/>
              </w:rPr>
            </w:pPr>
            <w:r>
              <w:rPr>
                <w:noProof/>
                <w:sz w:val="22"/>
              </w:rPr>
              <w:t>N/A</w:t>
            </w:r>
          </w:p>
          <w:p w:rsidR="006B4685" w:rsidRDefault="006B4685">
            <w:pPr>
              <w:spacing w:after="60"/>
              <w:rPr>
                <w:noProof/>
              </w:rPr>
            </w:pPr>
          </w:p>
        </w:tc>
        <w:tc>
          <w:tcPr>
            <w:tcW w:w="1092" w:type="dxa"/>
            <w:vAlign w:val="center"/>
          </w:tcPr>
          <w:p w:rsidR="006B4685" w:rsidRDefault="006B4685">
            <w:pPr>
              <w:jc w:val="center"/>
              <w:rPr>
                <w:noProof/>
                <w:color w:val="0000FF"/>
              </w:rPr>
            </w:pPr>
          </w:p>
        </w:tc>
        <w:tc>
          <w:tcPr>
            <w:tcW w:w="966" w:type="dxa"/>
            <w:vAlign w:val="center"/>
          </w:tcPr>
          <w:p w:rsidR="006B4685" w:rsidRPr="008D0E8A" w:rsidRDefault="006B4685">
            <w:pPr>
              <w:jc w:val="center"/>
              <w:rPr>
                <w:noProof/>
                <w:sz w:val="20"/>
                <w:szCs w:val="20"/>
              </w:rPr>
            </w:pPr>
          </w:p>
        </w:tc>
        <w:tc>
          <w:tcPr>
            <w:tcW w:w="1092" w:type="dxa"/>
            <w:vAlign w:val="center"/>
          </w:tcPr>
          <w:p w:rsidR="006B4685" w:rsidRPr="008D0E8A" w:rsidRDefault="006B4685">
            <w:pPr>
              <w:jc w:val="center"/>
              <w:rPr>
                <w:noProof/>
                <w:sz w:val="20"/>
                <w:szCs w:val="20"/>
              </w:rPr>
            </w:pPr>
          </w:p>
        </w:tc>
        <w:tc>
          <w:tcPr>
            <w:tcW w:w="966" w:type="dxa"/>
            <w:vAlign w:val="center"/>
          </w:tcPr>
          <w:p w:rsidR="006B4685" w:rsidRPr="008D0E8A" w:rsidRDefault="006B4685">
            <w:pPr>
              <w:jc w:val="center"/>
              <w:rPr>
                <w:noProof/>
                <w:sz w:val="20"/>
                <w:szCs w:val="20"/>
              </w:rPr>
            </w:pPr>
          </w:p>
        </w:tc>
        <w:tc>
          <w:tcPr>
            <w:tcW w:w="1463" w:type="dxa"/>
            <w:vAlign w:val="center"/>
          </w:tcPr>
          <w:p w:rsidR="006B4685" w:rsidRPr="008D0E8A" w:rsidRDefault="006B4685">
            <w:pPr>
              <w:jc w:val="center"/>
              <w:rPr>
                <w:noProof/>
                <w:sz w:val="20"/>
                <w:szCs w:val="20"/>
              </w:rPr>
            </w:pPr>
          </w:p>
        </w:tc>
      </w:tr>
    </w:tbl>
    <w:p w:rsidR="006B4685" w:rsidRDefault="006B4685" w:rsidP="006B4685">
      <w:pPr>
        <w:rPr>
          <w:noProof/>
        </w:rPr>
        <w:sectPr w:rsidR="006B4685" w:rsidSect="001B1F0B">
          <w:pgSz w:w="11907" w:h="16840" w:code="1"/>
          <w:pgMar w:top="1134" w:right="1418" w:bottom="1134" w:left="1418" w:header="709" w:footer="709" w:gutter="0"/>
          <w:cols w:space="708"/>
          <w:docGrid w:linePitch="360"/>
        </w:sectPr>
      </w:pPr>
    </w:p>
    <w:p w:rsidR="006B4685" w:rsidRDefault="006B4685" w:rsidP="006B4685">
      <w:pPr>
        <w:pStyle w:val="ManualHeading2"/>
        <w:rPr>
          <w:bCs/>
          <w:noProof/>
          <w:szCs w:val="24"/>
        </w:rPr>
      </w:pPr>
      <w:bookmarkStart w:id="129" w:name="_Toc514938052"/>
      <w:bookmarkStart w:id="130" w:name="_Toc520485051"/>
      <w:bookmarkStart w:id="131" w:name="_Toc160804593"/>
      <w:bookmarkStart w:id="132" w:name="_Toc198557778"/>
      <w:r w:rsidRPr="0021790A">
        <w:rPr>
          <w:noProof/>
        </w:rPr>
        <w:t>3.2.</w:t>
      </w:r>
      <w:r w:rsidRPr="0021790A">
        <w:rPr>
          <w:noProof/>
        </w:rPr>
        <w:tab/>
      </w:r>
      <w:r>
        <w:rPr>
          <w:noProof/>
        </w:rPr>
        <w:t>Estimated financial impact of the proposal on appropriations</w:t>
      </w:r>
      <w:bookmarkEnd w:id="129"/>
      <w:bookmarkEnd w:id="130"/>
      <w:bookmarkEnd w:id="131"/>
      <w:bookmarkEnd w:id="132"/>
      <w:r>
        <w:rPr>
          <w:noProof/>
        </w:rPr>
        <w:t xml:space="preserve"> </w:t>
      </w:r>
    </w:p>
    <w:p w:rsidR="006B4685" w:rsidRPr="00406A4A" w:rsidRDefault="006B4685" w:rsidP="006B4685">
      <w:pPr>
        <w:pStyle w:val="ManualHeading3"/>
        <w:rPr>
          <w:noProof/>
          <w:color w:val="0000FF"/>
        </w:rPr>
      </w:pPr>
      <w:bookmarkStart w:id="133" w:name="_Toc514938053"/>
      <w:bookmarkStart w:id="134" w:name="_Toc520485052"/>
      <w:bookmarkStart w:id="135" w:name="_Toc160804594"/>
      <w:bookmarkStart w:id="136" w:name="_Toc198557779"/>
      <w:r w:rsidRPr="0021790A">
        <w:rPr>
          <w:noProof/>
        </w:rPr>
        <w:t>3.2.1.</w:t>
      </w:r>
      <w:r w:rsidRPr="0021790A">
        <w:rPr>
          <w:noProof/>
        </w:rPr>
        <w:tab/>
      </w:r>
      <w:r>
        <w:rPr>
          <w:noProof/>
        </w:rPr>
        <w:t>Summary of estimated impact on operational appropriations</w:t>
      </w:r>
      <w:bookmarkEnd w:id="133"/>
      <w:bookmarkEnd w:id="134"/>
      <w:bookmarkEnd w:id="135"/>
      <w:bookmarkEnd w:id="136"/>
    </w:p>
    <w:p w:rsidR="006B4685" w:rsidRDefault="006B4685" w:rsidP="006B4685">
      <w:pPr>
        <w:pStyle w:val="ListDash1"/>
        <w:rPr>
          <w:noProof/>
        </w:rPr>
      </w:pPr>
      <w:r>
        <w:rPr>
          <w:rFonts w:ascii="Wingdings" w:eastAsia="Wingdings" w:hAnsi="Wingdings" w:cs="Wingdings"/>
          <w:noProof/>
        </w:rPr>
        <w:t></w:t>
      </w:r>
      <w:r>
        <w:rPr>
          <w:noProof/>
        </w:rPr>
        <w:tab/>
        <w:t xml:space="preserve">The proposal/initiative does not require the use of operational appropriations </w:t>
      </w:r>
    </w:p>
    <w:p w:rsidR="006B4685" w:rsidRDefault="006B4685" w:rsidP="006B4685">
      <w:pPr>
        <w:pStyle w:val="ListDash1"/>
        <w:rPr>
          <w:noProof/>
        </w:rPr>
      </w:pPr>
      <w:r w:rsidRPr="00BB17D1">
        <w:rPr>
          <w:rFonts w:ascii="Wingdings" w:eastAsia="Wingdings" w:hAnsi="Wingdings" w:cs="Wingdings"/>
          <w:noProof/>
        </w:rPr>
        <w:t></w:t>
      </w:r>
      <w:r>
        <w:rPr>
          <w:noProof/>
        </w:rPr>
        <w:tab/>
        <w:t>The proposal/initiative requires the use of operational appropriations, as explained below</w:t>
      </w:r>
    </w:p>
    <w:p w:rsidR="006B4685" w:rsidRDefault="006B4685" w:rsidP="006B4685">
      <w:pPr>
        <w:rPr>
          <w:noProof/>
        </w:rPr>
      </w:pPr>
    </w:p>
    <w:p w:rsidR="006B4685" w:rsidRDefault="006B4685" w:rsidP="006B4685">
      <w:pPr>
        <w:pStyle w:val="ManualHeading3"/>
        <w:rPr>
          <w:noProof/>
        </w:rPr>
      </w:pPr>
      <w:bookmarkStart w:id="137" w:name="_Toc160804595"/>
      <w:bookmarkStart w:id="138" w:name="_Toc198557780"/>
      <w:bookmarkStart w:id="139" w:name="_Hlk177487747"/>
      <w:r>
        <w:rPr>
          <w:noProof/>
        </w:rPr>
        <w:t>3.2.1.1.</w:t>
      </w:r>
      <w:r>
        <w:rPr>
          <w:noProof/>
        </w:rPr>
        <w:tab/>
        <w:t>Appropriations from voted budget</w:t>
      </w:r>
      <w:bookmarkEnd w:id="137"/>
      <w:bookmarkEnd w:id="138"/>
    </w:p>
    <w:bookmarkEnd w:id="139"/>
    <w:p w:rsidR="006B4685" w:rsidRPr="003A769F" w:rsidRDefault="006B4685" w:rsidP="006B4685">
      <w:pPr>
        <w:jc w:val="right"/>
        <w:rPr>
          <w:noProof/>
          <w:sz w:val="18"/>
          <w:szCs w:val="18"/>
          <w:lang w:val="en-IE"/>
        </w:rPr>
      </w:pPr>
      <w:r w:rsidRPr="003A769F">
        <w:rPr>
          <w:noProof/>
          <w:sz w:val="18"/>
          <w:szCs w:val="18"/>
          <w:lang w:val="en-IE"/>
        </w:rPr>
        <w:t>EUR million (to three decimal places)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rsidR="006B4685">
        <w:tc>
          <w:tcPr>
            <w:tcW w:w="1739" w:type="pct"/>
            <w:shd w:val="thinDiagStripe" w:color="C0C0C0" w:fill="auto"/>
            <w:vAlign w:val="center"/>
          </w:tcPr>
          <w:p w:rsidR="006B4685" w:rsidRPr="003A769F" w:rsidRDefault="006B4685">
            <w:pPr>
              <w:spacing w:before="60" w:after="60"/>
              <w:jc w:val="center"/>
              <w:rPr>
                <w:b/>
                <w:noProof/>
                <w:lang w:val="en-IE"/>
              </w:rPr>
            </w:pPr>
            <w:r w:rsidRPr="003A769F">
              <w:rPr>
                <w:b/>
                <w:noProof/>
                <w:sz w:val="22"/>
                <w:lang w:val="en-IE"/>
              </w:rPr>
              <w:t xml:space="preserve">Heading of multiannual financial </w:t>
            </w:r>
            <w:r>
              <w:rPr>
                <w:b/>
                <w:noProof/>
                <w:sz w:val="22"/>
                <w:lang w:val="en-IE"/>
              </w:rPr>
              <w:t xml:space="preserve"> </w:t>
            </w:r>
            <w:r w:rsidRPr="003A769F">
              <w:rPr>
                <w:b/>
                <w:noProof/>
                <w:sz w:val="22"/>
                <w:lang w:val="en-IE"/>
              </w:rPr>
              <w:t xml:space="preserve">framework </w:t>
            </w:r>
          </w:p>
        </w:tc>
        <w:tc>
          <w:tcPr>
            <w:tcW w:w="396" w:type="pct"/>
            <w:vAlign w:val="center"/>
          </w:tcPr>
          <w:p w:rsidR="006B4685" w:rsidRDefault="006B4685">
            <w:pPr>
              <w:spacing w:before="60" w:after="60"/>
              <w:jc w:val="center"/>
              <w:rPr>
                <w:noProof/>
              </w:rPr>
            </w:pPr>
            <w:r>
              <w:rPr>
                <w:noProof/>
                <w:sz w:val="22"/>
              </w:rPr>
              <w:t>Number</w:t>
            </w:r>
          </w:p>
        </w:tc>
        <w:tc>
          <w:tcPr>
            <w:tcW w:w="2865" w:type="pct"/>
            <w:vAlign w:val="center"/>
          </w:tcPr>
          <w:p w:rsidR="006B4685" w:rsidRDefault="006B4685">
            <w:pPr>
              <w:spacing w:before="60" w:after="60"/>
              <w:rPr>
                <w:noProof/>
              </w:rPr>
            </w:pPr>
          </w:p>
        </w:tc>
      </w:tr>
    </w:tbl>
    <w:p w:rsidR="006B4685" w:rsidRDefault="006B4685" w:rsidP="006B4685">
      <w:pPr>
        <w:rPr>
          <w:noProof/>
          <w:sz w:val="16"/>
        </w:rPr>
      </w:pPr>
    </w:p>
    <w:tbl>
      <w:tblPr>
        <w:tblW w:w="5000" w:type="pct"/>
        <w:tblLook w:val="04A0" w:firstRow="1" w:lastRow="0" w:firstColumn="1" w:lastColumn="0" w:noHBand="0" w:noVBand="1"/>
      </w:tblPr>
      <w:tblGrid>
        <w:gridCol w:w="4035"/>
        <w:gridCol w:w="1504"/>
        <w:gridCol w:w="1411"/>
        <w:gridCol w:w="1411"/>
        <w:gridCol w:w="1411"/>
        <w:gridCol w:w="1411"/>
        <w:gridCol w:w="1359"/>
        <w:gridCol w:w="1678"/>
      </w:tblGrid>
      <w:tr w:rsidR="006B4685" w:rsidRPr="00C2043F">
        <w:trPr>
          <w:trHeight w:val="420"/>
        </w:trPr>
        <w:tc>
          <w:tcPr>
            <w:tcW w:w="2444" w:type="pct"/>
            <w:gridSpan w:val="3"/>
            <w:vMerge w:val="restart"/>
            <w:tcBorders>
              <w:top w:val="single" w:sz="8" w:space="0" w:color="auto"/>
              <w:left w:val="single" w:sz="8" w:space="0" w:color="auto"/>
              <w:bottom w:val="single" w:sz="8" w:space="0" w:color="auto"/>
              <w:right w:val="single" w:sz="8" w:space="0" w:color="auto"/>
            </w:tcBorders>
            <w:vAlign w:val="center"/>
            <w:hideMark/>
          </w:tcPr>
          <w:p w:rsidR="006B4685" w:rsidRPr="00C2043F" w:rsidRDefault="006B4685">
            <w:pPr>
              <w:spacing w:before="0" w:after="0"/>
              <w:jc w:val="center"/>
              <w:rPr>
                <w:noProof/>
                <w:color w:val="000000"/>
                <w:sz w:val="22"/>
                <w:lang w:val="en-IE" w:eastAsia="en-IE"/>
              </w:rPr>
            </w:pPr>
            <w:r w:rsidRPr="00C2043F">
              <w:rPr>
                <w:noProof/>
                <w:color w:val="000000"/>
                <w:sz w:val="22"/>
                <w:lang w:val="en-IE" w:eastAsia="en-IE"/>
              </w:rPr>
              <w:t>DG: &lt;…….&gt;</w:t>
            </w:r>
          </w:p>
        </w:tc>
        <w:tc>
          <w:tcPr>
            <w:tcW w:w="496" w:type="pct"/>
            <w:tcBorders>
              <w:top w:val="single" w:sz="8" w:space="0" w:color="auto"/>
              <w:left w:val="nil"/>
              <w:bottom w:val="single" w:sz="8" w:space="0" w:color="auto"/>
              <w:right w:val="single" w:sz="8" w:space="0" w:color="auto"/>
            </w:tcBorders>
            <w:vAlign w:val="center"/>
            <w:hideMark/>
          </w:tcPr>
          <w:p w:rsidR="006B4685" w:rsidRPr="00C2043F" w:rsidRDefault="006B4685">
            <w:pPr>
              <w:spacing w:before="0" w:after="0"/>
              <w:jc w:val="center"/>
              <w:rPr>
                <w:noProof/>
                <w:color w:val="000000"/>
                <w:sz w:val="20"/>
                <w:szCs w:val="20"/>
                <w:lang w:val="en-IE" w:eastAsia="en-IE"/>
              </w:rPr>
            </w:pPr>
            <w:r w:rsidRPr="00C2043F">
              <w:rPr>
                <w:noProof/>
                <w:color w:val="000000"/>
                <w:sz w:val="20"/>
                <w:szCs w:val="20"/>
                <w:lang w:val="en-IE" w:eastAsia="en-IE"/>
              </w:rPr>
              <w:t>Year</w:t>
            </w:r>
          </w:p>
        </w:tc>
        <w:tc>
          <w:tcPr>
            <w:tcW w:w="496" w:type="pct"/>
            <w:tcBorders>
              <w:top w:val="single" w:sz="8" w:space="0" w:color="auto"/>
              <w:left w:val="nil"/>
              <w:bottom w:val="single" w:sz="8" w:space="0" w:color="auto"/>
              <w:right w:val="single" w:sz="8" w:space="0" w:color="auto"/>
            </w:tcBorders>
            <w:vAlign w:val="center"/>
            <w:hideMark/>
          </w:tcPr>
          <w:p w:rsidR="006B4685" w:rsidRPr="00C2043F" w:rsidRDefault="006B4685">
            <w:pPr>
              <w:spacing w:before="0" w:after="0"/>
              <w:jc w:val="center"/>
              <w:rPr>
                <w:noProof/>
                <w:color w:val="000000"/>
                <w:sz w:val="20"/>
                <w:szCs w:val="20"/>
                <w:lang w:val="en-IE" w:eastAsia="en-IE"/>
              </w:rPr>
            </w:pPr>
            <w:r w:rsidRPr="00C2043F">
              <w:rPr>
                <w:noProof/>
                <w:color w:val="000000"/>
                <w:sz w:val="20"/>
                <w:szCs w:val="20"/>
                <w:lang w:val="en-IE" w:eastAsia="en-IE"/>
              </w:rPr>
              <w:t>Year</w:t>
            </w:r>
          </w:p>
        </w:tc>
        <w:tc>
          <w:tcPr>
            <w:tcW w:w="496" w:type="pct"/>
            <w:tcBorders>
              <w:top w:val="single" w:sz="8" w:space="0" w:color="auto"/>
              <w:left w:val="nil"/>
              <w:bottom w:val="single" w:sz="8" w:space="0" w:color="auto"/>
              <w:right w:val="single" w:sz="8" w:space="0" w:color="auto"/>
            </w:tcBorders>
            <w:vAlign w:val="center"/>
            <w:hideMark/>
          </w:tcPr>
          <w:p w:rsidR="006B4685" w:rsidRPr="00C2043F" w:rsidRDefault="006B4685">
            <w:pPr>
              <w:spacing w:before="0" w:after="0"/>
              <w:jc w:val="center"/>
              <w:rPr>
                <w:noProof/>
                <w:color w:val="000000"/>
                <w:sz w:val="20"/>
                <w:szCs w:val="20"/>
                <w:lang w:val="en-IE" w:eastAsia="en-IE"/>
              </w:rPr>
            </w:pPr>
            <w:r w:rsidRPr="00C2043F">
              <w:rPr>
                <w:noProof/>
                <w:color w:val="000000"/>
                <w:sz w:val="20"/>
                <w:szCs w:val="20"/>
                <w:lang w:val="en-IE" w:eastAsia="en-IE"/>
              </w:rPr>
              <w:t>Year</w:t>
            </w:r>
          </w:p>
        </w:tc>
        <w:tc>
          <w:tcPr>
            <w:tcW w:w="478" w:type="pct"/>
            <w:tcBorders>
              <w:top w:val="single" w:sz="8" w:space="0" w:color="auto"/>
              <w:left w:val="nil"/>
              <w:bottom w:val="single" w:sz="8" w:space="0" w:color="auto"/>
              <w:right w:val="single" w:sz="8" w:space="0" w:color="auto"/>
            </w:tcBorders>
            <w:vAlign w:val="center"/>
            <w:hideMark/>
          </w:tcPr>
          <w:p w:rsidR="006B4685" w:rsidRPr="00C2043F" w:rsidRDefault="006B4685">
            <w:pPr>
              <w:spacing w:before="0" w:after="0"/>
              <w:jc w:val="center"/>
              <w:rPr>
                <w:noProof/>
                <w:color w:val="000000"/>
                <w:sz w:val="20"/>
                <w:szCs w:val="20"/>
                <w:lang w:val="en-IE" w:eastAsia="en-IE"/>
              </w:rPr>
            </w:pPr>
            <w:r w:rsidRPr="00C2043F">
              <w:rPr>
                <w:noProof/>
                <w:color w:val="000000"/>
                <w:sz w:val="20"/>
                <w:szCs w:val="20"/>
                <w:lang w:val="en-IE" w:eastAsia="en-IE"/>
              </w:rPr>
              <w:t>Year</w:t>
            </w:r>
          </w:p>
        </w:tc>
        <w:tc>
          <w:tcPr>
            <w:tcW w:w="590" w:type="pct"/>
            <w:vMerge w:val="restart"/>
            <w:tcBorders>
              <w:top w:val="single" w:sz="8" w:space="0" w:color="auto"/>
              <w:left w:val="single" w:sz="8" w:space="0" w:color="auto"/>
              <w:bottom w:val="single" w:sz="8" w:space="0" w:color="auto"/>
              <w:right w:val="single" w:sz="8" w:space="0" w:color="auto"/>
            </w:tcBorders>
            <w:vAlign w:val="center"/>
            <w:hideMark/>
          </w:tcPr>
          <w:p w:rsidR="006B4685" w:rsidRPr="00C2043F" w:rsidRDefault="006B4685">
            <w:pPr>
              <w:spacing w:before="0" w:after="0"/>
              <w:jc w:val="center"/>
              <w:rPr>
                <w:b/>
                <w:bCs/>
                <w:noProof/>
                <w:color w:val="000000"/>
                <w:sz w:val="20"/>
                <w:szCs w:val="20"/>
                <w:lang w:val="en-IE" w:eastAsia="en-IE"/>
              </w:rPr>
            </w:pPr>
            <w:r w:rsidRPr="00C2043F">
              <w:rPr>
                <w:b/>
                <w:bCs/>
                <w:noProof/>
                <w:color w:val="000000"/>
                <w:sz w:val="20"/>
                <w:szCs w:val="20"/>
                <w:lang w:val="en-IE" w:eastAsia="en-IE"/>
              </w:rPr>
              <w:t>TOTAL MFF</w:t>
            </w:r>
            <w:r>
              <w:rPr>
                <w:b/>
                <w:bCs/>
                <w:noProof/>
                <w:color w:val="000000"/>
                <w:sz w:val="20"/>
                <w:szCs w:val="20"/>
                <w:lang w:val="en-IE" w:eastAsia="en-IE"/>
              </w:rPr>
              <w:t xml:space="preserve"> </w:t>
            </w:r>
            <w:r w:rsidRPr="00C2043F">
              <w:rPr>
                <w:b/>
                <w:bCs/>
                <w:noProof/>
                <w:color w:val="000000"/>
                <w:sz w:val="20"/>
                <w:szCs w:val="20"/>
                <w:lang w:val="en-IE" w:eastAsia="en-IE"/>
              </w:rPr>
              <w:t>2021-2027</w:t>
            </w:r>
          </w:p>
        </w:tc>
      </w:tr>
      <w:tr w:rsidR="006B4685" w:rsidRPr="00C2043F">
        <w:trPr>
          <w:trHeight w:val="288"/>
        </w:trPr>
        <w:tc>
          <w:tcPr>
            <w:tcW w:w="2444" w:type="pct"/>
            <w:gridSpan w:val="3"/>
            <w:vMerge/>
            <w:tcBorders>
              <w:top w:val="single" w:sz="8" w:space="0" w:color="auto"/>
              <w:left w:val="single" w:sz="8" w:space="0" w:color="auto"/>
              <w:bottom w:val="single" w:sz="8" w:space="0" w:color="auto"/>
              <w:right w:val="single" w:sz="8" w:space="0" w:color="auto"/>
            </w:tcBorders>
            <w:vAlign w:val="center"/>
            <w:hideMark/>
          </w:tcPr>
          <w:p w:rsidR="006B4685" w:rsidRPr="00C2043F" w:rsidRDefault="006B4685">
            <w:pPr>
              <w:spacing w:before="0" w:after="0"/>
              <w:jc w:val="left"/>
              <w:rPr>
                <w:noProof/>
                <w:color w:val="000000"/>
                <w:sz w:val="22"/>
                <w:lang w:val="en-IE" w:eastAsia="en-IE"/>
              </w:rPr>
            </w:pP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center"/>
              <w:rPr>
                <w:b/>
                <w:bCs/>
                <w:noProof/>
                <w:color w:val="000000"/>
                <w:sz w:val="20"/>
                <w:szCs w:val="20"/>
                <w:lang w:val="en-IE" w:eastAsia="en-IE"/>
              </w:rPr>
            </w:pPr>
            <w:r w:rsidRPr="00C2043F">
              <w:rPr>
                <w:b/>
                <w:bCs/>
                <w:noProof/>
                <w:color w:val="000000"/>
                <w:sz w:val="20"/>
                <w:szCs w:val="20"/>
                <w:lang w:val="en-IE" w:eastAsia="en-IE"/>
              </w:rPr>
              <w:t>2024</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center"/>
              <w:rPr>
                <w:b/>
                <w:bCs/>
                <w:noProof/>
                <w:color w:val="000000"/>
                <w:sz w:val="20"/>
                <w:szCs w:val="20"/>
                <w:lang w:val="en-IE" w:eastAsia="en-IE"/>
              </w:rPr>
            </w:pPr>
            <w:r w:rsidRPr="00C2043F">
              <w:rPr>
                <w:b/>
                <w:bCs/>
                <w:noProof/>
                <w:color w:val="000000"/>
                <w:sz w:val="20"/>
                <w:szCs w:val="20"/>
                <w:lang w:val="en-IE" w:eastAsia="en-IE"/>
              </w:rPr>
              <w:t>2025</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center"/>
              <w:rPr>
                <w:b/>
                <w:bCs/>
                <w:noProof/>
                <w:color w:val="000000"/>
                <w:sz w:val="20"/>
                <w:szCs w:val="20"/>
                <w:lang w:val="en-IE" w:eastAsia="en-IE"/>
              </w:rPr>
            </w:pPr>
            <w:r w:rsidRPr="00C2043F">
              <w:rPr>
                <w:b/>
                <w:bCs/>
                <w:noProof/>
                <w:color w:val="000000"/>
                <w:sz w:val="20"/>
                <w:szCs w:val="20"/>
                <w:lang w:val="en-IE" w:eastAsia="en-IE"/>
              </w:rPr>
              <w:t>2026</w:t>
            </w:r>
          </w:p>
        </w:tc>
        <w:tc>
          <w:tcPr>
            <w:tcW w:w="478" w:type="pct"/>
            <w:tcBorders>
              <w:top w:val="nil"/>
              <w:left w:val="nil"/>
              <w:bottom w:val="single" w:sz="8" w:space="0" w:color="auto"/>
              <w:right w:val="single" w:sz="8" w:space="0" w:color="auto"/>
            </w:tcBorders>
            <w:vAlign w:val="center"/>
            <w:hideMark/>
          </w:tcPr>
          <w:p w:rsidR="006B4685" w:rsidRPr="00C2043F" w:rsidRDefault="006B4685">
            <w:pPr>
              <w:spacing w:before="0" w:after="0"/>
              <w:jc w:val="center"/>
              <w:rPr>
                <w:b/>
                <w:bCs/>
                <w:noProof/>
                <w:color w:val="000000"/>
                <w:sz w:val="20"/>
                <w:szCs w:val="20"/>
                <w:lang w:val="en-IE" w:eastAsia="en-IE"/>
              </w:rPr>
            </w:pPr>
            <w:r w:rsidRPr="00C2043F">
              <w:rPr>
                <w:b/>
                <w:bCs/>
                <w:noProof/>
                <w:color w:val="000000"/>
                <w:sz w:val="20"/>
                <w:szCs w:val="20"/>
                <w:lang w:val="en-IE" w:eastAsia="en-IE"/>
              </w:rPr>
              <w:t>2027</w:t>
            </w:r>
          </w:p>
        </w:tc>
        <w:tc>
          <w:tcPr>
            <w:tcW w:w="590" w:type="pct"/>
            <w:vMerge/>
            <w:tcBorders>
              <w:top w:val="single" w:sz="8" w:space="0" w:color="auto"/>
              <w:left w:val="single" w:sz="8" w:space="0" w:color="auto"/>
              <w:bottom w:val="single" w:sz="8" w:space="0" w:color="auto"/>
              <w:right w:val="single" w:sz="8" w:space="0" w:color="auto"/>
            </w:tcBorders>
            <w:vAlign w:val="center"/>
            <w:hideMark/>
          </w:tcPr>
          <w:p w:rsidR="006B4685" w:rsidRPr="00C2043F" w:rsidRDefault="006B4685">
            <w:pPr>
              <w:spacing w:before="0" w:after="0"/>
              <w:jc w:val="left"/>
              <w:rPr>
                <w:b/>
                <w:bCs/>
                <w:noProof/>
                <w:color w:val="000000"/>
                <w:sz w:val="20"/>
                <w:szCs w:val="20"/>
                <w:lang w:val="en-IE" w:eastAsia="en-IE"/>
              </w:rPr>
            </w:pPr>
          </w:p>
        </w:tc>
      </w:tr>
      <w:tr w:rsidR="006B4685" w:rsidRPr="00C2043F">
        <w:trPr>
          <w:trHeight w:val="300"/>
        </w:trPr>
        <w:tc>
          <w:tcPr>
            <w:tcW w:w="5000" w:type="pct"/>
            <w:gridSpan w:val="8"/>
            <w:tcBorders>
              <w:top w:val="single" w:sz="8" w:space="0" w:color="auto"/>
              <w:left w:val="single" w:sz="8" w:space="0" w:color="auto"/>
              <w:bottom w:val="single" w:sz="8" w:space="0" w:color="auto"/>
              <w:right w:val="single" w:sz="8" w:space="0" w:color="auto"/>
            </w:tcBorders>
            <w:vAlign w:val="center"/>
            <w:hideMark/>
          </w:tcPr>
          <w:p w:rsidR="006B4685" w:rsidRPr="00C2043F" w:rsidRDefault="006B4685">
            <w:pPr>
              <w:spacing w:before="0" w:after="0"/>
              <w:jc w:val="left"/>
              <w:rPr>
                <w:noProof/>
                <w:color w:val="000000"/>
                <w:sz w:val="21"/>
                <w:szCs w:val="21"/>
                <w:lang w:val="en-IE" w:eastAsia="en-IE"/>
              </w:rPr>
            </w:pPr>
            <w:r w:rsidRPr="00C2043F">
              <w:rPr>
                <w:noProof/>
                <w:color w:val="000000"/>
                <w:sz w:val="21"/>
                <w:szCs w:val="21"/>
                <w:lang w:val="en-IE" w:eastAsia="en-IE"/>
              </w:rPr>
              <w:t xml:space="preserve">Operational appropriations </w:t>
            </w:r>
          </w:p>
        </w:tc>
      </w:tr>
      <w:tr w:rsidR="006B4685" w:rsidRPr="00C2043F">
        <w:trPr>
          <w:trHeight w:val="288"/>
        </w:trPr>
        <w:tc>
          <w:tcPr>
            <w:tcW w:w="1419" w:type="pct"/>
            <w:vMerge w:val="restart"/>
            <w:tcBorders>
              <w:top w:val="nil"/>
              <w:left w:val="single" w:sz="8" w:space="0" w:color="auto"/>
              <w:bottom w:val="single" w:sz="8" w:space="0" w:color="auto"/>
              <w:right w:val="single" w:sz="8" w:space="0" w:color="auto"/>
            </w:tcBorders>
            <w:noWrap/>
            <w:vAlign w:val="center"/>
            <w:hideMark/>
          </w:tcPr>
          <w:p w:rsidR="006B4685" w:rsidRPr="00C2043F" w:rsidRDefault="006B4685">
            <w:pPr>
              <w:spacing w:before="0" w:after="0"/>
              <w:jc w:val="left"/>
              <w:rPr>
                <w:noProof/>
                <w:color w:val="000000"/>
                <w:sz w:val="22"/>
                <w:lang w:val="en-IE" w:eastAsia="en-IE"/>
              </w:rPr>
            </w:pPr>
            <w:r w:rsidRPr="00C2043F">
              <w:rPr>
                <w:noProof/>
                <w:color w:val="000000"/>
                <w:sz w:val="22"/>
                <w:lang w:val="en-IE" w:eastAsia="en-IE"/>
              </w:rPr>
              <w:t>Budget line</w:t>
            </w:r>
          </w:p>
        </w:tc>
        <w:tc>
          <w:tcPr>
            <w:tcW w:w="529" w:type="pct"/>
            <w:tcBorders>
              <w:top w:val="nil"/>
              <w:left w:val="nil"/>
              <w:bottom w:val="single" w:sz="8" w:space="0" w:color="auto"/>
              <w:right w:val="single" w:sz="8" w:space="0" w:color="auto"/>
            </w:tcBorders>
            <w:vAlign w:val="center"/>
            <w:hideMark/>
          </w:tcPr>
          <w:p w:rsidR="006B4685" w:rsidRPr="00C2043F" w:rsidRDefault="006B4685">
            <w:pPr>
              <w:spacing w:before="0" w:after="0"/>
              <w:rPr>
                <w:noProof/>
                <w:color w:val="000000"/>
                <w:sz w:val="18"/>
                <w:szCs w:val="18"/>
                <w:lang w:val="en-IE" w:eastAsia="en-IE"/>
              </w:rPr>
            </w:pPr>
            <w:r w:rsidRPr="00C2043F">
              <w:rPr>
                <w:noProof/>
                <w:color w:val="000000"/>
                <w:sz w:val="18"/>
                <w:szCs w:val="18"/>
                <w:lang w:val="en-IE" w:eastAsia="en-IE"/>
              </w:rPr>
              <w:t>Commitments</w:t>
            </w:r>
          </w:p>
        </w:tc>
        <w:tc>
          <w:tcPr>
            <w:tcW w:w="496" w:type="pct"/>
            <w:tcBorders>
              <w:top w:val="single" w:sz="8" w:space="0" w:color="auto"/>
              <w:left w:val="nil"/>
              <w:bottom w:val="single" w:sz="8" w:space="0" w:color="auto"/>
              <w:right w:val="single" w:sz="8" w:space="0" w:color="auto"/>
            </w:tcBorders>
            <w:vAlign w:val="center"/>
            <w:hideMark/>
          </w:tcPr>
          <w:p w:rsidR="006B4685" w:rsidRPr="00C2043F" w:rsidRDefault="006B4685">
            <w:pPr>
              <w:spacing w:before="0" w:after="0"/>
              <w:jc w:val="center"/>
              <w:rPr>
                <w:noProof/>
                <w:color w:val="000000"/>
                <w:sz w:val="14"/>
                <w:szCs w:val="14"/>
                <w:lang w:val="en-IE" w:eastAsia="en-IE"/>
              </w:rPr>
            </w:pPr>
            <w:r w:rsidRPr="00C2043F">
              <w:rPr>
                <w:noProof/>
                <w:color w:val="000000"/>
                <w:sz w:val="14"/>
                <w:szCs w:val="14"/>
                <w:lang w:val="en-IE" w:eastAsia="en-IE"/>
              </w:rPr>
              <w:t>(1a)</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 </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 </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 </w:t>
            </w:r>
          </w:p>
        </w:tc>
        <w:tc>
          <w:tcPr>
            <w:tcW w:w="478"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 </w:t>
            </w:r>
          </w:p>
        </w:tc>
        <w:tc>
          <w:tcPr>
            <w:tcW w:w="590" w:type="pct"/>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r>
      <w:tr w:rsidR="006B4685" w:rsidRPr="00C2043F">
        <w:trPr>
          <w:trHeight w:val="315"/>
        </w:trPr>
        <w:tc>
          <w:tcPr>
            <w:tcW w:w="1419" w:type="pct"/>
            <w:vMerge/>
            <w:tcBorders>
              <w:top w:val="nil"/>
              <w:left w:val="single" w:sz="8" w:space="0" w:color="auto"/>
              <w:bottom w:val="single" w:sz="8" w:space="0" w:color="auto"/>
              <w:right w:val="single" w:sz="8" w:space="0" w:color="auto"/>
            </w:tcBorders>
            <w:vAlign w:val="center"/>
            <w:hideMark/>
          </w:tcPr>
          <w:p w:rsidR="006B4685" w:rsidRPr="00C2043F" w:rsidRDefault="006B4685">
            <w:pPr>
              <w:spacing w:before="0" w:after="0"/>
              <w:jc w:val="left"/>
              <w:rPr>
                <w:noProof/>
                <w:color w:val="000000"/>
                <w:sz w:val="22"/>
                <w:lang w:val="en-IE" w:eastAsia="en-IE"/>
              </w:rPr>
            </w:pPr>
          </w:p>
        </w:tc>
        <w:tc>
          <w:tcPr>
            <w:tcW w:w="529" w:type="pct"/>
            <w:tcBorders>
              <w:top w:val="nil"/>
              <w:left w:val="nil"/>
              <w:bottom w:val="single" w:sz="8" w:space="0" w:color="auto"/>
              <w:right w:val="single" w:sz="8" w:space="0" w:color="auto"/>
            </w:tcBorders>
            <w:vAlign w:val="center"/>
            <w:hideMark/>
          </w:tcPr>
          <w:p w:rsidR="006B4685" w:rsidRPr="00C2043F" w:rsidRDefault="006B4685">
            <w:pPr>
              <w:spacing w:before="0" w:after="0"/>
              <w:rPr>
                <w:noProof/>
                <w:color w:val="000000"/>
                <w:sz w:val="18"/>
                <w:szCs w:val="18"/>
                <w:lang w:val="en-IE" w:eastAsia="en-IE"/>
              </w:rPr>
            </w:pPr>
            <w:r w:rsidRPr="00C2043F">
              <w:rPr>
                <w:noProof/>
                <w:color w:val="000000"/>
                <w:sz w:val="18"/>
                <w:szCs w:val="18"/>
                <w:lang w:val="en-IE" w:eastAsia="en-IE"/>
              </w:rPr>
              <w:t>Payments</w:t>
            </w:r>
          </w:p>
        </w:tc>
        <w:tc>
          <w:tcPr>
            <w:tcW w:w="496" w:type="pct"/>
            <w:tcBorders>
              <w:top w:val="single" w:sz="8" w:space="0" w:color="auto"/>
              <w:left w:val="nil"/>
              <w:bottom w:val="single" w:sz="8" w:space="0" w:color="auto"/>
              <w:right w:val="single" w:sz="8" w:space="0" w:color="auto"/>
            </w:tcBorders>
            <w:vAlign w:val="center"/>
            <w:hideMark/>
          </w:tcPr>
          <w:p w:rsidR="006B4685" w:rsidRPr="00C2043F" w:rsidRDefault="006B4685">
            <w:pPr>
              <w:spacing w:before="0" w:after="0"/>
              <w:jc w:val="center"/>
              <w:rPr>
                <w:noProof/>
                <w:color w:val="000000"/>
                <w:sz w:val="14"/>
                <w:szCs w:val="14"/>
                <w:lang w:val="en-IE" w:eastAsia="en-IE"/>
              </w:rPr>
            </w:pPr>
            <w:r w:rsidRPr="00C2043F">
              <w:rPr>
                <w:noProof/>
                <w:color w:val="000000"/>
                <w:sz w:val="14"/>
                <w:szCs w:val="14"/>
                <w:lang w:val="en-IE" w:eastAsia="en-IE"/>
              </w:rPr>
              <w:t>(2a)</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 </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 </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 </w:t>
            </w:r>
          </w:p>
        </w:tc>
        <w:tc>
          <w:tcPr>
            <w:tcW w:w="478"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 </w:t>
            </w:r>
          </w:p>
        </w:tc>
        <w:tc>
          <w:tcPr>
            <w:tcW w:w="590" w:type="pct"/>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r>
      <w:tr w:rsidR="006B4685" w:rsidRPr="00C2043F">
        <w:trPr>
          <w:trHeight w:val="315"/>
        </w:trPr>
        <w:tc>
          <w:tcPr>
            <w:tcW w:w="1419" w:type="pct"/>
            <w:vMerge w:val="restart"/>
            <w:tcBorders>
              <w:top w:val="nil"/>
              <w:left w:val="single" w:sz="8" w:space="0" w:color="auto"/>
              <w:bottom w:val="single" w:sz="8" w:space="0" w:color="auto"/>
              <w:right w:val="single" w:sz="8" w:space="0" w:color="auto"/>
            </w:tcBorders>
            <w:vAlign w:val="center"/>
            <w:hideMark/>
          </w:tcPr>
          <w:p w:rsidR="006B4685" w:rsidRPr="00C2043F" w:rsidRDefault="006B4685">
            <w:pPr>
              <w:spacing w:before="0" w:after="0"/>
              <w:rPr>
                <w:noProof/>
                <w:color w:val="000000"/>
                <w:sz w:val="20"/>
                <w:szCs w:val="20"/>
                <w:lang w:val="en-IE" w:eastAsia="en-IE"/>
              </w:rPr>
            </w:pPr>
            <w:r w:rsidRPr="00C2043F">
              <w:rPr>
                <w:noProof/>
                <w:color w:val="000000"/>
                <w:sz w:val="20"/>
                <w:szCs w:val="20"/>
                <w:lang w:val="en-IE" w:eastAsia="en-IE"/>
              </w:rPr>
              <w:t>Budget line</w:t>
            </w:r>
          </w:p>
        </w:tc>
        <w:tc>
          <w:tcPr>
            <w:tcW w:w="529" w:type="pct"/>
            <w:tcBorders>
              <w:top w:val="nil"/>
              <w:left w:val="nil"/>
              <w:bottom w:val="single" w:sz="8" w:space="0" w:color="auto"/>
              <w:right w:val="single" w:sz="8" w:space="0" w:color="auto"/>
            </w:tcBorders>
            <w:vAlign w:val="center"/>
            <w:hideMark/>
          </w:tcPr>
          <w:p w:rsidR="006B4685" w:rsidRPr="00C2043F" w:rsidRDefault="006B4685">
            <w:pPr>
              <w:spacing w:before="0" w:after="0"/>
              <w:rPr>
                <w:noProof/>
                <w:color w:val="000000"/>
                <w:sz w:val="18"/>
                <w:szCs w:val="18"/>
                <w:lang w:val="en-IE" w:eastAsia="en-IE"/>
              </w:rPr>
            </w:pPr>
            <w:r w:rsidRPr="00C2043F">
              <w:rPr>
                <w:noProof/>
                <w:color w:val="000000"/>
                <w:sz w:val="18"/>
                <w:szCs w:val="18"/>
                <w:lang w:val="en-IE" w:eastAsia="en-IE"/>
              </w:rPr>
              <w:t>Commitments</w:t>
            </w:r>
          </w:p>
        </w:tc>
        <w:tc>
          <w:tcPr>
            <w:tcW w:w="496" w:type="pct"/>
            <w:tcBorders>
              <w:top w:val="single" w:sz="8" w:space="0" w:color="auto"/>
              <w:left w:val="nil"/>
              <w:bottom w:val="single" w:sz="8" w:space="0" w:color="auto"/>
              <w:right w:val="single" w:sz="8" w:space="0" w:color="auto"/>
            </w:tcBorders>
            <w:vAlign w:val="center"/>
            <w:hideMark/>
          </w:tcPr>
          <w:p w:rsidR="006B4685" w:rsidRPr="00C2043F" w:rsidRDefault="006B4685">
            <w:pPr>
              <w:spacing w:before="0" w:after="0"/>
              <w:jc w:val="center"/>
              <w:rPr>
                <w:noProof/>
                <w:color w:val="000000"/>
                <w:sz w:val="14"/>
                <w:szCs w:val="14"/>
                <w:lang w:val="en-IE" w:eastAsia="en-IE"/>
              </w:rPr>
            </w:pPr>
            <w:r w:rsidRPr="00C2043F">
              <w:rPr>
                <w:noProof/>
                <w:color w:val="000000"/>
                <w:sz w:val="14"/>
                <w:szCs w:val="14"/>
                <w:lang w:val="en-IE" w:eastAsia="en-IE"/>
              </w:rPr>
              <w:t>(1b)</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 </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 </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 </w:t>
            </w:r>
          </w:p>
        </w:tc>
        <w:tc>
          <w:tcPr>
            <w:tcW w:w="478"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 </w:t>
            </w:r>
          </w:p>
        </w:tc>
        <w:tc>
          <w:tcPr>
            <w:tcW w:w="590" w:type="pct"/>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r>
      <w:tr w:rsidR="006B4685" w:rsidRPr="00C2043F">
        <w:trPr>
          <w:trHeight w:val="315"/>
        </w:trPr>
        <w:tc>
          <w:tcPr>
            <w:tcW w:w="1419" w:type="pct"/>
            <w:vMerge/>
            <w:tcBorders>
              <w:top w:val="nil"/>
              <w:left w:val="single" w:sz="8" w:space="0" w:color="auto"/>
              <w:bottom w:val="single" w:sz="8" w:space="0" w:color="auto"/>
              <w:right w:val="single" w:sz="8" w:space="0" w:color="auto"/>
            </w:tcBorders>
            <w:vAlign w:val="center"/>
            <w:hideMark/>
          </w:tcPr>
          <w:p w:rsidR="006B4685" w:rsidRPr="00C2043F" w:rsidRDefault="006B4685">
            <w:pPr>
              <w:spacing w:before="0" w:after="0"/>
              <w:jc w:val="left"/>
              <w:rPr>
                <w:noProof/>
                <w:color w:val="000000"/>
                <w:sz w:val="20"/>
                <w:szCs w:val="20"/>
                <w:lang w:val="en-IE" w:eastAsia="en-IE"/>
              </w:rPr>
            </w:pPr>
          </w:p>
        </w:tc>
        <w:tc>
          <w:tcPr>
            <w:tcW w:w="529" w:type="pct"/>
            <w:tcBorders>
              <w:top w:val="nil"/>
              <w:left w:val="nil"/>
              <w:bottom w:val="single" w:sz="8" w:space="0" w:color="auto"/>
              <w:right w:val="single" w:sz="8" w:space="0" w:color="auto"/>
            </w:tcBorders>
            <w:vAlign w:val="center"/>
            <w:hideMark/>
          </w:tcPr>
          <w:p w:rsidR="006B4685" w:rsidRPr="00C2043F" w:rsidRDefault="006B4685">
            <w:pPr>
              <w:spacing w:before="0" w:after="0"/>
              <w:rPr>
                <w:noProof/>
                <w:color w:val="000000"/>
                <w:sz w:val="18"/>
                <w:szCs w:val="18"/>
                <w:lang w:val="en-IE" w:eastAsia="en-IE"/>
              </w:rPr>
            </w:pPr>
            <w:r w:rsidRPr="00C2043F">
              <w:rPr>
                <w:noProof/>
                <w:color w:val="000000"/>
                <w:sz w:val="18"/>
                <w:szCs w:val="18"/>
                <w:lang w:val="en-IE" w:eastAsia="en-IE"/>
              </w:rPr>
              <w:t>Payments</w:t>
            </w:r>
          </w:p>
        </w:tc>
        <w:tc>
          <w:tcPr>
            <w:tcW w:w="496" w:type="pct"/>
            <w:tcBorders>
              <w:top w:val="single" w:sz="8" w:space="0" w:color="auto"/>
              <w:left w:val="nil"/>
              <w:bottom w:val="single" w:sz="8" w:space="0" w:color="auto"/>
              <w:right w:val="single" w:sz="8" w:space="0" w:color="auto"/>
            </w:tcBorders>
            <w:vAlign w:val="center"/>
            <w:hideMark/>
          </w:tcPr>
          <w:p w:rsidR="006B4685" w:rsidRPr="00C2043F" w:rsidRDefault="006B4685">
            <w:pPr>
              <w:spacing w:before="0" w:after="0"/>
              <w:jc w:val="center"/>
              <w:rPr>
                <w:noProof/>
                <w:color w:val="000000"/>
                <w:sz w:val="14"/>
                <w:szCs w:val="14"/>
                <w:lang w:val="en-IE" w:eastAsia="en-IE"/>
              </w:rPr>
            </w:pPr>
            <w:r w:rsidRPr="00C2043F">
              <w:rPr>
                <w:noProof/>
                <w:color w:val="000000"/>
                <w:sz w:val="14"/>
                <w:szCs w:val="14"/>
                <w:lang w:val="en-IE" w:eastAsia="en-IE"/>
              </w:rPr>
              <w:t>(2b)</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 </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 </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 </w:t>
            </w:r>
          </w:p>
        </w:tc>
        <w:tc>
          <w:tcPr>
            <w:tcW w:w="478"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 </w:t>
            </w:r>
          </w:p>
        </w:tc>
        <w:tc>
          <w:tcPr>
            <w:tcW w:w="590" w:type="pct"/>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r>
      <w:tr w:rsidR="006B4685" w:rsidRPr="00C2043F">
        <w:trPr>
          <w:trHeight w:val="288"/>
        </w:trPr>
        <w:tc>
          <w:tcPr>
            <w:tcW w:w="5000" w:type="pct"/>
            <w:gridSpan w:val="8"/>
            <w:tcBorders>
              <w:top w:val="single" w:sz="8" w:space="0" w:color="auto"/>
              <w:left w:val="single" w:sz="8" w:space="0" w:color="auto"/>
              <w:bottom w:val="single" w:sz="8" w:space="0" w:color="auto"/>
              <w:right w:val="single" w:sz="8" w:space="0" w:color="auto"/>
            </w:tcBorders>
            <w:noWrap/>
            <w:vAlign w:val="bottom"/>
            <w:hideMark/>
          </w:tcPr>
          <w:p w:rsidR="006B4685" w:rsidRPr="00C2043F" w:rsidRDefault="006B4685">
            <w:pPr>
              <w:spacing w:before="0" w:after="0"/>
              <w:jc w:val="left"/>
              <w:rPr>
                <w:noProof/>
                <w:color w:val="000000"/>
                <w:sz w:val="22"/>
                <w:lang w:val="en-IE" w:eastAsia="en-IE"/>
              </w:rPr>
            </w:pPr>
            <w:r w:rsidRPr="00C2043F">
              <w:rPr>
                <w:noProof/>
                <w:color w:val="000000"/>
                <w:sz w:val="22"/>
                <w:lang w:val="en-IE" w:eastAsia="en-IE"/>
              </w:rPr>
              <w:t>Appropriations of an administrative nature financed from the envelope of specific programmes</w:t>
            </w:r>
            <w:r>
              <w:rPr>
                <w:rStyle w:val="FootnoteReference"/>
                <w:noProof/>
                <w:color w:val="000000"/>
                <w:sz w:val="22"/>
                <w:lang w:val="en-IE" w:eastAsia="en-IE"/>
              </w:rPr>
              <w:footnoteReference w:id="39"/>
            </w:r>
          </w:p>
        </w:tc>
      </w:tr>
      <w:tr w:rsidR="006B4685" w:rsidRPr="00C2043F">
        <w:trPr>
          <w:trHeight w:val="288"/>
        </w:trPr>
        <w:tc>
          <w:tcPr>
            <w:tcW w:w="1419" w:type="pct"/>
            <w:tcBorders>
              <w:top w:val="nil"/>
              <w:left w:val="single" w:sz="8" w:space="0" w:color="auto"/>
              <w:bottom w:val="single" w:sz="8" w:space="0" w:color="auto"/>
              <w:right w:val="single" w:sz="8" w:space="0" w:color="auto"/>
            </w:tcBorders>
            <w:vAlign w:val="center"/>
            <w:hideMark/>
          </w:tcPr>
          <w:p w:rsidR="006B4685" w:rsidRPr="00C2043F" w:rsidRDefault="006B4685">
            <w:pPr>
              <w:spacing w:before="0" w:after="0"/>
              <w:rPr>
                <w:noProof/>
                <w:color w:val="000000"/>
                <w:sz w:val="20"/>
                <w:szCs w:val="20"/>
                <w:lang w:val="en-IE" w:eastAsia="en-IE"/>
              </w:rPr>
            </w:pPr>
            <w:r w:rsidRPr="00C2043F">
              <w:rPr>
                <w:noProof/>
                <w:color w:val="000000"/>
                <w:sz w:val="20"/>
                <w:szCs w:val="20"/>
                <w:lang w:val="en-IE" w:eastAsia="en-IE"/>
              </w:rPr>
              <w:t>Budget line</w:t>
            </w:r>
          </w:p>
        </w:tc>
        <w:tc>
          <w:tcPr>
            <w:tcW w:w="529"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18"/>
                <w:szCs w:val="18"/>
                <w:lang w:val="en-IE" w:eastAsia="en-IE"/>
              </w:rPr>
            </w:pPr>
            <w:r w:rsidRPr="00C2043F">
              <w:rPr>
                <w:noProof/>
                <w:color w:val="000000"/>
                <w:sz w:val="18"/>
                <w:szCs w:val="18"/>
                <w:lang w:val="en-IE" w:eastAsia="en-IE"/>
              </w:rPr>
              <w:t> </w:t>
            </w:r>
          </w:p>
        </w:tc>
        <w:tc>
          <w:tcPr>
            <w:tcW w:w="496" w:type="pct"/>
            <w:tcBorders>
              <w:top w:val="single" w:sz="8" w:space="0" w:color="auto"/>
              <w:left w:val="nil"/>
              <w:bottom w:val="single" w:sz="8" w:space="0" w:color="auto"/>
              <w:right w:val="single" w:sz="8" w:space="0" w:color="auto"/>
            </w:tcBorders>
            <w:vAlign w:val="center"/>
            <w:hideMark/>
          </w:tcPr>
          <w:p w:rsidR="006B4685" w:rsidRPr="00C2043F" w:rsidRDefault="006B4685">
            <w:pPr>
              <w:spacing w:before="0" w:after="0"/>
              <w:jc w:val="center"/>
              <w:rPr>
                <w:noProof/>
                <w:color w:val="000000"/>
                <w:sz w:val="14"/>
                <w:szCs w:val="14"/>
                <w:lang w:val="en-IE" w:eastAsia="en-IE"/>
              </w:rPr>
            </w:pPr>
            <w:r w:rsidRPr="00C2043F">
              <w:rPr>
                <w:noProof/>
                <w:color w:val="000000"/>
                <w:sz w:val="14"/>
                <w:szCs w:val="14"/>
                <w:lang w:val="en-IE" w:eastAsia="en-IE"/>
              </w:rPr>
              <w:t>(3)</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 </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 </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 </w:t>
            </w:r>
          </w:p>
        </w:tc>
        <w:tc>
          <w:tcPr>
            <w:tcW w:w="478"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 </w:t>
            </w:r>
          </w:p>
        </w:tc>
        <w:tc>
          <w:tcPr>
            <w:tcW w:w="590" w:type="pct"/>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r>
      <w:tr w:rsidR="006B4685" w:rsidRPr="00C2043F">
        <w:trPr>
          <w:trHeight w:val="288"/>
        </w:trPr>
        <w:tc>
          <w:tcPr>
            <w:tcW w:w="1419" w:type="pct"/>
            <w:vMerge w:val="restart"/>
            <w:tcBorders>
              <w:top w:val="nil"/>
              <w:left w:val="single" w:sz="8" w:space="0" w:color="auto"/>
              <w:right w:val="single" w:sz="8" w:space="0" w:color="auto"/>
            </w:tcBorders>
            <w:vAlign w:val="center"/>
            <w:hideMark/>
          </w:tcPr>
          <w:p w:rsidR="006B4685" w:rsidRPr="00C2043F" w:rsidRDefault="006B4685">
            <w:pPr>
              <w:spacing w:before="0" w:after="0"/>
              <w:jc w:val="center"/>
              <w:rPr>
                <w:b/>
                <w:bCs/>
                <w:noProof/>
                <w:color w:val="000000"/>
                <w:sz w:val="22"/>
                <w:lang w:val="en-IE" w:eastAsia="en-IE"/>
              </w:rPr>
            </w:pPr>
            <w:r w:rsidRPr="00C2043F">
              <w:rPr>
                <w:b/>
                <w:bCs/>
                <w:noProof/>
                <w:color w:val="000000"/>
                <w:sz w:val="22"/>
                <w:lang w:val="en-IE" w:eastAsia="en-IE"/>
              </w:rPr>
              <w:t>TOTAL appropriations</w:t>
            </w:r>
          </w:p>
          <w:p w:rsidR="006B4685" w:rsidRPr="00C2043F" w:rsidRDefault="006B4685">
            <w:pPr>
              <w:spacing w:before="0" w:after="0"/>
              <w:jc w:val="center"/>
              <w:rPr>
                <w:b/>
                <w:bCs/>
                <w:noProof/>
                <w:color w:val="000000"/>
                <w:sz w:val="22"/>
                <w:lang w:val="en-IE" w:eastAsia="en-IE"/>
              </w:rPr>
            </w:pPr>
            <w:r w:rsidRPr="00C2043F">
              <w:rPr>
                <w:b/>
                <w:bCs/>
                <w:noProof/>
                <w:color w:val="000000"/>
                <w:sz w:val="22"/>
                <w:lang w:val="en-IE" w:eastAsia="en-IE"/>
              </w:rPr>
              <w:t xml:space="preserve">for DG </w:t>
            </w:r>
            <w:r w:rsidRPr="00C2043F">
              <w:rPr>
                <w:noProof/>
                <w:color w:val="000000"/>
                <w:sz w:val="22"/>
                <w:lang w:val="en-IE" w:eastAsia="en-IE"/>
              </w:rPr>
              <w:t>&lt;…….&gt;</w:t>
            </w:r>
          </w:p>
        </w:tc>
        <w:tc>
          <w:tcPr>
            <w:tcW w:w="529" w:type="pct"/>
            <w:tcBorders>
              <w:top w:val="nil"/>
              <w:left w:val="nil"/>
              <w:bottom w:val="single" w:sz="8" w:space="0" w:color="auto"/>
              <w:right w:val="single" w:sz="8" w:space="0" w:color="auto"/>
            </w:tcBorders>
            <w:vAlign w:val="center"/>
            <w:hideMark/>
          </w:tcPr>
          <w:p w:rsidR="006B4685" w:rsidRPr="00C2043F" w:rsidRDefault="006B4685">
            <w:pPr>
              <w:spacing w:before="0" w:after="0"/>
              <w:rPr>
                <w:noProof/>
                <w:color w:val="000000"/>
                <w:sz w:val="18"/>
                <w:szCs w:val="18"/>
                <w:lang w:val="en-IE" w:eastAsia="en-IE"/>
              </w:rPr>
            </w:pPr>
            <w:r w:rsidRPr="00C2043F">
              <w:rPr>
                <w:noProof/>
                <w:color w:val="000000"/>
                <w:sz w:val="18"/>
                <w:szCs w:val="18"/>
                <w:lang w:val="en-IE" w:eastAsia="en-IE"/>
              </w:rPr>
              <w:t>Commitments</w:t>
            </w:r>
          </w:p>
        </w:tc>
        <w:tc>
          <w:tcPr>
            <w:tcW w:w="496" w:type="pct"/>
            <w:tcBorders>
              <w:top w:val="single" w:sz="8" w:space="0" w:color="auto"/>
              <w:left w:val="nil"/>
              <w:bottom w:val="single" w:sz="8" w:space="0" w:color="auto"/>
              <w:right w:val="single" w:sz="8" w:space="0" w:color="auto"/>
            </w:tcBorders>
            <w:vAlign w:val="center"/>
            <w:hideMark/>
          </w:tcPr>
          <w:p w:rsidR="006B4685" w:rsidRPr="00C2043F" w:rsidRDefault="006B4685">
            <w:pPr>
              <w:spacing w:before="0" w:after="0"/>
              <w:jc w:val="center"/>
              <w:rPr>
                <w:noProof/>
                <w:color w:val="000000"/>
                <w:sz w:val="14"/>
                <w:szCs w:val="14"/>
                <w:lang w:val="en-IE" w:eastAsia="en-IE"/>
              </w:rPr>
            </w:pPr>
            <w:r w:rsidRPr="00C2043F">
              <w:rPr>
                <w:noProof/>
                <w:color w:val="000000"/>
                <w:sz w:val="14"/>
                <w:szCs w:val="14"/>
                <w:lang w:val="en-IE" w:eastAsia="en-IE"/>
              </w:rPr>
              <w:t>=1a+1b+3</w:t>
            </w:r>
          </w:p>
        </w:tc>
        <w:tc>
          <w:tcPr>
            <w:tcW w:w="496" w:type="pct"/>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c>
          <w:tcPr>
            <w:tcW w:w="496" w:type="pct"/>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c>
          <w:tcPr>
            <w:tcW w:w="496" w:type="pct"/>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c>
          <w:tcPr>
            <w:tcW w:w="478" w:type="pct"/>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c>
          <w:tcPr>
            <w:tcW w:w="590" w:type="pct"/>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r>
      <w:tr w:rsidR="006B4685" w:rsidRPr="00C2043F">
        <w:trPr>
          <w:trHeight w:val="288"/>
        </w:trPr>
        <w:tc>
          <w:tcPr>
            <w:tcW w:w="1419" w:type="pct"/>
            <w:vMerge/>
            <w:tcBorders>
              <w:left w:val="single" w:sz="8" w:space="0" w:color="auto"/>
              <w:bottom w:val="single" w:sz="4" w:space="0" w:color="auto"/>
              <w:right w:val="single" w:sz="8" w:space="0" w:color="auto"/>
            </w:tcBorders>
            <w:vAlign w:val="center"/>
            <w:hideMark/>
          </w:tcPr>
          <w:p w:rsidR="006B4685" w:rsidRPr="00C2043F" w:rsidRDefault="006B4685">
            <w:pPr>
              <w:spacing w:before="0" w:after="0"/>
              <w:jc w:val="center"/>
              <w:rPr>
                <w:b/>
                <w:bCs/>
                <w:noProof/>
                <w:color w:val="000000"/>
                <w:sz w:val="22"/>
                <w:lang w:val="en-IE" w:eastAsia="en-IE"/>
              </w:rPr>
            </w:pPr>
          </w:p>
        </w:tc>
        <w:tc>
          <w:tcPr>
            <w:tcW w:w="529" w:type="pct"/>
            <w:tcBorders>
              <w:top w:val="nil"/>
              <w:left w:val="single" w:sz="8" w:space="0" w:color="auto"/>
              <w:bottom w:val="single" w:sz="8" w:space="0" w:color="auto"/>
              <w:right w:val="single" w:sz="8" w:space="0" w:color="auto"/>
            </w:tcBorders>
            <w:vAlign w:val="center"/>
            <w:hideMark/>
          </w:tcPr>
          <w:p w:rsidR="006B4685" w:rsidRPr="00C2043F" w:rsidRDefault="006B4685">
            <w:pPr>
              <w:spacing w:before="0" w:after="0"/>
              <w:rPr>
                <w:noProof/>
                <w:color w:val="000000"/>
                <w:sz w:val="18"/>
                <w:szCs w:val="18"/>
                <w:lang w:val="en-IE" w:eastAsia="en-IE"/>
              </w:rPr>
            </w:pPr>
            <w:r w:rsidRPr="00C2043F">
              <w:rPr>
                <w:noProof/>
                <w:color w:val="000000"/>
                <w:sz w:val="18"/>
                <w:szCs w:val="18"/>
                <w:lang w:val="en-IE" w:eastAsia="en-IE"/>
              </w:rPr>
              <w:t>Payments</w:t>
            </w:r>
          </w:p>
        </w:tc>
        <w:tc>
          <w:tcPr>
            <w:tcW w:w="496" w:type="pct"/>
            <w:tcBorders>
              <w:top w:val="single" w:sz="8" w:space="0" w:color="auto"/>
              <w:left w:val="nil"/>
              <w:bottom w:val="single" w:sz="8" w:space="0" w:color="auto"/>
              <w:right w:val="single" w:sz="8" w:space="0" w:color="auto"/>
            </w:tcBorders>
            <w:vAlign w:val="center"/>
            <w:hideMark/>
          </w:tcPr>
          <w:p w:rsidR="006B4685" w:rsidRPr="00C2043F" w:rsidRDefault="006B4685">
            <w:pPr>
              <w:spacing w:before="0" w:after="0"/>
              <w:jc w:val="center"/>
              <w:rPr>
                <w:noProof/>
                <w:color w:val="000000"/>
                <w:sz w:val="14"/>
                <w:szCs w:val="14"/>
                <w:lang w:val="en-IE" w:eastAsia="en-IE"/>
              </w:rPr>
            </w:pPr>
            <w:r w:rsidRPr="00C2043F">
              <w:rPr>
                <w:noProof/>
                <w:color w:val="000000"/>
                <w:sz w:val="14"/>
                <w:szCs w:val="14"/>
                <w:lang w:val="en-IE" w:eastAsia="en-IE"/>
              </w:rPr>
              <w:t>=2a+2b+3</w:t>
            </w:r>
          </w:p>
        </w:tc>
        <w:tc>
          <w:tcPr>
            <w:tcW w:w="496" w:type="pct"/>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c>
          <w:tcPr>
            <w:tcW w:w="496" w:type="pct"/>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c>
          <w:tcPr>
            <w:tcW w:w="496" w:type="pct"/>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c>
          <w:tcPr>
            <w:tcW w:w="478" w:type="pct"/>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c>
          <w:tcPr>
            <w:tcW w:w="590" w:type="pct"/>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r>
    </w:tbl>
    <w:p w:rsidR="006B4685" w:rsidRDefault="006B4685" w:rsidP="006B4685">
      <w:pPr>
        <w:rPr>
          <w:noProof/>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992"/>
        <w:gridCol w:w="1134"/>
        <w:gridCol w:w="1276"/>
        <w:gridCol w:w="1134"/>
        <w:gridCol w:w="1417"/>
      </w:tblGrid>
      <w:tr w:rsidR="006B4685" w:rsidRPr="00C82AE0">
        <w:trPr>
          <w:trHeight w:val="715"/>
        </w:trPr>
        <w:tc>
          <w:tcPr>
            <w:tcW w:w="7230" w:type="dxa"/>
            <w:vAlign w:val="center"/>
          </w:tcPr>
          <w:p w:rsidR="006B4685" w:rsidRPr="002D73DA" w:rsidRDefault="006B4685">
            <w:pPr>
              <w:jc w:val="center"/>
              <w:rPr>
                <w:noProof/>
                <w:sz w:val="20"/>
                <w:szCs w:val="20"/>
              </w:rPr>
            </w:pPr>
            <w:r>
              <w:rPr>
                <w:noProof/>
                <w:sz w:val="20"/>
                <w:szCs w:val="20"/>
              </w:rPr>
              <w:t>European Banking Authority</w:t>
            </w:r>
          </w:p>
        </w:tc>
        <w:tc>
          <w:tcPr>
            <w:tcW w:w="992" w:type="dxa"/>
            <w:vAlign w:val="center"/>
          </w:tcPr>
          <w:p w:rsidR="006B4685" w:rsidRDefault="006B4685">
            <w:pPr>
              <w:jc w:val="center"/>
              <w:rPr>
                <w:noProof/>
                <w:color w:val="000000"/>
                <w:sz w:val="20"/>
                <w:szCs w:val="20"/>
                <w:lang w:val="en-IE" w:eastAsia="en-IE"/>
              </w:rPr>
            </w:pPr>
            <w:r w:rsidRPr="00170721">
              <w:rPr>
                <w:noProof/>
                <w:color w:val="000000"/>
                <w:sz w:val="20"/>
                <w:szCs w:val="20"/>
                <w:lang w:val="en-IE" w:eastAsia="en-IE"/>
              </w:rPr>
              <w:t>Year</w:t>
            </w:r>
          </w:p>
          <w:p w:rsidR="006B4685" w:rsidRPr="008F13F1" w:rsidRDefault="006B4685">
            <w:pPr>
              <w:jc w:val="center"/>
              <w:rPr>
                <w:b/>
                <w:bCs/>
                <w:noProof/>
                <w:sz w:val="20"/>
                <w:szCs w:val="20"/>
              </w:rPr>
            </w:pPr>
            <w:r w:rsidRPr="008F13F1">
              <w:rPr>
                <w:b/>
                <w:bCs/>
                <w:noProof/>
                <w:color w:val="000000"/>
                <w:sz w:val="20"/>
                <w:szCs w:val="20"/>
                <w:lang w:val="en-IE" w:eastAsia="en-IE"/>
              </w:rPr>
              <w:t>2024</w:t>
            </w:r>
          </w:p>
        </w:tc>
        <w:tc>
          <w:tcPr>
            <w:tcW w:w="1134" w:type="dxa"/>
            <w:vAlign w:val="center"/>
          </w:tcPr>
          <w:p w:rsidR="006B4685" w:rsidRDefault="006B4685">
            <w:pPr>
              <w:jc w:val="center"/>
              <w:rPr>
                <w:noProof/>
                <w:color w:val="000000"/>
                <w:sz w:val="20"/>
                <w:szCs w:val="20"/>
                <w:lang w:val="en-IE" w:eastAsia="en-IE"/>
              </w:rPr>
            </w:pPr>
            <w:r w:rsidRPr="00170721">
              <w:rPr>
                <w:noProof/>
                <w:color w:val="000000"/>
                <w:sz w:val="20"/>
                <w:szCs w:val="20"/>
                <w:lang w:val="en-IE" w:eastAsia="en-IE"/>
              </w:rPr>
              <w:t>Year</w:t>
            </w:r>
          </w:p>
          <w:p w:rsidR="006B4685" w:rsidRPr="008F13F1" w:rsidRDefault="006B4685">
            <w:pPr>
              <w:jc w:val="center"/>
              <w:rPr>
                <w:b/>
                <w:bCs/>
                <w:noProof/>
                <w:sz w:val="20"/>
                <w:szCs w:val="20"/>
              </w:rPr>
            </w:pPr>
            <w:r w:rsidRPr="008F13F1">
              <w:rPr>
                <w:b/>
                <w:bCs/>
                <w:noProof/>
                <w:color w:val="000000"/>
                <w:sz w:val="20"/>
                <w:szCs w:val="20"/>
                <w:lang w:val="en-IE" w:eastAsia="en-IE"/>
              </w:rPr>
              <w:t>2025</w:t>
            </w:r>
          </w:p>
        </w:tc>
        <w:tc>
          <w:tcPr>
            <w:tcW w:w="1276" w:type="dxa"/>
            <w:vAlign w:val="center"/>
          </w:tcPr>
          <w:p w:rsidR="006B4685" w:rsidRDefault="006B4685">
            <w:pPr>
              <w:jc w:val="center"/>
              <w:rPr>
                <w:noProof/>
                <w:color w:val="000000"/>
                <w:sz w:val="20"/>
                <w:szCs w:val="20"/>
                <w:lang w:val="en-IE" w:eastAsia="en-IE"/>
              </w:rPr>
            </w:pPr>
            <w:r w:rsidRPr="00170721">
              <w:rPr>
                <w:noProof/>
                <w:color w:val="000000"/>
                <w:sz w:val="20"/>
                <w:szCs w:val="20"/>
                <w:lang w:val="en-IE" w:eastAsia="en-IE"/>
              </w:rPr>
              <w:t>Year</w:t>
            </w:r>
          </w:p>
          <w:p w:rsidR="006B4685" w:rsidRPr="008F13F1" w:rsidRDefault="006B4685">
            <w:pPr>
              <w:jc w:val="center"/>
              <w:rPr>
                <w:b/>
                <w:bCs/>
                <w:noProof/>
                <w:sz w:val="20"/>
                <w:szCs w:val="20"/>
              </w:rPr>
            </w:pPr>
            <w:r w:rsidRPr="008F13F1">
              <w:rPr>
                <w:b/>
                <w:bCs/>
                <w:noProof/>
                <w:color w:val="000000"/>
                <w:sz w:val="20"/>
                <w:szCs w:val="20"/>
                <w:lang w:val="en-IE" w:eastAsia="en-IE"/>
              </w:rPr>
              <w:t>2026</w:t>
            </w:r>
          </w:p>
        </w:tc>
        <w:tc>
          <w:tcPr>
            <w:tcW w:w="1134" w:type="dxa"/>
            <w:vAlign w:val="center"/>
          </w:tcPr>
          <w:p w:rsidR="006B4685" w:rsidRDefault="006B4685">
            <w:pPr>
              <w:jc w:val="center"/>
              <w:rPr>
                <w:noProof/>
                <w:color w:val="000000"/>
                <w:sz w:val="20"/>
                <w:szCs w:val="20"/>
                <w:lang w:val="en-IE" w:eastAsia="en-IE"/>
              </w:rPr>
            </w:pPr>
            <w:r w:rsidRPr="00170721">
              <w:rPr>
                <w:noProof/>
                <w:color w:val="000000"/>
                <w:sz w:val="20"/>
                <w:szCs w:val="20"/>
                <w:lang w:val="en-IE" w:eastAsia="en-IE"/>
              </w:rPr>
              <w:t>Year</w:t>
            </w:r>
          </w:p>
          <w:p w:rsidR="006B4685" w:rsidRPr="008F13F1" w:rsidRDefault="006B4685">
            <w:pPr>
              <w:jc w:val="center"/>
              <w:rPr>
                <w:b/>
                <w:bCs/>
                <w:noProof/>
                <w:sz w:val="20"/>
                <w:szCs w:val="20"/>
              </w:rPr>
            </w:pPr>
            <w:r w:rsidRPr="008F13F1">
              <w:rPr>
                <w:b/>
                <w:bCs/>
                <w:noProof/>
                <w:color w:val="000000"/>
                <w:sz w:val="20"/>
                <w:szCs w:val="20"/>
                <w:lang w:val="en-IE" w:eastAsia="en-IE"/>
              </w:rPr>
              <w:t>2027</w:t>
            </w:r>
          </w:p>
        </w:tc>
        <w:tc>
          <w:tcPr>
            <w:tcW w:w="1417" w:type="dxa"/>
            <w:vAlign w:val="center"/>
          </w:tcPr>
          <w:p w:rsidR="006B4685" w:rsidRPr="00C82AE0" w:rsidRDefault="006B4685">
            <w:pPr>
              <w:jc w:val="center"/>
              <w:rPr>
                <w:b/>
                <w:noProof/>
                <w:sz w:val="20"/>
                <w:szCs w:val="20"/>
              </w:rPr>
            </w:pPr>
            <w:r w:rsidRPr="007E6ACF">
              <w:rPr>
                <w:b/>
                <w:bCs/>
                <w:noProof/>
                <w:color w:val="000000"/>
                <w:sz w:val="20"/>
                <w:szCs w:val="20"/>
                <w:lang w:val="en-IE" w:eastAsia="en-IE"/>
              </w:rPr>
              <w:t>TOTAL MFF</w:t>
            </w:r>
            <w:r>
              <w:rPr>
                <w:b/>
                <w:bCs/>
                <w:noProof/>
                <w:color w:val="000000"/>
                <w:sz w:val="20"/>
                <w:szCs w:val="20"/>
                <w:lang w:val="en-IE" w:eastAsia="en-IE"/>
              </w:rPr>
              <w:t xml:space="preserve"> </w:t>
            </w:r>
            <w:r w:rsidRPr="007E6ACF">
              <w:rPr>
                <w:b/>
                <w:bCs/>
                <w:noProof/>
                <w:color w:val="000000"/>
                <w:sz w:val="20"/>
                <w:szCs w:val="20"/>
                <w:lang w:val="en-IE" w:eastAsia="en-IE"/>
              </w:rPr>
              <w:t>2021-2027</w:t>
            </w:r>
          </w:p>
        </w:tc>
      </w:tr>
      <w:tr w:rsidR="006B4685" w:rsidRPr="00C82AE0">
        <w:tc>
          <w:tcPr>
            <w:tcW w:w="7230" w:type="dxa"/>
            <w:vAlign w:val="center"/>
          </w:tcPr>
          <w:p w:rsidR="006B4685" w:rsidRPr="008F13F1" w:rsidRDefault="006B4685">
            <w:pPr>
              <w:jc w:val="left"/>
              <w:rPr>
                <w:bCs/>
                <w:noProof/>
                <w:sz w:val="20"/>
                <w:szCs w:val="20"/>
              </w:rPr>
            </w:pPr>
            <w:r w:rsidRPr="008F13F1">
              <w:rPr>
                <w:bCs/>
                <w:noProof/>
                <w:sz w:val="20"/>
                <w:szCs w:val="20"/>
              </w:rPr>
              <w:t>Budget line</w:t>
            </w:r>
            <w:r>
              <w:rPr>
                <w:bCs/>
                <w:noProof/>
                <w:sz w:val="20"/>
                <w:szCs w:val="20"/>
              </w:rPr>
              <w:t>:</w:t>
            </w:r>
            <w:r w:rsidRPr="002D73DA">
              <w:rPr>
                <w:noProof/>
                <w:sz w:val="20"/>
                <w:szCs w:val="20"/>
              </w:rPr>
              <w:t xml:space="preserve"> </w:t>
            </w:r>
            <w:r>
              <w:rPr>
                <w:noProof/>
                <w:sz w:val="20"/>
                <w:szCs w:val="20"/>
              </w:rPr>
              <w:t>03 10 02 002</w:t>
            </w:r>
            <w:r w:rsidRPr="008F13F1">
              <w:rPr>
                <w:bCs/>
                <w:noProof/>
                <w:sz w:val="20"/>
                <w:szCs w:val="20"/>
              </w:rPr>
              <w:t xml:space="preserve"> </w:t>
            </w:r>
            <w:r>
              <w:rPr>
                <w:bCs/>
                <w:noProof/>
                <w:sz w:val="20"/>
                <w:szCs w:val="20"/>
              </w:rPr>
              <w:t>/</w:t>
            </w:r>
            <w:r w:rsidRPr="008F13F1">
              <w:rPr>
                <w:bCs/>
                <w:noProof/>
                <w:sz w:val="20"/>
                <w:szCs w:val="20"/>
              </w:rPr>
              <w:t xml:space="preserve"> EU Budget contribution to the agency</w:t>
            </w:r>
          </w:p>
        </w:tc>
        <w:tc>
          <w:tcPr>
            <w:tcW w:w="992" w:type="dxa"/>
            <w:vAlign w:val="center"/>
          </w:tcPr>
          <w:p w:rsidR="006B4685" w:rsidRPr="00C82AE0" w:rsidRDefault="006B4685">
            <w:pPr>
              <w:spacing w:before="20" w:after="20"/>
              <w:jc w:val="right"/>
              <w:rPr>
                <w:noProof/>
                <w:sz w:val="20"/>
                <w:szCs w:val="20"/>
              </w:rPr>
            </w:pPr>
          </w:p>
        </w:tc>
        <w:tc>
          <w:tcPr>
            <w:tcW w:w="1134" w:type="dxa"/>
            <w:vAlign w:val="center"/>
          </w:tcPr>
          <w:p w:rsidR="006B4685" w:rsidRPr="00C82AE0" w:rsidRDefault="006B4685">
            <w:pPr>
              <w:spacing w:before="20" w:after="20"/>
              <w:jc w:val="right"/>
              <w:rPr>
                <w:noProof/>
                <w:sz w:val="20"/>
                <w:szCs w:val="20"/>
              </w:rPr>
            </w:pPr>
          </w:p>
        </w:tc>
        <w:tc>
          <w:tcPr>
            <w:tcW w:w="1276" w:type="dxa"/>
            <w:vAlign w:val="center"/>
          </w:tcPr>
          <w:p w:rsidR="006B4685" w:rsidRPr="00C82AE0" w:rsidRDefault="006B4685">
            <w:pPr>
              <w:spacing w:before="20" w:after="20"/>
              <w:jc w:val="right"/>
              <w:rPr>
                <w:noProof/>
                <w:sz w:val="20"/>
                <w:szCs w:val="20"/>
              </w:rPr>
            </w:pPr>
          </w:p>
        </w:tc>
        <w:tc>
          <w:tcPr>
            <w:tcW w:w="1134" w:type="dxa"/>
            <w:vAlign w:val="center"/>
          </w:tcPr>
          <w:p w:rsidR="006B4685" w:rsidRPr="00C82AE0" w:rsidRDefault="006B4685">
            <w:pPr>
              <w:spacing w:before="20" w:after="20"/>
              <w:jc w:val="right"/>
              <w:rPr>
                <w:noProof/>
                <w:sz w:val="20"/>
                <w:szCs w:val="20"/>
              </w:rPr>
            </w:pPr>
            <w:r>
              <w:rPr>
                <w:noProof/>
                <w:sz w:val="20"/>
                <w:szCs w:val="20"/>
              </w:rPr>
              <w:t>0.263</w:t>
            </w:r>
          </w:p>
        </w:tc>
        <w:tc>
          <w:tcPr>
            <w:tcW w:w="1417" w:type="dxa"/>
            <w:shd w:val="clear" w:color="auto" w:fill="D9D9D9" w:themeFill="background1" w:themeFillShade="D9"/>
            <w:vAlign w:val="center"/>
          </w:tcPr>
          <w:p w:rsidR="006B4685" w:rsidRPr="00C82AE0" w:rsidRDefault="006B4685">
            <w:pPr>
              <w:spacing w:before="20" w:after="20"/>
              <w:jc w:val="right"/>
              <w:rPr>
                <w:b/>
                <w:noProof/>
                <w:sz w:val="20"/>
                <w:szCs w:val="20"/>
              </w:rPr>
            </w:pPr>
            <w:r w:rsidRPr="007E6ACF">
              <w:rPr>
                <w:b/>
                <w:bCs/>
                <w:noProof/>
                <w:color w:val="000000"/>
                <w:sz w:val="20"/>
                <w:szCs w:val="20"/>
                <w:lang w:val="en-IE" w:eastAsia="en-IE"/>
              </w:rPr>
              <w:t>0.</w:t>
            </w:r>
            <w:r>
              <w:rPr>
                <w:b/>
                <w:bCs/>
                <w:noProof/>
                <w:color w:val="000000"/>
                <w:sz w:val="20"/>
                <w:szCs w:val="20"/>
                <w:lang w:val="en-IE" w:eastAsia="en-IE"/>
              </w:rPr>
              <w:t>263</w:t>
            </w:r>
          </w:p>
        </w:tc>
      </w:tr>
    </w:tbl>
    <w:p w:rsidR="001D0202" w:rsidRDefault="001D0202" w:rsidP="006B4685">
      <w:pPr>
        <w:spacing w:after="40"/>
        <w:rPr>
          <w:noProof/>
        </w:rPr>
      </w:pPr>
    </w:p>
    <w:p w:rsidR="006B4685" w:rsidRDefault="001D0202" w:rsidP="006B4685">
      <w:pPr>
        <w:spacing w:after="40"/>
        <w:rPr>
          <w:noProof/>
        </w:rPr>
      </w:pPr>
      <w:r w:rsidRPr="02BD2D66">
        <w:rPr>
          <w:noProof/>
        </w:rPr>
        <w:t xml:space="preserve">The </w:t>
      </w:r>
      <w:r w:rsidR="027634CB" w:rsidRPr="02BD2D66">
        <w:rPr>
          <w:noProof/>
        </w:rPr>
        <w:t xml:space="preserve">Union </w:t>
      </w:r>
      <w:r w:rsidRPr="02BD2D66">
        <w:rPr>
          <w:noProof/>
        </w:rPr>
        <w:t>subsidy to ESMA will be reduced by the amounts shown in the table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992"/>
        <w:gridCol w:w="1134"/>
        <w:gridCol w:w="1276"/>
        <w:gridCol w:w="1134"/>
        <w:gridCol w:w="1417"/>
      </w:tblGrid>
      <w:tr w:rsidR="006B4685" w:rsidRPr="00C82AE0">
        <w:trPr>
          <w:trHeight w:val="715"/>
        </w:trPr>
        <w:tc>
          <w:tcPr>
            <w:tcW w:w="7230" w:type="dxa"/>
            <w:vAlign w:val="center"/>
          </w:tcPr>
          <w:p w:rsidR="006B4685" w:rsidRPr="002D73DA" w:rsidRDefault="006B4685">
            <w:pPr>
              <w:jc w:val="center"/>
              <w:rPr>
                <w:noProof/>
                <w:sz w:val="20"/>
                <w:szCs w:val="20"/>
              </w:rPr>
            </w:pPr>
            <w:r>
              <w:rPr>
                <w:noProof/>
                <w:sz w:val="20"/>
                <w:szCs w:val="20"/>
              </w:rPr>
              <w:t>European Securities and Markets Authority</w:t>
            </w:r>
          </w:p>
        </w:tc>
        <w:tc>
          <w:tcPr>
            <w:tcW w:w="992" w:type="dxa"/>
            <w:vAlign w:val="center"/>
          </w:tcPr>
          <w:p w:rsidR="006B4685" w:rsidRDefault="006B4685">
            <w:pPr>
              <w:jc w:val="center"/>
              <w:rPr>
                <w:noProof/>
                <w:color w:val="000000"/>
                <w:sz w:val="20"/>
                <w:szCs w:val="20"/>
                <w:lang w:val="en-IE" w:eastAsia="en-IE"/>
              </w:rPr>
            </w:pPr>
            <w:r w:rsidRPr="00170721">
              <w:rPr>
                <w:noProof/>
                <w:color w:val="000000"/>
                <w:sz w:val="20"/>
                <w:szCs w:val="20"/>
                <w:lang w:val="en-IE" w:eastAsia="en-IE"/>
              </w:rPr>
              <w:t>Year</w:t>
            </w:r>
          </w:p>
          <w:p w:rsidR="006B4685" w:rsidRPr="008F13F1" w:rsidRDefault="006B4685">
            <w:pPr>
              <w:jc w:val="center"/>
              <w:rPr>
                <w:b/>
                <w:bCs/>
                <w:noProof/>
                <w:sz w:val="20"/>
                <w:szCs w:val="20"/>
              </w:rPr>
            </w:pPr>
            <w:r w:rsidRPr="008F13F1">
              <w:rPr>
                <w:b/>
                <w:bCs/>
                <w:noProof/>
                <w:color w:val="000000"/>
                <w:sz w:val="20"/>
                <w:szCs w:val="20"/>
                <w:lang w:val="en-IE" w:eastAsia="en-IE"/>
              </w:rPr>
              <w:t>2024</w:t>
            </w:r>
          </w:p>
        </w:tc>
        <w:tc>
          <w:tcPr>
            <w:tcW w:w="1134" w:type="dxa"/>
            <w:vAlign w:val="center"/>
          </w:tcPr>
          <w:p w:rsidR="006B4685" w:rsidRDefault="006B4685">
            <w:pPr>
              <w:jc w:val="center"/>
              <w:rPr>
                <w:noProof/>
                <w:color w:val="000000"/>
                <w:sz w:val="20"/>
                <w:szCs w:val="20"/>
                <w:lang w:val="en-IE" w:eastAsia="en-IE"/>
              </w:rPr>
            </w:pPr>
            <w:r w:rsidRPr="00170721">
              <w:rPr>
                <w:noProof/>
                <w:color w:val="000000"/>
                <w:sz w:val="20"/>
                <w:szCs w:val="20"/>
                <w:lang w:val="en-IE" w:eastAsia="en-IE"/>
              </w:rPr>
              <w:t>Year</w:t>
            </w:r>
          </w:p>
          <w:p w:rsidR="006B4685" w:rsidRPr="008F13F1" w:rsidRDefault="006B4685">
            <w:pPr>
              <w:jc w:val="center"/>
              <w:rPr>
                <w:b/>
                <w:bCs/>
                <w:noProof/>
                <w:sz w:val="20"/>
                <w:szCs w:val="20"/>
              </w:rPr>
            </w:pPr>
            <w:r w:rsidRPr="008F13F1">
              <w:rPr>
                <w:b/>
                <w:bCs/>
                <w:noProof/>
                <w:color w:val="000000"/>
                <w:sz w:val="20"/>
                <w:szCs w:val="20"/>
                <w:lang w:val="en-IE" w:eastAsia="en-IE"/>
              </w:rPr>
              <w:t>2025</w:t>
            </w:r>
          </w:p>
        </w:tc>
        <w:tc>
          <w:tcPr>
            <w:tcW w:w="1276" w:type="dxa"/>
            <w:vAlign w:val="center"/>
          </w:tcPr>
          <w:p w:rsidR="006B4685" w:rsidRDefault="006B4685">
            <w:pPr>
              <w:jc w:val="center"/>
              <w:rPr>
                <w:noProof/>
                <w:color w:val="000000"/>
                <w:sz w:val="20"/>
                <w:szCs w:val="20"/>
                <w:lang w:val="en-IE" w:eastAsia="en-IE"/>
              </w:rPr>
            </w:pPr>
            <w:r w:rsidRPr="00170721">
              <w:rPr>
                <w:noProof/>
                <w:color w:val="000000"/>
                <w:sz w:val="20"/>
                <w:szCs w:val="20"/>
                <w:lang w:val="en-IE" w:eastAsia="en-IE"/>
              </w:rPr>
              <w:t>Year</w:t>
            </w:r>
          </w:p>
          <w:p w:rsidR="006B4685" w:rsidRPr="008F13F1" w:rsidRDefault="006B4685">
            <w:pPr>
              <w:jc w:val="center"/>
              <w:rPr>
                <w:b/>
                <w:bCs/>
                <w:noProof/>
                <w:sz w:val="20"/>
                <w:szCs w:val="20"/>
              </w:rPr>
            </w:pPr>
            <w:r w:rsidRPr="008F13F1">
              <w:rPr>
                <w:b/>
                <w:bCs/>
                <w:noProof/>
                <w:color w:val="000000"/>
                <w:sz w:val="20"/>
                <w:szCs w:val="20"/>
                <w:lang w:val="en-IE" w:eastAsia="en-IE"/>
              </w:rPr>
              <w:t>2026</w:t>
            </w:r>
          </w:p>
        </w:tc>
        <w:tc>
          <w:tcPr>
            <w:tcW w:w="1134" w:type="dxa"/>
            <w:vAlign w:val="center"/>
          </w:tcPr>
          <w:p w:rsidR="006B4685" w:rsidRDefault="006B4685">
            <w:pPr>
              <w:jc w:val="center"/>
              <w:rPr>
                <w:noProof/>
                <w:color w:val="000000"/>
                <w:sz w:val="20"/>
                <w:szCs w:val="20"/>
                <w:lang w:val="en-IE" w:eastAsia="en-IE"/>
              </w:rPr>
            </w:pPr>
            <w:r w:rsidRPr="00170721">
              <w:rPr>
                <w:noProof/>
                <w:color w:val="000000"/>
                <w:sz w:val="20"/>
                <w:szCs w:val="20"/>
                <w:lang w:val="en-IE" w:eastAsia="en-IE"/>
              </w:rPr>
              <w:t>Year</w:t>
            </w:r>
          </w:p>
          <w:p w:rsidR="006B4685" w:rsidRPr="008F13F1" w:rsidRDefault="006B4685">
            <w:pPr>
              <w:jc w:val="center"/>
              <w:rPr>
                <w:b/>
                <w:bCs/>
                <w:noProof/>
                <w:sz w:val="20"/>
                <w:szCs w:val="20"/>
              </w:rPr>
            </w:pPr>
            <w:r w:rsidRPr="008F13F1">
              <w:rPr>
                <w:b/>
                <w:bCs/>
                <w:noProof/>
                <w:color w:val="000000"/>
                <w:sz w:val="20"/>
                <w:szCs w:val="20"/>
                <w:lang w:val="en-IE" w:eastAsia="en-IE"/>
              </w:rPr>
              <w:t>2027</w:t>
            </w:r>
          </w:p>
        </w:tc>
        <w:tc>
          <w:tcPr>
            <w:tcW w:w="1417" w:type="dxa"/>
            <w:vAlign w:val="center"/>
          </w:tcPr>
          <w:p w:rsidR="006B4685" w:rsidRPr="00C82AE0" w:rsidRDefault="006B4685">
            <w:pPr>
              <w:jc w:val="center"/>
              <w:rPr>
                <w:b/>
                <w:noProof/>
                <w:sz w:val="20"/>
                <w:szCs w:val="20"/>
              </w:rPr>
            </w:pPr>
            <w:r w:rsidRPr="007E6ACF">
              <w:rPr>
                <w:b/>
                <w:bCs/>
                <w:noProof/>
                <w:color w:val="000000"/>
                <w:sz w:val="20"/>
                <w:szCs w:val="20"/>
                <w:lang w:val="en-IE" w:eastAsia="en-IE"/>
              </w:rPr>
              <w:t>TOTAL MFF</w:t>
            </w:r>
            <w:r>
              <w:rPr>
                <w:b/>
                <w:bCs/>
                <w:noProof/>
                <w:color w:val="000000"/>
                <w:sz w:val="20"/>
                <w:szCs w:val="20"/>
                <w:lang w:val="en-IE" w:eastAsia="en-IE"/>
              </w:rPr>
              <w:t xml:space="preserve"> </w:t>
            </w:r>
            <w:r w:rsidRPr="007E6ACF">
              <w:rPr>
                <w:b/>
                <w:bCs/>
                <w:noProof/>
                <w:color w:val="000000"/>
                <w:sz w:val="20"/>
                <w:szCs w:val="20"/>
                <w:lang w:val="en-IE" w:eastAsia="en-IE"/>
              </w:rPr>
              <w:t>2021-2027</w:t>
            </w:r>
          </w:p>
        </w:tc>
      </w:tr>
      <w:tr w:rsidR="006B4685" w:rsidRPr="00C82AE0">
        <w:tc>
          <w:tcPr>
            <w:tcW w:w="7230" w:type="dxa"/>
            <w:vAlign w:val="center"/>
          </w:tcPr>
          <w:p w:rsidR="006B4685" w:rsidRPr="008F13F1" w:rsidRDefault="006B4685">
            <w:pPr>
              <w:jc w:val="left"/>
              <w:rPr>
                <w:bCs/>
                <w:noProof/>
                <w:sz w:val="20"/>
                <w:szCs w:val="20"/>
              </w:rPr>
            </w:pPr>
            <w:r w:rsidRPr="008F13F1">
              <w:rPr>
                <w:bCs/>
                <w:noProof/>
                <w:sz w:val="20"/>
                <w:szCs w:val="20"/>
              </w:rPr>
              <w:t>Budget line</w:t>
            </w:r>
            <w:r>
              <w:rPr>
                <w:bCs/>
                <w:noProof/>
                <w:sz w:val="20"/>
                <w:szCs w:val="20"/>
              </w:rPr>
              <w:t>:</w:t>
            </w:r>
            <w:r w:rsidRPr="002D73DA">
              <w:rPr>
                <w:noProof/>
                <w:sz w:val="20"/>
                <w:szCs w:val="20"/>
              </w:rPr>
              <w:t xml:space="preserve"> </w:t>
            </w:r>
            <w:r>
              <w:rPr>
                <w:noProof/>
                <w:sz w:val="20"/>
                <w:szCs w:val="20"/>
              </w:rPr>
              <w:t>03 10 04 00</w:t>
            </w:r>
            <w:r w:rsidRPr="008F13F1">
              <w:rPr>
                <w:bCs/>
                <w:noProof/>
                <w:sz w:val="20"/>
                <w:szCs w:val="20"/>
              </w:rPr>
              <w:t xml:space="preserve"> </w:t>
            </w:r>
            <w:r>
              <w:rPr>
                <w:bCs/>
                <w:noProof/>
                <w:sz w:val="20"/>
                <w:szCs w:val="20"/>
              </w:rPr>
              <w:t>/</w:t>
            </w:r>
            <w:r w:rsidRPr="008F13F1">
              <w:rPr>
                <w:bCs/>
                <w:noProof/>
                <w:sz w:val="20"/>
                <w:szCs w:val="20"/>
              </w:rPr>
              <w:t xml:space="preserve"> EU Budget contribution to the agency</w:t>
            </w:r>
          </w:p>
        </w:tc>
        <w:tc>
          <w:tcPr>
            <w:tcW w:w="992" w:type="dxa"/>
            <w:vAlign w:val="center"/>
          </w:tcPr>
          <w:p w:rsidR="006B4685" w:rsidRPr="00C82AE0" w:rsidRDefault="006B4685">
            <w:pPr>
              <w:spacing w:before="20" w:after="20"/>
              <w:jc w:val="right"/>
              <w:rPr>
                <w:noProof/>
                <w:sz w:val="20"/>
                <w:szCs w:val="20"/>
              </w:rPr>
            </w:pPr>
          </w:p>
        </w:tc>
        <w:tc>
          <w:tcPr>
            <w:tcW w:w="1134" w:type="dxa"/>
            <w:vAlign w:val="center"/>
          </w:tcPr>
          <w:p w:rsidR="006B4685" w:rsidRPr="00C82AE0" w:rsidRDefault="006B4685">
            <w:pPr>
              <w:spacing w:before="20" w:after="20"/>
              <w:jc w:val="right"/>
              <w:rPr>
                <w:noProof/>
                <w:sz w:val="20"/>
                <w:szCs w:val="20"/>
              </w:rPr>
            </w:pPr>
          </w:p>
        </w:tc>
        <w:tc>
          <w:tcPr>
            <w:tcW w:w="1276" w:type="dxa"/>
            <w:vAlign w:val="center"/>
          </w:tcPr>
          <w:p w:rsidR="006B4685" w:rsidRPr="00C82AE0" w:rsidRDefault="006B4685">
            <w:pPr>
              <w:spacing w:before="20" w:after="20"/>
              <w:jc w:val="right"/>
              <w:rPr>
                <w:noProof/>
                <w:sz w:val="20"/>
                <w:szCs w:val="20"/>
              </w:rPr>
            </w:pPr>
          </w:p>
        </w:tc>
        <w:tc>
          <w:tcPr>
            <w:tcW w:w="1134" w:type="dxa"/>
            <w:vAlign w:val="center"/>
          </w:tcPr>
          <w:p w:rsidR="006B4685" w:rsidRPr="00C82AE0" w:rsidRDefault="006B4685">
            <w:pPr>
              <w:spacing w:before="20" w:after="20"/>
              <w:jc w:val="right"/>
              <w:rPr>
                <w:noProof/>
                <w:sz w:val="20"/>
                <w:szCs w:val="20"/>
              </w:rPr>
            </w:pPr>
            <w:r>
              <w:rPr>
                <w:noProof/>
                <w:sz w:val="20"/>
                <w:szCs w:val="20"/>
              </w:rPr>
              <w:t>(0.088)</w:t>
            </w:r>
          </w:p>
        </w:tc>
        <w:tc>
          <w:tcPr>
            <w:tcW w:w="1417" w:type="dxa"/>
            <w:shd w:val="clear" w:color="auto" w:fill="D9D9D9" w:themeFill="background1" w:themeFillShade="D9"/>
            <w:vAlign w:val="center"/>
          </w:tcPr>
          <w:p w:rsidR="006B4685" w:rsidRPr="00C82AE0" w:rsidRDefault="006B4685">
            <w:pPr>
              <w:spacing w:before="20" w:after="20"/>
              <w:jc w:val="right"/>
              <w:rPr>
                <w:b/>
                <w:noProof/>
                <w:sz w:val="20"/>
                <w:szCs w:val="20"/>
              </w:rPr>
            </w:pPr>
            <w:r>
              <w:rPr>
                <w:b/>
                <w:bCs/>
                <w:noProof/>
                <w:color w:val="000000"/>
                <w:sz w:val="20"/>
                <w:szCs w:val="20"/>
                <w:lang w:val="en-IE" w:eastAsia="en-IE"/>
              </w:rPr>
              <w:t>(</w:t>
            </w:r>
            <w:r w:rsidRPr="007E6ACF">
              <w:rPr>
                <w:b/>
                <w:bCs/>
                <w:noProof/>
                <w:color w:val="000000"/>
                <w:sz w:val="20"/>
                <w:szCs w:val="20"/>
                <w:lang w:val="en-IE" w:eastAsia="en-IE"/>
              </w:rPr>
              <w:t>0.</w:t>
            </w:r>
            <w:r>
              <w:rPr>
                <w:b/>
                <w:bCs/>
                <w:noProof/>
                <w:color w:val="000000"/>
                <w:sz w:val="20"/>
                <w:szCs w:val="20"/>
                <w:lang w:val="en-IE" w:eastAsia="en-IE"/>
              </w:rPr>
              <w:t>088)</w:t>
            </w:r>
          </w:p>
        </w:tc>
      </w:tr>
    </w:tbl>
    <w:p w:rsidR="006B4685" w:rsidRPr="00183D0A" w:rsidRDefault="006B4685" w:rsidP="006B4685">
      <w:pPr>
        <w:spacing w:after="0"/>
        <w:ind w:left="142" w:right="822"/>
        <w:rPr>
          <w:noProof/>
        </w:rPr>
      </w:pPr>
      <w:r w:rsidRPr="00070628">
        <w:rPr>
          <w:noProof/>
        </w:rPr>
        <w:t>The appropriations</w:t>
      </w:r>
      <w:r>
        <w:rPr>
          <w:noProof/>
        </w:rPr>
        <w:t xml:space="preserve"> and </w:t>
      </w:r>
      <w:r w:rsidRPr="00070628">
        <w:rPr>
          <w:noProof/>
        </w:rPr>
        <w:t xml:space="preserve">EU </w:t>
      </w:r>
      <w:r>
        <w:rPr>
          <w:noProof/>
        </w:rPr>
        <w:t>b</w:t>
      </w:r>
      <w:r w:rsidRPr="00070628">
        <w:rPr>
          <w:noProof/>
        </w:rPr>
        <w:t xml:space="preserve">udget contribution to the </w:t>
      </w:r>
      <w:r w:rsidRPr="00500F56">
        <w:rPr>
          <w:noProof/>
        </w:rPr>
        <w:t>European Banking Authori</w:t>
      </w:r>
      <w:r>
        <w:rPr>
          <w:noProof/>
        </w:rPr>
        <w:t xml:space="preserve">ty </w:t>
      </w:r>
      <w:r w:rsidR="008148E8">
        <w:rPr>
          <w:noProof/>
        </w:rPr>
        <w:t>(EBA)</w:t>
      </w:r>
      <w:r>
        <w:rPr>
          <w:noProof/>
        </w:rPr>
        <w:t xml:space="preserve"> </w:t>
      </w:r>
      <w:r w:rsidRPr="00070628">
        <w:rPr>
          <w:noProof/>
        </w:rPr>
        <w:t>will be</w:t>
      </w:r>
      <w:r w:rsidRPr="008798A4">
        <w:rPr>
          <w:noProof/>
        </w:rPr>
        <w:t xml:space="preserve"> </w:t>
      </w:r>
      <w:r w:rsidRPr="00070628">
        <w:rPr>
          <w:noProof/>
        </w:rPr>
        <w:t xml:space="preserve">compensated </w:t>
      </w:r>
      <w:r>
        <w:rPr>
          <w:noProof/>
        </w:rPr>
        <w:t xml:space="preserve">in part </w:t>
      </w:r>
      <w:r w:rsidRPr="00070628">
        <w:rPr>
          <w:noProof/>
        </w:rPr>
        <w:t xml:space="preserve">by a reduction of </w:t>
      </w:r>
      <w:r w:rsidRPr="008798A4">
        <w:rPr>
          <w:noProof/>
        </w:rPr>
        <w:t xml:space="preserve">the </w:t>
      </w:r>
      <w:r w:rsidRPr="00070628">
        <w:rPr>
          <w:noProof/>
        </w:rPr>
        <w:t>appropriations</w:t>
      </w:r>
      <w:r>
        <w:rPr>
          <w:noProof/>
        </w:rPr>
        <w:t xml:space="preserve"> and </w:t>
      </w:r>
      <w:r w:rsidRPr="00070628">
        <w:rPr>
          <w:noProof/>
        </w:rPr>
        <w:t xml:space="preserve">EU </w:t>
      </w:r>
      <w:r>
        <w:rPr>
          <w:noProof/>
        </w:rPr>
        <w:t>b</w:t>
      </w:r>
      <w:r w:rsidRPr="00070628">
        <w:rPr>
          <w:noProof/>
        </w:rPr>
        <w:t xml:space="preserve">udget contribution </w:t>
      </w:r>
      <w:r>
        <w:rPr>
          <w:noProof/>
        </w:rPr>
        <w:t xml:space="preserve">to the </w:t>
      </w:r>
      <w:r w:rsidRPr="00183D0A">
        <w:rPr>
          <w:noProof/>
        </w:rPr>
        <w:t>European Securities and Markets Authority</w:t>
      </w:r>
      <w:r w:rsidR="001D0202">
        <w:rPr>
          <w:noProof/>
        </w:rPr>
        <w:t xml:space="preserve"> </w:t>
      </w:r>
      <w:r w:rsidR="008148E8">
        <w:rPr>
          <w:noProof/>
        </w:rPr>
        <w:t xml:space="preserve">(ESMA) </w:t>
      </w:r>
      <w:r w:rsidR="001D0202">
        <w:rPr>
          <w:noProof/>
        </w:rPr>
        <w:t>– resulting in the net amount</w:t>
      </w:r>
      <w:r w:rsidR="0014768D">
        <w:rPr>
          <w:noProof/>
        </w:rPr>
        <w:t>s</w:t>
      </w:r>
      <w:r w:rsidR="001D0202">
        <w:rPr>
          <w:noProof/>
        </w:rPr>
        <w:t xml:space="preserve"> shown in the table</w:t>
      </w:r>
      <w:r w:rsidR="0014768D">
        <w:rPr>
          <w:noProof/>
        </w:rPr>
        <w:t>s</w:t>
      </w:r>
      <w:r w:rsidR="001D0202">
        <w:rPr>
          <w:noProof/>
        </w:rPr>
        <w:t xml:space="preserve"> below</w:t>
      </w:r>
      <w:r w:rsidRPr="00183D0A">
        <w:rPr>
          <w:noProof/>
        </w:rPr>
        <w:t>.</w:t>
      </w:r>
    </w:p>
    <w:p w:rsidR="006B4685" w:rsidRDefault="006B4685" w:rsidP="006B4685">
      <w:pPr>
        <w:spacing w:after="0"/>
        <w:ind w:left="142" w:right="822"/>
        <w:rPr>
          <w:noProof/>
          <w:sz w:val="20"/>
          <w:szCs w:val="20"/>
        </w:rPr>
      </w:pPr>
    </w:p>
    <w:tbl>
      <w:tblPr>
        <w:tblW w:w="5000" w:type="pct"/>
        <w:tblLook w:val="04A0" w:firstRow="1" w:lastRow="0" w:firstColumn="1" w:lastColumn="0" w:noHBand="0" w:noVBand="1"/>
      </w:tblPr>
      <w:tblGrid>
        <w:gridCol w:w="4013"/>
        <w:gridCol w:w="316"/>
        <w:gridCol w:w="1189"/>
        <w:gridCol w:w="151"/>
        <w:gridCol w:w="1038"/>
        <w:gridCol w:w="210"/>
        <w:gridCol w:w="830"/>
        <w:gridCol w:w="572"/>
        <w:gridCol w:w="671"/>
        <w:gridCol w:w="731"/>
        <w:gridCol w:w="512"/>
        <w:gridCol w:w="890"/>
        <w:gridCol w:w="353"/>
        <w:gridCol w:w="1049"/>
        <w:gridCol w:w="193"/>
        <w:gridCol w:w="1502"/>
      </w:tblGrid>
      <w:tr w:rsidR="006B4685" w:rsidRPr="00C2043F">
        <w:trPr>
          <w:trHeight w:val="300"/>
        </w:trPr>
        <w:tc>
          <w:tcPr>
            <w:tcW w:w="2432" w:type="pct"/>
            <w:gridSpan w:val="6"/>
            <w:vMerge w:val="restart"/>
            <w:tcBorders>
              <w:top w:val="single" w:sz="8" w:space="0" w:color="auto"/>
              <w:left w:val="single" w:sz="8" w:space="0" w:color="auto"/>
              <w:bottom w:val="single" w:sz="8" w:space="0" w:color="000000"/>
              <w:right w:val="single" w:sz="8" w:space="0" w:color="000000"/>
            </w:tcBorders>
            <w:vAlign w:val="center"/>
            <w:hideMark/>
          </w:tcPr>
          <w:p w:rsidR="006B4685" w:rsidRPr="00C2043F" w:rsidRDefault="006B4685">
            <w:pPr>
              <w:spacing w:before="0" w:after="0"/>
              <w:jc w:val="center"/>
              <w:rPr>
                <w:b/>
                <w:bCs/>
                <w:noProof/>
                <w:color w:val="000000"/>
                <w:sz w:val="22"/>
                <w:lang w:val="en-IE" w:eastAsia="en-IE"/>
              </w:rPr>
            </w:pPr>
            <w:r w:rsidRPr="00C2043F">
              <w:rPr>
                <w:b/>
                <w:bCs/>
                <w:noProof/>
                <w:color w:val="000000"/>
                <w:sz w:val="22"/>
                <w:lang w:val="en-IE" w:eastAsia="en-IE"/>
              </w:rPr>
              <w:t> </w:t>
            </w:r>
          </w:p>
        </w:tc>
        <w:tc>
          <w:tcPr>
            <w:tcW w:w="493" w:type="pct"/>
            <w:gridSpan w:val="2"/>
            <w:tcBorders>
              <w:top w:val="single" w:sz="8" w:space="0" w:color="auto"/>
              <w:left w:val="nil"/>
              <w:bottom w:val="single" w:sz="8" w:space="0" w:color="auto"/>
              <w:right w:val="single" w:sz="8" w:space="0" w:color="auto"/>
            </w:tcBorders>
            <w:vAlign w:val="center"/>
            <w:hideMark/>
          </w:tcPr>
          <w:p w:rsidR="006B4685" w:rsidRPr="00C2043F" w:rsidRDefault="006B4685">
            <w:pPr>
              <w:spacing w:before="0" w:after="0"/>
              <w:jc w:val="center"/>
              <w:rPr>
                <w:noProof/>
                <w:color w:val="000000"/>
                <w:sz w:val="20"/>
                <w:szCs w:val="20"/>
                <w:lang w:val="en-IE" w:eastAsia="en-IE"/>
              </w:rPr>
            </w:pPr>
            <w:r w:rsidRPr="00C2043F">
              <w:rPr>
                <w:noProof/>
                <w:color w:val="000000"/>
                <w:sz w:val="20"/>
                <w:szCs w:val="20"/>
                <w:lang w:val="en-IE" w:eastAsia="en-IE"/>
              </w:rPr>
              <w:t>Year</w:t>
            </w:r>
          </w:p>
        </w:tc>
        <w:tc>
          <w:tcPr>
            <w:tcW w:w="493" w:type="pct"/>
            <w:gridSpan w:val="2"/>
            <w:tcBorders>
              <w:top w:val="single" w:sz="8" w:space="0" w:color="auto"/>
              <w:left w:val="nil"/>
              <w:bottom w:val="single" w:sz="8" w:space="0" w:color="auto"/>
              <w:right w:val="single" w:sz="8" w:space="0" w:color="auto"/>
            </w:tcBorders>
            <w:vAlign w:val="center"/>
            <w:hideMark/>
          </w:tcPr>
          <w:p w:rsidR="006B4685" w:rsidRPr="00C2043F" w:rsidRDefault="006B4685">
            <w:pPr>
              <w:spacing w:before="0" w:after="0"/>
              <w:jc w:val="center"/>
              <w:rPr>
                <w:noProof/>
                <w:color w:val="000000"/>
                <w:sz w:val="20"/>
                <w:szCs w:val="20"/>
                <w:lang w:val="en-IE" w:eastAsia="en-IE"/>
              </w:rPr>
            </w:pPr>
            <w:r w:rsidRPr="00C2043F">
              <w:rPr>
                <w:noProof/>
                <w:color w:val="000000"/>
                <w:sz w:val="20"/>
                <w:szCs w:val="20"/>
                <w:lang w:val="en-IE" w:eastAsia="en-IE"/>
              </w:rPr>
              <w:t>Year</w:t>
            </w:r>
          </w:p>
        </w:tc>
        <w:tc>
          <w:tcPr>
            <w:tcW w:w="493" w:type="pct"/>
            <w:gridSpan w:val="2"/>
            <w:tcBorders>
              <w:top w:val="single" w:sz="8" w:space="0" w:color="auto"/>
              <w:left w:val="nil"/>
              <w:bottom w:val="single" w:sz="8" w:space="0" w:color="auto"/>
              <w:right w:val="single" w:sz="8" w:space="0" w:color="auto"/>
            </w:tcBorders>
            <w:vAlign w:val="center"/>
            <w:hideMark/>
          </w:tcPr>
          <w:p w:rsidR="006B4685" w:rsidRPr="00C2043F" w:rsidRDefault="006B4685">
            <w:pPr>
              <w:spacing w:before="0" w:after="0"/>
              <w:jc w:val="center"/>
              <w:rPr>
                <w:noProof/>
                <w:color w:val="000000"/>
                <w:sz w:val="20"/>
                <w:szCs w:val="20"/>
                <w:lang w:val="en-IE" w:eastAsia="en-IE"/>
              </w:rPr>
            </w:pPr>
            <w:r w:rsidRPr="00C2043F">
              <w:rPr>
                <w:noProof/>
                <w:color w:val="000000"/>
                <w:sz w:val="20"/>
                <w:szCs w:val="20"/>
                <w:lang w:val="en-IE" w:eastAsia="en-IE"/>
              </w:rPr>
              <w:t>Year</w:t>
            </w:r>
          </w:p>
        </w:tc>
        <w:tc>
          <w:tcPr>
            <w:tcW w:w="493" w:type="pct"/>
            <w:gridSpan w:val="2"/>
            <w:tcBorders>
              <w:top w:val="single" w:sz="8" w:space="0" w:color="auto"/>
              <w:left w:val="nil"/>
              <w:bottom w:val="single" w:sz="8" w:space="0" w:color="auto"/>
              <w:right w:val="single" w:sz="8" w:space="0" w:color="auto"/>
            </w:tcBorders>
            <w:vAlign w:val="center"/>
            <w:hideMark/>
          </w:tcPr>
          <w:p w:rsidR="006B4685" w:rsidRPr="00C2043F" w:rsidRDefault="006B4685">
            <w:pPr>
              <w:spacing w:before="0" w:after="0"/>
              <w:jc w:val="center"/>
              <w:rPr>
                <w:noProof/>
                <w:color w:val="000000"/>
                <w:sz w:val="20"/>
                <w:szCs w:val="20"/>
                <w:lang w:val="en-IE" w:eastAsia="en-IE"/>
              </w:rPr>
            </w:pPr>
            <w:r w:rsidRPr="00C2043F">
              <w:rPr>
                <w:noProof/>
                <w:color w:val="000000"/>
                <w:sz w:val="20"/>
                <w:szCs w:val="20"/>
                <w:lang w:val="en-IE" w:eastAsia="en-IE"/>
              </w:rPr>
              <w:t>Year</w:t>
            </w:r>
          </w:p>
        </w:tc>
        <w:tc>
          <w:tcPr>
            <w:tcW w:w="596" w:type="pct"/>
            <w:gridSpan w:val="2"/>
            <w:vMerge w:val="restart"/>
            <w:tcBorders>
              <w:top w:val="single" w:sz="8" w:space="0" w:color="auto"/>
              <w:left w:val="single" w:sz="8" w:space="0" w:color="auto"/>
              <w:bottom w:val="single" w:sz="8" w:space="0" w:color="auto"/>
              <w:right w:val="single" w:sz="8" w:space="0" w:color="auto"/>
            </w:tcBorders>
            <w:vAlign w:val="center"/>
            <w:hideMark/>
          </w:tcPr>
          <w:p w:rsidR="006B4685" w:rsidRPr="00C2043F" w:rsidRDefault="006B4685">
            <w:pPr>
              <w:spacing w:before="0" w:after="0"/>
              <w:jc w:val="center"/>
              <w:rPr>
                <w:b/>
                <w:bCs/>
                <w:noProof/>
                <w:color w:val="000000"/>
                <w:sz w:val="20"/>
                <w:szCs w:val="20"/>
                <w:lang w:val="en-IE" w:eastAsia="en-IE"/>
              </w:rPr>
            </w:pPr>
            <w:r w:rsidRPr="00C2043F">
              <w:rPr>
                <w:b/>
                <w:bCs/>
                <w:noProof/>
                <w:color w:val="000000"/>
                <w:sz w:val="20"/>
                <w:szCs w:val="20"/>
                <w:lang w:val="en-IE" w:eastAsia="en-IE"/>
              </w:rPr>
              <w:t>TOTAL MFF</w:t>
            </w:r>
            <w:r>
              <w:rPr>
                <w:b/>
                <w:bCs/>
                <w:noProof/>
                <w:color w:val="000000"/>
                <w:sz w:val="20"/>
                <w:szCs w:val="20"/>
                <w:lang w:val="en-IE" w:eastAsia="en-IE"/>
              </w:rPr>
              <w:t xml:space="preserve"> </w:t>
            </w:r>
            <w:r w:rsidRPr="00C2043F">
              <w:rPr>
                <w:b/>
                <w:bCs/>
                <w:noProof/>
                <w:color w:val="000000"/>
                <w:sz w:val="20"/>
                <w:szCs w:val="20"/>
                <w:lang w:val="en-IE" w:eastAsia="en-IE"/>
              </w:rPr>
              <w:t>2021-2027</w:t>
            </w:r>
          </w:p>
        </w:tc>
      </w:tr>
      <w:tr w:rsidR="006B4685" w:rsidRPr="00C2043F">
        <w:trPr>
          <w:trHeight w:val="300"/>
        </w:trPr>
        <w:tc>
          <w:tcPr>
            <w:tcW w:w="2432" w:type="pct"/>
            <w:gridSpan w:val="6"/>
            <w:vMerge/>
            <w:tcBorders>
              <w:top w:val="single" w:sz="8" w:space="0" w:color="auto"/>
              <w:left w:val="single" w:sz="8" w:space="0" w:color="auto"/>
              <w:bottom w:val="single" w:sz="8" w:space="0" w:color="000000"/>
              <w:right w:val="single" w:sz="8" w:space="0" w:color="000000"/>
            </w:tcBorders>
            <w:vAlign w:val="center"/>
            <w:hideMark/>
          </w:tcPr>
          <w:p w:rsidR="006B4685" w:rsidRPr="00C2043F" w:rsidRDefault="006B4685">
            <w:pPr>
              <w:spacing w:before="0" w:after="0"/>
              <w:jc w:val="left"/>
              <w:rPr>
                <w:b/>
                <w:bCs/>
                <w:noProof/>
                <w:color w:val="000000"/>
                <w:sz w:val="22"/>
                <w:lang w:val="en-IE" w:eastAsia="en-IE"/>
              </w:rPr>
            </w:pPr>
          </w:p>
        </w:tc>
        <w:tc>
          <w:tcPr>
            <w:tcW w:w="493" w:type="pct"/>
            <w:gridSpan w:val="2"/>
            <w:tcBorders>
              <w:top w:val="nil"/>
              <w:left w:val="nil"/>
              <w:bottom w:val="single" w:sz="8" w:space="0" w:color="auto"/>
              <w:right w:val="single" w:sz="8" w:space="0" w:color="auto"/>
            </w:tcBorders>
            <w:vAlign w:val="center"/>
            <w:hideMark/>
          </w:tcPr>
          <w:p w:rsidR="006B4685" w:rsidRPr="00C2043F" w:rsidRDefault="006B4685">
            <w:pPr>
              <w:spacing w:before="0" w:after="0"/>
              <w:jc w:val="center"/>
              <w:rPr>
                <w:b/>
                <w:bCs/>
                <w:noProof/>
                <w:color w:val="000000"/>
                <w:sz w:val="20"/>
                <w:szCs w:val="20"/>
                <w:lang w:val="en-IE" w:eastAsia="en-IE"/>
              </w:rPr>
            </w:pPr>
            <w:r w:rsidRPr="00C2043F">
              <w:rPr>
                <w:b/>
                <w:bCs/>
                <w:noProof/>
                <w:color w:val="000000"/>
                <w:sz w:val="20"/>
                <w:szCs w:val="20"/>
                <w:lang w:val="en-IE" w:eastAsia="en-IE"/>
              </w:rPr>
              <w:t>2024</w:t>
            </w:r>
          </w:p>
        </w:tc>
        <w:tc>
          <w:tcPr>
            <w:tcW w:w="493" w:type="pct"/>
            <w:gridSpan w:val="2"/>
            <w:tcBorders>
              <w:top w:val="nil"/>
              <w:left w:val="nil"/>
              <w:bottom w:val="single" w:sz="8" w:space="0" w:color="auto"/>
              <w:right w:val="single" w:sz="8" w:space="0" w:color="auto"/>
            </w:tcBorders>
            <w:vAlign w:val="center"/>
            <w:hideMark/>
          </w:tcPr>
          <w:p w:rsidR="006B4685" w:rsidRPr="00C2043F" w:rsidRDefault="006B4685">
            <w:pPr>
              <w:spacing w:before="0" w:after="0"/>
              <w:jc w:val="center"/>
              <w:rPr>
                <w:b/>
                <w:bCs/>
                <w:noProof/>
                <w:color w:val="000000"/>
                <w:sz w:val="20"/>
                <w:szCs w:val="20"/>
                <w:lang w:val="en-IE" w:eastAsia="en-IE"/>
              </w:rPr>
            </w:pPr>
            <w:r w:rsidRPr="00C2043F">
              <w:rPr>
                <w:b/>
                <w:bCs/>
                <w:noProof/>
                <w:color w:val="000000"/>
                <w:sz w:val="20"/>
                <w:szCs w:val="20"/>
                <w:lang w:val="en-IE" w:eastAsia="en-IE"/>
              </w:rPr>
              <w:t>2025</w:t>
            </w:r>
          </w:p>
        </w:tc>
        <w:tc>
          <w:tcPr>
            <w:tcW w:w="493" w:type="pct"/>
            <w:gridSpan w:val="2"/>
            <w:tcBorders>
              <w:top w:val="nil"/>
              <w:left w:val="nil"/>
              <w:bottom w:val="single" w:sz="8" w:space="0" w:color="auto"/>
              <w:right w:val="single" w:sz="8" w:space="0" w:color="auto"/>
            </w:tcBorders>
            <w:vAlign w:val="center"/>
            <w:hideMark/>
          </w:tcPr>
          <w:p w:rsidR="006B4685" w:rsidRPr="00C2043F" w:rsidRDefault="006B4685">
            <w:pPr>
              <w:spacing w:before="0" w:after="0"/>
              <w:jc w:val="center"/>
              <w:rPr>
                <w:b/>
                <w:bCs/>
                <w:noProof/>
                <w:color w:val="000000"/>
                <w:sz w:val="20"/>
                <w:szCs w:val="20"/>
                <w:lang w:val="en-IE" w:eastAsia="en-IE"/>
              </w:rPr>
            </w:pPr>
            <w:r w:rsidRPr="00C2043F">
              <w:rPr>
                <w:b/>
                <w:bCs/>
                <w:noProof/>
                <w:color w:val="000000"/>
                <w:sz w:val="20"/>
                <w:szCs w:val="20"/>
                <w:lang w:val="en-IE" w:eastAsia="en-IE"/>
              </w:rPr>
              <w:t>2026</w:t>
            </w:r>
          </w:p>
        </w:tc>
        <w:tc>
          <w:tcPr>
            <w:tcW w:w="493" w:type="pct"/>
            <w:gridSpan w:val="2"/>
            <w:tcBorders>
              <w:top w:val="nil"/>
              <w:left w:val="nil"/>
              <w:bottom w:val="single" w:sz="8" w:space="0" w:color="auto"/>
              <w:right w:val="single" w:sz="8" w:space="0" w:color="auto"/>
            </w:tcBorders>
            <w:vAlign w:val="center"/>
            <w:hideMark/>
          </w:tcPr>
          <w:p w:rsidR="006B4685" w:rsidRPr="00C2043F" w:rsidRDefault="006B4685">
            <w:pPr>
              <w:spacing w:before="0" w:after="0"/>
              <w:jc w:val="center"/>
              <w:rPr>
                <w:b/>
                <w:bCs/>
                <w:noProof/>
                <w:color w:val="000000"/>
                <w:sz w:val="20"/>
                <w:szCs w:val="20"/>
                <w:lang w:val="en-IE" w:eastAsia="en-IE"/>
              </w:rPr>
            </w:pPr>
            <w:r w:rsidRPr="00C2043F">
              <w:rPr>
                <w:b/>
                <w:bCs/>
                <w:noProof/>
                <w:color w:val="000000"/>
                <w:sz w:val="20"/>
                <w:szCs w:val="20"/>
                <w:lang w:val="en-IE" w:eastAsia="en-IE"/>
              </w:rPr>
              <w:t>2027</w:t>
            </w:r>
          </w:p>
        </w:tc>
        <w:tc>
          <w:tcPr>
            <w:tcW w:w="596" w:type="pct"/>
            <w:gridSpan w:val="2"/>
            <w:vMerge/>
            <w:tcBorders>
              <w:top w:val="single" w:sz="8" w:space="0" w:color="auto"/>
              <w:left w:val="single" w:sz="8" w:space="0" w:color="auto"/>
              <w:bottom w:val="single" w:sz="8" w:space="0" w:color="auto"/>
              <w:right w:val="single" w:sz="8" w:space="0" w:color="auto"/>
            </w:tcBorders>
            <w:vAlign w:val="center"/>
            <w:hideMark/>
          </w:tcPr>
          <w:p w:rsidR="006B4685" w:rsidRPr="00C2043F" w:rsidRDefault="006B4685">
            <w:pPr>
              <w:spacing w:before="0" w:after="0"/>
              <w:jc w:val="left"/>
              <w:rPr>
                <w:b/>
                <w:bCs/>
                <w:noProof/>
                <w:color w:val="000000"/>
                <w:sz w:val="20"/>
                <w:szCs w:val="20"/>
                <w:lang w:val="en-IE" w:eastAsia="en-IE"/>
              </w:rPr>
            </w:pPr>
          </w:p>
        </w:tc>
      </w:tr>
      <w:tr w:rsidR="006B4685" w:rsidRPr="00C2043F">
        <w:trPr>
          <w:trHeight w:val="432"/>
        </w:trPr>
        <w:tc>
          <w:tcPr>
            <w:tcW w:w="1411" w:type="pct"/>
            <w:vMerge w:val="restart"/>
            <w:tcBorders>
              <w:top w:val="nil"/>
              <w:left w:val="single" w:sz="8" w:space="0" w:color="auto"/>
              <w:bottom w:val="single" w:sz="8" w:space="0" w:color="auto"/>
              <w:right w:val="single" w:sz="8" w:space="0" w:color="auto"/>
            </w:tcBorders>
            <w:vAlign w:val="center"/>
            <w:hideMark/>
          </w:tcPr>
          <w:p w:rsidR="006B4685" w:rsidRPr="00C2043F" w:rsidRDefault="006B4685">
            <w:pPr>
              <w:spacing w:before="0" w:after="0"/>
              <w:rPr>
                <w:noProof/>
                <w:color w:val="000000"/>
                <w:sz w:val="21"/>
                <w:szCs w:val="21"/>
                <w:lang w:val="en-IE" w:eastAsia="en-IE"/>
              </w:rPr>
            </w:pPr>
            <w:r w:rsidRPr="00C2043F">
              <w:rPr>
                <w:noProof/>
                <w:color w:val="000000"/>
                <w:sz w:val="21"/>
                <w:szCs w:val="21"/>
                <w:lang w:val="en-IE" w:eastAsia="en-IE"/>
              </w:rPr>
              <w:t xml:space="preserve">TOTAL operational appropriations </w:t>
            </w:r>
            <w:r w:rsidRPr="00C2043F">
              <w:rPr>
                <w:noProof/>
                <w:color w:val="000000"/>
                <w:sz w:val="21"/>
                <w:szCs w:val="21"/>
                <w:lang w:val="en-IE" w:eastAsia="en-IE"/>
              </w:rPr>
              <w:br/>
              <w:t>(including contribution to decentralised agency)</w:t>
            </w:r>
          </w:p>
        </w:tc>
        <w:tc>
          <w:tcPr>
            <w:tcW w:w="529" w:type="pct"/>
            <w:gridSpan w:val="2"/>
            <w:tcBorders>
              <w:top w:val="nil"/>
              <w:left w:val="nil"/>
              <w:bottom w:val="single" w:sz="8" w:space="0" w:color="auto"/>
              <w:right w:val="single" w:sz="8" w:space="0" w:color="auto"/>
            </w:tcBorders>
            <w:vAlign w:val="center"/>
            <w:hideMark/>
          </w:tcPr>
          <w:p w:rsidR="006B4685" w:rsidRPr="00C2043F" w:rsidRDefault="006B4685">
            <w:pPr>
              <w:spacing w:before="0" w:after="0"/>
              <w:rPr>
                <w:noProof/>
                <w:color w:val="000000"/>
                <w:sz w:val="18"/>
                <w:szCs w:val="18"/>
                <w:lang w:val="en-IE" w:eastAsia="en-IE"/>
              </w:rPr>
            </w:pPr>
            <w:r w:rsidRPr="00C2043F">
              <w:rPr>
                <w:noProof/>
                <w:color w:val="000000"/>
                <w:sz w:val="18"/>
                <w:szCs w:val="18"/>
                <w:lang w:val="en-IE" w:eastAsia="en-IE"/>
              </w:rPr>
              <w:t>Commitments</w:t>
            </w:r>
          </w:p>
        </w:tc>
        <w:tc>
          <w:tcPr>
            <w:tcW w:w="492" w:type="pct"/>
            <w:gridSpan w:val="3"/>
            <w:tcBorders>
              <w:top w:val="single" w:sz="8" w:space="0" w:color="auto"/>
              <w:left w:val="nil"/>
              <w:bottom w:val="single" w:sz="8" w:space="0" w:color="auto"/>
              <w:right w:val="single" w:sz="8" w:space="0" w:color="auto"/>
            </w:tcBorders>
            <w:vAlign w:val="center"/>
            <w:hideMark/>
          </w:tcPr>
          <w:p w:rsidR="006B4685" w:rsidRPr="00C2043F" w:rsidRDefault="006B4685">
            <w:pPr>
              <w:spacing w:before="0" w:after="0"/>
              <w:jc w:val="center"/>
              <w:rPr>
                <w:noProof/>
                <w:color w:val="000000"/>
                <w:sz w:val="14"/>
                <w:szCs w:val="14"/>
                <w:lang w:val="en-IE" w:eastAsia="en-IE"/>
              </w:rPr>
            </w:pPr>
            <w:r w:rsidRPr="00C2043F">
              <w:rPr>
                <w:noProof/>
                <w:color w:val="000000"/>
                <w:sz w:val="14"/>
                <w:szCs w:val="14"/>
                <w:lang w:val="en-IE" w:eastAsia="en-IE"/>
              </w:rPr>
              <w:t>(4)</w:t>
            </w:r>
          </w:p>
        </w:tc>
        <w:tc>
          <w:tcPr>
            <w:tcW w:w="493" w:type="pct"/>
            <w:gridSpan w:val="2"/>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0.</w:t>
            </w:r>
            <w:r>
              <w:rPr>
                <w:noProof/>
                <w:color w:val="000000"/>
                <w:sz w:val="20"/>
                <w:szCs w:val="20"/>
                <w:lang w:val="en-IE" w:eastAsia="en-IE"/>
              </w:rPr>
              <w:t>175</w:t>
            </w:r>
          </w:p>
        </w:tc>
        <w:tc>
          <w:tcPr>
            <w:tcW w:w="596" w:type="pct"/>
            <w:gridSpan w:val="2"/>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Pr>
                <w:b/>
                <w:bCs/>
                <w:noProof/>
                <w:color w:val="000000"/>
                <w:sz w:val="20"/>
                <w:szCs w:val="20"/>
                <w:lang w:val="en-IE" w:eastAsia="en-IE"/>
              </w:rPr>
              <w:t>0.175</w:t>
            </w:r>
          </w:p>
        </w:tc>
      </w:tr>
      <w:tr w:rsidR="006B4685" w:rsidRPr="00C2043F">
        <w:trPr>
          <w:trHeight w:val="456"/>
        </w:trPr>
        <w:tc>
          <w:tcPr>
            <w:tcW w:w="1411" w:type="pct"/>
            <w:vMerge/>
            <w:tcBorders>
              <w:top w:val="nil"/>
              <w:left w:val="single" w:sz="8" w:space="0" w:color="auto"/>
              <w:bottom w:val="single" w:sz="8" w:space="0" w:color="auto"/>
              <w:right w:val="single" w:sz="8" w:space="0" w:color="auto"/>
            </w:tcBorders>
            <w:vAlign w:val="center"/>
            <w:hideMark/>
          </w:tcPr>
          <w:p w:rsidR="006B4685" w:rsidRPr="00C2043F" w:rsidRDefault="006B4685">
            <w:pPr>
              <w:spacing w:before="0" w:after="0"/>
              <w:jc w:val="left"/>
              <w:rPr>
                <w:noProof/>
                <w:color w:val="000000"/>
                <w:sz w:val="21"/>
                <w:szCs w:val="21"/>
                <w:lang w:val="en-IE" w:eastAsia="en-IE"/>
              </w:rPr>
            </w:pPr>
          </w:p>
        </w:tc>
        <w:tc>
          <w:tcPr>
            <w:tcW w:w="529" w:type="pct"/>
            <w:gridSpan w:val="2"/>
            <w:tcBorders>
              <w:top w:val="nil"/>
              <w:left w:val="nil"/>
              <w:bottom w:val="single" w:sz="8" w:space="0" w:color="auto"/>
              <w:right w:val="single" w:sz="8" w:space="0" w:color="auto"/>
            </w:tcBorders>
            <w:vAlign w:val="center"/>
            <w:hideMark/>
          </w:tcPr>
          <w:p w:rsidR="006B4685" w:rsidRPr="00C2043F" w:rsidRDefault="006B4685">
            <w:pPr>
              <w:spacing w:before="0" w:after="0"/>
              <w:rPr>
                <w:noProof/>
                <w:color w:val="000000"/>
                <w:sz w:val="18"/>
                <w:szCs w:val="18"/>
                <w:lang w:val="en-IE" w:eastAsia="en-IE"/>
              </w:rPr>
            </w:pPr>
            <w:r w:rsidRPr="00C2043F">
              <w:rPr>
                <w:noProof/>
                <w:color w:val="000000"/>
                <w:sz w:val="18"/>
                <w:szCs w:val="18"/>
                <w:lang w:val="en-IE" w:eastAsia="en-IE"/>
              </w:rPr>
              <w:t>Payments</w:t>
            </w:r>
          </w:p>
        </w:tc>
        <w:tc>
          <w:tcPr>
            <w:tcW w:w="492" w:type="pct"/>
            <w:gridSpan w:val="3"/>
            <w:tcBorders>
              <w:top w:val="single" w:sz="8" w:space="0" w:color="auto"/>
              <w:left w:val="nil"/>
              <w:bottom w:val="single" w:sz="8" w:space="0" w:color="auto"/>
              <w:right w:val="single" w:sz="8" w:space="0" w:color="auto"/>
            </w:tcBorders>
            <w:vAlign w:val="center"/>
            <w:hideMark/>
          </w:tcPr>
          <w:p w:rsidR="006B4685" w:rsidRPr="00C2043F" w:rsidRDefault="006B4685">
            <w:pPr>
              <w:spacing w:before="0" w:after="0"/>
              <w:jc w:val="center"/>
              <w:rPr>
                <w:noProof/>
                <w:color w:val="000000"/>
                <w:sz w:val="14"/>
                <w:szCs w:val="14"/>
                <w:lang w:val="en-IE" w:eastAsia="en-IE"/>
              </w:rPr>
            </w:pPr>
            <w:r w:rsidRPr="00C2043F">
              <w:rPr>
                <w:noProof/>
                <w:color w:val="000000"/>
                <w:sz w:val="14"/>
                <w:szCs w:val="14"/>
                <w:lang w:val="en-IE" w:eastAsia="en-IE"/>
              </w:rPr>
              <w:t>(5)</w:t>
            </w:r>
          </w:p>
        </w:tc>
        <w:tc>
          <w:tcPr>
            <w:tcW w:w="493" w:type="pct"/>
            <w:gridSpan w:val="2"/>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noProof/>
                <w:color w:val="000000"/>
                <w:sz w:val="20"/>
                <w:szCs w:val="20"/>
                <w:lang w:val="en-IE" w:eastAsia="en-IE"/>
              </w:rPr>
            </w:pPr>
            <w:r>
              <w:rPr>
                <w:noProof/>
                <w:color w:val="000000"/>
                <w:sz w:val="20"/>
                <w:szCs w:val="20"/>
                <w:lang w:val="en-IE" w:eastAsia="en-IE"/>
              </w:rPr>
              <w:t>0.175</w:t>
            </w:r>
          </w:p>
        </w:tc>
        <w:tc>
          <w:tcPr>
            <w:tcW w:w="596" w:type="pct"/>
            <w:gridSpan w:val="2"/>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Pr>
                <w:b/>
                <w:bCs/>
                <w:noProof/>
                <w:color w:val="000000"/>
                <w:sz w:val="20"/>
                <w:szCs w:val="20"/>
                <w:lang w:val="en-IE" w:eastAsia="en-IE"/>
              </w:rPr>
              <w:t>0.175</w:t>
            </w:r>
          </w:p>
        </w:tc>
      </w:tr>
      <w:tr w:rsidR="006B4685" w:rsidRPr="00C2043F">
        <w:trPr>
          <w:trHeight w:val="924"/>
        </w:trPr>
        <w:tc>
          <w:tcPr>
            <w:tcW w:w="1940" w:type="pct"/>
            <w:gridSpan w:val="3"/>
            <w:tcBorders>
              <w:top w:val="single" w:sz="8" w:space="0" w:color="auto"/>
              <w:left w:val="single" w:sz="8" w:space="0" w:color="auto"/>
              <w:bottom w:val="single" w:sz="8" w:space="0" w:color="auto"/>
              <w:right w:val="single" w:sz="8" w:space="0" w:color="auto"/>
            </w:tcBorders>
            <w:vAlign w:val="center"/>
            <w:hideMark/>
          </w:tcPr>
          <w:p w:rsidR="006B4685" w:rsidRPr="00C2043F" w:rsidRDefault="006B4685">
            <w:pPr>
              <w:spacing w:before="0" w:after="0"/>
              <w:rPr>
                <w:noProof/>
                <w:color w:val="000000"/>
                <w:sz w:val="21"/>
                <w:szCs w:val="21"/>
                <w:lang w:val="en-IE" w:eastAsia="en-IE"/>
              </w:rPr>
            </w:pPr>
            <w:r w:rsidRPr="00C2043F">
              <w:rPr>
                <w:noProof/>
                <w:color w:val="000000"/>
                <w:sz w:val="21"/>
                <w:szCs w:val="21"/>
                <w:lang w:val="en-IE" w:eastAsia="en-IE"/>
              </w:rPr>
              <w:t xml:space="preserve">TOTAL appropriations of an administrative nature financed from the envelope for specific programmes </w:t>
            </w:r>
          </w:p>
        </w:tc>
        <w:tc>
          <w:tcPr>
            <w:tcW w:w="492" w:type="pct"/>
            <w:gridSpan w:val="3"/>
            <w:tcBorders>
              <w:top w:val="single" w:sz="8" w:space="0" w:color="auto"/>
              <w:left w:val="nil"/>
              <w:bottom w:val="single" w:sz="8" w:space="0" w:color="auto"/>
              <w:right w:val="single" w:sz="8" w:space="0" w:color="auto"/>
            </w:tcBorders>
            <w:vAlign w:val="center"/>
            <w:hideMark/>
          </w:tcPr>
          <w:p w:rsidR="006B4685" w:rsidRPr="00C2043F" w:rsidRDefault="006B4685">
            <w:pPr>
              <w:spacing w:before="0" w:after="0"/>
              <w:jc w:val="center"/>
              <w:rPr>
                <w:noProof/>
                <w:color w:val="000000"/>
                <w:sz w:val="14"/>
                <w:szCs w:val="14"/>
                <w:lang w:val="en-IE" w:eastAsia="en-IE"/>
              </w:rPr>
            </w:pPr>
            <w:r w:rsidRPr="00C2043F">
              <w:rPr>
                <w:noProof/>
                <w:color w:val="000000"/>
                <w:sz w:val="14"/>
                <w:szCs w:val="14"/>
                <w:lang w:val="en-IE" w:eastAsia="en-IE"/>
              </w:rPr>
              <w:t>(6)</w:t>
            </w:r>
          </w:p>
        </w:tc>
        <w:tc>
          <w:tcPr>
            <w:tcW w:w="493" w:type="pct"/>
            <w:gridSpan w:val="2"/>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r>
      <w:tr w:rsidR="006B4685" w:rsidRPr="00C2043F">
        <w:trPr>
          <w:trHeight w:val="564"/>
        </w:trPr>
        <w:tc>
          <w:tcPr>
            <w:tcW w:w="1411" w:type="pct"/>
            <w:tcBorders>
              <w:top w:val="nil"/>
              <w:left w:val="single" w:sz="8" w:space="0" w:color="auto"/>
              <w:bottom w:val="nil"/>
              <w:right w:val="single" w:sz="8" w:space="0" w:color="auto"/>
            </w:tcBorders>
            <w:shd w:val="thinDiagStripe" w:color="C0C0C0" w:fill="F1F1F1"/>
            <w:vAlign w:val="center"/>
            <w:hideMark/>
          </w:tcPr>
          <w:p w:rsidR="006B4685" w:rsidRPr="00C2043F" w:rsidRDefault="006B4685">
            <w:pPr>
              <w:spacing w:before="0" w:after="0"/>
              <w:jc w:val="center"/>
              <w:rPr>
                <w:b/>
                <w:bCs/>
                <w:noProof/>
                <w:color w:val="000000"/>
                <w:sz w:val="22"/>
                <w:lang w:val="en-IE" w:eastAsia="en-IE"/>
              </w:rPr>
            </w:pPr>
            <w:r w:rsidRPr="00C2043F">
              <w:rPr>
                <w:b/>
                <w:bCs/>
                <w:noProof/>
                <w:color w:val="000000"/>
                <w:sz w:val="22"/>
                <w:lang w:val="en-IE" w:eastAsia="en-IE"/>
              </w:rPr>
              <w:t>TOTAL appropriations</w:t>
            </w:r>
            <w:r>
              <w:rPr>
                <w:b/>
                <w:bCs/>
                <w:noProof/>
                <w:color w:val="000000"/>
                <w:sz w:val="22"/>
                <w:lang w:val="en-IE" w:eastAsia="en-IE"/>
              </w:rPr>
              <w:t xml:space="preserve"> </w:t>
            </w:r>
            <w:r w:rsidRPr="00C2043F">
              <w:rPr>
                <w:b/>
                <w:bCs/>
                <w:noProof/>
                <w:color w:val="000000"/>
                <w:sz w:val="22"/>
                <w:lang w:val="en-IE" w:eastAsia="en-IE"/>
              </w:rPr>
              <w:t xml:space="preserve">under HEADING </w:t>
            </w:r>
            <w:r>
              <w:rPr>
                <w:b/>
                <w:bCs/>
                <w:noProof/>
                <w:color w:val="000000"/>
                <w:sz w:val="22"/>
                <w:lang w:val="en-IE" w:eastAsia="en-IE"/>
              </w:rPr>
              <w:t>1</w:t>
            </w:r>
          </w:p>
        </w:tc>
        <w:tc>
          <w:tcPr>
            <w:tcW w:w="529" w:type="pct"/>
            <w:gridSpan w:val="2"/>
            <w:tcBorders>
              <w:top w:val="nil"/>
              <w:left w:val="nil"/>
              <w:bottom w:val="single" w:sz="8" w:space="0" w:color="auto"/>
              <w:right w:val="single" w:sz="8" w:space="0" w:color="auto"/>
            </w:tcBorders>
            <w:vAlign w:val="center"/>
            <w:hideMark/>
          </w:tcPr>
          <w:p w:rsidR="006B4685" w:rsidRPr="00C2043F" w:rsidRDefault="006B4685">
            <w:pPr>
              <w:spacing w:before="0" w:after="0"/>
              <w:rPr>
                <w:noProof/>
                <w:color w:val="000000"/>
                <w:sz w:val="18"/>
                <w:szCs w:val="18"/>
                <w:lang w:val="en-IE" w:eastAsia="en-IE"/>
              </w:rPr>
            </w:pPr>
            <w:r w:rsidRPr="00C2043F">
              <w:rPr>
                <w:noProof/>
                <w:color w:val="000000"/>
                <w:sz w:val="18"/>
                <w:szCs w:val="18"/>
                <w:lang w:val="en-IE" w:eastAsia="en-IE"/>
              </w:rPr>
              <w:t>Commitments</w:t>
            </w:r>
          </w:p>
        </w:tc>
        <w:tc>
          <w:tcPr>
            <w:tcW w:w="492" w:type="pct"/>
            <w:gridSpan w:val="3"/>
            <w:tcBorders>
              <w:top w:val="single" w:sz="8" w:space="0" w:color="auto"/>
              <w:left w:val="nil"/>
              <w:bottom w:val="single" w:sz="8" w:space="0" w:color="auto"/>
              <w:right w:val="single" w:sz="8" w:space="0" w:color="auto"/>
            </w:tcBorders>
            <w:vAlign w:val="center"/>
            <w:hideMark/>
          </w:tcPr>
          <w:p w:rsidR="006B4685" w:rsidRPr="00C2043F" w:rsidRDefault="006B4685">
            <w:pPr>
              <w:spacing w:before="0" w:after="0"/>
              <w:jc w:val="center"/>
              <w:rPr>
                <w:noProof/>
                <w:color w:val="000000"/>
                <w:sz w:val="14"/>
                <w:szCs w:val="14"/>
                <w:lang w:val="en-IE" w:eastAsia="en-IE"/>
              </w:rPr>
            </w:pPr>
            <w:r w:rsidRPr="00C2043F">
              <w:rPr>
                <w:noProof/>
                <w:color w:val="000000"/>
                <w:sz w:val="14"/>
                <w:szCs w:val="14"/>
                <w:lang w:val="en-IE" w:eastAsia="en-IE"/>
              </w:rPr>
              <w:t>=4+6</w:t>
            </w:r>
          </w:p>
        </w:tc>
        <w:tc>
          <w:tcPr>
            <w:tcW w:w="493" w:type="pct"/>
            <w:gridSpan w:val="2"/>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Pr>
                <w:b/>
                <w:bCs/>
                <w:noProof/>
                <w:color w:val="000000"/>
                <w:sz w:val="20"/>
                <w:szCs w:val="20"/>
                <w:lang w:val="en-IE" w:eastAsia="en-IE"/>
              </w:rPr>
              <w:t>0.175</w:t>
            </w:r>
          </w:p>
        </w:tc>
        <w:tc>
          <w:tcPr>
            <w:tcW w:w="596" w:type="pct"/>
            <w:gridSpan w:val="2"/>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Pr>
                <w:b/>
                <w:bCs/>
                <w:noProof/>
                <w:color w:val="000000"/>
                <w:sz w:val="20"/>
                <w:szCs w:val="20"/>
                <w:lang w:val="en-IE" w:eastAsia="en-IE"/>
              </w:rPr>
              <w:t>0.175</w:t>
            </w:r>
          </w:p>
        </w:tc>
      </w:tr>
      <w:tr w:rsidR="006B4685" w:rsidRPr="00C2043F">
        <w:trPr>
          <w:trHeight w:val="528"/>
        </w:trPr>
        <w:tc>
          <w:tcPr>
            <w:tcW w:w="1411" w:type="pct"/>
            <w:tcBorders>
              <w:top w:val="nil"/>
              <w:left w:val="single" w:sz="8" w:space="0" w:color="auto"/>
              <w:bottom w:val="single" w:sz="8" w:space="0" w:color="auto"/>
              <w:right w:val="single" w:sz="8" w:space="0" w:color="auto"/>
            </w:tcBorders>
            <w:shd w:val="thinDiagStripe" w:color="C0C0C0" w:fill="F1F1F1"/>
            <w:vAlign w:val="center"/>
            <w:hideMark/>
          </w:tcPr>
          <w:p w:rsidR="006B4685" w:rsidRPr="00C2043F" w:rsidRDefault="006B4685">
            <w:pPr>
              <w:spacing w:before="0" w:after="0"/>
              <w:jc w:val="center"/>
              <w:rPr>
                <w:noProof/>
                <w:color w:val="000000"/>
                <w:sz w:val="22"/>
                <w:lang w:val="en-IE" w:eastAsia="en-IE"/>
              </w:rPr>
            </w:pPr>
            <w:r w:rsidRPr="00C2043F">
              <w:rPr>
                <w:noProof/>
                <w:color w:val="000000"/>
                <w:sz w:val="22"/>
                <w:lang w:val="en-IE" w:eastAsia="en-IE"/>
              </w:rPr>
              <w:t>of the multiannual financial framework</w:t>
            </w:r>
          </w:p>
        </w:tc>
        <w:tc>
          <w:tcPr>
            <w:tcW w:w="529" w:type="pct"/>
            <w:gridSpan w:val="2"/>
            <w:tcBorders>
              <w:top w:val="nil"/>
              <w:left w:val="nil"/>
              <w:bottom w:val="single" w:sz="8" w:space="0" w:color="auto"/>
              <w:right w:val="single" w:sz="8" w:space="0" w:color="auto"/>
            </w:tcBorders>
            <w:vAlign w:val="center"/>
            <w:hideMark/>
          </w:tcPr>
          <w:p w:rsidR="006B4685" w:rsidRPr="00C2043F" w:rsidRDefault="006B4685">
            <w:pPr>
              <w:spacing w:before="0" w:after="0"/>
              <w:rPr>
                <w:noProof/>
                <w:color w:val="000000"/>
                <w:sz w:val="18"/>
                <w:szCs w:val="18"/>
                <w:lang w:val="en-IE" w:eastAsia="en-IE"/>
              </w:rPr>
            </w:pPr>
            <w:r w:rsidRPr="00C2043F">
              <w:rPr>
                <w:noProof/>
                <w:color w:val="000000"/>
                <w:sz w:val="18"/>
                <w:szCs w:val="18"/>
                <w:lang w:val="en-IE" w:eastAsia="en-IE"/>
              </w:rPr>
              <w:t>Payments</w:t>
            </w:r>
          </w:p>
        </w:tc>
        <w:tc>
          <w:tcPr>
            <w:tcW w:w="492" w:type="pct"/>
            <w:gridSpan w:val="3"/>
            <w:tcBorders>
              <w:top w:val="single" w:sz="8" w:space="0" w:color="auto"/>
              <w:left w:val="nil"/>
              <w:bottom w:val="single" w:sz="8" w:space="0" w:color="auto"/>
              <w:right w:val="single" w:sz="8" w:space="0" w:color="auto"/>
            </w:tcBorders>
            <w:vAlign w:val="center"/>
            <w:hideMark/>
          </w:tcPr>
          <w:p w:rsidR="006B4685" w:rsidRPr="00C2043F" w:rsidRDefault="006B4685">
            <w:pPr>
              <w:spacing w:before="0" w:after="0"/>
              <w:jc w:val="center"/>
              <w:rPr>
                <w:noProof/>
                <w:color w:val="000000"/>
                <w:sz w:val="14"/>
                <w:szCs w:val="14"/>
                <w:lang w:val="en-IE" w:eastAsia="en-IE"/>
              </w:rPr>
            </w:pPr>
            <w:r w:rsidRPr="00C2043F">
              <w:rPr>
                <w:noProof/>
                <w:color w:val="000000"/>
                <w:sz w:val="14"/>
                <w:szCs w:val="14"/>
                <w:lang w:val="en-IE" w:eastAsia="en-IE"/>
              </w:rPr>
              <w:t>=5+6</w:t>
            </w:r>
          </w:p>
        </w:tc>
        <w:tc>
          <w:tcPr>
            <w:tcW w:w="493" w:type="pct"/>
            <w:gridSpan w:val="2"/>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w:t>
            </w:r>
            <w:r>
              <w:rPr>
                <w:b/>
                <w:bCs/>
                <w:noProof/>
                <w:color w:val="000000"/>
                <w:sz w:val="20"/>
                <w:szCs w:val="20"/>
                <w:lang w:val="en-IE" w:eastAsia="en-IE"/>
              </w:rPr>
              <w:t>175</w:t>
            </w:r>
          </w:p>
        </w:tc>
        <w:tc>
          <w:tcPr>
            <w:tcW w:w="596" w:type="pct"/>
            <w:gridSpan w:val="2"/>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Pr>
                <w:b/>
                <w:bCs/>
                <w:noProof/>
                <w:color w:val="000000"/>
                <w:sz w:val="20"/>
                <w:szCs w:val="20"/>
                <w:lang w:val="en-IE" w:eastAsia="en-IE"/>
              </w:rPr>
              <w:t>0.175</w:t>
            </w:r>
          </w:p>
        </w:tc>
      </w:tr>
      <w:tr w:rsidR="006B4685" w:rsidRPr="003268F2">
        <w:trPr>
          <w:trHeight w:val="288"/>
        </w:trPr>
        <w:tc>
          <w:tcPr>
            <w:tcW w:w="1522" w:type="pct"/>
            <w:gridSpan w:val="2"/>
            <w:tcBorders>
              <w:top w:val="nil"/>
              <w:left w:val="nil"/>
              <w:bottom w:val="nil"/>
              <w:right w:val="nil"/>
            </w:tcBorders>
            <w:noWrap/>
            <w:vAlign w:val="bottom"/>
            <w:hideMark/>
          </w:tcPr>
          <w:p w:rsidR="006B4685" w:rsidRPr="003268F2" w:rsidRDefault="006B4685">
            <w:pPr>
              <w:spacing w:before="0" w:after="0"/>
              <w:jc w:val="left"/>
              <w:rPr>
                <w:noProof/>
                <w:sz w:val="20"/>
                <w:szCs w:val="24"/>
                <w:lang w:val="en-IE" w:eastAsia="en-IE"/>
              </w:rPr>
            </w:pPr>
          </w:p>
        </w:tc>
        <w:tc>
          <w:tcPr>
            <w:tcW w:w="471" w:type="pct"/>
            <w:gridSpan w:val="2"/>
            <w:tcBorders>
              <w:top w:val="nil"/>
              <w:left w:val="nil"/>
              <w:bottom w:val="nil"/>
              <w:right w:val="nil"/>
            </w:tcBorders>
            <w:noWrap/>
            <w:vAlign w:val="bottom"/>
            <w:hideMark/>
          </w:tcPr>
          <w:p w:rsidR="006B4685" w:rsidRPr="003268F2" w:rsidRDefault="006B4685">
            <w:pPr>
              <w:spacing w:before="0" w:after="0"/>
              <w:jc w:val="left"/>
              <w:rPr>
                <w:noProof/>
                <w:sz w:val="20"/>
                <w:szCs w:val="20"/>
                <w:lang w:val="en-IE" w:eastAsia="en-IE"/>
              </w:rPr>
            </w:pPr>
          </w:p>
        </w:tc>
        <w:tc>
          <w:tcPr>
            <w:tcW w:w="365" w:type="pct"/>
            <w:tcBorders>
              <w:top w:val="nil"/>
              <w:left w:val="nil"/>
              <w:bottom w:val="nil"/>
              <w:right w:val="nil"/>
            </w:tcBorders>
            <w:noWrap/>
            <w:vAlign w:val="bottom"/>
            <w:hideMark/>
          </w:tcPr>
          <w:p w:rsidR="006B4685" w:rsidRPr="003268F2" w:rsidRDefault="006B4685">
            <w:pPr>
              <w:spacing w:before="0" w:after="0"/>
              <w:jc w:val="left"/>
              <w:rPr>
                <w:noProof/>
                <w:sz w:val="20"/>
                <w:szCs w:val="20"/>
                <w:lang w:val="en-IE" w:eastAsia="en-IE"/>
              </w:rPr>
            </w:pPr>
          </w:p>
        </w:tc>
        <w:tc>
          <w:tcPr>
            <w:tcW w:w="366" w:type="pct"/>
            <w:gridSpan w:val="2"/>
            <w:tcBorders>
              <w:top w:val="nil"/>
              <w:left w:val="nil"/>
              <w:bottom w:val="nil"/>
              <w:right w:val="single" w:sz="4" w:space="0" w:color="auto"/>
            </w:tcBorders>
            <w:noWrap/>
            <w:vAlign w:val="bottom"/>
            <w:hideMark/>
          </w:tcPr>
          <w:p w:rsidR="006B4685" w:rsidRPr="003268F2" w:rsidRDefault="006B4685">
            <w:pPr>
              <w:spacing w:before="0" w:after="0"/>
              <w:jc w:val="left"/>
              <w:rPr>
                <w:noProof/>
                <w:sz w:val="20"/>
                <w:szCs w:val="20"/>
                <w:lang w:val="en-IE" w:eastAsia="en-IE"/>
              </w:rPr>
            </w:pPr>
          </w:p>
        </w:tc>
        <w:tc>
          <w:tcPr>
            <w:tcW w:w="437" w:type="pct"/>
            <w:gridSpan w:val="2"/>
            <w:tcBorders>
              <w:top w:val="single" w:sz="8" w:space="0" w:color="auto"/>
              <w:left w:val="single" w:sz="4" w:space="0" w:color="auto"/>
              <w:bottom w:val="nil"/>
              <w:right w:val="single" w:sz="8" w:space="0" w:color="auto"/>
            </w:tcBorders>
            <w:vAlign w:val="center"/>
            <w:hideMark/>
          </w:tcPr>
          <w:p w:rsidR="006B4685" w:rsidRPr="003268F2" w:rsidRDefault="006B4685">
            <w:pPr>
              <w:spacing w:before="0" w:after="0"/>
              <w:jc w:val="center"/>
              <w:rPr>
                <w:noProof/>
                <w:color w:val="000000"/>
                <w:sz w:val="20"/>
                <w:szCs w:val="20"/>
                <w:lang w:val="en-IE" w:eastAsia="en-IE"/>
              </w:rPr>
            </w:pPr>
            <w:r w:rsidRPr="003268F2">
              <w:rPr>
                <w:noProof/>
                <w:color w:val="000000"/>
                <w:sz w:val="20"/>
                <w:szCs w:val="20"/>
                <w:lang w:val="en-IE" w:eastAsia="en-IE"/>
              </w:rPr>
              <w:t>Year</w:t>
            </w:r>
          </w:p>
        </w:tc>
        <w:tc>
          <w:tcPr>
            <w:tcW w:w="437" w:type="pct"/>
            <w:gridSpan w:val="2"/>
            <w:tcBorders>
              <w:top w:val="single" w:sz="8" w:space="0" w:color="auto"/>
              <w:left w:val="nil"/>
              <w:bottom w:val="nil"/>
              <w:right w:val="single" w:sz="8" w:space="0" w:color="auto"/>
            </w:tcBorders>
            <w:vAlign w:val="center"/>
            <w:hideMark/>
          </w:tcPr>
          <w:p w:rsidR="006B4685" w:rsidRPr="003268F2" w:rsidRDefault="006B4685">
            <w:pPr>
              <w:spacing w:before="0" w:after="0"/>
              <w:jc w:val="center"/>
              <w:rPr>
                <w:noProof/>
                <w:color w:val="000000"/>
                <w:sz w:val="20"/>
                <w:szCs w:val="20"/>
                <w:lang w:val="en-IE" w:eastAsia="en-IE"/>
              </w:rPr>
            </w:pPr>
            <w:r w:rsidRPr="003268F2">
              <w:rPr>
                <w:noProof/>
                <w:color w:val="000000"/>
                <w:sz w:val="20"/>
                <w:szCs w:val="20"/>
                <w:lang w:val="en-IE" w:eastAsia="en-IE"/>
              </w:rPr>
              <w:t>Year</w:t>
            </w:r>
          </w:p>
        </w:tc>
        <w:tc>
          <w:tcPr>
            <w:tcW w:w="437" w:type="pct"/>
            <w:gridSpan w:val="2"/>
            <w:tcBorders>
              <w:top w:val="single" w:sz="8" w:space="0" w:color="auto"/>
              <w:left w:val="nil"/>
              <w:bottom w:val="nil"/>
              <w:right w:val="single" w:sz="8" w:space="0" w:color="auto"/>
            </w:tcBorders>
            <w:vAlign w:val="center"/>
            <w:hideMark/>
          </w:tcPr>
          <w:p w:rsidR="006B4685" w:rsidRPr="003268F2" w:rsidRDefault="006B4685">
            <w:pPr>
              <w:spacing w:before="0" w:after="0"/>
              <w:jc w:val="center"/>
              <w:rPr>
                <w:noProof/>
                <w:color w:val="000000"/>
                <w:sz w:val="20"/>
                <w:szCs w:val="20"/>
                <w:lang w:val="en-IE" w:eastAsia="en-IE"/>
              </w:rPr>
            </w:pPr>
            <w:r w:rsidRPr="003268F2">
              <w:rPr>
                <w:noProof/>
                <w:color w:val="000000"/>
                <w:sz w:val="20"/>
                <w:szCs w:val="20"/>
                <w:lang w:val="en-IE" w:eastAsia="en-IE"/>
              </w:rPr>
              <w:t>Year</w:t>
            </w:r>
          </w:p>
        </w:tc>
        <w:tc>
          <w:tcPr>
            <w:tcW w:w="437" w:type="pct"/>
            <w:gridSpan w:val="2"/>
            <w:tcBorders>
              <w:top w:val="single" w:sz="8" w:space="0" w:color="auto"/>
              <w:left w:val="nil"/>
              <w:bottom w:val="nil"/>
              <w:right w:val="single" w:sz="8" w:space="0" w:color="auto"/>
            </w:tcBorders>
            <w:vAlign w:val="center"/>
            <w:hideMark/>
          </w:tcPr>
          <w:p w:rsidR="006B4685" w:rsidRPr="003268F2" w:rsidRDefault="006B4685">
            <w:pPr>
              <w:spacing w:before="0" w:after="0"/>
              <w:jc w:val="center"/>
              <w:rPr>
                <w:noProof/>
                <w:color w:val="000000"/>
                <w:sz w:val="20"/>
                <w:szCs w:val="20"/>
                <w:lang w:val="en-IE" w:eastAsia="en-IE"/>
              </w:rPr>
            </w:pPr>
            <w:r w:rsidRPr="003268F2">
              <w:rPr>
                <w:noProof/>
                <w:color w:val="000000"/>
                <w:sz w:val="20"/>
                <w:szCs w:val="20"/>
                <w:lang w:val="en-IE" w:eastAsia="en-IE"/>
              </w:rPr>
              <w:t>Year</w:t>
            </w:r>
          </w:p>
        </w:tc>
        <w:tc>
          <w:tcPr>
            <w:tcW w:w="528" w:type="pct"/>
            <w:vMerge w:val="restart"/>
            <w:tcBorders>
              <w:top w:val="single" w:sz="8" w:space="0" w:color="auto"/>
              <w:left w:val="single" w:sz="8" w:space="0" w:color="auto"/>
              <w:bottom w:val="single" w:sz="8" w:space="0" w:color="000000"/>
              <w:right w:val="single" w:sz="8" w:space="0" w:color="auto"/>
            </w:tcBorders>
            <w:vAlign w:val="center"/>
            <w:hideMark/>
          </w:tcPr>
          <w:p w:rsidR="006B4685" w:rsidRPr="003268F2" w:rsidRDefault="006B4685">
            <w:pPr>
              <w:spacing w:before="0" w:after="0"/>
              <w:jc w:val="center"/>
              <w:rPr>
                <w:b/>
                <w:bCs/>
                <w:noProof/>
                <w:color w:val="000000"/>
                <w:sz w:val="20"/>
                <w:szCs w:val="20"/>
                <w:lang w:val="en-IE" w:eastAsia="en-IE"/>
              </w:rPr>
            </w:pPr>
            <w:r w:rsidRPr="003268F2">
              <w:rPr>
                <w:b/>
                <w:bCs/>
                <w:noProof/>
                <w:color w:val="000000"/>
                <w:sz w:val="20"/>
                <w:szCs w:val="20"/>
                <w:lang w:val="en-IE" w:eastAsia="en-IE"/>
              </w:rPr>
              <w:t>TOTAL MFF2021-2027</w:t>
            </w:r>
          </w:p>
        </w:tc>
      </w:tr>
      <w:tr w:rsidR="006B4685" w:rsidRPr="003268F2">
        <w:trPr>
          <w:trHeight w:val="300"/>
        </w:trPr>
        <w:tc>
          <w:tcPr>
            <w:tcW w:w="1522" w:type="pct"/>
            <w:gridSpan w:val="2"/>
            <w:tcBorders>
              <w:top w:val="nil"/>
              <w:left w:val="nil"/>
              <w:bottom w:val="nil"/>
              <w:right w:val="nil"/>
            </w:tcBorders>
            <w:noWrap/>
            <w:vAlign w:val="bottom"/>
            <w:hideMark/>
          </w:tcPr>
          <w:p w:rsidR="006B4685" w:rsidRPr="003268F2" w:rsidRDefault="006B4685">
            <w:pPr>
              <w:spacing w:before="0" w:after="0"/>
              <w:jc w:val="center"/>
              <w:rPr>
                <w:b/>
                <w:bCs/>
                <w:noProof/>
                <w:color w:val="000000"/>
                <w:sz w:val="20"/>
                <w:szCs w:val="20"/>
                <w:lang w:val="en-IE" w:eastAsia="en-IE"/>
              </w:rPr>
            </w:pPr>
          </w:p>
        </w:tc>
        <w:tc>
          <w:tcPr>
            <w:tcW w:w="471" w:type="pct"/>
            <w:gridSpan w:val="2"/>
            <w:tcBorders>
              <w:top w:val="nil"/>
              <w:left w:val="nil"/>
              <w:bottom w:val="nil"/>
              <w:right w:val="nil"/>
            </w:tcBorders>
            <w:noWrap/>
            <w:vAlign w:val="bottom"/>
            <w:hideMark/>
          </w:tcPr>
          <w:p w:rsidR="006B4685" w:rsidRPr="003268F2" w:rsidRDefault="006B4685">
            <w:pPr>
              <w:spacing w:before="0" w:after="0"/>
              <w:jc w:val="left"/>
              <w:rPr>
                <w:noProof/>
                <w:sz w:val="20"/>
                <w:szCs w:val="20"/>
                <w:lang w:val="en-IE" w:eastAsia="en-IE"/>
              </w:rPr>
            </w:pPr>
          </w:p>
        </w:tc>
        <w:tc>
          <w:tcPr>
            <w:tcW w:w="365" w:type="pct"/>
            <w:tcBorders>
              <w:top w:val="nil"/>
              <w:left w:val="nil"/>
              <w:bottom w:val="nil"/>
              <w:right w:val="nil"/>
            </w:tcBorders>
            <w:noWrap/>
            <w:vAlign w:val="bottom"/>
            <w:hideMark/>
          </w:tcPr>
          <w:p w:rsidR="006B4685" w:rsidRPr="003268F2" w:rsidRDefault="006B4685">
            <w:pPr>
              <w:spacing w:before="0" w:after="0"/>
              <w:jc w:val="left"/>
              <w:rPr>
                <w:noProof/>
                <w:sz w:val="20"/>
                <w:szCs w:val="20"/>
                <w:lang w:val="en-IE" w:eastAsia="en-IE"/>
              </w:rPr>
            </w:pPr>
          </w:p>
        </w:tc>
        <w:tc>
          <w:tcPr>
            <w:tcW w:w="366" w:type="pct"/>
            <w:gridSpan w:val="2"/>
            <w:tcBorders>
              <w:top w:val="nil"/>
              <w:left w:val="nil"/>
              <w:bottom w:val="nil"/>
              <w:right w:val="single" w:sz="4" w:space="0" w:color="auto"/>
            </w:tcBorders>
            <w:noWrap/>
            <w:vAlign w:val="bottom"/>
            <w:hideMark/>
          </w:tcPr>
          <w:p w:rsidR="006B4685" w:rsidRPr="003268F2" w:rsidRDefault="006B4685">
            <w:pPr>
              <w:spacing w:before="0" w:after="0"/>
              <w:jc w:val="left"/>
              <w:rPr>
                <w:noProof/>
                <w:sz w:val="20"/>
                <w:szCs w:val="20"/>
                <w:lang w:val="en-IE" w:eastAsia="en-IE"/>
              </w:rPr>
            </w:pPr>
          </w:p>
        </w:tc>
        <w:tc>
          <w:tcPr>
            <w:tcW w:w="437" w:type="pct"/>
            <w:gridSpan w:val="2"/>
            <w:tcBorders>
              <w:top w:val="nil"/>
              <w:left w:val="single" w:sz="4" w:space="0" w:color="auto"/>
              <w:bottom w:val="single" w:sz="8" w:space="0" w:color="auto"/>
              <w:right w:val="single" w:sz="8" w:space="0" w:color="auto"/>
            </w:tcBorders>
            <w:vAlign w:val="center"/>
            <w:hideMark/>
          </w:tcPr>
          <w:p w:rsidR="006B4685" w:rsidRPr="003268F2" w:rsidRDefault="006B4685">
            <w:pPr>
              <w:spacing w:before="0" w:after="0"/>
              <w:jc w:val="center"/>
              <w:rPr>
                <w:b/>
                <w:bCs/>
                <w:noProof/>
                <w:color w:val="000000"/>
                <w:sz w:val="20"/>
                <w:szCs w:val="20"/>
                <w:lang w:val="en-IE" w:eastAsia="en-IE"/>
              </w:rPr>
            </w:pPr>
            <w:r w:rsidRPr="003268F2">
              <w:rPr>
                <w:b/>
                <w:bCs/>
                <w:noProof/>
                <w:color w:val="000000"/>
                <w:sz w:val="20"/>
                <w:szCs w:val="20"/>
                <w:lang w:val="en-IE" w:eastAsia="en-IE"/>
              </w:rPr>
              <w:t>2024</w:t>
            </w:r>
          </w:p>
        </w:tc>
        <w:tc>
          <w:tcPr>
            <w:tcW w:w="437" w:type="pct"/>
            <w:gridSpan w:val="2"/>
            <w:tcBorders>
              <w:top w:val="nil"/>
              <w:left w:val="nil"/>
              <w:bottom w:val="single" w:sz="8" w:space="0" w:color="auto"/>
              <w:right w:val="single" w:sz="8" w:space="0" w:color="auto"/>
            </w:tcBorders>
            <w:vAlign w:val="center"/>
            <w:hideMark/>
          </w:tcPr>
          <w:p w:rsidR="006B4685" w:rsidRPr="003268F2" w:rsidRDefault="006B4685">
            <w:pPr>
              <w:spacing w:before="0" w:after="0"/>
              <w:jc w:val="center"/>
              <w:rPr>
                <w:b/>
                <w:bCs/>
                <w:noProof/>
                <w:color w:val="000000"/>
                <w:sz w:val="20"/>
                <w:szCs w:val="20"/>
                <w:lang w:val="en-IE" w:eastAsia="en-IE"/>
              </w:rPr>
            </w:pPr>
            <w:r w:rsidRPr="003268F2">
              <w:rPr>
                <w:b/>
                <w:bCs/>
                <w:noProof/>
                <w:color w:val="000000"/>
                <w:sz w:val="20"/>
                <w:szCs w:val="20"/>
                <w:lang w:val="en-IE" w:eastAsia="en-IE"/>
              </w:rPr>
              <w:t>2025</w:t>
            </w:r>
          </w:p>
        </w:tc>
        <w:tc>
          <w:tcPr>
            <w:tcW w:w="437" w:type="pct"/>
            <w:gridSpan w:val="2"/>
            <w:tcBorders>
              <w:top w:val="nil"/>
              <w:left w:val="nil"/>
              <w:bottom w:val="single" w:sz="8" w:space="0" w:color="auto"/>
              <w:right w:val="single" w:sz="8" w:space="0" w:color="auto"/>
            </w:tcBorders>
            <w:vAlign w:val="center"/>
            <w:hideMark/>
          </w:tcPr>
          <w:p w:rsidR="006B4685" w:rsidRPr="003268F2" w:rsidRDefault="006B4685">
            <w:pPr>
              <w:spacing w:before="0" w:after="0"/>
              <w:jc w:val="center"/>
              <w:rPr>
                <w:b/>
                <w:bCs/>
                <w:noProof/>
                <w:color w:val="000000"/>
                <w:sz w:val="20"/>
                <w:szCs w:val="20"/>
                <w:lang w:val="en-IE" w:eastAsia="en-IE"/>
              </w:rPr>
            </w:pPr>
            <w:r w:rsidRPr="003268F2">
              <w:rPr>
                <w:b/>
                <w:bCs/>
                <w:noProof/>
                <w:color w:val="000000"/>
                <w:sz w:val="20"/>
                <w:szCs w:val="20"/>
                <w:lang w:val="en-IE" w:eastAsia="en-IE"/>
              </w:rPr>
              <w:t>2026</w:t>
            </w:r>
          </w:p>
        </w:tc>
        <w:tc>
          <w:tcPr>
            <w:tcW w:w="437" w:type="pct"/>
            <w:gridSpan w:val="2"/>
            <w:tcBorders>
              <w:top w:val="nil"/>
              <w:left w:val="nil"/>
              <w:bottom w:val="single" w:sz="8" w:space="0" w:color="auto"/>
              <w:right w:val="single" w:sz="8" w:space="0" w:color="auto"/>
            </w:tcBorders>
            <w:vAlign w:val="center"/>
            <w:hideMark/>
          </w:tcPr>
          <w:p w:rsidR="006B4685" w:rsidRPr="003268F2" w:rsidRDefault="006B4685">
            <w:pPr>
              <w:spacing w:before="0" w:after="0"/>
              <w:jc w:val="center"/>
              <w:rPr>
                <w:b/>
                <w:bCs/>
                <w:noProof/>
                <w:color w:val="000000"/>
                <w:sz w:val="20"/>
                <w:szCs w:val="20"/>
                <w:lang w:val="en-IE" w:eastAsia="en-IE"/>
              </w:rPr>
            </w:pPr>
            <w:r w:rsidRPr="003268F2">
              <w:rPr>
                <w:b/>
                <w:bCs/>
                <w:noProof/>
                <w:color w:val="000000"/>
                <w:sz w:val="20"/>
                <w:szCs w:val="20"/>
                <w:lang w:val="en-IE" w:eastAsia="en-IE"/>
              </w:rPr>
              <w:t>2027</w:t>
            </w:r>
          </w:p>
        </w:tc>
        <w:tc>
          <w:tcPr>
            <w:tcW w:w="528" w:type="pct"/>
            <w:vMerge/>
            <w:tcBorders>
              <w:top w:val="single" w:sz="8" w:space="0" w:color="auto"/>
              <w:left w:val="single" w:sz="8" w:space="0" w:color="auto"/>
              <w:bottom w:val="single" w:sz="8" w:space="0" w:color="000000"/>
              <w:right w:val="single" w:sz="8" w:space="0" w:color="auto"/>
            </w:tcBorders>
            <w:vAlign w:val="center"/>
            <w:hideMark/>
          </w:tcPr>
          <w:p w:rsidR="006B4685" w:rsidRPr="003268F2" w:rsidRDefault="006B4685">
            <w:pPr>
              <w:spacing w:before="0" w:after="0"/>
              <w:jc w:val="left"/>
              <w:rPr>
                <w:b/>
                <w:bCs/>
                <w:noProof/>
                <w:color w:val="000000"/>
                <w:sz w:val="20"/>
                <w:szCs w:val="20"/>
                <w:lang w:val="en-IE" w:eastAsia="en-IE"/>
              </w:rPr>
            </w:pPr>
          </w:p>
        </w:tc>
      </w:tr>
      <w:tr w:rsidR="006B4685" w:rsidRPr="003268F2">
        <w:trPr>
          <w:trHeight w:val="300"/>
        </w:trPr>
        <w:tc>
          <w:tcPr>
            <w:tcW w:w="1522" w:type="pct"/>
            <w:gridSpan w:val="2"/>
            <w:vMerge w:val="restart"/>
            <w:tcBorders>
              <w:top w:val="single" w:sz="8" w:space="0" w:color="auto"/>
              <w:left w:val="single" w:sz="8" w:space="0" w:color="auto"/>
              <w:bottom w:val="single" w:sz="8" w:space="0" w:color="auto"/>
              <w:right w:val="single" w:sz="8" w:space="0" w:color="auto"/>
            </w:tcBorders>
            <w:vAlign w:val="center"/>
            <w:hideMark/>
          </w:tcPr>
          <w:p w:rsidR="006B4685" w:rsidRPr="003268F2" w:rsidRDefault="006B4685">
            <w:pPr>
              <w:spacing w:before="0" w:after="0"/>
              <w:rPr>
                <w:noProof/>
                <w:color w:val="000000"/>
                <w:sz w:val="21"/>
                <w:szCs w:val="21"/>
                <w:lang w:val="en-IE" w:eastAsia="en-IE"/>
              </w:rPr>
            </w:pPr>
            <w:r w:rsidRPr="003268F2">
              <w:rPr>
                <w:rFonts w:ascii="Calibri" w:hAnsi="Calibri" w:cs="Calibri"/>
                <w:noProof/>
                <w:color w:val="000000"/>
                <w:sz w:val="21"/>
                <w:szCs w:val="21"/>
                <w:lang w:val="en-IE" w:eastAsia="en-IE"/>
              </w:rPr>
              <w:t xml:space="preserve">• </w:t>
            </w:r>
            <w:r w:rsidRPr="003268F2">
              <w:rPr>
                <w:noProof/>
                <w:color w:val="000000"/>
                <w:sz w:val="21"/>
                <w:szCs w:val="21"/>
                <w:lang w:val="en-IE" w:eastAsia="en-IE"/>
              </w:rPr>
              <w:t>TOTAL operational appropriations (all operational headings)</w:t>
            </w:r>
          </w:p>
        </w:tc>
        <w:tc>
          <w:tcPr>
            <w:tcW w:w="471" w:type="pct"/>
            <w:gridSpan w:val="2"/>
            <w:tcBorders>
              <w:top w:val="single" w:sz="8" w:space="0" w:color="auto"/>
              <w:left w:val="nil"/>
              <w:bottom w:val="single" w:sz="8" w:space="0" w:color="auto"/>
              <w:right w:val="single" w:sz="8" w:space="0" w:color="auto"/>
            </w:tcBorders>
            <w:vAlign w:val="center"/>
            <w:hideMark/>
          </w:tcPr>
          <w:p w:rsidR="006B4685" w:rsidRPr="003268F2" w:rsidRDefault="006B4685">
            <w:pPr>
              <w:spacing w:before="0" w:after="0"/>
              <w:rPr>
                <w:noProof/>
                <w:color w:val="000000"/>
                <w:sz w:val="18"/>
                <w:szCs w:val="18"/>
                <w:lang w:val="en-IE" w:eastAsia="en-IE"/>
              </w:rPr>
            </w:pPr>
            <w:r w:rsidRPr="003268F2">
              <w:rPr>
                <w:noProof/>
                <w:color w:val="000000"/>
                <w:sz w:val="18"/>
                <w:szCs w:val="18"/>
                <w:lang w:val="en-IE" w:eastAsia="en-IE"/>
              </w:rPr>
              <w:t>Commitments</w:t>
            </w:r>
          </w:p>
        </w:tc>
        <w:tc>
          <w:tcPr>
            <w:tcW w:w="731" w:type="pct"/>
            <w:gridSpan w:val="3"/>
            <w:tcBorders>
              <w:top w:val="single" w:sz="8" w:space="0" w:color="auto"/>
              <w:left w:val="nil"/>
              <w:bottom w:val="single" w:sz="8" w:space="0" w:color="auto"/>
              <w:right w:val="single" w:sz="8" w:space="0" w:color="000000"/>
            </w:tcBorders>
            <w:vAlign w:val="center"/>
            <w:hideMark/>
          </w:tcPr>
          <w:p w:rsidR="006B4685" w:rsidRPr="003268F2" w:rsidRDefault="006B4685">
            <w:pPr>
              <w:spacing w:before="0" w:after="0"/>
              <w:jc w:val="center"/>
              <w:rPr>
                <w:noProof/>
                <w:color w:val="000000"/>
                <w:sz w:val="14"/>
                <w:szCs w:val="14"/>
                <w:lang w:val="en-IE" w:eastAsia="en-IE"/>
              </w:rPr>
            </w:pPr>
            <w:r w:rsidRPr="003268F2">
              <w:rPr>
                <w:noProof/>
                <w:color w:val="000000"/>
                <w:sz w:val="14"/>
                <w:szCs w:val="14"/>
                <w:lang w:val="en-IE" w:eastAsia="en-IE"/>
              </w:rPr>
              <w:t>(4)</w:t>
            </w:r>
          </w:p>
        </w:tc>
        <w:tc>
          <w:tcPr>
            <w:tcW w:w="437" w:type="pct"/>
            <w:gridSpan w:val="2"/>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noProof/>
                <w:color w:val="000000"/>
                <w:sz w:val="20"/>
                <w:szCs w:val="20"/>
                <w:lang w:val="en-IE" w:eastAsia="en-IE"/>
              </w:rPr>
            </w:pPr>
            <w:r w:rsidRPr="00C2043F">
              <w:rPr>
                <w:noProof/>
                <w:color w:val="000000"/>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noProof/>
                <w:color w:val="000000"/>
                <w:sz w:val="20"/>
                <w:szCs w:val="20"/>
                <w:lang w:val="en-IE" w:eastAsia="en-IE"/>
              </w:rPr>
            </w:pPr>
            <w:r w:rsidRPr="00C2043F">
              <w:rPr>
                <w:noProof/>
                <w:color w:val="000000"/>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noProof/>
                <w:color w:val="000000"/>
                <w:sz w:val="20"/>
                <w:szCs w:val="20"/>
                <w:lang w:val="en-IE" w:eastAsia="en-IE"/>
              </w:rPr>
            </w:pPr>
            <w:r w:rsidRPr="00C2043F">
              <w:rPr>
                <w:noProof/>
                <w:color w:val="000000"/>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noProof/>
                <w:color w:val="000000"/>
                <w:sz w:val="20"/>
                <w:szCs w:val="20"/>
                <w:lang w:val="en-IE" w:eastAsia="en-IE"/>
              </w:rPr>
            </w:pPr>
            <w:r w:rsidRPr="00C2043F">
              <w:rPr>
                <w:noProof/>
                <w:color w:val="000000"/>
                <w:sz w:val="20"/>
                <w:szCs w:val="20"/>
                <w:lang w:val="en-IE" w:eastAsia="en-IE"/>
              </w:rPr>
              <w:t>0.</w:t>
            </w:r>
            <w:r>
              <w:rPr>
                <w:noProof/>
                <w:color w:val="000000"/>
                <w:sz w:val="20"/>
                <w:szCs w:val="20"/>
                <w:lang w:val="en-IE" w:eastAsia="en-IE"/>
              </w:rPr>
              <w:t>175</w:t>
            </w:r>
          </w:p>
        </w:tc>
        <w:tc>
          <w:tcPr>
            <w:tcW w:w="528"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 w:val="20"/>
                <w:szCs w:val="20"/>
                <w:lang w:val="en-IE" w:eastAsia="en-IE"/>
              </w:rPr>
            </w:pPr>
            <w:r>
              <w:rPr>
                <w:b/>
                <w:bCs/>
                <w:noProof/>
                <w:color w:val="000000"/>
                <w:sz w:val="20"/>
                <w:szCs w:val="20"/>
                <w:lang w:val="en-IE" w:eastAsia="en-IE"/>
              </w:rPr>
              <w:t>0.175</w:t>
            </w:r>
          </w:p>
        </w:tc>
      </w:tr>
      <w:tr w:rsidR="006B4685" w:rsidRPr="003268F2">
        <w:trPr>
          <w:trHeight w:val="300"/>
        </w:trPr>
        <w:tc>
          <w:tcPr>
            <w:tcW w:w="1522" w:type="pct"/>
            <w:gridSpan w:val="2"/>
            <w:vMerge/>
            <w:tcBorders>
              <w:top w:val="single" w:sz="8" w:space="0" w:color="auto"/>
              <w:left w:val="single" w:sz="8" w:space="0" w:color="auto"/>
              <w:bottom w:val="single" w:sz="8" w:space="0" w:color="auto"/>
              <w:right w:val="single" w:sz="8" w:space="0" w:color="auto"/>
            </w:tcBorders>
            <w:vAlign w:val="center"/>
            <w:hideMark/>
          </w:tcPr>
          <w:p w:rsidR="006B4685" w:rsidRPr="003268F2" w:rsidRDefault="006B4685">
            <w:pPr>
              <w:spacing w:before="0" w:after="0"/>
              <w:jc w:val="left"/>
              <w:rPr>
                <w:noProof/>
                <w:color w:val="000000"/>
                <w:sz w:val="21"/>
                <w:szCs w:val="21"/>
                <w:lang w:val="en-IE" w:eastAsia="en-IE"/>
              </w:rPr>
            </w:pPr>
          </w:p>
        </w:tc>
        <w:tc>
          <w:tcPr>
            <w:tcW w:w="471" w:type="pct"/>
            <w:gridSpan w:val="2"/>
            <w:tcBorders>
              <w:top w:val="nil"/>
              <w:left w:val="nil"/>
              <w:bottom w:val="single" w:sz="8" w:space="0" w:color="auto"/>
              <w:right w:val="single" w:sz="8" w:space="0" w:color="auto"/>
            </w:tcBorders>
            <w:vAlign w:val="center"/>
            <w:hideMark/>
          </w:tcPr>
          <w:p w:rsidR="006B4685" w:rsidRPr="003268F2" w:rsidRDefault="006B4685">
            <w:pPr>
              <w:spacing w:before="0" w:after="0"/>
              <w:rPr>
                <w:noProof/>
                <w:color w:val="000000"/>
                <w:sz w:val="18"/>
                <w:szCs w:val="18"/>
                <w:lang w:val="en-IE" w:eastAsia="en-IE"/>
              </w:rPr>
            </w:pPr>
            <w:r w:rsidRPr="003268F2">
              <w:rPr>
                <w:noProof/>
                <w:color w:val="000000"/>
                <w:sz w:val="18"/>
                <w:szCs w:val="18"/>
                <w:lang w:val="en-IE" w:eastAsia="en-IE"/>
              </w:rPr>
              <w:t>Payments</w:t>
            </w:r>
          </w:p>
        </w:tc>
        <w:tc>
          <w:tcPr>
            <w:tcW w:w="731" w:type="pct"/>
            <w:gridSpan w:val="3"/>
            <w:tcBorders>
              <w:top w:val="single" w:sz="8" w:space="0" w:color="auto"/>
              <w:left w:val="nil"/>
              <w:bottom w:val="single" w:sz="8" w:space="0" w:color="auto"/>
              <w:right w:val="single" w:sz="8" w:space="0" w:color="000000"/>
            </w:tcBorders>
            <w:vAlign w:val="center"/>
            <w:hideMark/>
          </w:tcPr>
          <w:p w:rsidR="006B4685" w:rsidRPr="003268F2" w:rsidRDefault="006B4685">
            <w:pPr>
              <w:spacing w:before="0" w:after="0"/>
              <w:jc w:val="center"/>
              <w:rPr>
                <w:noProof/>
                <w:color w:val="000000"/>
                <w:sz w:val="14"/>
                <w:szCs w:val="14"/>
                <w:lang w:val="en-IE" w:eastAsia="en-IE"/>
              </w:rPr>
            </w:pPr>
            <w:r w:rsidRPr="003268F2">
              <w:rPr>
                <w:noProof/>
                <w:color w:val="000000"/>
                <w:sz w:val="14"/>
                <w:szCs w:val="14"/>
                <w:lang w:val="en-IE" w:eastAsia="en-IE"/>
              </w:rPr>
              <w:t>(5)</w:t>
            </w:r>
          </w:p>
        </w:tc>
        <w:tc>
          <w:tcPr>
            <w:tcW w:w="437" w:type="pct"/>
            <w:gridSpan w:val="2"/>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noProof/>
                <w:color w:val="000000"/>
                <w:sz w:val="20"/>
                <w:szCs w:val="20"/>
                <w:lang w:val="en-IE" w:eastAsia="en-IE"/>
              </w:rPr>
            </w:pPr>
            <w:r w:rsidRPr="00C2043F">
              <w:rPr>
                <w:noProof/>
                <w:color w:val="000000"/>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noProof/>
                <w:color w:val="000000"/>
                <w:sz w:val="20"/>
                <w:szCs w:val="20"/>
                <w:lang w:val="en-IE" w:eastAsia="en-IE"/>
              </w:rPr>
            </w:pPr>
            <w:r w:rsidRPr="00C2043F">
              <w:rPr>
                <w:noProof/>
                <w:color w:val="000000"/>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noProof/>
                <w:color w:val="000000"/>
                <w:sz w:val="20"/>
                <w:szCs w:val="20"/>
                <w:lang w:val="en-IE" w:eastAsia="en-IE"/>
              </w:rPr>
            </w:pPr>
            <w:r w:rsidRPr="00C2043F">
              <w:rPr>
                <w:noProof/>
                <w:color w:val="000000"/>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noProof/>
                <w:color w:val="000000"/>
                <w:sz w:val="20"/>
                <w:szCs w:val="20"/>
                <w:lang w:val="en-IE" w:eastAsia="en-IE"/>
              </w:rPr>
            </w:pPr>
            <w:r>
              <w:rPr>
                <w:noProof/>
                <w:color w:val="000000"/>
                <w:sz w:val="20"/>
                <w:szCs w:val="20"/>
                <w:lang w:val="en-IE" w:eastAsia="en-IE"/>
              </w:rPr>
              <w:t>0.175</w:t>
            </w:r>
          </w:p>
        </w:tc>
        <w:tc>
          <w:tcPr>
            <w:tcW w:w="528"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 w:val="20"/>
                <w:szCs w:val="20"/>
                <w:lang w:val="en-IE" w:eastAsia="en-IE"/>
              </w:rPr>
            </w:pPr>
            <w:r>
              <w:rPr>
                <w:b/>
                <w:bCs/>
                <w:noProof/>
                <w:color w:val="000000"/>
                <w:sz w:val="20"/>
                <w:szCs w:val="20"/>
                <w:lang w:val="en-IE" w:eastAsia="en-IE"/>
              </w:rPr>
              <w:t>0.175</w:t>
            </w:r>
          </w:p>
        </w:tc>
      </w:tr>
      <w:tr w:rsidR="006B4685" w:rsidRPr="003268F2">
        <w:trPr>
          <w:trHeight w:val="990"/>
        </w:trPr>
        <w:tc>
          <w:tcPr>
            <w:tcW w:w="1993" w:type="pct"/>
            <w:gridSpan w:val="4"/>
            <w:tcBorders>
              <w:top w:val="single" w:sz="8" w:space="0" w:color="auto"/>
              <w:left w:val="single" w:sz="8" w:space="0" w:color="auto"/>
              <w:bottom w:val="single" w:sz="8" w:space="0" w:color="auto"/>
              <w:right w:val="single" w:sz="8" w:space="0" w:color="000000"/>
            </w:tcBorders>
            <w:vAlign w:val="center"/>
            <w:hideMark/>
          </w:tcPr>
          <w:p w:rsidR="006B4685" w:rsidRPr="003268F2" w:rsidRDefault="006B4685">
            <w:pPr>
              <w:spacing w:before="0" w:after="0"/>
              <w:rPr>
                <w:noProof/>
                <w:color w:val="000000"/>
                <w:sz w:val="21"/>
                <w:szCs w:val="21"/>
                <w:lang w:val="en-IE" w:eastAsia="en-IE"/>
              </w:rPr>
            </w:pPr>
            <w:r w:rsidRPr="003268F2">
              <w:rPr>
                <w:rFonts w:ascii="Calibri" w:hAnsi="Calibri" w:cs="Calibri"/>
                <w:noProof/>
                <w:color w:val="000000"/>
                <w:sz w:val="21"/>
                <w:szCs w:val="21"/>
                <w:lang w:val="en-IE" w:eastAsia="en-IE"/>
              </w:rPr>
              <w:t>•</w:t>
            </w:r>
            <w:r w:rsidRPr="003268F2">
              <w:rPr>
                <w:noProof/>
                <w:color w:val="000000"/>
                <w:sz w:val="21"/>
                <w:szCs w:val="21"/>
                <w:lang w:val="en-IE" w:eastAsia="en-IE"/>
              </w:rPr>
              <w:t xml:space="preserve"> TOTAL appropriations of an administrative nature financed from the envelope for specific programmes (all operational headings)</w:t>
            </w:r>
          </w:p>
        </w:tc>
        <w:tc>
          <w:tcPr>
            <w:tcW w:w="731" w:type="pct"/>
            <w:gridSpan w:val="3"/>
            <w:tcBorders>
              <w:top w:val="single" w:sz="8" w:space="0" w:color="auto"/>
              <w:left w:val="nil"/>
              <w:bottom w:val="single" w:sz="8" w:space="0" w:color="auto"/>
              <w:right w:val="single" w:sz="8" w:space="0" w:color="000000"/>
            </w:tcBorders>
            <w:vAlign w:val="center"/>
            <w:hideMark/>
          </w:tcPr>
          <w:p w:rsidR="006B4685" w:rsidRPr="003268F2" w:rsidRDefault="006B4685">
            <w:pPr>
              <w:spacing w:before="0" w:after="0"/>
              <w:jc w:val="center"/>
              <w:rPr>
                <w:noProof/>
                <w:color w:val="000000"/>
                <w:sz w:val="14"/>
                <w:szCs w:val="14"/>
                <w:lang w:val="en-IE" w:eastAsia="en-IE"/>
              </w:rPr>
            </w:pPr>
            <w:r w:rsidRPr="003268F2">
              <w:rPr>
                <w:noProof/>
                <w:color w:val="000000"/>
                <w:sz w:val="14"/>
                <w:szCs w:val="14"/>
                <w:lang w:val="en-IE" w:eastAsia="en-IE"/>
              </w:rPr>
              <w:t>(6)</w:t>
            </w:r>
          </w:p>
        </w:tc>
        <w:tc>
          <w:tcPr>
            <w:tcW w:w="437" w:type="pct"/>
            <w:gridSpan w:val="2"/>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noProof/>
                <w:color w:val="000000"/>
                <w:sz w:val="20"/>
                <w:szCs w:val="20"/>
                <w:lang w:val="en-IE" w:eastAsia="en-IE"/>
              </w:rPr>
            </w:pPr>
            <w:r w:rsidRPr="003268F2">
              <w:rPr>
                <w:noProof/>
                <w:color w:val="000000"/>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noProof/>
                <w:color w:val="000000"/>
                <w:sz w:val="20"/>
                <w:szCs w:val="20"/>
                <w:lang w:val="en-IE" w:eastAsia="en-IE"/>
              </w:rPr>
            </w:pPr>
            <w:r w:rsidRPr="00C2043F">
              <w:rPr>
                <w:noProof/>
                <w:color w:val="000000"/>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noProof/>
                <w:color w:val="000000"/>
                <w:sz w:val="20"/>
                <w:szCs w:val="20"/>
                <w:lang w:val="en-IE" w:eastAsia="en-IE"/>
              </w:rPr>
            </w:pPr>
            <w:r w:rsidRPr="00C2043F">
              <w:rPr>
                <w:noProof/>
                <w:color w:val="000000"/>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noProof/>
                <w:color w:val="000000"/>
                <w:sz w:val="20"/>
                <w:szCs w:val="20"/>
                <w:lang w:val="en-IE" w:eastAsia="en-IE"/>
              </w:rPr>
            </w:pPr>
            <w:r w:rsidRPr="00C2043F">
              <w:rPr>
                <w:noProof/>
                <w:color w:val="000000"/>
                <w:sz w:val="20"/>
                <w:szCs w:val="20"/>
                <w:lang w:val="en-IE" w:eastAsia="en-IE"/>
              </w:rPr>
              <w:t>0.000</w:t>
            </w:r>
          </w:p>
        </w:tc>
        <w:tc>
          <w:tcPr>
            <w:tcW w:w="528"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 w:val="20"/>
                <w:szCs w:val="20"/>
                <w:lang w:val="en-IE" w:eastAsia="en-IE"/>
              </w:rPr>
            </w:pPr>
            <w:r w:rsidRPr="00C2043F">
              <w:rPr>
                <w:noProof/>
                <w:color w:val="000000"/>
                <w:sz w:val="20"/>
                <w:szCs w:val="20"/>
                <w:lang w:val="en-IE" w:eastAsia="en-IE"/>
              </w:rPr>
              <w:t>0.000</w:t>
            </w:r>
          </w:p>
        </w:tc>
      </w:tr>
      <w:tr w:rsidR="006B4685" w:rsidRPr="003268F2">
        <w:trPr>
          <w:trHeight w:val="564"/>
        </w:trPr>
        <w:tc>
          <w:tcPr>
            <w:tcW w:w="1522" w:type="pct"/>
            <w:gridSpan w:val="2"/>
            <w:tcBorders>
              <w:top w:val="nil"/>
              <w:left w:val="single" w:sz="8" w:space="0" w:color="auto"/>
              <w:bottom w:val="nil"/>
              <w:right w:val="single" w:sz="8" w:space="0" w:color="auto"/>
            </w:tcBorders>
            <w:shd w:val="thinDiagStripe" w:color="C0C0C0" w:fill="F1F1F1"/>
            <w:vAlign w:val="center"/>
            <w:hideMark/>
          </w:tcPr>
          <w:p w:rsidR="006B4685" w:rsidRPr="003268F2" w:rsidRDefault="006B4685">
            <w:pPr>
              <w:spacing w:before="0" w:after="0"/>
              <w:jc w:val="center"/>
              <w:rPr>
                <w:b/>
                <w:bCs/>
                <w:noProof/>
                <w:color w:val="000000"/>
                <w:sz w:val="22"/>
                <w:lang w:val="en-IE" w:eastAsia="en-IE"/>
              </w:rPr>
            </w:pPr>
            <w:r w:rsidRPr="003268F2">
              <w:rPr>
                <w:b/>
                <w:bCs/>
                <w:noProof/>
                <w:color w:val="000000"/>
                <w:sz w:val="22"/>
                <w:lang w:val="en-IE" w:eastAsia="en-IE"/>
              </w:rPr>
              <w:t>TOTAL appropriations</w:t>
            </w:r>
            <w:r>
              <w:rPr>
                <w:b/>
                <w:bCs/>
                <w:noProof/>
                <w:color w:val="000000"/>
                <w:sz w:val="22"/>
                <w:lang w:val="en-IE" w:eastAsia="en-IE"/>
              </w:rPr>
              <w:t xml:space="preserve"> u</w:t>
            </w:r>
            <w:r w:rsidRPr="003268F2">
              <w:rPr>
                <w:b/>
                <w:bCs/>
                <w:noProof/>
                <w:color w:val="000000"/>
                <w:sz w:val="22"/>
                <w:lang w:val="en-IE" w:eastAsia="en-IE"/>
              </w:rPr>
              <w:t>nder Heading</w:t>
            </w:r>
            <w:r>
              <w:rPr>
                <w:b/>
                <w:bCs/>
                <w:noProof/>
                <w:color w:val="000000"/>
                <w:sz w:val="22"/>
                <w:lang w:val="en-IE" w:eastAsia="en-IE"/>
              </w:rPr>
              <w:t>s</w:t>
            </w:r>
            <w:r w:rsidRPr="003268F2">
              <w:rPr>
                <w:b/>
                <w:bCs/>
                <w:noProof/>
                <w:color w:val="000000"/>
                <w:sz w:val="22"/>
                <w:lang w:val="en-IE" w:eastAsia="en-IE"/>
              </w:rPr>
              <w:t xml:space="preserve"> 1 to 6</w:t>
            </w:r>
          </w:p>
        </w:tc>
        <w:tc>
          <w:tcPr>
            <w:tcW w:w="471" w:type="pct"/>
            <w:gridSpan w:val="2"/>
            <w:tcBorders>
              <w:top w:val="nil"/>
              <w:left w:val="nil"/>
              <w:bottom w:val="nil"/>
              <w:right w:val="single" w:sz="8" w:space="0" w:color="auto"/>
            </w:tcBorders>
            <w:vAlign w:val="center"/>
            <w:hideMark/>
          </w:tcPr>
          <w:p w:rsidR="006B4685" w:rsidRPr="003268F2" w:rsidRDefault="006B4685">
            <w:pPr>
              <w:spacing w:before="0" w:after="0"/>
              <w:rPr>
                <w:noProof/>
                <w:color w:val="000000"/>
                <w:sz w:val="18"/>
                <w:szCs w:val="18"/>
                <w:lang w:val="en-IE" w:eastAsia="en-IE"/>
              </w:rPr>
            </w:pPr>
            <w:r w:rsidRPr="003268F2">
              <w:rPr>
                <w:noProof/>
                <w:color w:val="000000"/>
                <w:sz w:val="18"/>
                <w:szCs w:val="18"/>
                <w:lang w:val="en-IE" w:eastAsia="en-IE"/>
              </w:rPr>
              <w:t>Commitments</w:t>
            </w:r>
          </w:p>
        </w:tc>
        <w:tc>
          <w:tcPr>
            <w:tcW w:w="731" w:type="pct"/>
            <w:gridSpan w:val="3"/>
            <w:tcBorders>
              <w:top w:val="single" w:sz="8" w:space="0" w:color="auto"/>
              <w:left w:val="nil"/>
              <w:bottom w:val="nil"/>
              <w:right w:val="single" w:sz="8" w:space="0" w:color="000000"/>
            </w:tcBorders>
            <w:vAlign w:val="center"/>
            <w:hideMark/>
          </w:tcPr>
          <w:p w:rsidR="006B4685" w:rsidRPr="003268F2" w:rsidRDefault="006B4685">
            <w:pPr>
              <w:spacing w:before="0" w:after="0"/>
              <w:jc w:val="center"/>
              <w:rPr>
                <w:noProof/>
                <w:color w:val="000000"/>
                <w:sz w:val="14"/>
                <w:szCs w:val="14"/>
                <w:lang w:val="en-IE" w:eastAsia="en-IE"/>
              </w:rPr>
            </w:pPr>
            <w:r w:rsidRPr="003268F2">
              <w:rPr>
                <w:noProof/>
                <w:color w:val="000000"/>
                <w:sz w:val="14"/>
                <w:szCs w:val="14"/>
                <w:lang w:val="en-IE" w:eastAsia="en-IE"/>
              </w:rPr>
              <w:t>=4+6</w:t>
            </w:r>
          </w:p>
        </w:tc>
        <w:tc>
          <w:tcPr>
            <w:tcW w:w="437" w:type="pct"/>
            <w:gridSpan w:val="2"/>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 w:val="20"/>
                <w:szCs w:val="20"/>
                <w:lang w:val="en-IE" w:eastAsia="en-IE"/>
              </w:rPr>
            </w:pPr>
            <w:r>
              <w:rPr>
                <w:b/>
                <w:bCs/>
                <w:noProof/>
                <w:color w:val="000000"/>
                <w:sz w:val="20"/>
                <w:szCs w:val="20"/>
                <w:lang w:val="en-IE" w:eastAsia="en-IE"/>
              </w:rPr>
              <w:t>0.175</w:t>
            </w:r>
          </w:p>
        </w:tc>
        <w:tc>
          <w:tcPr>
            <w:tcW w:w="528"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 w:val="20"/>
                <w:szCs w:val="20"/>
                <w:lang w:val="en-IE" w:eastAsia="en-IE"/>
              </w:rPr>
            </w:pPr>
            <w:r>
              <w:rPr>
                <w:b/>
                <w:bCs/>
                <w:noProof/>
                <w:color w:val="000000"/>
                <w:sz w:val="20"/>
                <w:szCs w:val="20"/>
                <w:lang w:val="en-IE" w:eastAsia="en-IE"/>
              </w:rPr>
              <w:t>0.175</w:t>
            </w:r>
          </w:p>
        </w:tc>
      </w:tr>
      <w:tr w:rsidR="006B4685" w:rsidRPr="003268F2">
        <w:trPr>
          <w:trHeight w:val="588"/>
        </w:trPr>
        <w:tc>
          <w:tcPr>
            <w:tcW w:w="1522" w:type="pct"/>
            <w:gridSpan w:val="2"/>
            <w:tcBorders>
              <w:top w:val="nil"/>
              <w:left w:val="single" w:sz="8" w:space="0" w:color="auto"/>
              <w:bottom w:val="single" w:sz="8" w:space="0" w:color="auto"/>
              <w:right w:val="single" w:sz="8" w:space="0" w:color="auto"/>
            </w:tcBorders>
            <w:shd w:val="thinDiagStripe" w:color="C0C0C0" w:fill="F1F1F1"/>
            <w:vAlign w:val="center"/>
            <w:hideMark/>
          </w:tcPr>
          <w:p w:rsidR="006B4685" w:rsidRPr="003268F2" w:rsidRDefault="006B4685">
            <w:pPr>
              <w:spacing w:before="0" w:after="0"/>
              <w:jc w:val="center"/>
              <w:rPr>
                <w:noProof/>
                <w:color w:val="000000"/>
                <w:sz w:val="20"/>
                <w:szCs w:val="20"/>
                <w:lang w:val="en-IE" w:eastAsia="en-IE"/>
              </w:rPr>
            </w:pPr>
            <w:r w:rsidRPr="003268F2">
              <w:rPr>
                <w:noProof/>
                <w:color w:val="000000"/>
                <w:sz w:val="20"/>
                <w:szCs w:val="20"/>
                <w:lang w:val="en-IE" w:eastAsia="en-IE"/>
              </w:rPr>
              <w:t>of the multiannual financial framework</w:t>
            </w:r>
            <w:r w:rsidRPr="003268F2">
              <w:rPr>
                <w:noProof/>
                <w:color w:val="000000"/>
                <w:sz w:val="20"/>
                <w:szCs w:val="20"/>
                <w:lang w:val="en-IE" w:eastAsia="en-IE"/>
              </w:rPr>
              <w:br/>
              <w:t>(Reference amount)</w:t>
            </w:r>
          </w:p>
        </w:tc>
        <w:tc>
          <w:tcPr>
            <w:tcW w:w="471" w:type="pct"/>
            <w:gridSpan w:val="2"/>
            <w:tcBorders>
              <w:top w:val="nil"/>
              <w:left w:val="nil"/>
              <w:bottom w:val="single" w:sz="8" w:space="0" w:color="auto"/>
              <w:right w:val="single" w:sz="8" w:space="0" w:color="auto"/>
            </w:tcBorders>
            <w:vAlign w:val="center"/>
            <w:hideMark/>
          </w:tcPr>
          <w:p w:rsidR="006B4685" w:rsidRPr="003268F2" w:rsidRDefault="006B4685">
            <w:pPr>
              <w:spacing w:before="0" w:after="0"/>
              <w:rPr>
                <w:noProof/>
                <w:color w:val="000000"/>
                <w:sz w:val="18"/>
                <w:szCs w:val="18"/>
                <w:lang w:val="en-IE" w:eastAsia="en-IE"/>
              </w:rPr>
            </w:pPr>
            <w:r w:rsidRPr="003268F2">
              <w:rPr>
                <w:noProof/>
                <w:color w:val="000000"/>
                <w:sz w:val="18"/>
                <w:szCs w:val="18"/>
                <w:lang w:val="en-IE" w:eastAsia="en-IE"/>
              </w:rPr>
              <w:t>Payments</w:t>
            </w:r>
          </w:p>
        </w:tc>
        <w:tc>
          <w:tcPr>
            <w:tcW w:w="731" w:type="pct"/>
            <w:gridSpan w:val="3"/>
            <w:tcBorders>
              <w:top w:val="single" w:sz="8" w:space="0" w:color="auto"/>
              <w:left w:val="nil"/>
              <w:bottom w:val="single" w:sz="8" w:space="0" w:color="auto"/>
              <w:right w:val="single" w:sz="8" w:space="0" w:color="000000"/>
            </w:tcBorders>
            <w:vAlign w:val="center"/>
            <w:hideMark/>
          </w:tcPr>
          <w:p w:rsidR="006B4685" w:rsidRPr="003268F2" w:rsidRDefault="006B4685">
            <w:pPr>
              <w:spacing w:before="0" w:after="0"/>
              <w:jc w:val="center"/>
              <w:rPr>
                <w:noProof/>
                <w:color w:val="000000"/>
                <w:sz w:val="14"/>
                <w:szCs w:val="14"/>
                <w:lang w:val="en-IE" w:eastAsia="en-IE"/>
              </w:rPr>
            </w:pPr>
            <w:r w:rsidRPr="003268F2">
              <w:rPr>
                <w:noProof/>
                <w:color w:val="000000"/>
                <w:sz w:val="14"/>
                <w:szCs w:val="14"/>
                <w:lang w:val="en-IE" w:eastAsia="en-IE"/>
              </w:rPr>
              <w:t>=5+6</w:t>
            </w:r>
          </w:p>
        </w:tc>
        <w:tc>
          <w:tcPr>
            <w:tcW w:w="437" w:type="pct"/>
            <w:gridSpan w:val="2"/>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c>
          <w:tcPr>
            <w:tcW w:w="437" w:type="pct"/>
            <w:gridSpan w:val="2"/>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w:t>
            </w:r>
            <w:r>
              <w:rPr>
                <w:b/>
                <w:bCs/>
                <w:noProof/>
                <w:color w:val="000000"/>
                <w:sz w:val="20"/>
                <w:szCs w:val="20"/>
                <w:lang w:val="en-IE" w:eastAsia="en-IE"/>
              </w:rPr>
              <w:t>175</w:t>
            </w:r>
          </w:p>
        </w:tc>
        <w:tc>
          <w:tcPr>
            <w:tcW w:w="528"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 w:val="20"/>
                <w:szCs w:val="20"/>
                <w:lang w:val="en-IE" w:eastAsia="en-IE"/>
              </w:rPr>
            </w:pPr>
            <w:r>
              <w:rPr>
                <w:b/>
                <w:bCs/>
                <w:noProof/>
                <w:color w:val="000000"/>
                <w:sz w:val="20"/>
                <w:szCs w:val="20"/>
                <w:lang w:val="en-IE" w:eastAsia="en-IE"/>
              </w:rPr>
              <w:t>0.175</w:t>
            </w:r>
          </w:p>
        </w:tc>
      </w:tr>
    </w:tbl>
    <w:p w:rsidR="006B4685" w:rsidRDefault="006B4685" w:rsidP="006B4685">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rsidR="006B4685">
        <w:trPr>
          <w:jc w:val="center"/>
        </w:trPr>
        <w:tc>
          <w:tcPr>
            <w:tcW w:w="1739" w:type="pct"/>
            <w:shd w:val="thinDiagStripe" w:color="C0C0C0" w:fill="auto"/>
            <w:vAlign w:val="center"/>
          </w:tcPr>
          <w:p w:rsidR="006B4685" w:rsidRPr="003A769F" w:rsidRDefault="006B4685">
            <w:pPr>
              <w:spacing w:before="60" w:after="60"/>
              <w:jc w:val="center"/>
              <w:rPr>
                <w:b/>
                <w:noProof/>
                <w:lang w:val="en-IE"/>
              </w:rPr>
            </w:pPr>
            <w:r w:rsidRPr="003A769F">
              <w:rPr>
                <w:noProof/>
                <w:sz w:val="22"/>
                <w:lang w:val="en-IE"/>
              </w:rPr>
              <w:br w:type="page"/>
            </w:r>
            <w:r w:rsidRPr="003A769F">
              <w:rPr>
                <w:b/>
                <w:noProof/>
                <w:sz w:val="22"/>
                <w:lang w:val="en-IE"/>
              </w:rPr>
              <w:t xml:space="preserve">Heading of multiannual financial framework </w:t>
            </w:r>
          </w:p>
        </w:tc>
        <w:tc>
          <w:tcPr>
            <w:tcW w:w="396" w:type="pct"/>
            <w:shd w:val="thinDiagStripe" w:color="C0C0C0" w:fill="auto"/>
            <w:vAlign w:val="center"/>
          </w:tcPr>
          <w:p w:rsidR="006B4685" w:rsidRDefault="006B4685">
            <w:pPr>
              <w:spacing w:before="60" w:after="60"/>
              <w:jc w:val="center"/>
              <w:rPr>
                <w:noProof/>
              </w:rPr>
            </w:pPr>
            <w:r>
              <w:rPr>
                <w:b/>
                <w:noProof/>
                <w:sz w:val="22"/>
              </w:rPr>
              <w:t>7</w:t>
            </w:r>
          </w:p>
        </w:tc>
        <w:tc>
          <w:tcPr>
            <w:tcW w:w="2865" w:type="pct"/>
            <w:vAlign w:val="center"/>
          </w:tcPr>
          <w:p w:rsidR="006B4685" w:rsidRDefault="006B4685">
            <w:pPr>
              <w:spacing w:before="60" w:after="60"/>
              <w:rPr>
                <w:noProof/>
              </w:rPr>
            </w:pPr>
            <w:r>
              <w:rPr>
                <w:noProof/>
                <w:sz w:val="22"/>
              </w:rPr>
              <w:t>‘Administrative expenditure’</w:t>
            </w:r>
            <w:r>
              <w:rPr>
                <w:rStyle w:val="FootnoteReference"/>
                <w:noProof/>
                <w:sz w:val="22"/>
              </w:rPr>
              <w:footnoteReference w:id="40"/>
            </w:r>
          </w:p>
        </w:tc>
      </w:tr>
    </w:tbl>
    <w:p w:rsidR="006B4685" w:rsidRPr="00A624CD" w:rsidRDefault="006B4685" w:rsidP="006B4685">
      <w:pPr>
        <w:spacing w:after="40"/>
        <w:rPr>
          <w:noProof/>
          <w:lang w:val="en-IE"/>
        </w:rPr>
      </w:pPr>
    </w:p>
    <w:tbl>
      <w:tblPr>
        <w:tblW w:w="5000" w:type="pct"/>
        <w:tblLook w:val="04A0" w:firstRow="1" w:lastRow="0" w:firstColumn="1" w:lastColumn="0" w:noHBand="0" w:noVBand="1"/>
      </w:tblPr>
      <w:tblGrid>
        <w:gridCol w:w="4702"/>
        <w:gridCol w:w="2643"/>
        <w:gridCol w:w="637"/>
        <w:gridCol w:w="640"/>
        <w:gridCol w:w="1069"/>
        <w:gridCol w:w="1069"/>
        <w:gridCol w:w="1069"/>
        <w:gridCol w:w="1069"/>
        <w:gridCol w:w="1322"/>
      </w:tblGrid>
      <w:tr w:rsidR="006B4685" w:rsidRPr="003268F2">
        <w:trPr>
          <w:trHeight w:val="288"/>
        </w:trPr>
        <w:tc>
          <w:tcPr>
            <w:tcW w:w="3031" w:type="pct"/>
            <w:gridSpan w:val="4"/>
            <w:vMerge w:val="restart"/>
            <w:tcBorders>
              <w:top w:val="single" w:sz="8" w:space="0" w:color="auto"/>
              <w:left w:val="single" w:sz="8" w:space="0" w:color="auto"/>
              <w:bottom w:val="single" w:sz="8" w:space="0" w:color="auto"/>
              <w:right w:val="single" w:sz="8" w:space="0" w:color="auto"/>
            </w:tcBorders>
            <w:vAlign w:val="center"/>
            <w:hideMark/>
          </w:tcPr>
          <w:p w:rsidR="006B4685" w:rsidRPr="003268F2" w:rsidRDefault="006B4685">
            <w:pPr>
              <w:spacing w:before="0" w:after="0"/>
              <w:jc w:val="center"/>
              <w:rPr>
                <w:noProof/>
                <w:color w:val="000000"/>
                <w:szCs w:val="24"/>
                <w:lang w:val="en-IE" w:eastAsia="en-IE"/>
              </w:rPr>
            </w:pPr>
            <w:r w:rsidRPr="003268F2">
              <w:rPr>
                <w:noProof/>
                <w:color w:val="000000"/>
                <w:szCs w:val="24"/>
                <w:lang w:val="en-IE" w:eastAsia="en-IE"/>
              </w:rPr>
              <w:t>DG: &lt;…….&gt;</w:t>
            </w:r>
          </w:p>
        </w:tc>
        <w:tc>
          <w:tcPr>
            <w:tcW w:w="376" w:type="pct"/>
            <w:tcBorders>
              <w:top w:val="single" w:sz="8" w:space="0" w:color="auto"/>
              <w:left w:val="nil"/>
              <w:bottom w:val="nil"/>
              <w:right w:val="single" w:sz="8" w:space="0" w:color="auto"/>
            </w:tcBorders>
            <w:vAlign w:val="center"/>
            <w:hideMark/>
          </w:tcPr>
          <w:p w:rsidR="006B4685" w:rsidRPr="003268F2" w:rsidRDefault="006B4685">
            <w:pPr>
              <w:spacing w:before="0" w:after="0"/>
              <w:jc w:val="center"/>
              <w:rPr>
                <w:noProof/>
                <w:color w:val="000000"/>
                <w:sz w:val="20"/>
                <w:szCs w:val="20"/>
                <w:lang w:val="en-IE" w:eastAsia="en-IE"/>
              </w:rPr>
            </w:pPr>
            <w:r w:rsidRPr="003268F2">
              <w:rPr>
                <w:noProof/>
                <w:color w:val="000000"/>
                <w:sz w:val="20"/>
                <w:szCs w:val="20"/>
                <w:lang w:val="en-IE" w:eastAsia="en-IE"/>
              </w:rPr>
              <w:t>Year</w:t>
            </w:r>
          </w:p>
        </w:tc>
        <w:tc>
          <w:tcPr>
            <w:tcW w:w="376" w:type="pct"/>
            <w:tcBorders>
              <w:top w:val="single" w:sz="8" w:space="0" w:color="auto"/>
              <w:left w:val="nil"/>
              <w:bottom w:val="nil"/>
              <w:right w:val="single" w:sz="8" w:space="0" w:color="auto"/>
            </w:tcBorders>
            <w:vAlign w:val="center"/>
            <w:hideMark/>
          </w:tcPr>
          <w:p w:rsidR="006B4685" w:rsidRPr="003268F2" w:rsidRDefault="006B4685">
            <w:pPr>
              <w:spacing w:before="0" w:after="0"/>
              <w:jc w:val="center"/>
              <w:rPr>
                <w:noProof/>
                <w:color w:val="000000"/>
                <w:sz w:val="20"/>
                <w:szCs w:val="20"/>
                <w:lang w:val="en-IE" w:eastAsia="en-IE"/>
              </w:rPr>
            </w:pPr>
            <w:r w:rsidRPr="003268F2">
              <w:rPr>
                <w:noProof/>
                <w:color w:val="000000"/>
                <w:sz w:val="20"/>
                <w:szCs w:val="20"/>
                <w:lang w:val="en-IE" w:eastAsia="en-IE"/>
              </w:rPr>
              <w:t>Year</w:t>
            </w:r>
          </w:p>
        </w:tc>
        <w:tc>
          <w:tcPr>
            <w:tcW w:w="376" w:type="pct"/>
            <w:tcBorders>
              <w:top w:val="single" w:sz="8" w:space="0" w:color="auto"/>
              <w:left w:val="nil"/>
              <w:bottom w:val="nil"/>
              <w:right w:val="single" w:sz="8" w:space="0" w:color="auto"/>
            </w:tcBorders>
            <w:vAlign w:val="center"/>
            <w:hideMark/>
          </w:tcPr>
          <w:p w:rsidR="006B4685" w:rsidRPr="003268F2" w:rsidRDefault="006B4685">
            <w:pPr>
              <w:spacing w:before="0" w:after="0"/>
              <w:jc w:val="center"/>
              <w:rPr>
                <w:noProof/>
                <w:color w:val="000000"/>
                <w:sz w:val="20"/>
                <w:szCs w:val="20"/>
                <w:lang w:val="en-IE" w:eastAsia="en-IE"/>
              </w:rPr>
            </w:pPr>
            <w:r w:rsidRPr="003268F2">
              <w:rPr>
                <w:noProof/>
                <w:color w:val="000000"/>
                <w:sz w:val="20"/>
                <w:szCs w:val="20"/>
                <w:lang w:val="en-IE" w:eastAsia="en-IE"/>
              </w:rPr>
              <w:t>Year</w:t>
            </w:r>
          </w:p>
        </w:tc>
        <w:tc>
          <w:tcPr>
            <w:tcW w:w="376" w:type="pct"/>
            <w:tcBorders>
              <w:top w:val="single" w:sz="8" w:space="0" w:color="auto"/>
              <w:left w:val="nil"/>
              <w:bottom w:val="nil"/>
              <w:right w:val="single" w:sz="8" w:space="0" w:color="auto"/>
            </w:tcBorders>
            <w:vAlign w:val="center"/>
            <w:hideMark/>
          </w:tcPr>
          <w:p w:rsidR="006B4685" w:rsidRPr="003268F2" w:rsidRDefault="006B4685">
            <w:pPr>
              <w:spacing w:before="0" w:after="0"/>
              <w:jc w:val="center"/>
              <w:rPr>
                <w:noProof/>
                <w:color w:val="000000"/>
                <w:sz w:val="20"/>
                <w:szCs w:val="20"/>
                <w:lang w:val="en-IE" w:eastAsia="en-IE"/>
              </w:rPr>
            </w:pPr>
            <w:r w:rsidRPr="003268F2">
              <w:rPr>
                <w:noProof/>
                <w:color w:val="000000"/>
                <w:sz w:val="20"/>
                <w:szCs w:val="20"/>
                <w:lang w:val="en-IE" w:eastAsia="en-IE"/>
              </w:rPr>
              <w:t>Year</w:t>
            </w:r>
          </w:p>
        </w:tc>
        <w:tc>
          <w:tcPr>
            <w:tcW w:w="467" w:type="pct"/>
            <w:vMerge w:val="restart"/>
            <w:tcBorders>
              <w:top w:val="single" w:sz="8" w:space="0" w:color="auto"/>
              <w:left w:val="single" w:sz="8" w:space="0" w:color="auto"/>
              <w:bottom w:val="single" w:sz="8" w:space="0" w:color="000000"/>
              <w:right w:val="single" w:sz="8" w:space="0" w:color="auto"/>
            </w:tcBorders>
            <w:vAlign w:val="center"/>
            <w:hideMark/>
          </w:tcPr>
          <w:p w:rsidR="006B4685" w:rsidRPr="003268F2" w:rsidRDefault="006B4685">
            <w:pPr>
              <w:spacing w:before="0" w:after="0"/>
              <w:jc w:val="center"/>
              <w:rPr>
                <w:b/>
                <w:bCs/>
                <w:noProof/>
                <w:color w:val="000000"/>
                <w:sz w:val="20"/>
                <w:szCs w:val="20"/>
                <w:lang w:val="en-IE" w:eastAsia="en-IE"/>
              </w:rPr>
            </w:pPr>
            <w:r w:rsidRPr="003268F2">
              <w:rPr>
                <w:b/>
                <w:bCs/>
                <w:noProof/>
                <w:color w:val="000000"/>
                <w:sz w:val="20"/>
                <w:szCs w:val="20"/>
                <w:lang w:val="en-IE" w:eastAsia="en-IE"/>
              </w:rPr>
              <w:t>TOTAL MFF</w:t>
            </w:r>
            <w:r>
              <w:rPr>
                <w:b/>
                <w:bCs/>
                <w:noProof/>
                <w:color w:val="000000"/>
                <w:sz w:val="20"/>
                <w:szCs w:val="20"/>
                <w:lang w:val="en-IE" w:eastAsia="en-IE"/>
              </w:rPr>
              <w:t xml:space="preserve"> </w:t>
            </w:r>
            <w:r w:rsidRPr="003268F2">
              <w:rPr>
                <w:b/>
                <w:bCs/>
                <w:noProof/>
                <w:color w:val="000000"/>
                <w:sz w:val="20"/>
                <w:szCs w:val="20"/>
                <w:lang w:val="en-IE" w:eastAsia="en-IE"/>
              </w:rPr>
              <w:t>2021-2027</w:t>
            </w:r>
          </w:p>
        </w:tc>
      </w:tr>
      <w:tr w:rsidR="006B4685" w:rsidRPr="003268F2">
        <w:trPr>
          <w:trHeight w:val="300"/>
        </w:trPr>
        <w:tc>
          <w:tcPr>
            <w:tcW w:w="3031" w:type="pct"/>
            <w:gridSpan w:val="4"/>
            <w:vMerge/>
            <w:tcBorders>
              <w:top w:val="single" w:sz="8" w:space="0" w:color="auto"/>
              <w:left w:val="single" w:sz="8" w:space="0" w:color="auto"/>
              <w:bottom w:val="single" w:sz="8" w:space="0" w:color="auto"/>
              <w:right w:val="single" w:sz="8" w:space="0" w:color="auto"/>
            </w:tcBorders>
            <w:vAlign w:val="center"/>
            <w:hideMark/>
          </w:tcPr>
          <w:p w:rsidR="006B4685" w:rsidRPr="003268F2" w:rsidRDefault="006B4685">
            <w:pPr>
              <w:spacing w:before="0" w:after="0"/>
              <w:jc w:val="left"/>
              <w:rPr>
                <w:noProof/>
                <w:color w:val="000000"/>
                <w:szCs w:val="24"/>
                <w:lang w:val="en-IE" w:eastAsia="en-IE"/>
              </w:rPr>
            </w:pPr>
          </w:p>
        </w:tc>
        <w:tc>
          <w:tcPr>
            <w:tcW w:w="376" w:type="pct"/>
            <w:tcBorders>
              <w:top w:val="nil"/>
              <w:left w:val="nil"/>
              <w:bottom w:val="single" w:sz="8" w:space="0" w:color="auto"/>
              <w:right w:val="single" w:sz="8" w:space="0" w:color="auto"/>
            </w:tcBorders>
            <w:vAlign w:val="center"/>
            <w:hideMark/>
          </w:tcPr>
          <w:p w:rsidR="006B4685" w:rsidRPr="003268F2" w:rsidRDefault="006B4685">
            <w:pPr>
              <w:spacing w:before="0" w:after="0"/>
              <w:jc w:val="center"/>
              <w:rPr>
                <w:b/>
                <w:bCs/>
                <w:noProof/>
                <w:color w:val="000000"/>
                <w:sz w:val="20"/>
                <w:szCs w:val="20"/>
                <w:lang w:val="en-IE" w:eastAsia="en-IE"/>
              </w:rPr>
            </w:pPr>
            <w:r w:rsidRPr="003268F2">
              <w:rPr>
                <w:b/>
                <w:bCs/>
                <w:noProof/>
                <w:color w:val="000000"/>
                <w:sz w:val="20"/>
                <w:szCs w:val="20"/>
                <w:lang w:val="en-IE" w:eastAsia="en-IE"/>
              </w:rPr>
              <w:t>2024</w:t>
            </w:r>
          </w:p>
        </w:tc>
        <w:tc>
          <w:tcPr>
            <w:tcW w:w="376" w:type="pct"/>
            <w:tcBorders>
              <w:top w:val="nil"/>
              <w:left w:val="nil"/>
              <w:bottom w:val="single" w:sz="8" w:space="0" w:color="auto"/>
              <w:right w:val="single" w:sz="8" w:space="0" w:color="auto"/>
            </w:tcBorders>
            <w:vAlign w:val="center"/>
            <w:hideMark/>
          </w:tcPr>
          <w:p w:rsidR="006B4685" w:rsidRPr="003268F2" w:rsidRDefault="006B4685">
            <w:pPr>
              <w:spacing w:before="0" w:after="0"/>
              <w:jc w:val="center"/>
              <w:rPr>
                <w:b/>
                <w:bCs/>
                <w:noProof/>
                <w:color w:val="000000"/>
                <w:sz w:val="20"/>
                <w:szCs w:val="20"/>
                <w:lang w:val="en-IE" w:eastAsia="en-IE"/>
              </w:rPr>
            </w:pPr>
            <w:r w:rsidRPr="003268F2">
              <w:rPr>
                <w:b/>
                <w:bCs/>
                <w:noProof/>
                <w:color w:val="000000"/>
                <w:sz w:val="20"/>
                <w:szCs w:val="20"/>
                <w:lang w:val="en-IE" w:eastAsia="en-IE"/>
              </w:rPr>
              <w:t>2025</w:t>
            </w:r>
          </w:p>
        </w:tc>
        <w:tc>
          <w:tcPr>
            <w:tcW w:w="376" w:type="pct"/>
            <w:tcBorders>
              <w:top w:val="nil"/>
              <w:left w:val="nil"/>
              <w:bottom w:val="single" w:sz="8" w:space="0" w:color="auto"/>
              <w:right w:val="single" w:sz="8" w:space="0" w:color="auto"/>
            </w:tcBorders>
            <w:vAlign w:val="center"/>
            <w:hideMark/>
          </w:tcPr>
          <w:p w:rsidR="006B4685" w:rsidRPr="003268F2" w:rsidRDefault="006B4685">
            <w:pPr>
              <w:spacing w:before="0" w:after="0"/>
              <w:jc w:val="center"/>
              <w:rPr>
                <w:b/>
                <w:bCs/>
                <w:noProof/>
                <w:color w:val="000000"/>
                <w:sz w:val="20"/>
                <w:szCs w:val="20"/>
                <w:lang w:val="en-IE" w:eastAsia="en-IE"/>
              </w:rPr>
            </w:pPr>
            <w:r w:rsidRPr="003268F2">
              <w:rPr>
                <w:b/>
                <w:bCs/>
                <w:noProof/>
                <w:color w:val="000000"/>
                <w:sz w:val="20"/>
                <w:szCs w:val="20"/>
                <w:lang w:val="en-IE" w:eastAsia="en-IE"/>
              </w:rPr>
              <w:t>2026</w:t>
            </w:r>
          </w:p>
        </w:tc>
        <w:tc>
          <w:tcPr>
            <w:tcW w:w="376" w:type="pct"/>
            <w:tcBorders>
              <w:top w:val="nil"/>
              <w:left w:val="nil"/>
              <w:bottom w:val="single" w:sz="8" w:space="0" w:color="auto"/>
              <w:right w:val="single" w:sz="8" w:space="0" w:color="auto"/>
            </w:tcBorders>
            <w:vAlign w:val="center"/>
            <w:hideMark/>
          </w:tcPr>
          <w:p w:rsidR="006B4685" w:rsidRPr="003268F2" w:rsidRDefault="006B4685">
            <w:pPr>
              <w:spacing w:before="0" w:after="0"/>
              <w:jc w:val="center"/>
              <w:rPr>
                <w:b/>
                <w:bCs/>
                <w:noProof/>
                <w:color w:val="000000"/>
                <w:sz w:val="20"/>
                <w:szCs w:val="20"/>
                <w:lang w:val="en-IE" w:eastAsia="en-IE"/>
              </w:rPr>
            </w:pPr>
            <w:r w:rsidRPr="003268F2">
              <w:rPr>
                <w:b/>
                <w:bCs/>
                <w:noProof/>
                <w:color w:val="000000"/>
                <w:sz w:val="20"/>
                <w:szCs w:val="20"/>
                <w:lang w:val="en-IE" w:eastAsia="en-IE"/>
              </w:rPr>
              <w:t>2027</w:t>
            </w:r>
          </w:p>
        </w:tc>
        <w:tc>
          <w:tcPr>
            <w:tcW w:w="467" w:type="pct"/>
            <w:vMerge/>
            <w:tcBorders>
              <w:top w:val="single" w:sz="8" w:space="0" w:color="auto"/>
              <w:left w:val="single" w:sz="8" w:space="0" w:color="auto"/>
              <w:bottom w:val="single" w:sz="8" w:space="0" w:color="000000"/>
              <w:right w:val="single" w:sz="8" w:space="0" w:color="auto"/>
            </w:tcBorders>
            <w:vAlign w:val="center"/>
            <w:hideMark/>
          </w:tcPr>
          <w:p w:rsidR="006B4685" w:rsidRPr="003268F2" w:rsidRDefault="006B4685">
            <w:pPr>
              <w:spacing w:before="0" w:after="0"/>
              <w:jc w:val="left"/>
              <w:rPr>
                <w:b/>
                <w:bCs/>
                <w:noProof/>
                <w:color w:val="000000"/>
                <w:sz w:val="20"/>
                <w:szCs w:val="20"/>
                <w:lang w:val="en-IE" w:eastAsia="en-IE"/>
              </w:rPr>
            </w:pPr>
          </w:p>
        </w:tc>
      </w:tr>
      <w:tr w:rsidR="006B4685" w:rsidRPr="003268F2">
        <w:trPr>
          <w:trHeight w:val="300"/>
        </w:trPr>
        <w:tc>
          <w:tcPr>
            <w:tcW w:w="3031" w:type="pct"/>
            <w:gridSpan w:val="4"/>
            <w:tcBorders>
              <w:top w:val="single" w:sz="8" w:space="0" w:color="auto"/>
              <w:left w:val="single" w:sz="8" w:space="0" w:color="auto"/>
              <w:bottom w:val="single" w:sz="8" w:space="0" w:color="auto"/>
              <w:right w:val="single" w:sz="8" w:space="0" w:color="auto"/>
            </w:tcBorders>
            <w:vAlign w:val="center"/>
            <w:hideMark/>
          </w:tcPr>
          <w:p w:rsidR="006B4685" w:rsidRPr="003268F2" w:rsidRDefault="006B4685">
            <w:pPr>
              <w:spacing w:before="0" w:after="0"/>
              <w:jc w:val="left"/>
              <w:rPr>
                <w:rFonts w:ascii="Wingdings" w:hAnsi="Wingdings" w:cs="Calibri"/>
                <w:noProof/>
                <w:color w:val="000000"/>
                <w:sz w:val="22"/>
                <w:lang w:val="en-IE" w:eastAsia="en-IE"/>
              </w:rPr>
            </w:pPr>
            <w:r w:rsidRPr="003268F2">
              <w:rPr>
                <w:rFonts w:ascii="Wingdings" w:hAnsi="Wingdings" w:cs="Calibri"/>
                <w:noProof/>
                <w:color w:val="000000"/>
                <w:sz w:val="22"/>
                <w:lang w:val="en-IE" w:eastAsia="en-IE"/>
              </w:rPr>
              <w:t></w:t>
            </w:r>
            <w:r w:rsidRPr="003268F2">
              <w:rPr>
                <w:noProof/>
                <w:color w:val="000000"/>
                <w:sz w:val="22"/>
                <w:lang w:val="en-IE" w:eastAsia="en-IE"/>
              </w:rPr>
              <w:t xml:space="preserve"> Human resources </w:t>
            </w:r>
          </w:p>
        </w:tc>
        <w:tc>
          <w:tcPr>
            <w:tcW w:w="376"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noProof/>
                <w:color w:val="000000"/>
                <w:sz w:val="20"/>
                <w:szCs w:val="20"/>
                <w:lang w:val="en-IE" w:eastAsia="en-IE"/>
              </w:rPr>
            </w:pPr>
            <w:r w:rsidRPr="003268F2">
              <w:rPr>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noProof/>
                <w:color w:val="000000"/>
                <w:sz w:val="20"/>
                <w:szCs w:val="20"/>
                <w:lang w:val="en-IE" w:eastAsia="en-IE"/>
              </w:rPr>
            </w:pPr>
            <w:r w:rsidRPr="003268F2">
              <w:rPr>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noProof/>
                <w:color w:val="000000"/>
                <w:sz w:val="20"/>
                <w:szCs w:val="20"/>
                <w:lang w:val="en-IE" w:eastAsia="en-IE"/>
              </w:rPr>
            </w:pPr>
            <w:r w:rsidRPr="003268F2">
              <w:rPr>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noProof/>
                <w:color w:val="000000"/>
                <w:sz w:val="20"/>
                <w:szCs w:val="20"/>
                <w:lang w:val="en-IE" w:eastAsia="en-IE"/>
              </w:rPr>
            </w:pPr>
            <w:r w:rsidRPr="003268F2">
              <w:rPr>
                <w:noProof/>
                <w:color w:val="000000"/>
                <w:sz w:val="20"/>
                <w:szCs w:val="20"/>
                <w:lang w:val="en-IE" w:eastAsia="en-IE"/>
              </w:rPr>
              <w:t>0.000</w:t>
            </w:r>
          </w:p>
        </w:tc>
        <w:tc>
          <w:tcPr>
            <w:tcW w:w="467"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 w:val="20"/>
                <w:szCs w:val="20"/>
                <w:lang w:val="en-IE" w:eastAsia="en-IE"/>
              </w:rPr>
            </w:pPr>
            <w:r w:rsidRPr="003268F2">
              <w:rPr>
                <w:b/>
                <w:bCs/>
                <w:noProof/>
                <w:color w:val="000000"/>
                <w:sz w:val="20"/>
                <w:szCs w:val="20"/>
                <w:lang w:val="en-IE" w:eastAsia="en-IE"/>
              </w:rPr>
              <w:t>0.000</w:t>
            </w:r>
          </w:p>
        </w:tc>
      </w:tr>
      <w:tr w:rsidR="006B4685" w:rsidRPr="003268F2">
        <w:trPr>
          <w:trHeight w:val="300"/>
        </w:trPr>
        <w:tc>
          <w:tcPr>
            <w:tcW w:w="3031" w:type="pct"/>
            <w:gridSpan w:val="4"/>
            <w:tcBorders>
              <w:top w:val="single" w:sz="8" w:space="0" w:color="auto"/>
              <w:left w:val="single" w:sz="8" w:space="0" w:color="auto"/>
              <w:bottom w:val="single" w:sz="8" w:space="0" w:color="auto"/>
              <w:right w:val="single" w:sz="8" w:space="0" w:color="auto"/>
            </w:tcBorders>
            <w:vAlign w:val="center"/>
            <w:hideMark/>
          </w:tcPr>
          <w:p w:rsidR="006B4685" w:rsidRPr="003268F2" w:rsidRDefault="006B4685">
            <w:pPr>
              <w:spacing w:before="0" w:after="0"/>
              <w:jc w:val="left"/>
              <w:rPr>
                <w:rFonts w:ascii="Wingdings" w:hAnsi="Wingdings" w:cs="Calibri"/>
                <w:noProof/>
                <w:color w:val="000000"/>
                <w:sz w:val="22"/>
                <w:lang w:val="en-IE" w:eastAsia="en-IE"/>
              </w:rPr>
            </w:pPr>
            <w:r w:rsidRPr="003268F2">
              <w:rPr>
                <w:rFonts w:ascii="Wingdings" w:hAnsi="Wingdings" w:cs="Calibri"/>
                <w:noProof/>
                <w:color w:val="000000"/>
                <w:sz w:val="22"/>
                <w:lang w:val="en-IE" w:eastAsia="en-IE"/>
              </w:rPr>
              <w:t></w:t>
            </w:r>
            <w:r w:rsidRPr="003268F2">
              <w:rPr>
                <w:noProof/>
                <w:color w:val="000000"/>
                <w:sz w:val="22"/>
                <w:lang w:val="en-IE" w:eastAsia="en-IE"/>
              </w:rPr>
              <w:t xml:space="preserve"> Other administrative expenditure </w:t>
            </w:r>
          </w:p>
        </w:tc>
        <w:tc>
          <w:tcPr>
            <w:tcW w:w="376"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noProof/>
                <w:color w:val="000000"/>
                <w:sz w:val="20"/>
                <w:szCs w:val="20"/>
                <w:lang w:val="en-IE" w:eastAsia="en-IE"/>
              </w:rPr>
            </w:pPr>
            <w:r w:rsidRPr="003268F2">
              <w:rPr>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noProof/>
                <w:color w:val="000000"/>
                <w:sz w:val="20"/>
                <w:szCs w:val="20"/>
                <w:lang w:val="en-IE" w:eastAsia="en-IE"/>
              </w:rPr>
            </w:pPr>
            <w:r w:rsidRPr="003268F2">
              <w:rPr>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noProof/>
                <w:color w:val="000000"/>
                <w:sz w:val="20"/>
                <w:szCs w:val="20"/>
                <w:lang w:val="en-IE" w:eastAsia="en-IE"/>
              </w:rPr>
            </w:pPr>
            <w:r w:rsidRPr="003268F2">
              <w:rPr>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noProof/>
                <w:color w:val="000000"/>
                <w:sz w:val="20"/>
                <w:szCs w:val="20"/>
                <w:lang w:val="en-IE" w:eastAsia="en-IE"/>
              </w:rPr>
            </w:pPr>
            <w:r w:rsidRPr="003268F2">
              <w:rPr>
                <w:noProof/>
                <w:color w:val="000000"/>
                <w:sz w:val="20"/>
                <w:szCs w:val="20"/>
                <w:lang w:val="en-IE" w:eastAsia="en-IE"/>
              </w:rPr>
              <w:t>0.000</w:t>
            </w:r>
          </w:p>
        </w:tc>
        <w:tc>
          <w:tcPr>
            <w:tcW w:w="467"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 w:val="20"/>
                <w:szCs w:val="20"/>
                <w:lang w:val="en-IE" w:eastAsia="en-IE"/>
              </w:rPr>
            </w:pPr>
            <w:r w:rsidRPr="003268F2">
              <w:rPr>
                <w:b/>
                <w:bCs/>
                <w:noProof/>
                <w:color w:val="000000"/>
                <w:sz w:val="20"/>
                <w:szCs w:val="20"/>
                <w:lang w:val="en-IE" w:eastAsia="en-IE"/>
              </w:rPr>
              <w:t>0.000</w:t>
            </w:r>
          </w:p>
        </w:tc>
      </w:tr>
      <w:tr w:rsidR="006B4685" w:rsidRPr="003268F2">
        <w:trPr>
          <w:trHeight w:val="300"/>
        </w:trPr>
        <w:tc>
          <w:tcPr>
            <w:tcW w:w="1653" w:type="pct"/>
            <w:tcBorders>
              <w:top w:val="nil"/>
              <w:left w:val="single" w:sz="8" w:space="0" w:color="auto"/>
              <w:bottom w:val="single" w:sz="8" w:space="0" w:color="auto"/>
              <w:right w:val="single" w:sz="8" w:space="0" w:color="auto"/>
            </w:tcBorders>
            <w:vAlign w:val="center"/>
            <w:hideMark/>
          </w:tcPr>
          <w:p w:rsidR="006B4685" w:rsidRPr="003268F2" w:rsidRDefault="006B4685">
            <w:pPr>
              <w:spacing w:before="0" w:after="0"/>
              <w:jc w:val="center"/>
              <w:rPr>
                <w:b/>
                <w:bCs/>
                <w:noProof/>
                <w:color w:val="000000"/>
                <w:sz w:val="22"/>
                <w:lang w:val="en-IE" w:eastAsia="en-IE"/>
              </w:rPr>
            </w:pPr>
            <w:r w:rsidRPr="003268F2">
              <w:rPr>
                <w:b/>
                <w:bCs/>
                <w:noProof/>
                <w:color w:val="000000"/>
                <w:sz w:val="22"/>
                <w:lang w:val="en-IE" w:eastAsia="en-IE"/>
              </w:rPr>
              <w:t xml:space="preserve">TOTAL DG </w:t>
            </w:r>
            <w:r w:rsidRPr="003268F2">
              <w:rPr>
                <w:noProof/>
                <w:color w:val="000000"/>
                <w:sz w:val="22"/>
                <w:lang w:val="en-IE" w:eastAsia="en-IE"/>
              </w:rPr>
              <w:t>&lt;…….&gt;</w:t>
            </w:r>
          </w:p>
        </w:tc>
        <w:tc>
          <w:tcPr>
            <w:tcW w:w="1378" w:type="pct"/>
            <w:gridSpan w:val="3"/>
            <w:tcBorders>
              <w:top w:val="single" w:sz="8" w:space="0" w:color="auto"/>
              <w:left w:val="nil"/>
              <w:bottom w:val="single" w:sz="8" w:space="0" w:color="auto"/>
              <w:right w:val="single" w:sz="8" w:space="0" w:color="auto"/>
            </w:tcBorders>
            <w:vAlign w:val="center"/>
            <w:hideMark/>
          </w:tcPr>
          <w:p w:rsidR="006B4685" w:rsidRPr="003268F2" w:rsidRDefault="006B4685">
            <w:pPr>
              <w:spacing w:before="0" w:after="0"/>
              <w:jc w:val="left"/>
              <w:rPr>
                <w:noProof/>
                <w:color w:val="000000"/>
                <w:sz w:val="18"/>
                <w:szCs w:val="18"/>
                <w:lang w:val="en-IE" w:eastAsia="en-IE"/>
              </w:rPr>
            </w:pPr>
            <w:r w:rsidRPr="003268F2">
              <w:rPr>
                <w:noProof/>
                <w:color w:val="000000"/>
                <w:sz w:val="18"/>
                <w:szCs w:val="18"/>
                <w:lang w:val="en-IE" w:eastAsia="en-IE"/>
              </w:rPr>
              <w:t xml:space="preserve">Appropriations </w:t>
            </w:r>
          </w:p>
        </w:tc>
        <w:tc>
          <w:tcPr>
            <w:tcW w:w="376"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 w:val="20"/>
                <w:szCs w:val="20"/>
                <w:lang w:val="en-IE" w:eastAsia="en-IE"/>
              </w:rPr>
            </w:pPr>
            <w:r w:rsidRPr="003268F2">
              <w:rPr>
                <w:b/>
                <w:bCs/>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 w:val="20"/>
                <w:szCs w:val="20"/>
                <w:lang w:val="en-IE" w:eastAsia="en-IE"/>
              </w:rPr>
            </w:pPr>
            <w:r w:rsidRPr="003268F2">
              <w:rPr>
                <w:b/>
                <w:bCs/>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 w:val="20"/>
                <w:szCs w:val="20"/>
                <w:lang w:val="en-IE" w:eastAsia="en-IE"/>
              </w:rPr>
            </w:pPr>
            <w:r w:rsidRPr="003268F2">
              <w:rPr>
                <w:b/>
                <w:bCs/>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 w:val="20"/>
                <w:szCs w:val="20"/>
                <w:lang w:val="en-IE" w:eastAsia="en-IE"/>
              </w:rPr>
            </w:pPr>
            <w:r w:rsidRPr="003268F2">
              <w:rPr>
                <w:b/>
                <w:bCs/>
                <w:noProof/>
                <w:color w:val="000000"/>
                <w:sz w:val="20"/>
                <w:szCs w:val="20"/>
                <w:lang w:val="en-IE" w:eastAsia="en-IE"/>
              </w:rPr>
              <w:t>0.000</w:t>
            </w:r>
          </w:p>
        </w:tc>
        <w:tc>
          <w:tcPr>
            <w:tcW w:w="467"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 w:val="20"/>
                <w:szCs w:val="20"/>
                <w:lang w:val="en-IE" w:eastAsia="en-IE"/>
              </w:rPr>
            </w:pPr>
            <w:r w:rsidRPr="003268F2">
              <w:rPr>
                <w:b/>
                <w:bCs/>
                <w:noProof/>
                <w:color w:val="000000"/>
                <w:sz w:val="20"/>
                <w:szCs w:val="20"/>
                <w:lang w:val="en-IE" w:eastAsia="en-IE"/>
              </w:rPr>
              <w:t>0.000</w:t>
            </w:r>
          </w:p>
        </w:tc>
      </w:tr>
      <w:tr w:rsidR="006B4685" w:rsidRPr="003268F2">
        <w:trPr>
          <w:trHeight w:val="300"/>
        </w:trPr>
        <w:tc>
          <w:tcPr>
            <w:tcW w:w="1653" w:type="pct"/>
            <w:tcBorders>
              <w:top w:val="nil"/>
              <w:left w:val="nil"/>
              <w:bottom w:val="nil"/>
              <w:right w:val="nil"/>
            </w:tcBorders>
            <w:noWrap/>
            <w:vAlign w:val="bottom"/>
            <w:hideMark/>
          </w:tcPr>
          <w:p w:rsidR="006B4685" w:rsidRPr="003268F2" w:rsidRDefault="006B4685">
            <w:pPr>
              <w:spacing w:before="0" w:after="0"/>
              <w:jc w:val="right"/>
              <w:rPr>
                <w:b/>
                <w:bCs/>
                <w:noProof/>
                <w:color w:val="000000"/>
                <w:sz w:val="20"/>
                <w:szCs w:val="20"/>
                <w:lang w:val="en-IE" w:eastAsia="en-IE"/>
              </w:rPr>
            </w:pPr>
          </w:p>
        </w:tc>
        <w:tc>
          <w:tcPr>
            <w:tcW w:w="929" w:type="pct"/>
            <w:tcBorders>
              <w:top w:val="nil"/>
              <w:left w:val="nil"/>
              <w:bottom w:val="nil"/>
              <w:right w:val="nil"/>
            </w:tcBorders>
            <w:noWrap/>
            <w:vAlign w:val="bottom"/>
            <w:hideMark/>
          </w:tcPr>
          <w:p w:rsidR="006B4685" w:rsidRPr="003268F2" w:rsidRDefault="006B4685">
            <w:pPr>
              <w:spacing w:before="0" w:after="0"/>
              <w:jc w:val="left"/>
              <w:rPr>
                <w:noProof/>
                <w:sz w:val="20"/>
                <w:szCs w:val="20"/>
                <w:lang w:val="en-IE" w:eastAsia="en-IE"/>
              </w:rPr>
            </w:pPr>
          </w:p>
        </w:tc>
        <w:tc>
          <w:tcPr>
            <w:tcW w:w="224" w:type="pct"/>
            <w:tcBorders>
              <w:top w:val="nil"/>
              <w:left w:val="nil"/>
              <w:bottom w:val="nil"/>
              <w:right w:val="nil"/>
            </w:tcBorders>
            <w:noWrap/>
            <w:vAlign w:val="bottom"/>
            <w:hideMark/>
          </w:tcPr>
          <w:p w:rsidR="006B4685" w:rsidRPr="003268F2" w:rsidRDefault="006B4685">
            <w:pPr>
              <w:spacing w:before="0" w:after="0"/>
              <w:jc w:val="left"/>
              <w:rPr>
                <w:noProof/>
                <w:sz w:val="20"/>
                <w:szCs w:val="20"/>
                <w:lang w:val="en-IE" w:eastAsia="en-IE"/>
              </w:rPr>
            </w:pPr>
          </w:p>
        </w:tc>
        <w:tc>
          <w:tcPr>
            <w:tcW w:w="224" w:type="pct"/>
            <w:tcBorders>
              <w:top w:val="nil"/>
              <w:left w:val="nil"/>
              <w:bottom w:val="nil"/>
              <w:right w:val="nil"/>
            </w:tcBorders>
            <w:noWrap/>
            <w:vAlign w:val="bottom"/>
            <w:hideMark/>
          </w:tcPr>
          <w:p w:rsidR="006B4685" w:rsidRPr="003268F2" w:rsidRDefault="006B4685">
            <w:pPr>
              <w:spacing w:before="0" w:after="0"/>
              <w:jc w:val="left"/>
              <w:rPr>
                <w:noProof/>
                <w:sz w:val="20"/>
                <w:szCs w:val="20"/>
                <w:lang w:val="en-IE" w:eastAsia="en-IE"/>
              </w:rPr>
            </w:pPr>
          </w:p>
        </w:tc>
        <w:tc>
          <w:tcPr>
            <w:tcW w:w="376" w:type="pct"/>
            <w:tcBorders>
              <w:top w:val="nil"/>
              <w:left w:val="nil"/>
              <w:bottom w:val="nil"/>
              <w:right w:val="nil"/>
            </w:tcBorders>
            <w:noWrap/>
            <w:vAlign w:val="bottom"/>
            <w:hideMark/>
          </w:tcPr>
          <w:p w:rsidR="006B4685" w:rsidRPr="003268F2" w:rsidRDefault="006B4685">
            <w:pPr>
              <w:spacing w:before="0" w:after="0"/>
              <w:jc w:val="left"/>
              <w:rPr>
                <w:noProof/>
                <w:sz w:val="20"/>
                <w:szCs w:val="20"/>
                <w:lang w:val="en-IE" w:eastAsia="en-IE"/>
              </w:rPr>
            </w:pPr>
          </w:p>
        </w:tc>
        <w:tc>
          <w:tcPr>
            <w:tcW w:w="376" w:type="pct"/>
            <w:tcBorders>
              <w:top w:val="nil"/>
              <w:left w:val="nil"/>
              <w:bottom w:val="nil"/>
              <w:right w:val="nil"/>
            </w:tcBorders>
            <w:noWrap/>
            <w:vAlign w:val="bottom"/>
            <w:hideMark/>
          </w:tcPr>
          <w:p w:rsidR="006B4685" w:rsidRPr="003268F2" w:rsidRDefault="006B4685">
            <w:pPr>
              <w:spacing w:before="0" w:after="0"/>
              <w:jc w:val="left"/>
              <w:rPr>
                <w:noProof/>
                <w:sz w:val="20"/>
                <w:szCs w:val="20"/>
                <w:lang w:val="en-IE" w:eastAsia="en-IE"/>
              </w:rPr>
            </w:pPr>
          </w:p>
        </w:tc>
        <w:tc>
          <w:tcPr>
            <w:tcW w:w="376" w:type="pct"/>
            <w:tcBorders>
              <w:top w:val="nil"/>
              <w:left w:val="nil"/>
              <w:bottom w:val="nil"/>
              <w:right w:val="nil"/>
            </w:tcBorders>
            <w:noWrap/>
            <w:vAlign w:val="bottom"/>
            <w:hideMark/>
          </w:tcPr>
          <w:p w:rsidR="006B4685" w:rsidRPr="003268F2" w:rsidRDefault="006B4685">
            <w:pPr>
              <w:spacing w:before="0" w:after="0"/>
              <w:jc w:val="left"/>
              <w:rPr>
                <w:noProof/>
                <w:sz w:val="20"/>
                <w:szCs w:val="20"/>
                <w:lang w:val="en-IE" w:eastAsia="en-IE"/>
              </w:rPr>
            </w:pPr>
          </w:p>
        </w:tc>
        <w:tc>
          <w:tcPr>
            <w:tcW w:w="376" w:type="pct"/>
            <w:tcBorders>
              <w:top w:val="nil"/>
              <w:left w:val="nil"/>
              <w:bottom w:val="nil"/>
              <w:right w:val="nil"/>
            </w:tcBorders>
            <w:noWrap/>
            <w:vAlign w:val="bottom"/>
            <w:hideMark/>
          </w:tcPr>
          <w:p w:rsidR="006B4685" w:rsidRPr="003268F2" w:rsidRDefault="006B4685">
            <w:pPr>
              <w:spacing w:before="0" w:after="0"/>
              <w:jc w:val="left"/>
              <w:rPr>
                <w:noProof/>
                <w:sz w:val="20"/>
                <w:szCs w:val="20"/>
                <w:lang w:val="en-IE" w:eastAsia="en-IE"/>
              </w:rPr>
            </w:pPr>
          </w:p>
        </w:tc>
        <w:tc>
          <w:tcPr>
            <w:tcW w:w="467" w:type="pct"/>
            <w:tcBorders>
              <w:top w:val="nil"/>
              <w:left w:val="nil"/>
              <w:bottom w:val="nil"/>
              <w:right w:val="nil"/>
            </w:tcBorders>
            <w:noWrap/>
            <w:vAlign w:val="bottom"/>
            <w:hideMark/>
          </w:tcPr>
          <w:p w:rsidR="006B4685" w:rsidRPr="003268F2" w:rsidRDefault="006B4685">
            <w:pPr>
              <w:spacing w:before="0" w:after="0"/>
              <w:jc w:val="left"/>
              <w:rPr>
                <w:noProof/>
                <w:sz w:val="20"/>
                <w:szCs w:val="20"/>
                <w:lang w:val="en-IE" w:eastAsia="en-IE"/>
              </w:rPr>
            </w:pPr>
          </w:p>
        </w:tc>
      </w:tr>
      <w:tr w:rsidR="006B4685" w:rsidRPr="003268F2">
        <w:trPr>
          <w:trHeight w:val="315"/>
        </w:trPr>
        <w:tc>
          <w:tcPr>
            <w:tcW w:w="3031" w:type="pct"/>
            <w:gridSpan w:val="4"/>
            <w:vMerge w:val="restart"/>
            <w:tcBorders>
              <w:top w:val="single" w:sz="8" w:space="0" w:color="auto"/>
              <w:left w:val="single" w:sz="8" w:space="0" w:color="auto"/>
              <w:bottom w:val="single" w:sz="8" w:space="0" w:color="auto"/>
              <w:right w:val="single" w:sz="8" w:space="0" w:color="auto"/>
            </w:tcBorders>
            <w:vAlign w:val="center"/>
            <w:hideMark/>
          </w:tcPr>
          <w:p w:rsidR="006B4685" w:rsidRPr="003268F2" w:rsidRDefault="006B4685">
            <w:pPr>
              <w:spacing w:before="0" w:after="0"/>
              <w:jc w:val="center"/>
              <w:rPr>
                <w:noProof/>
                <w:color w:val="000000"/>
                <w:szCs w:val="24"/>
                <w:lang w:val="en-IE" w:eastAsia="en-IE"/>
              </w:rPr>
            </w:pPr>
            <w:r w:rsidRPr="003268F2">
              <w:rPr>
                <w:noProof/>
                <w:color w:val="000000"/>
                <w:szCs w:val="24"/>
                <w:lang w:val="en-IE" w:eastAsia="en-IE"/>
              </w:rPr>
              <w:t>DG: &lt;…….&gt;</w:t>
            </w:r>
          </w:p>
        </w:tc>
        <w:tc>
          <w:tcPr>
            <w:tcW w:w="376" w:type="pct"/>
            <w:tcBorders>
              <w:top w:val="single" w:sz="8" w:space="0" w:color="auto"/>
              <w:left w:val="nil"/>
              <w:bottom w:val="nil"/>
              <w:right w:val="single" w:sz="8" w:space="0" w:color="auto"/>
            </w:tcBorders>
            <w:vAlign w:val="center"/>
            <w:hideMark/>
          </w:tcPr>
          <w:p w:rsidR="006B4685" w:rsidRPr="003268F2" w:rsidRDefault="006B4685">
            <w:pPr>
              <w:spacing w:before="0" w:after="0"/>
              <w:jc w:val="center"/>
              <w:rPr>
                <w:noProof/>
                <w:color w:val="000000"/>
                <w:sz w:val="20"/>
                <w:szCs w:val="20"/>
                <w:lang w:val="en-IE" w:eastAsia="en-IE"/>
              </w:rPr>
            </w:pPr>
            <w:r w:rsidRPr="003268F2">
              <w:rPr>
                <w:noProof/>
                <w:color w:val="000000"/>
                <w:sz w:val="20"/>
                <w:szCs w:val="20"/>
                <w:lang w:val="en-IE" w:eastAsia="en-IE"/>
              </w:rPr>
              <w:t>Year</w:t>
            </w:r>
          </w:p>
        </w:tc>
        <w:tc>
          <w:tcPr>
            <w:tcW w:w="376" w:type="pct"/>
            <w:tcBorders>
              <w:top w:val="single" w:sz="8" w:space="0" w:color="auto"/>
              <w:left w:val="nil"/>
              <w:bottom w:val="nil"/>
              <w:right w:val="single" w:sz="8" w:space="0" w:color="auto"/>
            </w:tcBorders>
            <w:vAlign w:val="center"/>
            <w:hideMark/>
          </w:tcPr>
          <w:p w:rsidR="006B4685" w:rsidRPr="003268F2" w:rsidRDefault="006B4685">
            <w:pPr>
              <w:spacing w:before="0" w:after="0"/>
              <w:jc w:val="center"/>
              <w:rPr>
                <w:noProof/>
                <w:color w:val="000000"/>
                <w:sz w:val="20"/>
                <w:szCs w:val="20"/>
                <w:lang w:val="en-IE" w:eastAsia="en-IE"/>
              </w:rPr>
            </w:pPr>
            <w:r w:rsidRPr="003268F2">
              <w:rPr>
                <w:noProof/>
                <w:color w:val="000000"/>
                <w:sz w:val="20"/>
                <w:szCs w:val="20"/>
                <w:lang w:val="en-IE" w:eastAsia="en-IE"/>
              </w:rPr>
              <w:t>Year</w:t>
            </w:r>
          </w:p>
        </w:tc>
        <w:tc>
          <w:tcPr>
            <w:tcW w:w="376" w:type="pct"/>
            <w:tcBorders>
              <w:top w:val="single" w:sz="8" w:space="0" w:color="auto"/>
              <w:left w:val="nil"/>
              <w:bottom w:val="nil"/>
              <w:right w:val="single" w:sz="8" w:space="0" w:color="auto"/>
            </w:tcBorders>
            <w:vAlign w:val="center"/>
            <w:hideMark/>
          </w:tcPr>
          <w:p w:rsidR="006B4685" w:rsidRPr="003268F2" w:rsidRDefault="006B4685">
            <w:pPr>
              <w:spacing w:before="0" w:after="0"/>
              <w:jc w:val="center"/>
              <w:rPr>
                <w:noProof/>
                <w:color w:val="000000"/>
                <w:sz w:val="20"/>
                <w:szCs w:val="20"/>
                <w:lang w:val="en-IE" w:eastAsia="en-IE"/>
              </w:rPr>
            </w:pPr>
            <w:r w:rsidRPr="003268F2">
              <w:rPr>
                <w:noProof/>
                <w:color w:val="000000"/>
                <w:sz w:val="20"/>
                <w:szCs w:val="20"/>
                <w:lang w:val="en-IE" w:eastAsia="en-IE"/>
              </w:rPr>
              <w:t>Year</w:t>
            </w:r>
          </w:p>
        </w:tc>
        <w:tc>
          <w:tcPr>
            <w:tcW w:w="376" w:type="pct"/>
            <w:tcBorders>
              <w:top w:val="single" w:sz="8" w:space="0" w:color="auto"/>
              <w:left w:val="nil"/>
              <w:bottom w:val="nil"/>
              <w:right w:val="single" w:sz="8" w:space="0" w:color="auto"/>
            </w:tcBorders>
            <w:vAlign w:val="center"/>
            <w:hideMark/>
          </w:tcPr>
          <w:p w:rsidR="006B4685" w:rsidRPr="003268F2" w:rsidRDefault="006B4685">
            <w:pPr>
              <w:spacing w:before="0" w:after="0"/>
              <w:jc w:val="center"/>
              <w:rPr>
                <w:noProof/>
                <w:color w:val="000000"/>
                <w:sz w:val="20"/>
                <w:szCs w:val="20"/>
                <w:lang w:val="en-IE" w:eastAsia="en-IE"/>
              </w:rPr>
            </w:pPr>
            <w:r w:rsidRPr="003268F2">
              <w:rPr>
                <w:noProof/>
                <w:color w:val="000000"/>
                <w:sz w:val="20"/>
                <w:szCs w:val="20"/>
                <w:lang w:val="en-IE" w:eastAsia="en-IE"/>
              </w:rPr>
              <w:t>Year</w:t>
            </w:r>
          </w:p>
        </w:tc>
        <w:tc>
          <w:tcPr>
            <w:tcW w:w="467" w:type="pct"/>
            <w:vMerge w:val="restart"/>
            <w:tcBorders>
              <w:top w:val="single" w:sz="8" w:space="0" w:color="auto"/>
              <w:left w:val="single" w:sz="8" w:space="0" w:color="auto"/>
              <w:bottom w:val="single" w:sz="8" w:space="0" w:color="000000"/>
              <w:right w:val="single" w:sz="8" w:space="0" w:color="auto"/>
            </w:tcBorders>
            <w:vAlign w:val="center"/>
            <w:hideMark/>
          </w:tcPr>
          <w:p w:rsidR="006B4685" w:rsidRPr="003268F2" w:rsidRDefault="006B4685">
            <w:pPr>
              <w:spacing w:before="0" w:after="0"/>
              <w:jc w:val="center"/>
              <w:rPr>
                <w:b/>
                <w:bCs/>
                <w:noProof/>
                <w:color w:val="000000"/>
                <w:sz w:val="20"/>
                <w:szCs w:val="20"/>
                <w:lang w:val="en-IE" w:eastAsia="en-IE"/>
              </w:rPr>
            </w:pPr>
            <w:r w:rsidRPr="003268F2">
              <w:rPr>
                <w:b/>
                <w:bCs/>
                <w:noProof/>
                <w:color w:val="000000"/>
                <w:sz w:val="20"/>
                <w:szCs w:val="20"/>
                <w:lang w:val="en-IE" w:eastAsia="en-IE"/>
              </w:rPr>
              <w:t>TOTAL MFF</w:t>
            </w:r>
            <w:r w:rsidRPr="003268F2">
              <w:rPr>
                <w:b/>
                <w:bCs/>
                <w:noProof/>
                <w:color w:val="000000"/>
                <w:sz w:val="20"/>
                <w:szCs w:val="20"/>
                <w:lang w:val="en-IE" w:eastAsia="en-IE"/>
              </w:rPr>
              <w:br/>
              <w:t>2021-2027</w:t>
            </w:r>
          </w:p>
        </w:tc>
      </w:tr>
      <w:tr w:rsidR="006B4685" w:rsidRPr="003268F2">
        <w:trPr>
          <w:trHeight w:val="300"/>
        </w:trPr>
        <w:tc>
          <w:tcPr>
            <w:tcW w:w="3031" w:type="pct"/>
            <w:gridSpan w:val="4"/>
            <w:vMerge/>
            <w:tcBorders>
              <w:top w:val="single" w:sz="8" w:space="0" w:color="auto"/>
              <w:left w:val="single" w:sz="8" w:space="0" w:color="auto"/>
              <w:bottom w:val="single" w:sz="8" w:space="0" w:color="auto"/>
              <w:right w:val="single" w:sz="8" w:space="0" w:color="auto"/>
            </w:tcBorders>
            <w:vAlign w:val="center"/>
            <w:hideMark/>
          </w:tcPr>
          <w:p w:rsidR="006B4685" w:rsidRPr="003268F2" w:rsidRDefault="006B4685">
            <w:pPr>
              <w:spacing w:before="0" w:after="0"/>
              <w:jc w:val="left"/>
              <w:rPr>
                <w:noProof/>
                <w:color w:val="000000"/>
                <w:szCs w:val="24"/>
                <w:lang w:val="en-IE" w:eastAsia="en-IE"/>
              </w:rPr>
            </w:pPr>
          </w:p>
        </w:tc>
        <w:tc>
          <w:tcPr>
            <w:tcW w:w="376" w:type="pct"/>
            <w:tcBorders>
              <w:top w:val="nil"/>
              <w:left w:val="nil"/>
              <w:bottom w:val="single" w:sz="8" w:space="0" w:color="auto"/>
              <w:right w:val="single" w:sz="8" w:space="0" w:color="auto"/>
            </w:tcBorders>
            <w:vAlign w:val="center"/>
            <w:hideMark/>
          </w:tcPr>
          <w:p w:rsidR="006B4685" w:rsidRPr="003268F2" w:rsidRDefault="006B4685">
            <w:pPr>
              <w:spacing w:before="0" w:after="0"/>
              <w:jc w:val="center"/>
              <w:rPr>
                <w:b/>
                <w:bCs/>
                <w:noProof/>
                <w:color w:val="000000"/>
                <w:sz w:val="20"/>
                <w:szCs w:val="20"/>
                <w:lang w:val="en-IE" w:eastAsia="en-IE"/>
              </w:rPr>
            </w:pPr>
            <w:r w:rsidRPr="003268F2">
              <w:rPr>
                <w:b/>
                <w:bCs/>
                <w:noProof/>
                <w:color w:val="000000"/>
                <w:sz w:val="20"/>
                <w:szCs w:val="20"/>
                <w:lang w:val="en-IE" w:eastAsia="en-IE"/>
              </w:rPr>
              <w:t>2024</w:t>
            </w:r>
          </w:p>
        </w:tc>
        <w:tc>
          <w:tcPr>
            <w:tcW w:w="376" w:type="pct"/>
            <w:tcBorders>
              <w:top w:val="nil"/>
              <w:left w:val="nil"/>
              <w:bottom w:val="single" w:sz="8" w:space="0" w:color="auto"/>
              <w:right w:val="single" w:sz="8" w:space="0" w:color="auto"/>
            </w:tcBorders>
            <w:vAlign w:val="center"/>
            <w:hideMark/>
          </w:tcPr>
          <w:p w:rsidR="006B4685" w:rsidRPr="003268F2" w:rsidRDefault="006B4685">
            <w:pPr>
              <w:spacing w:before="0" w:after="0"/>
              <w:jc w:val="center"/>
              <w:rPr>
                <w:b/>
                <w:bCs/>
                <w:noProof/>
                <w:color w:val="000000"/>
                <w:sz w:val="20"/>
                <w:szCs w:val="20"/>
                <w:lang w:val="en-IE" w:eastAsia="en-IE"/>
              </w:rPr>
            </w:pPr>
            <w:r w:rsidRPr="003268F2">
              <w:rPr>
                <w:b/>
                <w:bCs/>
                <w:noProof/>
                <w:color w:val="000000"/>
                <w:sz w:val="20"/>
                <w:szCs w:val="20"/>
                <w:lang w:val="en-IE" w:eastAsia="en-IE"/>
              </w:rPr>
              <w:t>2025</w:t>
            </w:r>
          </w:p>
        </w:tc>
        <w:tc>
          <w:tcPr>
            <w:tcW w:w="376" w:type="pct"/>
            <w:tcBorders>
              <w:top w:val="nil"/>
              <w:left w:val="nil"/>
              <w:bottom w:val="single" w:sz="8" w:space="0" w:color="auto"/>
              <w:right w:val="single" w:sz="8" w:space="0" w:color="auto"/>
            </w:tcBorders>
            <w:vAlign w:val="center"/>
            <w:hideMark/>
          </w:tcPr>
          <w:p w:rsidR="006B4685" w:rsidRPr="003268F2" w:rsidRDefault="006B4685">
            <w:pPr>
              <w:spacing w:before="0" w:after="0"/>
              <w:jc w:val="center"/>
              <w:rPr>
                <w:b/>
                <w:bCs/>
                <w:noProof/>
                <w:color w:val="000000"/>
                <w:sz w:val="20"/>
                <w:szCs w:val="20"/>
                <w:lang w:val="en-IE" w:eastAsia="en-IE"/>
              </w:rPr>
            </w:pPr>
            <w:r w:rsidRPr="003268F2">
              <w:rPr>
                <w:b/>
                <w:bCs/>
                <w:noProof/>
                <w:color w:val="000000"/>
                <w:sz w:val="20"/>
                <w:szCs w:val="20"/>
                <w:lang w:val="en-IE" w:eastAsia="en-IE"/>
              </w:rPr>
              <w:t>2026</w:t>
            </w:r>
          </w:p>
        </w:tc>
        <w:tc>
          <w:tcPr>
            <w:tcW w:w="376" w:type="pct"/>
            <w:tcBorders>
              <w:top w:val="nil"/>
              <w:left w:val="nil"/>
              <w:bottom w:val="single" w:sz="8" w:space="0" w:color="auto"/>
              <w:right w:val="single" w:sz="8" w:space="0" w:color="auto"/>
            </w:tcBorders>
            <w:vAlign w:val="center"/>
            <w:hideMark/>
          </w:tcPr>
          <w:p w:rsidR="006B4685" w:rsidRPr="003268F2" w:rsidRDefault="006B4685">
            <w:pPr>
              <w:spacing w:before="0" w:after="0"/>
              <w:jc w:val="center"/>
              <w:rPr>
                <w:b/>
                <w:bCs/>
                <w:noProof/>
                <w:color w:val="000000"/>
                <w:sz w:val="20"/>
                <w:szCs w:val="20"/>
                <w:lang w:val="en-IE" w:eastAsia="en-IE"/>
              </w:rPr>
            </w:pPr>
            <w:r w:rsidRPr="003268F2">
              <w:rPr>
                <w:b/>
                <w:bCs/>
                <w:noProof/>
                <w:color w:val="000000"/>
                <w:sz w:val="20"/>
                <w:szCs w:val="20"/>
                <w:lang w:val="en-IE" w:eastAsia="en-IE"/>
              </w:rPr>
              <w:t>2027</w:t>
            </w:r>
          </w:p>
        </w:tc>
        <w:tc>
          <w:tcPr>
            <w:tcW w:w="467" w:type="pct"/>
            <w:vMerge/>
            <w:tcBorders>
              <w:top w:val="single" w:sz="8" w:space="0" w:color="auto"/>
              <w:left w:val="single" w:sz="8" w:space="0" w:color="auto"/>
              <w:bottom w:val="single" w:sz="8" w:space="0" w:color="000000"/>
              <w:right w:val="single" w:sz="8" w:space="0" w:color="auto"/>
            </w:tcBorders>
            <w:vAlign w:val="center"/>
            <w:hideMark/>
          </w:tcPr>
          <w:p w:rsidR="006B4685" w:rsidRPr="003268F2" w:rsidRDefault="006B4685">
            <w:pPr>
              <w:spacing w:before="0" w:after="0"/>
              <w:jc w:val="left"/>
              <w:rPr>
                <w:b/>
                <w:bCs/>
                <w:noProof/>
                <w:color w:val="000000"/>
                <w:sz w:val="20"/>
                <w:szCs w:val="20"/>
                <w:lang w:val="en-IE" w:eastAsia="en-IE"/>
              </w:rPr>
            </w:pPr>
          </w:p>
        </w:tc>
      </w:tr>
      <w:tr w:rsidR="006B4685" w:rsidRPr="003268F2">
        <w:trPr>
          <w:trHeight w:val="300"/>
        </w:trPr>
        <w:tc>
          <w:tcPr>
            <w:tcW w:w="3031" w:type="pct"/>
            <w:gridSpan w:val="4"/>
            <w:tcBorders>
              <w:top w:val="single" w:sz="8" w:space="0" w:color="auto"/>
              <w:left w:val="single" w:sz="8" w:space="0" w:color="auto"/>
              <w:bottom w:val="single" w:sz="8" w:space="0" w:color="auto"/>
              <w:right w:val="single" w:sz="8" w:space="0" w:color="auto"/>
            </w:tcBorders>
            <w:vAlign w:val="center"/>
            <w:hideMark/>
          </w:tcPr>
          <w:p w:rsidR="006B4685" w:rsidRPr="003268F2" w:rsidRDefault="006B4685">
            <w:pPr>
              <w:spacing w:before="0" w:after="0"/>
              <w:jc w:val="left"/>
              <w:rPr>
                <w:rFonts w:ascii="Wingdings" w:hAnsi="Wingdings" w:cs="Calibri"/>
                <w:noProof/>
                <w:color w:val="000000"/>
                <w:sz w:val="22"/>
                <w:lang w:val="en-IE" w:eastAsia="en-IE"/>
              </w:rPr>
            </w:pPr>
            <w:r w:rsidRPr="003268F2">
              <w:rPr>
                <w:rFonts w:ascii="Wingdings" w:hAnsi="Wingdings" w:cs="Calibri"/>
                <w:noProof/>
                <w:color w:val="000000"/>
                <w:sz w:val="22"/>
                <w:lang w:val="en-IE" w:eastAsia="en-IE"/>
              </w:rPr>
              <w:t></w:t>
            </w:r>
            <w:r w:rsidRPr="003268F2">
              <w:rPr>
                <w:noProof/>
                <w:color w:val="000000"/>
                <w:sz w:val="22"/>
                <w:lang w:val="en-IE" w:eastAsia="en-IE"/>
              </w:rPr>
              <w:t xml:space="preserve"> Human resources </w:t>
            </w:r>
          </w:p>
        </w:tc>
        <w:tc>
          <w:tcPr>
            <w:tcW w:w="376"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noProof/>
                <w:color w:val="000000"/>
                <w:sz w:val="20"/>
                <w:szCs w:val="20"/>
                <w:lang w:val="en-IE" w:eastAsia="en-IE"/>
              </w:rPr>
            </w:pPr>
            <w:r w:rsidRPr="003268F2">
              <w:rPr>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noProof/>
                <w:color w:val="000000"/>
                <w:sz w:val="20"/>
                <w:szCs w:val="20"/>
                <w:lang w:val="en-IE" w:eastAsia="en-IE"/>
              </w:rPr>
            </w:pPr>
            <w:r w:rsidRPr="003268F2">
              <w:rPr>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noProof/>
                <w:color w:val="000000"/>
                <w:sz w:val="20"/>
                <w:szCs w:val="20"/>
                <w:lang w:val="en-IE" w:eastAsia="en-IE"/>
              </w:rPr>
            </w:pPr>
            <w:r w:rsidRPr="003268F2">
              <w:rPr>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noProof/>
                <w:color w:val="000000"/>
                <w:sz w:val="20"/>
                <w:szCs w:val="20"/>
                <w:lang w:val="en-IE" w:eastAsia="en-IE"/>
              </w:rPr>
            </w:pPr>
            <w:r w:rsidRPr="003268F2">
              <w:rPr>
                <w:noProof/>
                <w:color w:val="000000"/>
                <w:sz w:val="20"/>
                <w:szCs w:val="20"/>
                <w:lang w:val="en-IE" w:eastAsia="en-IE"/>
              </w:rPr>
              <w:t>0.000</w:t>
            </w:r>
          </w:p>
        </w:tc>
        <w:tc>
          <w:tcPr>
            <w:tcW w:w="467"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 w:val="20"/>
                <w:szCs w:val="20"/>
                <w:lang w:val="en-IE" w:eastAsia="en-IE"/>
              </w:rPr>
            </w:pPr>
            <w:r w:rsidRPr="003268F2">
              <w:rPr>
                <w:b/>
                <w:bCs/>
                <w:noProof/>
                <w:color w:val="000000"/>
                <w:sz w:val="20"/>
                <w:szCs w:val="20"/>
                <w:lang w:val="en-IE" w:eastAsia="en-IE"/>
              </w:rPr>
              <w:t>0.000</w:t>
            </w:r>
          </w:p>
        </w:tc>
      </w:tr>
      <w:tr w:rsidR="006B4685" w:rsidRPr="003268F2">
        <w:trPr>
          <w:trHeight w:val="300"/>
        </w:trPr>
        <w:tc>
          <w:tcPr>
            <w:tcW w:w="3031" w:type="pct"/>
            <w:gridSpan w:val="4"/>
            <w:tcBorders>
              <w:top w:val="single" w:sz="8" w:space="0" w:color="auto"/>
              <w:left w:val="single" w:sz="8" w:space="0" w:color="auto"/>
              <w:bottom w:val="single" w:sz="8" w:space="0" w:color="auto"/>
              <w:right w:val="single" w:sz="8" w:space="0" w:color="auto"/>
            </w:tcBorders>
            <w:vAlign w:val="center"/>
            <w:hideMark/>
          </w:tcPr>
          <w:p w:rsidR="006B4685" w:rsidRPr="003268F2" w:rsidRDefault="006B4685">
            <w:pPr>
              <w:spacing w:before="0" w:after="0"/>
              <w:jc w:val="left"/>
              <w:rPr>
                <w:rFonts w:ascii="Wingdings" w:hAnsi="Wingdings" w:cs="Calibri"/>
                <w:noProof/>
                <w:color w:val="000000"/>
                <w:sz w:val="22"/>
                <w:lang w:val="en-IE" w:eastAsia="en-IE"/>
              </w:rPr>
            </w:pPr>
            <w:r w:rsidRPr="003268F2">
              <w:rPr>
                <w:rFonts w:ascii="Wingdings" w:hAnsi="Wingdings" w:cs="Calibri"/>
                <w:noProof/>
                <w:color w:val="000000"/>
                <w:sz w:val="22"/>
                <w:lang w:val="en-IE" w:eastAsia="en-IE"/>
              </w:rPr>
              <w:t></w:t>
            </w:r>
            <w:r w:rsidRPr="003268F2">
              <w:rPr>
                <w:noProof/>
                <w:color w:val="000000"/>
                <w:sz w:val="22"/>
                <w:lang w:val="en-IE" w:eastAsia="en-IE"/>
              </w:rPr>
              <w:t xml:space="preserve"> Other administrative expenditure </w:t>
            </w:r>
          </w:p>
        </w:tc>
        <w:tc>
          <w:tcPr>
            <w:tcW w:w="376"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noProof/>
                <w:color w:val="000000"/>
                <w:sz w:val="20"/>
                <w:szCs w:val="20"/>
                <w:lang w:val="en-IE" w:eastAsia="en-IE"/>
              </w:rPr>
            </w:pPr>
            <w:r w:rsidRPr="003268F2">
              <w:rPr>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noProof/>
                <w:color w:val="000000"/>
                <w:sz w:val="20"/>
                <w:szCs w:val="20"/>
                <w:lang w:val="en-IE" w:eastAsia="en-IE"/>
              </w:rPr>
            </w:pPr>
            <w:r w:rsidRPr="003268F2">
              <w:rPr>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noProof/>
                <w:color w:val="000000"/>
                <w:sz w:val="20"/>
                <w:szCs w:val="20"/>
                <w:lang w:val="en-IE" w:eastAsia="en-IE"/>
              </w:rPr>
            </w:pPr>
            <w:r w:rsidRPr="003268F2">
              <w:rPr>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noProof/>
                <w:color w:val="000000"/>
                <w:sz w:val="20"/>
                <w:szCs w:val="20"/>
                <w:lang w:val="en-IE" w:eastAsia="en-IE"/>
              </w:rPr>
            </w:pPr>
            <w:r w:rsidRPr="003268F2">
              <w:rPr>
                <w:noProof/>
                <w:color w:val="000000"/>
                <w:sz w:val="20"/>
                <w:szCs w:val="20"/>
                <w:lang w:val="en-IE" w:eastAsia="en-IE"/>
              </w:rPr>
              <w:t>0.000</w:t>
            </w:r>
          </w:p>
        </w:tc>
        <w:tc>
          <w:tcPr>
            <w:tcW w:w="467"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 w:val="20"/>
                <w:szCs w:val="20"/>
                <w:lang w:val="en-IE" w:eastAsia="en-IE"/>
              </w:rPr>
            </w:pPr>
            <w:r w:rsidRPr="003268F2">
              <w:rPr>
                <w:b/>
                <w:bCs/>
                <w:noProof/>
                <w:color w:val="000000"/>
                <w:sz w:val="20"/>
                <w:szCs w:val="20"/>
                <w:lang w:val="en-IE" w:eastAsia="en-IE"/>
              </w:rPr>
              <w:t>0.000</w:t>
            </w:r>
          </w:p>
        </w:tc>
      </w:tr>
      <w:tr w:rsidR="006B4685" w:rsidRPr="003268F2">
        <w:trPr>
          <w:trHeight w:val="300"/>
        </w:trPr>
        <w:tc>
          <w:tcPr>
            <w:tcW w:w="1653" w:type="pct"/>
            <w:tcBorders>
              <w:top w:val="nil"/>
              <w:left w:val="single" w:sz="8" w:space="0" w:color="auto"/>
              <w:bottom w:val="single" w:sz="8" w:space="0" w:color="auto"/>
              <w:right w:val="single" w:sz="8" w:space="0" w:color="auto"/>
            </w:tcBorders>
            <w:vAlign w:val="center"/>
            <w:hideMark/>
          </w:tcPr>
          <w:p w:rsidR="006B4685" w:rsidRPr="003268F2" w:rsidRDefault="006B4685">
            <w:pPr>
              <w:spacing w:before="0" w:after="0"/>
              <w:jc w:val="center"/>
              <w:rPr>
                <w:b/>
                <w:bCs/>
                <w:noProof/>
                <w:color w:val="000000"/>
                <w:sz w:val="22"/>
                <w:lang w:val="en-IE" w:eastAsia="en-IE"/>
              </w:rPr>
            </w:pPr>
            <w:r w:rsidRPr="003268F2">
              <w:rPr>
                <w:b/>
                <w:bCs/>
                <w:noProof/>
                <w:color w:val="000000"/>
                <w:sz w:val="22"/>
                <w:lang w:val="en-IE" w:eastAsia="en-IE"/>
              </w:rPr>
              <w:t xml:space="preserve">TOTAL DG </w:t>
            </w:r>
            <w:r w:rsidRPr="003268F2">
              <w:rPr>
                <w:noProof/>
                <w:color w:val="000000"/>
                <w:sz w:val="22"/>
                <w:lang w:val="en-IE" w:eastAsia="en-IE"/>
              </w:rPr>
              <w:t>&lt;…….&gt;</w:t>
            </w:r>
          </w:p>
        </w:tc>
        <w:tc>
          <w:tcPr>
            <w:tcW w:w="1378" w:type="pct"/>
            <w:gridSpan w:val="3"/>
            <w:tcBorders>
              <w:top w:val="single" w:sz="8" w:space="0" w:color="auto"/>
              <w:left w:val="nil"/>
              <w:bottom w:val="single" w:sz="8" w:space="0" w:color="auto"/>
              <w:right w:val="single" w:sz="8" w:space="0" w:color="auto"/>
            </w:tcBorders>
            <w:vAlign w:val="center"/>
            <w:hideMark/>
          </w:tcPr>
          <w:p w:rsidR="006B4685" w:rsidRPr="003268F2" w:rsidRDefault="006B4685">
            <w:pPr>
              <w:spacing w:before="0" w:after="0"/>
              <w:jc w:val="left"/>
              <w:rPr>
                <w:noProof/>
                <w:color w:val="000000"/>
                <w:sz w:val="18"/>
                <w:szCs w:val="18"/>
                <w:lang w:val="en-IE" w:eastAsia="en-IE"/>
              </w:rPr>
            </w:pPr>
            <w:r w:rsidRPr="003268F2">
              <w:rPr>
                <w:noProof/>
                <w:color w:val="000000"/>
                <w:sz w:val="18"/>
                <w:szCs w:val="18"/>
                <w:lang w:val="en-IE" w:eastAsia="en-IE"/>
              </w:rPr>
              <w:t xml:space="preserve">Appropriations </w:t>
            </w:r>
          </w:p>
        </w:tc>
        <w:tc>
          <w:tcPr>
            <w:tcW w:w="376"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 w:val="20"/>
                <w:szCs w:val="20"/>
                <w:lang w:val="en-IE" w:eastAsia="en-IE"/>
              </w:rPr>
            </w:pPr>
            <w:r w:rsidRPr="003268F2">
              <w:rPr>
                <w:b/>
                <w:bCs/>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 w:val="20"/>
                <w:szCs w:val="20"/>
                <w:lang w:val="en-IE" w:eastAsia="en-IE"/>
              </w:rPr>
            </w:pPr>
            <w:r w:rsidRPr="003268F2">
              <w:rPr>
                <w:b/>
                <w:bCs/>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 w:val="20"/>
                <w:szCs w:val="20"/>
                <w:lang w:val="en-IE" w:eastAsia="en-IE"/>
              </w:rPr>
            </w:pPr>
            <w:r w:rsidRPr="003268F2">
              <w:rPr>
                <w:b/>
                <w:bCs/>
                <w:noProof/>
                <w:color w:val="000000"/>
                <w:sz w:val="20"/>
                <w:szCs w:val="20"/>
                <w:lang w:val="en-IE" w:eastAsia="en-IE"/>
              </w:rPr>
              <w:t>0.000</w:t>
            </w:r>
          </w:p>
        </w:tc>
        <w:tc>
          <w:tcPr>
            <w:tcW w:w="376"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 w:val="20"/>
                <w:szCs w:val="20"/>
                <w:lang w:val="en-IE" w:eastAsia="en-IE"/>
              </w:rPr>
            </w:pPr>
            <w:r w:rsidRPr="003268F2">
              <w:rPr>
                <w:b/>
                <w:bCs/>
                <w:noProof/>
                <w:color w:val="000000"/>
                <w:sz w:val="20"/>
                <w:szCs w:val="20"/>
                <w:lang w:val="en-IE" w:eastAsia="en-IE"/>
              </w:rPr>
              <w:t>0.000</w:t>
            </w:r>
          </w:p>
        </w:tc>
        <w:tc>
          <w:tcPr>
            <w:tcW w:w="467"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 w:val="20"/>
                <w:szCs w:val="20"/>
                <w:lang w:val="en-IE" w:eastAsia="en-IE"/>
              </w:rPr>
            </w:pPr>
            <w:r w:rsidRPr="003268F2">
              <w:rPr>
                <w:b/>
                <w:bCs/>
                <w:noProof/>
                <w:color w:val="000000"/>
                <w:sz w:val="20"/>
                <w:szCs w:val="20"/>
                <w:lang w:val="en-IE" w:eastAsia="en-IE"/>
              </w:rPr>
              <w:t>0.000</w:t>
            </w:r>
          </w:p>
        </w:tc>
      </w:tr>
      <w:tr w:rsidR="006B4685" w:rsidRPr="003268F2">
        <w:trPr>
          <w:trHeight w:val="300"/>
        </w:trPr>
        <w:tc>
          <w:tcPr>
            <w:tcW w:w="1653" w:type="pct"/>
            <w:tcBorders>
              <w:top w:val="nil"/>
              <w:left w:val="nil"/>
              <w:bottom w:val="nil"/>
              <w:right w:val="nil"/>
            </w:tcBorders>
            <w:noWrap/>
            <w:vAlign w:val="bottom"/>
            <w:hideMark/>
          </w:tcPr>
          <w:p w:rsidR="006B4685" w:rsidRPr="003268F2" w:rsidRDefault="006B4685">
            <w:pPr>
              <w:spacing w:before="0" w:after="0"/>
              <w:jc w:val="right"/>
              <w:rPr>
                <w:b/>
                <w:bCs/>
                <w:noProof/>
                <w:color w:val="000000"/>
                <w:sz w:val="20"/>
                <w:szCs w:val="20"/>
                <w:lang w:val="en-IE" w:eastAsia="en-IE"/>
              </w:rPr>
            </w:pPr>
          </w:p>
        </w:tc>
        <w:tc>
          <w:tcPr>
            <w:tcW w:w="929" w:type="pct"/>
            <w:tcBorders>
              <w:top w:val="nil"/>
              <w:left w:val="nil"/>
              <w:bottom w:val="nil"/>
              <w:right w:val="nil"/>
            </w:tcBorders>
            <w:noWrap/>
            <w:vAlign w:val="bottom"/>
            <w:hideMark/>
          </w:tcPr>
          <w:p w:rsidR="006B4685" w:rsidRPr="003268F2" w:rsidRDefault="006B4685">
            <w:pPr>
              <w:spacing w:before="0" w:after="0"/>
              <w:jc w:val="left"/>
              <w:rPr>
                <w:noProof/>
                <w:sz w:val="20"/>
                <w:szCs w:val="20"/>
                <w:lang w:val="en-IE" w:eastAsia="en-IE"/>
              </w:rPr>
            </w:pPr>
          </w:p>
        </w:tc>
        <w:tc>
          <w:tcPr>
            <w:tcW w:w="224" w:type="pct"/>
            <w:tcBorders>
              <w:top w:val="nil"/>
              <w:left w:val="nil"/>
              <w:bottom w:val="nil"/>
              <w:right w:val="nil"/>
            </w:tcBorders>
            <w:noWrap/>
            <w:vAlign w:val="bottom"/>
            <w:hideMark/>
          </w:tcPr>
          <w:p w:rsidR="006B4685" w:rsidRPr="003268F2" w:rsidRDefault="006B4685">
            <w:pPr>
              <w:spacing w:before="0" w:after="0"/>
              <w:jc w:val="left"/>
              <w:rPr>
                <w:noProof/>
                <w:sz w:val="20"/>
                <w:szCs w:val="20"/>
                <w:lang w:val="en-IE" w:eastAsia="en-IE"/>
              </w:rPr>
            </w:pPr>
          </w:p>
        </w:tc>
        <w:tc>
          <w:tcPr>
            <w:tcW w:w="224" w:type="pct"/>
            <w:tcBorders>
              <w:top w:val="nil"/>
              <w:left w:val="nil"/>
              <w:bottom w:val="nil"/>
              <w:right w:val="nil"/>
            </w:tcBorders>
            <w:noWrap/>
            <w:vAlign w:val="bottom"/>
            <w:hideMark/>
          </w:tcPr>
          <w:p w:rsidR="006B4685" w:rsidRPr="003268F2" w:rsidRDefault="006B4685">
            <w:pPr>
              <w:spacing w:before="0" w:after="0"/>
              <w:jc w:val="left"/>
              <w:rPr>
                <w:noProof/>
                <w:sz w:val="20"/>
                <w:szCs w:val="20"/>
                <w:lang w:val="en-IE" w:eastAsia="en-IE"/>
              </w:rPr>
            </w:pPr>
          </w:p>
        </w:tc>
        <w:tc>
          <w:tcPr>
            <w:tcW w:w="376" w:type="pct"/>
            <w:tcBorders>
              <w:top w:val="nil"/>
              <w:left w:val="nil"/>
              <w:bottom w:val="nil"/>
              <w:right w:val="nil"/>
            </w:tcBorders>
            <w:noWrap/>
            <w:vAlign w:val="bottom"/>
            <w:hideMark/>
          </w:tcPr>
          <w:p w:rsidR="006B4685" w:rsidRPr="003268F2" w:rsidRDefault="006B4685">
            <w:pPr>
              <w:spacing w:before="0" w:after="0"/>
              <w:jc w:val="left"/>
              <w:rPr>
                <w:noProof/>
                <w:sz w:val="20"/>
                <w:szCs w:val="20"/>
                <w:lang w:val="en-IE" w:eastAsia="en-IE"/>
              </w:rPr>
            </w:pPr>
          </w:p>
        </w:tc>
        <w:tc>
          <w:tcPr>
            <w:tcW w:w="376" w:type="pct"/>
            <w:tcBorders>
              <w:top w:val="nil"/>
              <w:left w:val="nil"/>
              <w:bottom w:val="nil"/>
              <w:right w:val="nil"/>
            </w:tcBorders>
            <w:noWrap/>
            <w:vAlign w:val="bottom"/>
            <w:hideMark/>
          </w:tcPr>
          <w:p w:rsidR="006B4685" w:rsidRPr="003268F2" w:rsidRDefault="006B4685">
            <w:pPr>
              <w:spacing w:before="0" w:after="0"/>
              <w:jc w:val="left"/>
              <w:rPr>
                <w:noProof/>
                <w:sz w:val="20"/>
                <w:szCs w:val="20"/>
                <w:lang w:val="en-IE" w:eastAsia="en-IE"/>
              </w:rPr>
            </w:pPr>
          </w:p>
        </w:tc>
        <w:tc>
          <w:tcPr>
            <w:tcW w:w="376" w:type="pct"/>
            <w:tcBorders>
              <w:top w:val="nil"/>
              <w:left w:val="nil"/>
              <w:bottom w:val="nil"/>
              <w:right w:val="nil"/>
            </w:tcBorders>
            <w:noWrap/>
            <w:vAlign w:val="bottom"/>
            <w:hideMark/>
          </w:tcPr>
          <w:p w:rsidR="006B4685" w:rsidRPr="003268F2" w:rsidRDefault="006B4685">
            <w:pPr>
              <w:spacing w:before="0" w:after="0"/>
              <w:jc w:val="left"/>
              <w:rPr>
                <w:noProof/>
                <w:sz w:val="20"/>
                <w:szCs w:val="20"/>
                <w:lang w:val="en-IE" w:eastAsia="en-IE"/>
              </w:rPr>
            </w:pPr>
          </w:p>
        </w:tc>
        <w:tc>
          <w:tcPr>
            <w:tcW w:w="376" w:type="pct"/>
            <w:tcBorders>
              <w:top w:val="nil"/>
              <w:left w:val="nil"/>
              <w:bottom w:val="nil"/>
              <w:right w:val="nil"/>
            </w:tcBorders>
            <w:noWrap/>
            <w:vAlign w:val="bottom"/>
            <w:hideMark/>
          </w:tcPr>
          <w:p w:rsidR="006B4685" w:rsidRPr="003268F2" w:rsidRDefault="006B4685">
            <w:pPr>
              <w:spacing w:before="0" w:after="0"/>
              <w:jc w:val="left"/>
              <w:rPr>
                <w:noProof/>
                <w:sz w:val="20"/>
                <w:szCs w:val="20"/>
                <w:lang w:val="en-IE" w:eastAsia="en-IE"/>
              </w:rPr>
            </w:pPr>
          </w:p>
        </w:tc>
        <w:tc>
          <w:tcPr>
            <w:tcW w:w="467" w:type="pct"/>
            <w:tcBorders>
              <w:top w:val="nil"/>
              <w:left w:val="nil"/>
              <w:bottom w:val="nil"/>
              <w:right w:val="nil"/>
            </w:tcBorders>
            <w:noWrap/>
            <w:vAlign w:val="bottom"/>
            <w:hideMark/>
          </w:tcPr>
          <w:p w:rsidR="006B4685" w:rsidRPr="003268F2" w:rsidRDefault="006B4685">
            <w:pPr>
              <w:spacing w:before="0" w:after="0"/>
              <w:jc w:val="left"/>
              <w:rPr>
                <w:noProof/>
                <w:sz w:val="20"/>
                <w:szCs w:val="20"/>
                <w:lang w:val="en-IE" w:eastAsia="en-IE"/>
              </w:rPr>
            </w:pPr>
          </w:p>
        </w:tc>
      </w:tr>
      <w:tr w:rsidR="006B4685" w:rsidRPr="003268F2">
        <w:trPr>
          <w:trHeight w:val="900"/>
        </w:trPr>
        <w:tc>
          <w:tcPr>
            <w:tcW w:w="2582" w:type="pct"/>
            <w:gridSpan w:val="2"/>
            <w:tcBorders>
              <w:top w:val="single" w:sz="8" w:space="0" w:color="auto"/>
              <w:left w:val="single" w:sz="8" w:space="0" w:color="auto"/>
              <w:bottom w:val="single" w:sz="8" w:space="0" w:color="auto"/>
              <w:right w:val="single" w:sz="8" w:space="0" w:color="auto"/>
            </w:tcBorders>
            <w:shd w:val="thinDiagStripe" w:color="C0C0C0" w:fill="F1F1F1"/>
            <w:vAlign w:val="center"/>
            <w:hideMark/>
          </w:tcPr>
          <w:p w:rsidR="006B4685" w:rsidRPr="003268F2" w:rsidRDefault="006B4685">
            <w:pPr>
              <w:spacing w:before="0" w:after="0"/>
              <w:jc w:val="center"/>
              <w:rPr>
                <w:b/>
                <w:bCs/>
                <w:noProof/>
                <w:color w:val="000000"/>
                <w:sz w:val="22"/>
                <w:lang w:val="en-IE" w:eastAsia="en-IE"/>
              </w:rPr>
            </w:pPr>
            <w:r w:rsidRPr="003268F2">
              <w:rPr>
                <w:b/>
                <w:bCs/>
                <w:noProof/>
                <w:color w:val="000000"/>
                <w:sz w:val="22"/>
                <w:lang w:val="en-IE" w:eastAsia="en-IE"/>
              </w:rPr>
              <w:t>TOTAL appropriations</w:t>
            </w:r>
            <w:r>
              <w:rPr>
                <w:b/>
                <w:bCs/>
                <w:noProof/>
                <w:color w:val="000000"/>
                <w:sz w:val="22"/>
                <w:lang w:val="en-IE" w:eastAsia="en-IE"/>
              </w:rPr>
              <w:t xml:space="preserve"> </w:t>
            </w:r>
            <w:r w:rsidRPr="003268F2">
              <w:rPr>
                <w:b/>
                <w:bCs/>
                <w:noProof/>
                <w:color w:val="000000"/>
                <w:sz w:val="22"/>
                <w:lang w:val="en-IE" w:eastAsia="en-IE"/>
              </w:rPr>
              <w:t>under HEADING 7</w:t>
            </w:r>
            <w:r>
              <w:rPr>
                <w:b/>
                <w:bCs/>
                <w:noProof/>
                <w:color w:val="000000"/>
                <w:sz w:val="22"/>
                <w:lang w:val="en-IE" w:eastAsia="en-IE"/>
              </w:rPr>
              <w:t xml:space="preserve"> </w:t>
            </w:r>
            <w:r w:rsidRPr="003268F2">
              <w:rPr>
                <w:b/>
                <w:bCs/>
                <w:noProof/>
                <w:color w:val="000000"/>
                <w:sz w:val="22"/>
                <w:lang w:val="en-IE" w:eastAsia="en-IE"/>
              </w:rPr>
              <w:t xml:space="preserve">of the multiannual financial framework </w:t>
            </w:r>
          </w:p>
        </w:tc>
        <w:tc>
          <w:tcPr>
            <w:tcW w:w="449" w:type="pct"/>
            <w:gridSpan w:val="2"/>
            <w:tcBorders>
              <w:top w:val="single" w:sz="8" w:space="0" w:color="auto"/>
              <w:left w:val="nil"/>
              <w:bottom w:val="single" w:sz="8" w:space="0" w:color="auto"/>
              <w:right w:val="single" w:sz="8" w:space="0" w:color="auto"/>
            </w:tcBorders>
            <w:vAlign w:val="center"/>
            <w:hideMark/>
          </w:tcPr>
          <w:p w:rsidR="006B4685" w:rsidRPr="003268F2" w:rsidRDefault="006B4685">
            <w:pPr>
              <w:spacing w:before="0" w:after="0"/>
              <w:jc w:val="center"/>
              <w:rPr>
                <w:noProof/>
                <w:color w:val="000000"/>
                <w:sz w:val="18"/>
                <w:szCs w:val="18"/>
                <w:lang w:val="en-IE" w:eastAsia="en-IE"/>
              </w:rPr>
            </w:pPr>
            <w:r w:rsidRPr="003268F2">
              <w:rPr>
                <w:noProof/>
                <w:color w:val="000000"/>
                <w:sz w:val="18"/>
                <w:szCs w:val="18"/>
                <w:lang w:val="en-IE" w:eastAsia="en-IE"/>
              </w:rPr>
              <w:t>(Total commitments = Total payments)</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 w:val="20"/>
                <w:szCs w:val="20"/>
                <w:lang w:val="en-IE" w:eastAsia="en-IE"/>
              </w:rPr>
            </w:pPr>
            <w:r w:rsidRPr="003268F2">
              <w:rPr>
                <w:b/>
                <w:bCs/>
                <w:noProof/>
                <w:color w:val="000000"/>
                <w:sz w:val="20"/>
                <w:szCs w:val="20"/>
                <w:lang w:val="en-IE" w:eastAsia="en-IE"/>
              </w:rPr>
              <w:t>0.000</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 w:val="20"/>
                <w:szCs w:val="20"/>
                <w:lang w:val="en-IE" w:eastAsia="en-IE"/>
              </w:rPr>
            </w:pPr>
            <w:r w:rsidRPr="003268F2">
              <w:rPr>
                <w:b/>
                <w:bCs/>
                <w:noProof/>
                <w:color w:val="000000"/>
                <w:sz w:val="20"/>
                <w:szCs w:val="20"/>
                <w:lang w:val="en-IE" w:eastAsia="en-IE"/>
              </w:rPr>
              <w:t>0.000</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 w:val="20"/>
                <w:szCs w:val="20"/>
                <w:lang w:val="en-IE" w:eastAsia="en-IE"/>
              </w:rPr>
            </w:pPr>
            <w:r w:rsidRPr="003268F2">
              <w:rPr>
                <w:b/>
                <w:bCs/>
                <w:noProof/>
                <w:color w:val="000000"/>
                <w:sz w:val="20"/>
                <w:szCs w:val="20"/>
                <w:lang w:val="en-IE" w:eastAsia="en-IE"/>
              </w:rPr>
              <w:t>0.000</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 w:val="20"/>
                <w:szCs w:val="20"/>
                <w:lang w:val="en-IE" w:eastAsia="en-IE"/>
              </w:rPr>
            </w:pPr>
            <w:r w:rsidRPr="003268F2">
              <w:rPr>
                <w:b/>
                <w:bCs/>
                <w:noProof/>
                <w:color w:val="000000"/>
                <w:sz w:val="20"/>
                <w:szCs w:val="20"/>
                <w:lang w:val="en-IE" w:eastAsia="en-IE"/>
              </w:rPr>
              <w:t>0.000</w:t>
            </w:r>
          </w:p>
        </w:tc>
        <w:tc>
          <w:tcPr>
            <w:tcW w:w="467" w:type="pct"/>
            <w:tcBorders>
              <w:top w:val="single" w:sz="8" w:space="0" w:color="auto"/>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 w:val="20"/>
                <w:szCs w:val="20"/>
                <w:lang w:val="en-IE" w:eastAsia="en-IE"/>
              </w:rPr>
            </w:pPr>
            <w:r w:rsidRPr="003268F2">
              <w:rPr>
                <w:b/>
                <w:bCs/>
                <w:noProof/>
                <w:color w:val="000000"/>
                <w:sz w:val="20"/>
                <w:szCs w:val="20"/>
                <w:lang w:val="en-IE" w:eastAsia="en-IE"/>
              </w:rPr>
              <w:t>0.000</w:t>
            </w:r>
          </w:p>
        </w:tc>
      </w:tr>
    </w:tbl>
    <w:p w:rsidR="006B4685" w:rsidRDefault="006B4685" w:rsidP="006B4685">
      <w:pPr>
        <w:rPr>
          <w:noProof/>
        </w:rPr>
      </w:pPr>
    </w:p>
    <w:p w:rsidR="006B4685" w:rsidRPr="003A769F" w:rsidRDefault="006B4685" w:rsidP="006B4685">
      <w:pPr>
        <w:jc w:val="right"/>
        <w:rPr>
          <w:noProof/>
          <w:sz w:val="20"/>
          <w:lang w:val="en-IE"/>
        </w:rPr>
      </w:pPr>
      <w:r w:rsidRPr="003A769F">
        <w:rPr>
          <w:noProof/>
          <w:sz w:val="20"/>
          <w:lang w:val="en-IE"/>
        </w:rPr>
        <w:t>EUR million (to three decimal places)</w:t>
      </w:r>
    </w:p>
    <w:tbl>
      <w:tblPr>
        <w:tblW w:w="5000" w:type="pct"/>
        <w:tblLook w:val="04A0" w:firstRow="1" w:lastRow="0" w:firstColumn="1" w:lastColumn="0" w:noHBand="0" w:noVBand="1"/>
      </w:tblPr>
      <w:tblGrid>
        <w:gridCol w:w="5607"/>
        <w:gridCol w:w="2080"/>
        <w:gridCol w:w="1255"/>
        <w:gridCol w:w="1254"/>
        <w:gridCol w:w="1254"/>
        <w:gridCol w:w="1254"/>
        <w:gridCol w:w="1516"/>
      </w:tblGrid>
      <w:tr w:rsidR="006B4685" w:rsidRPr="003268F2">
        <w:trPr>
          <w:trHeight w:val="288"/>
        </w:trPr>
        <w:tc>
          <w:tcPr>
            <w:tcW w:w="2702" w:type="pct"/>
            <w:gridSpan w:val="2"/>
            <w:vMerge w:val="restart"/>
            <w:tcBorders>
              <w:top w:val="single" w:sz="8" w:space="0" w:color="auto"/>
              <w:left w:val="single" w:sz="8" w:space="0" w:color="auto"/>
              <w:bottom w:val="single" w:sz="8" w:space="0" w:color="auto"/>
              <w:right w:val="single" w:sz="8" w:space="0" w:color="auto"/>
            </w:tcBorders>
            <w:vAlign w:val="center"/>
            <w:hideMark/>
          </w:tcPr>
          <w:p w:rsidR="006B4685" w:rsidRPr="003268F2" w:rsidRDefault="006B4685">
            <w:pPr>
              <w:spacing w:before="0" w:after="0"/>
              <w:jc w:val="center"/>
              <w:rPr>
                <w:noProof/>
                <w:color w:val="000000"/>
                <w:szCs w:val="24"/>
                <w:lang w:val="en-IE" w:eastAsia="en-IE"/>
              </w:rPr>
            </w:pPr>
            <w:r w:rsidRPr="003268F2">
              <w:rPr>
                <w:noProof/>
                <w:color w:val="000000"/>
                <w:szCs w:val="24"/>
                <w:lang w:val="en-IE" w:eastAsia="en-IE"/>
              </w:rPr>
              <w:t> </w:t>
            </w:r>
          </w:p>
        </w:tc>
        <w:tc>
          <w:tcPr>
            <w:tcW w:w="441" w:type="pct"/>
            <w:tcBorders>
              <w:top w:val="single" w:sz="8" w:space="0" w:color="auto"/>
              <w:left w:val="nil"/>
              <w:bottom w:val="nil"/>
              <w:right w:val="single" w:sz="8" w:space="0" w:color="auto"/>
            </w:tcBorders>
            <w:vAlign w:val="center"/>
            <w:hideMark/>
          </w:tcPr>
          <w:p w:rsidR="006B4685" w:rsidRPr="003268F2" w:rsidRDefault="006B4685">
            <w:pPr>
              <w:spacing w:before="0" w:after="0"/>
              <w:jc w:val="center"/>
              <w:rPr>
                <w:noProof/>
                <w:color w:val="000000"/>
                <w:sz w:val="20"/>
                <w:szCs w:val="20"/>
                <w:lang w:val="en-IE" w:eastAsia="en-IE"/>
              </w:rPr>
            </w:pPr>
            <w:r w:rsidRPr="003268F2">
              <w:rPr>
                <w:noProof/>
                <w:color w:val="000000"/>
                <w:sz w:val="20"/>
                <w:szCs w:val="20"/>
                <w:lang w:val="en-IE" w:eastAsia="en-IE"/>
              </w:rPr>
              <w:t>Year</w:t>
            </w:r>
          </w:p>
        </w:tc>
        <w:tc>
          <w:tcPr>
            <w:tcW w:w="441" w:type="pct"/>
            <w:tcBorders>
              <w:top w:val="single" w:sz="8" w:space="0" w:color="auto"/>
              <w:left w:val="nil"/>
              <w:bottom w:val="nil"/>
              <w:right w:val="single" w:sz="8" w:space="0" w:color="auto"/>
            </w:tcBorders>
            <w:vAlign w:val="center"/>
            <w:hideMark/>
          </w:tcPr>
          <w:p w:rsidR="006B4685" w:rsidRPr="003268F2" w:rsidRDefault="006B4685">
            <w:pPr>
              <w:spacing w:before="0" w:after="0"/>
              <w:jc w:val="center"/>
              <w:rPr>
                <w:noProof/>
                <w:color w:val="000000"/>
                <w:sz w:val="20"/>
                <w:szCs w:val="20"/>
                <w:lang w:val="en-IE" w:eastAsia="en-IE"/>
              </w:rPr>
            </w:pPr>
            <w:r w:rsidRPr="003268F2">
              <w:rPr>
                <w:noProof/>
                <w:color w:val="000000"/>
                <w:sz w:val="20"/>
                <w:szCs w:val="20"/>
                <w:lang w:val="en-IE" w:eastAsia="en-IE"/>
              </w:rPr>
              <w:t>Year</w:t>
            </w:r>
          </w:p>
        </w:tc>
        <w:tc>
          <w:tcPr>
            <w:tcW w:w="441" w:type="pct"/>
            <w:tcBorders>
              <w:top w:val="single" w:sz="8" w:space="0" w:color="auto"/>
              <w:left w:val="nil"/>
              <w:bottom w:val="nil"/>
              <w:right w:val="single" w:sz="8" w:space="0" w:color="auto"/>
            </w:tcBorders>
            <w:vAlign w:val="center"/>
            <w:hideMark/>
          </w:tcPr>
          <w:p w:rsidR="006B4685" w:rsidRPr="003268F2" w:rsidRDefault="006B4685">
            <w:pPr>
              <w:spacing w:before="0" w:after="0"/>
              <w:jc w:val="center"/>
              <w:rPr>
                <w:noProof/>
                <w:color w:val="000000"/>
                <w:sz w:val="20"/>
                <w:szCs w:val="20"/>
                <w:lang w:val="en-IE" w:eastAsia="en-IE"/>
              </w:rPr>
            </w:pPr>
            <w:r w:rsidRPr="003268F2">
              <w:rPr>
                <w:noProof/>
                <w:color w:val="000000"/>
                <w:sz w:val="20"/>
                <w:szCs w:val="20"/>
                <w:lang w:val="en-IE" w:eastAsia="en-IE"/>
              </w:rPr>
              <w:t>Year</w:t>
            </w:r>
          </w:p>
        </w:tc>
        <w:tc>
          <w:tcPr>
            <w:tcW w:w="441" w:type="pct"/>
            <w:tcBorders>
              <w:top w:val="single" w:sz="8" w:space="0" w:color="auto"/>
              <w:left w:val="nil"/>
              <w:bottom w:val="nil"/>
              <w:right w:val="single" w:sz="8" w:space="0" w:color="auto"/>
            </w:tcBorders>
            <w:vAlign w:val="center"/>
            <w:hideMark/>
          </w:tcPr>
          <w:p w:rsidR="006B4685" w:rsidRPr="003268F2" w:rsidRDefault="006B4685">
            <w:pPr>
              <w:spacing w:before="0" w:after="0"/>
              <w:jc w:val="center"/>
              <w:rPr>
                <w:noProof/>
                <w:color w:val="000000"/>
                <w:sz w:val="20"/>
                <w:szCs w:val="20"/>
                <w:lang w:val="en-IE" w:eastAsia="en-IE"/>
              </w:rPr>
            </w:pPr>
            <w:r w:rsidRPr="003268F2">
              <w:rPr>
                <w:noProof/>
                <w:color w:val="000000"/>
                <w:sz w:val="20"/>
                <w:szCs w:val="20"/>
                <w:lang w:val="en-IE" w:eastAsia="en-IE"/>
              </w:rPr>
              <w:t>Year</w:t>
            </w:r>
          </w:p>
        </w:tc>
        <w:tc>
          <w:tcPr>
            <w:tcW w:w="533" w:type="pct"/>
            <w:vMerge w:val="restart"/>
            <w:tcBorders>
              <w:top w:val="single" w:sz="8" w:space="0" w:color="auto"/>
              <w:left w:val="single" w:sz="8" w:space="0" w:color="auto"/>
              <w:bottom w:val="single" w:sz="8" w:space="0" w:color="000000"/>
              <w:right w:val="single" w:sz="8" w:space="0" w:color="auto"/>
            </w:tcBorders>
            <w:vAlign w:val="center"/>
            <w:hideMark/>
          </w:tcPr>
          <w:p w:rsidR="006B4685" w:rsidRPr="003268F2" w:rsidRDefault="006B4685">
            <w:pPr>
              <w:spacing w:before="0" w:after="0"/>
              <w:jc w:val="center"/>
              <w:rPr>
                <w:b/>
                <w:bCs/>
                <w:noProof/>
                <w:color w:val="000000"/>
                <w:sz w:val="20"/>
                <w:szCs w:val="20"/>
                <w:lang w:val="en-IE" w:eastAsia="en-IE"/>
              </w:rPr>
            </w:pPr>
            <w:r w:rsidRPr="003268F2">
              <w:rPr>
                <w:b/>
                <w:bCs/>
                <w:noProof/>
                <w:color w:val="000000"/>
                <w:sz w:val="20"/>
                <w:szCs w:val="20"/>
                <w:lang w:val="en-IE" w:eastAsia="en-IE"/>
              </w:rPr>
              <w:t>TOTAL MFF</w:t>
            </w:r>
            <w:r>
              <w:rPr>
                <w:b/>
                <w:bCs/>
                <w:noProof/>
                <w:color w:val="000000"/>
                <w:sz w:val="20"/>
                <w:szCs w:val="20"/>
                <w:lang w:val="en-IE" w:eastAsia="en-IE"/>
              </w:rPr>
              <w:t xml:space="preserve"> </w:t>
            </w:r>
            <w:r w:rsidRPr="003268F2">
              <w:rPr>
                <w:b/>
                <w:bCs/>
                <w:noProof/>
                <w:color w:val="000000"/>
                <w:sz w:val="20"/>
                <w:szCs w:val="20"/>
                <w:lang w:val="en-IE" w:eastAsia="en-IE"/>
              </w:rPr>
              <w:t>2021-2027</w:t>
            </w:r>
          </w:p>
        </w:tc>
      </w:tr>
      <w:tr w:rsidR="006B4685" w:rsidRPr="003268F2">
        <w:trPr>
          <w:trHeight w:val="300"/>
        </w:trPr>
        <w:tc>
          <w:tcPr>
            <w:tcW w:w="2702" w:type="pct"/>
            <w:gridSpan w:val="2"/>
            <w:vMerge/>
            <w:tcBorders>
              <w:top w:val="single" w:sz="8" w:space="0" w:color="auto"/>
              <w:left w:val="single" w:sz="8" w:space="0" w:color="auto"/>
              <w:bottom w:val="single" w:sz="8" w:space="0" w:color="auto"/>
              <w:right w:val="single" w:sz="8" w:space="0" w:color="auto"/>
            </w:tcBorders>
            <w:vAlign w:val="center"/>
            <w:hideMark/>
          </w:tcPr>
          <w:p w:rsidR="006B4685" w:rsidRPr="003268F2" w:rsidRDefault="006B4685">
            <w:pPr>
              <w:spacing w:before="0" w:after="0"/>
              <w:jc w:val="left"/>
              <w:rPr>
                <w:noProof/>
                <w:color w:val="000000"/>
                <w:szCs w:val="24"/>
                <w:lang w:val="en-IE" w:eastAsia="en-IE"/>
              </w:rPr>
            </w:pPr>
          </w:p>
        </w:tc>
        <w:tc>
          <w:tcPr>
            <w:tcW w:w="441" w:type="pct"/>
            <w:tcBorders>
              <w:top w:val="nil"/>
              <w:left w:val="nil"/>
              <w:bottom w:val="single" w:sz="8" w:space="0" w:color="auto"/>
              <w:right w:val="single" w:sz="8" w:space="0" w:color="auto"/>
            </w:tcBorders>
            <w:vAlign w:val="center"/>
            <w:hideMark/>
          </w:tcPr>
          <w:p w:rsidR="006B4685" w:rsidRPr="003268F2" w:rsidRDefault="006B4685">
            <w:pPr>
              <w:spacing w:before="0" w:after="0"/>
              <w:jc w:val="center"/>
              <w:rPr>
                <w:b/>
                <w:bCs/>
                <w:noProof/>
                <w:color w:val="000000"/>
                <w:sz w:val="20"/>
                <w:szCs w:val="20"/>
                <w:lang w:val="en-IE" w:eastAsia="en-IE"/>
              </w:rPr>
            </w:pPr>
            <w:r w:rsidRPr="003268F2">
              <w:rPr>
                <w:b/>
                <w:bCs/>
                <w:noProof/>
                <w:color w:val="000000"/>
                <w:sz w:val="20"/>
                <w:szCs w:val="20"/>
                <w:lang w:val="en-IE" w:eastAsia="en-IE"/>
              </w:rPr>
              <w:t>2024</w:t>
            </w:r>
          </w:p>
        </w:tc>
        <w:tc>
          <w:tcPr>
            <w:tcW w:w="441" w:type="pct"/>
            <w:tcBorders>
              <w:top w:val="nil"/>
              <w:left w:val="nil"/>
              <w:bottom w:val="single" w:sz="8" w:space="0" w:color="auto"/>
              <w:right w:val="single" w:sz="8" w:space="0" w:color="auto"/>
            </w:tcBorders>
            <w:vAlign w:val="center"/>
            <w:hideMark/>
          </w:tcPr>
          <w:p w:rsidR="006B4685" w:rsidRPr="003268F2" w:rsidRDefault="006B4685">
            <w:pPr>
              <w:spacing w:before="0" w:after="0"/>
              <w:jc w:val="center"/>
              <w:rPr>
                <w:b/>
                <w:bCs/>
                <w:noProof/>
                <w:color w:val="000000"/>
                <w:sz w:val="20"/>
                <w:szCs w:val="20"/>
                <w:lang w:val="en-IE" w:eastAsia="en-IE"/>
              </w:rPr>
            </w:pPr>
            <w:r w:rsidRPr="003268F2">
              <w:rPr>
                <w:b/>
                <w:bCs/>
                <w:noProof/>
                <w:color w:val="000000"/>
                <w:sz w:val="20"/>
                <w:szCs w:val="20"/>
                <w:lang w:val="en-IE" w:eastAsia="en-IE"/>
              </w:rPr>
              <w:t>2025</w:t>
            </w:r>
          </w:p>
        </w:tc>
        <w:tc>
          <w:tcPr>
            <w:tcW w:w="441" w:type="pct"/>
            <w:tcBorders>
              <w:top w:val="nil"/>
              <w:left w:val="nil"/>
              <w:bottom w:val="single" w:sz="8" w:space="0" w:color="auto"/>
              <w:right w:val="single" w:sz="8" w:space="0" w:color="auto"/>
            </w:tcBorders>
            <w:vAlign w:val="center"/>
            <w:hideMark/>
          </w:tcPr>
          <w:p w:rsidR="006B4685" w:rsidRPr="003268F2" w:rsidRDefault="006B4685">
            <w:pPr>
              <w:spacing w:before="0" w:after="0"/>
              <w:jc w:val="center"/>
              <w:rPr>
                <w:b/>
                <w:bCs/>
                <w:noProof/>
                <w:color w:val="000000"/>
                <w:sz w:val="20"/>
                <w:szCs w:val="20"/>
                <w:lang w:val="en-IE" w:eastAsia="en-IE"/>
              </w:rPr>
            </w:pPr>
            <w:r w:rsidRPr="003268F2">
              <w:rPr>
                <w:b/>
                <w:bCs/>
                <w:noProof/>
                <w:color w:val="000000"/>
                <w:sz w:val="20"/>
                <w:szCs w:val="20"/>
                <w:lang w:val="en-IE" w:eastAsia="en-IE"/>
              </w:rPr>
              <w:t>2026</w:t>
            </w:r>
          </w:p>
        </w:tc>
        <w:tc>
          <w:tcPr>
            <w:tcW w:w="441" w:type="pct"/>
            <w:tcBorders>
              <w:top w:val="nil"/>
              <w:left w:val="nil"/>
              <w:bottom w:val="single" w:sz="8" w:space="0" w:color="auto"/>
              <w:right w:val="single" w:sz="8" w:space="0" w:color="auto"/>
            </w:tcBorders>
            <w:vAlign w:val="center"/>
            <w:hideMark/>
          </w:tcPr>
          <w:p w:rsidR="006B4685" w:rsidRPr="003268F2" w:rsidRDefault="006B4685">
            <w:pPr>
              <w:spacing w:before="0" w:after="0"/>
              <w:jc w:val="center"/>
              <w:rPr>
                <w:b/>
                <w:bCs/>
                <w:noProof/>
                <w:color w:val="000000"/>
                <w:sz w:val="20"/>
                <w:szCs w:val="20"/>
                <w:lang w:val="en-IE" w:eastAsia="en-IE"/>
              </w:rPr>
            </w:pPr>
            <w:r w:rsidRPr="003268F2">
              <w:rPr>
                <w:b/>
                <w:bCs/>
                <w:noProof/>
                <w:color w:val="000000"/>
                <w:sz w:val="20"/>
                <w:szCs w:val="20"/>
                <w:lang w:val="en-IE" w:eastAsia="en-IE"/>
              </w:rPr>
              <w:t>2027</w:t>
            </w:r>
          </w:p>
        </w:tc>
        <w:tc>
          <w:tcPr>
            <w:tcW w:w="533" w:type="pct"/>
            <w:vMerge/>
            <w:tcBorders>
              <w:top w:val="single" w:sz="8" w:space="0" w:color="auto"/>
              <w:left w:val="single" w:sz="8" w:space="0" w:color="auto"/>
              <w:bottom w:val="single" w:sz="8" w:space="0" w:color="000000"/>
              <w:right w:val="single" w:sz="8" w:space="0" w:color="auto"/>
            </w:tcBorders>
            <w:vAlign w:val="center"/>
            <w:hideMark/>
          </w:tcPr>
          <w:p w:rsidR="006B4685" w:rsidRPr="003268F2" w:rsidRDefault="006B4685">
            <w:pPr>
              <w:spacing w:before="0" w:after="0"/>
              <w:jc w:val="left"/>
              <w:rPr>
                <w:b/>
                <w:bCs/>
                <w:noProof/>
                <w:color w:val="000000"/>
                <w:sz w:val="20"/>
                <w:szCs w:val="20"/>
                <w:lang w:val="en-IE" w:eastAsia="en-IE"/>
              </w:rPr>
            </w:pPr>
          </w:p>
        </w:tc>
      </w:tr>
      <w:tr w:rsidR="006B4685" w:rsidRPr="003268F2">
        <w:trPr>
          <w:trHeight w:val="564"/>
        </w:trPr>
        <w:tc>
          <w:tcPr>
            <w:tcW w:w="1971" w:type="pct"/>
            <w:tcBorders>
              <w:top w:val="single" w:sz="8" w:space="0" w:color="auto"/>
              <w:left w:val="single" w:sz="8" w:space="0" w:color="auto"/>
              <w:bottom w:val="single" w:sz="8" w:space="0" w:color="auto"/>
              <w:right w:val="single" w:sz="8" w:space="0" w:color="000000"/>
            </w:tcBorders>
            <w:shd w:val="clear" w:color="000000" w:fill="C0C0C0"/>
            <w:vAlign w:val="center"/>
            <w:hideMark/>
          </w:tcPr>
          <w:p w:rsidR="006B4685" w:rsidRPr="003268F2" w:rsidRDefault="006B4685">
            <w:pPr>
              <w:spacing w:before="0" w:after="0"/>
              <w:jc w:val="center"/>
              <w:rPr>
                <w:b/>
                <w:bCs/>
                <w:noProof/>
                <w:color w:val="000000"/>
                <w:sz w:val="22"/>
                <w:lang w:val="en-IE" w:eastAsia="en-IE"/>
              </w:rPr>
            </w:pPr>
            <w:r w:rsidRPr="003268F2">
              <w:rPr>
                <w:b/>
                <w:bCs/>
                <w:noProof/>
                <w:color w:val="000000"/>
                <w:sz w:val="22"/>
                <w:lang w:val="en-IE" w:eastAsia="en-IE"/>
              </w:rPr>
              <w:t>TOTAL appropriation</w:t>
            </w:r>
            <w:r>
              <w:rPr>
                <w:b/>
                <w:bCs/>
                <w:noProof/>
                <w:color w:val="000000"/>
                <w:sz w:val="22"/>
                <w:lang w:val="en-IE" w:eastAsia="en-IE"/>
              </w:rPr>
              <w:t xml:space="preserve">s </w:t>
            </w:r>
            <w:r w:rsidRPr="003268F2">
              <w:rPr>
                <w:b/>
                <w:bCs/>
                <w:noProof/>
                <w:color w:val="000000"/>
                <w:sz w:val="22"/>
                <w:lang w:val="en-IE" w:eastAsia="en-IE"/>
              </w:rPr>
              <w:t>under HEADINGS 1 to 7</w:t>
            </w:r>
          </w:p>
        </w:tc>
        <w:tc>
          <w:tcPr>
            <w:tcW w:w="731" w:type="pct"/>
            <w:tcBorders>
              <w:top w:val="single" w:sz="8" w:space="0" w:color="auto"/>
              <w:left w:val="nil"/>
              <w:bottom w:val="single" w:sz="8" w:space="0" w:color="auto"/>
              <w:right w:val="single" w:sz="8" w:space="0" w:color="auto"/>
            </w:tcBorders>
            <w:vAlign w:val="center"/>
            <w:hideMark/>
          </w:tcPr>
          <w:p w:rsidR="006B4685" w:rsidRPr="003268F2" w:rsidRDefault="006B4685">
            <w:pPr>
              <w:spacing w:before="0" w:after="0"/>
              <w:rPr>
                <w:noProof/>
                <w:color w:val="000000"/>
                <w:sz w:val="18"/>
                <w:szCs w:val="18"/>
                <w:lang w:val="en-IE" w:eastAsia="en-IE"/>
              </w:rPr>
            </w:pPr>
            <w:r w:rsidRPr="003268F2">
              <w:rPr>
                <w:noProof/>
                <w:color w:val="000000"/>
                <w:sz w:val="18"/>
                <w:szCs w:val="18"/>
                <w:lang w:val="en-IE" w:eastAsia="en-IE"/>
              </w:rPr>
              <w:t>Commitments</w:t>
            </w:r>
          </w:p>
        </w:tc>
        <w:tc>
          <w:tcPr>
            <w:tcW w:w="441"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Cs w:val="24"/>
                <w:lang w:val="en-IE" w:eastAsia="en-IE"/>
              </w:rPr>
            </w:pPr>
            <w:r w:rsidRPr="003268F2">
              <w:rPr>
                <w:b/>
                <w:bCs/>
                <w:noProof/>
                <w:color w:val="000000"/>
                <w:szCs w:val="24"/>
                <w:lang w:val="en-IE" w:eastAsia="en-IE"/>
              </w:rPr>
              <w:t>0.000</w:t>
            </w:r>
          </w:p>
        </w:tc>
        <w:tc>
          <w:tcPr>
            <w:tcW w:w="441"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Cs w:val="24"/>
                <w:lang w:val="en-IE" w:eastAsia="en-IE"/>
              </w:rPr>
            </w:pPr>
            <w:r w:rsidRPr="003268F2">
              <w:rPr>
                <w:b/>
                <w:bCs/>
                <w:noProof/>
                <w:color w:val="000000"/>
                <w:szCs w:val="24"/>
                <w:lang w:val="en-IE" w:eastAsia="en-IE"/>
              </w:rPr>
              <w:t>0.000</w:t>
            </w:r>
          </w:p>
        </w:tc>
        <w:tc>
          <w:tcPr>
            <w:tcW w:w="441"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Cs w:val="24"/>
                <w:lang w:val="en-IE" w:eastAsia="en-IE"/>
              </w:rPr>
            </w:pPr>
            <w:r w:rsidRPr="003268F2">
              <w:rPr>
                <w:b/>
                <w:bCs/>
                <w:noProof/>
                <w:color w:val="000000"/>
                <w:szCs w:val="24"/>
                <w:lang w:val="en-IE" w:eastAsia="en-IE"/>
              </w:rPr>
              <w:t>0.000</w:t>
            </w:r>
          </w:p>
        </w:tc>
        <w:tc>
          <w:tcPr>
            <w:tcW w:w="441"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Cs w:val="24"/>
                <w:lang w:val="en-IE" w:eastAsia="en-IE"/>
              </w:rPr>
            </w:pPr>
            <w:r w:rsidRPr="003268F2">
              <w:rPr>
                <w:b/>
                <w:bCs/>
                <w:noProof/>
                <w:color w:val="000000"/>
                <w:szCs w:val="24"/>
                <w:lang w:val="en-IE" w:eastAsia="en-IE"/>
              </w:rPr>
              <w:t>0.</w:t>
            </w:r>
            <w:r>
              <w:rPr>
                <w:b/>
                <w:bCs/>
                <w:noProof/>
                <w:color w:val="000000"/>
                <w:szCs w:val="24"/>
                <w:lang w:val="en-IE" w:eastAsia="en-IE"/>
              </w:rPr>
              <w:t>175</w:t>
            </w:r>
          </w:p>
        </w:tc>
        <w:tc>
          <w:tcPr>
            <w:tcW w:w="533"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Cs w:val="24"/>
                <w:lang w:val="en-IE" w:eastAsia="en-IE"/>
              </w:rPr>
            </w:pPr>
            <w:r w:rsidRPr="003268F2">
              <w:rPr>
                <w:b/>
                <w:bCs/>
                <w:noProof/>
                <w:color w:val="000000"/>
                <w:szCs w:val="24"/>
                <w:lang w:val="en-IE" w:eastAsia="en-IE"/>
              </w:rPr>
              <w:t>0.</w:t>
            </w:r>
            <w:r>
              <w:rPr>
                <w:b/>
                <w:bCs/>
                <w:noProof/>
                <w:color w:val="000000"/>
                <w:szCs w:val="24"/>
                <w:lang w:val="en-IE" w:eastAsia="en-IE"/>
              </w:rPr>
              <w:t>175</w:t>
            </w:r>
          </w:p>
        </w:tc>
      </w:tr>
      <w:tr w:rsidR="006B4685" w:rsidRPr="003268F2">
        <w:trPr>
          <w:trHeight w:val="540"/>
        </w:trPr>
        <w:tc>
          <w:tcPr>
            <w:tcW w:w="1971" w:type="pct"/>
            <w:tcBorders>
              <w:top w:val="single" w:sz="8" w:space="0" w:color="auto"/>
              <w:left w:val="single" w:sz="8" w:space="0" w:color="auto"/>
              <w:bottom w:val="single" w:sz="8" w:space="0" w:color="auto"/>
              <w:right w:val="single" w:sz="8" w:space="0" w:color="000000"/>
            </w:tcBorders>
            <w:shd w:val="clear" w:color="000000" w:fill="C0C0C0"/>
            <w:vAlign w:val="center"/>
            <w:hideMark/>
          </w:tcPr>
          <w:p w:rsidR="006B4685" w:rsidRPr="003268F2" w:rsidRDefault="006B4685">
            <w:pPr>
              <w:spacing w:before="0" w:after="0"/>
              <w:jc w:val="center"/>
              <w:rPr>
                <w:noProof/>
                <w:color w:val="000000"/>
                <w:sz w:val="22"/>
                <w:lang w:val="en-IE" w:eastAsia="en-IE"/>
              </w:rPr>
            </w:pPr>
            <w:r w:rsidRPr="003268F2">
              <w:rPr>
                <w:noProof/>
                <w:color w:val="000000"/>
                <w:sz w:val="22"/>
                <w:lang w:val="en-IE" w:eastAsia="en-IE"/>
              </w:rPr>
              <w:t>of the multiannual financial framework</w:t>
            </w:r>
            <w:r w:rsidRPr="003268F2">
              <w:rPr>
                <w:b/>
                <w:bCs/>
                <w:noProof/>
                <w:color w:val="000000"/>
                <w:sz w:val="22"/>
                <w:lang w:val="en-IE" w:eastAsia="en-IE"/>
              </w:rPr>
              <w:t xml:space="preserve"> </w:t>
            </w:r>
          </w:p>
        </w:tc>
        <w:tc>
          <w:tcPr>
            <w:tcW w:w="731" w:type="pct"/>
            <w:tcBorders>
              <w:top w:val="single" w:sz="8" w:space="0" w:color="auto"/>
              <w:left w:val="nil"/>
              <w:bottom w:val="single" w:sz="8" w:space="0" w:color="auto"/>
              <w:right w:val="single" w:sz="8" w:space="0" w:color="auto"/>
            </w:tcBorders>
            <w:vAlign w:val="center"/>
            <w:hideMark/>
          </w:tcPr>
          <w:p w:rsidR="006B4685" w:rsidRPr="003268F2" w:rsidRDefault="006B4685">
            <w:pPr>
              <w:spacing w:before="0" w:after="0"/>
              <w:rPr>
                <w:noProof/>
                <w:color w:val="000000"/>
                <w:sz w:val="18"/>
                <w:szCs w:val="18"/>
                <w:lang w:val="en-IE" w:eastAsia="en-IE"/>
              </w:rPr>
            </w:pPr>
            <w:r w:rsidRPr="003268F2">
              <w:rPr>
                <w:noProof/>
                <w:color w:val="000000"/>
                <w:sz w:val="18"/>
                <w:szCs w:val="18"/>
                <w:lang w:val="en-IE" w:eastAsia="en-IE"/>
              </w:rPr>
              <w:t>Payments</w:t>
            </w:r>
          </w:p>
        </w:tc>
        <w:tc>
          <w:tcPr>
            <w:tcW w:w="441"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Cs w:val="24"/>
                <w:lang w:val="en-IE" w:eastAsia="en-IE"/>
              </w:rPr>
            </w:pPr>
            <w:r w:rsidRPr="003268F2">
              <w:rPr>
                <w:b/>
                <w:bCs/>
                <w:noProof/>
                <w:color w:val="000000"/>
                <w:szCs w:val="24"/>
                <w:lang w:val="en-IE" w:eastAsia="en-IE"/>
              </w:rPr>
              <w:t>0.000</w:t>
            </w:r>
          </w:p>
        </w:tc>
        <w:tc>
          <w:tcPr>
            <w:tcW w:w="441"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Cs w:val="24"/>
                <w:lang w:val="en-IE" w:eastAsia="en-IE"/>
              </w:rPr>
            </w:pPr>
            <w:r w:rsidRPr="003268F2">
              <w:rPr>
                <w:b/>
                <w:bCs/>
                <w:noProof/>
                <w:color w:val="000000"/>
                <w:szCs w:val="24"/>
                <w:lang w:val="en-IE" w:eastAsia="en-IE"/>
              </w:rPr>
              <w:t>0.000</w:t>
            </w:r>
          </w:p>
        </w:tc>
        <w:tc>
          <w:tcPr>
            <w:tcW w:w="441"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Cs w:val="24"/>
                <w:lang w:val="en-IE" w:eastAsia="en-IE"/>
              </w:rPr>
            </w:pPr>
            <w:r w:rsidRPr="003268F2">
              <w:rPr>
                <w:b/>
                <w:bCs/>
                <w:noProof/>
                <w:color w:val="000000"/>
                <w:szCs w:val="24"/>
                <w:lang w:val="en-IE" w:eastAsia="en-IE"/>
              </w:rPr>
              <w:t>0.000</w:t>
            </w:r>
          </w:p>
        </w:tc>
        <w:tc>
          <w:tcPr>
            <w:tcW w:w="441"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Cs w:val="24"/>
                <w:lang w:val="en-IE" w:eastAsia="en-IE"/>
              </w:rPr>
            </w:pPr>
            <w:r w:rsidRPr="003268F2">
              <w:rPr>
                <w:b/>
                <w:bCs/>
                <w:noProof/>
                <w:color w:val="000000"/>
                <w:szCs w:val="24"/>
                <w:lang w:val="en-IE" w:eastAsia="en-IE"/>
              </w:rPr>
              <w:t>0.</w:t>
            </w:r>
            <w:r>
              <w:rPr>
                <w:b/>
                <w:bCs/>
                <w:noProof/>
                <w:color w:val="000000"/>
                <w:szCs w:val="24"/>
                <w:lang w:val="en-IE" w:eastAsia="en-IE"/>
              </w:rPr>
              <w:t>175</w:t>
            </w:r>
          </w:p>
        </w:tc>
        <w:tc>
          <w:tcPr>
            <w:tcW w:w="533" w:type="pct"/>
            <w:tcBorders>
              <w:top w:val="nil"/>
              <w:left w:val="nil"/>
              <w:bottom w:val="single" w:sz="8" w:space="0" w:color="auto"/>
              <w:right w:val="single" w:sz="8" w:space="0" w:color="auto"/>
            </w:tcBorders>
            <w:shd w:val="clear" w:color="000000" w:fill="D9D9D9"/>
            <w:vAlign w:val="center"/>
            <w:hideMark/>
          </w:tcPr>
          <w:p w:rsidR="006B4685" w:rsidRPr="003268F2" w:rsidRDefault="006B4685">
            <w:pPr>
              <w:spacing w:before="0" w:after="0"/>
              <w:jc w:val="right"/>
              <w:rPr>
                <w:b/>
                <w:bCs/>
                <w:noProof/>
                <w:color w:val="000000"/>
                <w:szCs w:val="24"/>
                <w:lang w:val="en-IE" w:eastAsia="en-IE"/>
              </w:rPr>
            </w:pPr>
            <w:r w:rsidRPr="003268F2">
              <w:rPr>
                <w:b/>
                <w:bCs/>
                <w:noProof/>
                <w:color w:val="000000"/>
                <w:szCs w:val="24"/>
                <w:lang w:val="en-IE" w:eastAsia="en-IE"/>
              </w:rPr>
              <w:t>0.</w:t>
            </w:r>
            <w:r>
              <w:rPr>
                <w:b/>
                <w:bCs/>
                <w:noProof/>
                <w:color w:val="000000"/>
                <w:szCs w:val="24"/>
                <w:lang w:val="en-IE" w:eastAsia="en-IE"/>
              </w:rPr>
              <w:t>175</w:t>
            </w:r>
          </w:p>
        </w:tc>
      </w:tr>
    </w:tbl>
    <w:p w:rsidR="006B4685" w:rsidRDefault="006B4685" w:rsidP="006B4685">
      <w:pPr>
        <w:rPr>
          <w:noProof/>
        </w:rPr>
      </w:pPr>
    </w:p>
    <w:p w:rsidR="006B4685" w:rsidRPr="00235FE8" w:rsidRDefault="006B4685" w:rsidP="006B4685">
      <w:pPr>
        <w:pStyle w:val="ManualHeading3"/>
        <w:rPr>
          <w:i w:val="0"/>
          <w:noProof/>
        </w:rPr>
      </w:pPr>
      <w:bookmarkStart w:id="140" w:name="_Toc160804596"/>
      <w:bookmarkStart w:id="141" w:name="_Toc198557781"/>
      <w:r>
        <w:rPr>
          <w:noProof/>
        </w:rPr>
        <w:t>3.2.1.2.</w:t>
      </w:r>
      <w:r>
        <w:rPr>
          <w:noProof/>
        </w:rPr>
        <w:tab/>
        <w:t>Appropriations from external assigned revenues</w:t>
      </w:r>
      <w:bookmarkEnd w:id="140"/>
      <w:r>
        <w:rPr>
          <w:noProof/>
        </w:rPr>
        <w:t xml:space="preserve"> </w:t>
      </w:r>
      <w:bookmarkEnd w:id="141"/>
    </w:p>
    <w:p w:rsidR="006B4685" w:rsidRPr="003A769F" w:rsidRDefault="006B4685" w:rsidP="006B4685">
      <w:pPr>
        <w:jc w:val="right"/>
        <w:rPr>
          <w:noProof/>
          <w:sz w:val="18"/>
          <w:szCs w:val="18"/>
          <w:lang w:val="en-IE"/>
        </w:rPr>
      </w:pPr>
      <w:r w:rsidRPr="003A769F">
        <w:rPr>
          <w:noProof/>
          <w:sz w:val="18"/>
          <w:szCs w:val="18"/>
          <w:lang w:val="en-IE"/>
        </w:rPr>
        <w:t>EUR million (to three decimal places)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rsidR="006B4685">
        <w:trPr>
          <w:jc w:val="center"/>
        </w:trPr>
        <w:tc>
          <w:tcPr>
            <w:tcW w:w="1739" w:type="pct"/>
            <w:shd w:val="thinDiagStripe" w:color="C0C0C0" w:fill="auto"/>
            <w:vAlign w:val="center"/>
          </w:tcPr>
          <w:p w:rsidR="006B4685" w:rsidRPr="003A769F" w:rsidRDefault="006B4685">
            <w:pPr>
              <w:spacing w:before="60" w:after="60"/>
              <w:jc w:val="center"/>
              <w:rPr>
                <w:b/>
                <w:noProof/>
                <w:lang w:val="en-IE"/>
              </w:rPr>
            </w:pPr>
            <w:r w:rsidRPr="003A769F">
              <w:rPr>
                <w:b/>
                <w:noProof/>
                <w:sz w:val="22"/>
                <w:lang w:val="en-IE"/>
              </w:rPr>
              <w:t xml:space="preserve">Heading of multiannual financial framework </w:t>
            </w:r>
          </w:p>
        </w:tc>
        <w:tc>
          <w:tcPr>
            <w:tcW w:w="396" w:type="pct"/>
            <w:vAlign w:val="center"/>
          </w:tcPr>
          <w:p w:rsidR="006B4685" w:rsidRDefault="006B4685">
            <w:pPr>
              <w:spacing w:before="60" w:after="60"/>
              <w:jc w:val="center"/>
              <w:rPr>
                <w:noProof/>
              </w:rPr>
            </w:pPr>
            <w:r>
              <w:rPr>
                <w:noProof/>
                <w:sz w:val="22"/>
              </w:rPr>
              <w:t>Number</w:t>
            </w:r>
          </w:p>
        </w:tc>
        <w:tc>
          <w:tcPr>
            <w:tcW w:w="2865" w:type="pct"/>
            <w:vAlign w:val="center"/>
          </w:tcPr>
          <w:p w:rsidR="006B4685" w:rsidRDefault="006B4685">
            <w:pPr>
              <w:spacing w:before="60" w:after="60"/>
              <w:rPr>
                <w:noProof/>
              </w:rPr>
            </w:pPr>
          </w:p>
        </w:tc>
      </w:tr>
    </w:tbl>
    <w:p w:rsidR="006B4685" w:rsidRDefault="006B4685" w:rsidP="006B4685">
      <w:pPr>
        <w:rPr>
          <w:noProof/>
          <w:sz w:val="16"/>
        </w:rPr>
      </w:pPr>
    </w:p>
    <w:tbl>
      <w:tblPr>
        <w:tblW w:w="5000" w:type="pct"/>
        <w:tblLook w:val="04A0" w:firstRow="1" w:lastRow="0" w:firstColumn="1" w:lastColumn="0" w:noHBand="0" w:noVBand="1"/>
      </w:tblPr>
      <w:tblGrid>
        <w:gridCol w:w="4035"/>
        <w:gridCol w:w="1504"/>
        <w:gridCol w:w="1411"/>
        <w:gridCol w:w="1411"/>
        <w:gridCol w:w="1411"/>
        <w:gridCol w:w="1411"/>
        <w:gridCol w:w="1359"/>
        <w:gridCol w:w="1678"/>
      </w:tblGrid>
      <w:tr w:rsidR="006B4685" w:rsidRPr="00C2043F">
        <w:trPr>
          <w:trHeight w:val="420"/>
        </w:trPr>
        <w:tc>
          <w:tcPr>
            <w:tcW w:w="2444" w:type="pct"/>
            <w:gridSpan w:val="3"/>
            <w:vMerge w:val="restart"/>
            <w:tcBorders>
              <w:top w:val="single" w:sz="8" w:space="0" w:color="auto"/>
              <w:left w:val="single" w:sz="8" w:space="0" w:color="auto"/>
              <w:bottom w:val="single" w:sz="8" w:space="0" w:color="auto"/>
              <w:right w:val="single" w:sz="8" w:space="0" w:color="auto"/>
            </w:tcBorders>
            <w:vAlign w:val="center"/>
            <w:hideMark/>
          </w:tcPr>
          <w:p w:rsidR="006B4685" w:rsidRPr="00C2043F" w:rsidRDefault="006B4685">
            <w:pPr>
              <w:spacing w:before="0" w:after="0"/>
              <w:jc w:val="center"/>
              <w:rPr>
                <w:noProof/>
                <w:color w:val="000000"/>
                <w:sz w:val="22"/>
                <w:lang w:val="en-IE" w:eastAsia="en-IE"/>
              </w:rPr>
            </w:pPr>
            <w:r w:rsidRPr="00C2043F">
              <w:rPr>
                <w:noProof/>
                <w:color w:val="000000"/>
                <w:sz w:val="22"/>
                <w:lang w:val="en-IE" w:eastAsia="en-IE"/>
              </w:rPr>
              <w:t>DG: &lt;…….&gt;</w:t>
            </w:r>
          </w:p>
        </w:tc>
        <w:tc>
          <w:tcPr>
            <w:tcW w:w="496" w:type="pct"/>
            <w:tcBorders>
              <w:top w:val="single" w:sz="8" w:space="0" w:color="auto"/>
              <w:left w:val="nil"/>
              <w:bottom w:val="single" w:sz="8" w:space="0" w:color="auto"/>
              <w:right w:val="single" w:sz="8" w:space="0" w:color="auto"/>
            </w:tcBorders>
            <w:vAlign w:val="center"/>
            <w:hideMark/>
          </w:tcPr>
          <w:p w:rsidR="006B4685" w:rsidRPr="00C2043F" w:rsidRDefault="006B4685">
            <w:pPr>
              <w:spacing w:before="0" w:after="0"/>
              <w:jc w:val="center"/>
              <w:rPr>
                <w:noProof/>
                <w:color w:val="000000"/>
                <w:sz w:val="20"/>
                <w:szCs w:val="20"/>
                <w:lang w:val="en-IE" w:eastAsia="en-IE"/>
              </w:rPr>
            </w:pPr>
            <w:r w:rsidRPr="00C2043F">
              <w:rPr>
                <w:noProof/>
                <w:color w:val="000000"/>
                <w:sz w:val="20"/>
                <w:szCs w:val="20"/>
                <w:lang w:val="en-IE" w:eastAsia="en-IE"/>
              </w:rPr>
              <w:t>Year</w:t>
            </w:r>
          </w:p>
        </w:tc>
        <w:tc>
          <w:tcPr>
            <w:tcW w:w="496" w:type="pct"/>
            <w:tcBorders>
              <w:top w:val="single" w:sz="8" w:space="0" w:color="auto"/>
              <w:left w:val="nil"/>
              <w:bottom w:val="single" w:sz="8" w:space="0" w:color="auto"/>
              <w:right w:val="single" w:sz="8" w:space="0" w:color="auto"/>
            </w:tcBorders>
            <w:vAlign w:val="center"/>
            <w:hideMark/>
          </w:tcPr>
          <w:p w:rsidR="006B4685" w:rsidRPr="00C2043F" w:rsidRDefault="006B4685">
            <w:pPr>
              <w:spacing w:before="0" w:after="0"/>
              <w:jc w:val="center"/>
              <w:rPr>
                <w:noProof/>
                <w:color w:val="000000"/>
                <w:sz w:val="20"/>
                <w:szCs w:val="20"/>
                <w:lang w:val="en-IE" w:eastAsia="en-IE"/>
              </w:rPr>
            </w:pPr>
            <w:r w:rsidRPr="00C2043F">
              <w:rPr>
                <w:noProof/>
                <w:color w:val="000000"/>
                <w:sz w:val="20"/>
                <w:szCs w:val="20"/>
                <w:lang w:val="en-IE" w:eastAsia="en-IE"/>
              </w:rPr>
              <w:t>Year</w:t>
            </w:r>
          </w:p>
        </w:tc>
        <w:tc>
          <w:tcPr>
            <w:tcW w:w="496" w:type="pct"/>
            <w:tcBorders>
              <w:top w:val="single" w:sz="8" w:space="0" w:color="auto"/>
              <w:left w:val="nil"/>
              <w:bottom w:val="single" w:sz="8" w:space="0" w:color="auto"/>
              <w:right w:val="single" w:sz="8" w:space="0" w:color="auto"/>
            </w:tcBorders>
            <w:vAlign w:val="center"/>
            <w:hideMark/>
          </w:tcPr>
          <w:p w:rsidR="006B4685" w:rsidRPr="00C2043F" w:rsidRDefault="006B4685">
            <w:pPr>
              <w:spacing w:before="0" w:after="0"/>
              <w:jc w:val="center"/>
              <w:rPr>
                <w:noProof/>
                <w:color w:val="000000"/>
                <w:sz w:val="20"/>
                <w:szCs w:val="20"/>
                <w:lang w:val="en-IE" w:eastAsia="en-IE"/>
              </w:rPr>
            </w:pPr>
            <w:r w:rsidRPr="00C2043F">
              <w:rPr>
                <w:noProof/>
                <w:color w:val="000000"/>
                <w:sz w:val="20"/>
                <w:szCs w:val="20"/>
                <w:lang w:val="en-IE" w:eastAsia="en-IE"/>
              </w:rPr>
              <w:t>Year</w:t>
            </w:r>
          </w:p>
        </w:tc>
        <w:tc>
          <w:tcPr>
            <w:tcW w:w="478" w:type="pct"/>
            <w:tcBorders>
              <w:top w:val="single" w:sz="8" w:space="0" w:color="auto"/>
              <w:left w:val="nil"/>
              <w:bottom w:val="single" w:sz="8" w:space="0" w:color="auto"/>
              <w:right w:val="single" w:sz="8" w:space="0" w:color="auto"/>
            </w:tcBorders>
            <w:vAlign w:val="center"/>
            <w:hideMark/>
          </w:tcPr>
          <w:p w:rsidR="006B4685" w:rsidRPr="00C2043F" w:rsidRDefault="006B4685">
            <w:pPr>
              <w:spacing w:before="0" w:after="0"/>
              <w:jc w:val="center"/>
              <w:rPr>
                <w:noProof/>
                <w:color w:val="000000"/>
                <w:sz w:val="20"/>
                <w:szCs w:val="20"/>
                <w:lang w:val="en-IE" w:eastAsia="en-IE"/>
              </w:rPr>
            </w:pPr>
            <w:r w:rsidRPr="00C2043F">
              <w:rPr>
                <w:noProof/>
                <w:color w:val="000000"/>
                <w:sz w:val="20"/>
                <w:szCs w:val="20"/>
                <w:lang w:val="en-IE" w:eastAsia="en-IE"/>
              </w:rPr>
              <w:t>Year</w:t>
            </w:r>
          </w:p>
        </w:tc>
        <w:tc>
          <w:tcPr>
            <w:tcW w:w="590" w:type="pct"/>
            <w:vMerge w:val="restart"/>
            <w:tcBorders>
              <w:top w:val="single" w:sz="8" w:space="0" w:color="auto"/>
              <w:left w:val="single" w:sz="8" w:space="0" w:color="auto"/>
              <w:bottom w:val="single" w:sz="8" w:space="0" w:color="auto"/>
              <w:right w:val="single" w:sz="8" w:space="0" w:color="auto"/>
            </w:tcBorders>
            <w:vAlign w:val="center"/>
            <w:hideMark/>
          </w:tcPr>
          <w:p w:rsidR="006B4685" w:rsidRPr="00C2043F" w:rsidRDefault="006B4685">
            <w:pPr>
              <w:spacing w:before="0" w:after="0"/>
              <w:jc w:val="center"/>
              <w:rPr>
                <w:b/>
                <w:bCs/>
                <w:noProof/>
                <w:color w:val="000000"/>
                <w:sz w:val="20"/>
                <w:szCs w:val="20"/>
                <w:lang w:val="en-IE" w:eastAsia="en-IE"/>
              </w:rPr>
            </w:pPr>
            <w:r w:rsidRPr="00C2043F">
              <w:rPr>
                <w:b/>
                <w:bCs/>
                <w:noProof/>
                <w:color w:val="000000"/>
                <w:sz w:val="20"/>
                <w:szCs w:val="20"/>
                <w:lang w:val="en-IE" w:eastAsia="en-IE"/>
              </w:rPr>
              <w:t>TOTAL MFF</w:t>
            </w:r>
            <w:r>
              <w:rPr>
                <w:b/>
                <w:bCs/>
                <w:noProof/>
                <w:color w:val="000000"/>
                <w:sz w:val="20"/>
                <w:szCs w:val="20"/>
                <w:lang w:val="en-IE" w:eastAsia="en-IE"/>
              </w:rPr>
              <w:t xml:space="preserve"> </w:t>
            </w:r>
            <w:r w:rsidRPr="00C2043F">
              <w:rPr>
                <w:b/>
                <w:bCs/>
                <w:noProof/>
                <w:color w:val="000000"/>
                <w:sz w:val="20"/>
                <w:szCs w:val="20"/>
                <w:lang w:val="en-IE" w:eastAsia="en-IE"/>
              </w:rPr>
              <w:t>2021-2027</w:t>
            </w:r>
          </w:p>
        </w:tc>
      </w:tr>
      <w:tr w:rsidR="006B4685" w:rsidRPr="00C2043F">
        <w:trPr>
          <w:trHeight w:val="288"/>
        </w:trPr>
        <w:tc>
          <w:tcPr>
            <w:tcW w:w="2444" w:type="pct"/>
            <w:gridSpan w:val="3"/>
            <w:vMerge/>
            <w:tcBorders>
              <w:top w:val="single" w:sz="8" w:space="0" w:color="auto"/>
              <w:left w:val="single" w:sz="8" w:space="0" w:color="auto"/>
              <w:bottom w:val="single" w:sz="8" w:space="0" w:color="auto"/>
              <w:right w:val="single" w:sz="8" w:space="0" w:color="auto"/>
            </w:tcBorders>
            <w:vAlign w:val="center"/>
            <w:hideMark/>
          </w:tcPr>
          <w:p w:rsidR="006B4685" w:rsidRPr="00C2043F" w:rsidRDefault="006B4685">
            <w:pPr>
              <w:spacing w:before="0" w:after="0"/>
              <w:jc w:val="left"/>
              <w:rPr>
                <w:noProof/>
                <w:color w:val="000000"/>
                <w:sz w:val="22"/>
                <w:lang w:val="en-IE" w:eastAsia="en-IE"/>
              </w:rPr>
            </w:pP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center"/>
              <w:rPr>
                <w:b/>
                <w:bCs/>
                <w:noProof/>
                <w:color w:val="000000"/>
                <w:sz w:val="20"/>
                <w:szCs w:val="20"/>
                <w:lang w:val="en-IE" w:eastAsia="en-IE"/>
              </w:rPr>
            </w:pPr>
            <w:r w:rsidRPr="00C2043F">
              <w:rPr>
                <w:b/>
                <w:bCs/>
                <w:noProof/>
                <w:color w:val="000000"/>
                <w:sz w:val="20"/>
                <w:szCs w:val="20"/>
                <w:lang w:val="en-IE" w:eastAsia="en-IE"/>
              </w:rPr>
              <w:t>2024</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center"/>
              <w:rPr>
                <w:b/>
                <w:bCs/>
                <w:noProof/>
                <w:color w:val="000000"/>
                <w:sz w:val="20"/>
                <w:szCs w:val="20"/>
                <w:lang w:val="en-IE" w:eastAsia="en-IE"/>
              </w:rPr>
            </w:pPr>
            <w:r w:rsidRPr="00C2043F">
              <w:rPr>
                <w:b/>
                <w:bCs/>
                <w:noProof/>
                <w:color w:val="000000"/>
                <w:sz w:val="20"/>
                <w:szCs w:val="20"/>
                <w:lang w:val="en-IE" w:eastAsia="en-IE"/>
              </w:rPr>
              <w:t>2025</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center"/>
              <w:rPr>
                <w:b/>
                <w:bCs/>
                <w:noProof/>
                <w:color w:val="000000"/>
                <w:sz w:val="20"/>
                <w:szCs w:val="20"/>
                <w:lang w:val="en-IE" w:eastAsia="en-IE"/>
              </w:rPr>
            </w:pPr>
            <w:r w:rsidRPr="00C2043F">
              <w:rPr>
                <w:b/>
                <w:bCs/>
                <w:noProof/>
                <w:color w:val="000000"/>
                <w:sz w:val="20"/>
                <w:szCs w:val="20"/>
                <w:lang w:val="en-IE" w:eastAsia="en-IE"/>
              </w:rPr>
              <w:t>2026</w:t>
            </w:r>
          </w:p>
        </w:tc>
        <w:tc>
          <w:tcPr>
            <w:tcW w:w="478" w:type="pct"/>
            <w:tcBorders>
              <w:top w:val="nil"/>
              <w:left w:val="nil"/>
              <w:bottom w:val="single" w:sz="8" w:space="0" w:color="auto"/>
              <w:right w:val="single" w:sz="8" w:space="0" w:color="auto"/>
            </w:tcBorders>
            <w:vAlign w:val="center"/>
            <w:hideMark/>
          </w:tcPr>
          <w:p w:rsidR="006B4685" w:rsidRPr="00C2043F" w:rsidRDefault="006B4685">
            <w:pPr>
              <w:spacing w:before="0" w:after="0"/>
              <w:jc w:val="center"/>
              <w:rPr>
                <w:b/>
                <w:bCs/>
                <w:noProof/>
                <w:color w:val="000000"/>
                <w:sz w:val="20"/>
                <w:szCs w:val="20"/>
                <w:lang w:val="en-IE" w:eastAsia="en-IE"/>
              </w:rPr>
            </w:pPr>
            <w:r w:rsidRPr="00C2043F">
              <w:rPr>
                <w:b/>
                <w:bCs/>
                <w:noProof/>
                <w:color w:val="000000"/>
                <w:sz w:val="20"/>
                <w:szCs w:val="20"/>
                <w:lang w:val="en-IE" w:eastAsia="en-IE"/>
              </w:rPr>
              <w:t>2027</w:t>
            </w:r>
          </w:p>
        </w:tc>
        <w:tc>
          <w:tcPr>
            <w:tcW w:w="590" w:type="pct"/>
            <w:vMerge/>
            <w:tcBorders>
              <w:top w:val="single" w:sz="8" w:space="0" w:color="auto"/>
              <w:left w:val="single" w:sz="8" w:space="0" w:color="auto"/>
              <w:bottom w:val="single" w:sz="8" w:space="0" w:color="auto"/>
              <w:right w:val="single" w:sz="8" w:space="0" w:color="auto"/>
            </w:tcBorders>
            <w:vAlign w:val="center"/>
            <w:hideMark/>
          </w:tcPr>
          <w:p w:rsidR="006B4685" w:rsidRPr="00C2043F" w:rsidRDefault="006B4685">
            <w:pPr>
              <w:spacing w:before="0" w:after="0"/>
              <w:jc w:val="left"/>
              <w:rPr>
                <w:b/>
                <w:bCs/>
                <w:noProof/>
                <w:color w:val="000000"/>
                <w:sz w:val="20"/>
                <w:szCs w:val="20"/>
                <w:lang w:val="en-IE" w:eastAsia="en-IE"/>
              </w:rPr>
            </w:pPr>
          </w:p>
        </w:tc>
      </w:tr>
      <w:tr w:rsidR="006B4685" w:rsidRPr="00C2043F">
        <w:trPr>
          <w:trHeight w:val="300"/>
        </w:trPr>
        <w:tc>
          <w:tcPr>
            <w:tcW w:w="5000" w:type="pct"/>
            <w:gridSpan w:val="8"/>
            <w:tcBorders>
              <w:top w:val="single" w:sz="8" w:space="0" w:color="auto"/>
              <w:left w:val="single" w:sz="8" w:space="0" w:color="auto"/>
              <w:bottom w:val="single" w:sz="8" w:space="0" w:color="auto"/>
              <w:right w:val="single" w:sz="8" w:space="0" w:color="auto"/>
            </w:tcBorders>
            <w:vAlign w:val="center"/>
            <w:hideMark/>
          </w:tcPr>
          <w:p w:rsidR="006B4685" w:rsidRPr="00C2043F" w:rsidRDefault="006B4685">
            <w:pPr>
              <w:spacing w:before="0" w:after="0"/>
              <w:jc w:val="left"/>
              <w:rPr>
                <w:noProof/>
                <w:color w:val="000000"/>
                <w:sz w:val="21"/>
                <w:szCs w:val="21"/>
                <w:lang w:val="en-IE" w:eastAsia="en-IE"/>
              </w:rPr>
            </w:pPr>
            <w:r w:rsidRPr="00C2043F">
              <w:rPr>
                <w:noProof/>
                <w:color w:val="000000"/>
                <w:sz w:val="21"/>
                <w:szCs w:val="21"/>
                <w:lang w:val="en-IE" w:eastAsia="en-IE"/>
              </w:rPr>
              <w:t xml:space="preserve">Operational appropriations </w:t>
            </w:r>
          </w:p>
        </w:tc>
      </w:tr>
      <w:tr w:rsidR="006B4685" w:rsidRPr="00C2043F">
        <w:trPr>
          <w:trHeight w:val="288"/>
        </w:trPr>
        <w:tc>
          <w:tcPr>
            <w:tcW w:w="1419" w:type="pct"/>
            <w:vMerge w:val="restart"/>
            <w:tcBorders>
              <w:top w:val="nil"/>
              <w:left w:val="single" w:sz="8" w:space="0" w:color="auto"/>
              <w:bottom w:val="single" w:sz="8" w:space="0" w:color="auto"/>
              <w:right w:val="single" w:sz="8" w:space="0" w:color="auto"/>
            </w:tcBorders>
            <w:noWrap/>
            <w:vAlign w:val="center"/>
            <w:hideMark/>
          </w:tcPr>
          <w:p w:rsidR="006B4685" w:rsidRPr="00C2043F" w:rsidRDefault="006B4685">
            <w:pPr>
              <w:spacing w:before="0" w:after="0"/>
              <w:jc w:val="left"/>
              <w:rPr>
                <w:noProof/>
                <w:color w:val="000000"/>
                <w:sz w:val="22"/>
                <w:lang w:val="en-IE" w:eastAsia="en-IE"/>
              </w:rPr>
            </w:pPr>
            <w:r w:rsidRPr="00C2043F">
              <w:rPr>
                <w:noProof/>
                <w:color w:val="000000"/>
                <w:sz w:val="22"/>
                <w:lang w:val="en-IE" w:eastAsia="en-IE"/>
              </w:rPr>
              <w:t>Budget line</w:t>
            </w:r>
          </w:p>
        </w:tc>
        <w:tc>
          <w:tcPr>
            <w:tcW w:w="529" w:type="pct"/>
            <w:tcBorders>
              <w:top w:val="nil"/>
              <w:left w:val="nil"/>
              <w:bottom w:val="single" w:sz="8" w:space="0" w:color="auto"/>
              <w:right w:val="single" w:sz="8" w:space="0" w:color="auto"/>
            </w:tcBorders>
            <w:vAlign w:val="center"/>
            <w:hideMark/>
          </w:tcPr>
          <w:p w:rsidR="006B4685" w:rsidRPr="00C2043F" w:rsidRDefault="006B4685">
            <w:pPr>
              <w:spacing w:before="0" w:after="0"/>
              <w:rPr>
                <w:noProof/>
                <w:color w:val="000000"/>
                <w:sz w:val="18"/>
                <w:szCs w:val="18"/>
                <w:lang w:val="en-IE" w:eastAsia="en-IE"/>
              </w:rPr>
            </w:pPr>
            <w:r w:rsidRPr="00C2043F">
              <w:rPr>
                <w:noProof/>
                <w:color w:val="000000"/>
                <w:sz w:val="18"/>
                <w:szCs w:val="18"/>
                <w:lang w:val="en-IE" w:eastAsia="en-IE"/>
              </w:rPr>
              <w:t>Commitments</w:t>
            </w:r>
          </w:p>
        </w:tc>
        <w:tc>
          <w:tcPr>
            <w:tcW w:w="496" w:type="pct"/>
            <w:tcBorders>
              <w:top w:val="single" w:sz="8" w:space="0" w:color="auto"/>
              <w:left w:val="nil"/>
              <w:bottom w:val="single" w:sz="8" w:space="0" w:color="auto"/>
              <w:right w:val="single" w:sz="8" w:space="0" w:color="auto"/>
            </w:tcBorders>
            <w:vAlign w:val="center"/>
            <w:hideMark/>
          </w:tcPr>
          <w:p w:rsidR="006B4685" w:rsidRPr="00C2043F" w:rsidRDefault="006B4685">
            <w:pPr>
              <w:spacing w:before="0" w:after="0"/>
              <w:jc w:val="center"/>
              <w:rPr>
                <w:noProof/>
                <w:color w:val="000000"/>
                <w:sz w:val="14"/>
                <w:szCs w:val="14"/>
                <w:lang w:val="en-IE" w:eastAsia="en-IE"/>
              </w:rPr>
            </w:pPr>
            <w:r w:rsidRPr="00C2043F">
              <w:rPr>
                <w:noProof/>
                <w:color w:val="000000"/>
                <w:sz w:val="14"/>
                <w:szCs w:val="14"/>
                <w:lang w:val="en-IE" w:eastAsia="en-IE"/>
              </w:rPr>
              <w:t>(1a)</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 </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 </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 </w:t>
            </w:r>
          </w:p>
        </w:tc>
        <w:tc>
          <w:tcPr>
            <w:tcW w:w="478"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 </w:t>
            </w:r>
          </w:p>
        </w:tc>
        <w:tc>
          <w:tcPr>
            <w:tcW w:w="590" w:type="pct"/>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r>
      <w:tr w:rsidR="006B4685" w:rsidRPr="00C2043F">
        <w:trPr>
          <w:trHeight w:val="315"/>
        </w:trPr>
        <w:tc>
          <w:tcPr>
            <w:tcW w:w="1419" w:type="pct"/>
            <w:vMerge/>
            <w:tcBorders>
              <w:top w:val="nil"/>
              <w:left w:val="single" w:sz="8" w:space="0" w:color="auto"/>
              <w:bottom w:val="single" w:sz="8" w:space="0" w:color="auto"/>
              <w:right w:val="single" w:sz="8" w:space="0" w:color="auto"/>
            </w:tcBorders>
            <w:vAlign w:val="center"/>
            <w:hideMark/>
          </w:tcPr>
          <w:p w:rsidR="006B4685" w:rsidRPr="00C2043F" w:rsidRDefault="006B4685">
            <w:pPr>
              <w:spacing w:before="0" w:after="0"/>
              <w:jc w:val="left"/>
              <w:rPr>
                <w:noProof/>
                <w:color w:val="000000"/>
                <w:sz w:val="22"/>
                <w:lang w:val="en-IE" w:eastAsia="en-IE"/>
              </w:rPr>
            </w:pPr>
          </w:p>
        </w:tc>
        <w:tc>
          <w:tcPr>
            <w:tcW w:w="529" w:type="pct"/>
            <w:tcBorders>
              <w:top w:val="nil"/>
              <w:left w:val="nil"/>
              <w:bottom w:val="single" w:sz="8" w:space="0" w:color="auto"/>
              <w:right w:val="single" w:sz="8" w:space="0" w:color="auto"/>
            </w:tcBorders>
            <w:vAlign w:val="center"/>
            <w:hideMark/>
          </w:tcPr>
          <w:p w:rsidR="006B4685" w:rsidRPr="00C2043F" w:rsidRDefault="006B4685">
            <w:pPr>
              <w:spacing w:before="0" w:after="0"/>
              <w:rPr>
                <w:noProof/>
                <w:color w:val="000000"/>
                <w:sz w:val="18"/>
                <w:szCs w:val="18"/>
                <w:lang w:val="en-IE" w:eastAsia="en-IE"/>
              </w:rPr>
            </w:pPr>
            <w:r w:rsidRPr="00C2043F">
              <w:rPr>
                <w:noProof/>
                <w:color w:val="000000"/>
                <w:sz w:val="18"/>
                <w:szCs w:val="18"/>
                <w:lang w:val="en-IE" w:eastAsia="en-IE"/>
              </w:rPr>
              <w:t>Payments</w:t>
            </w:r>
          </w:p>
        </w:tc>
        <w:tc>
          <w:tcPr>
            <w:tcW w:w="496" w:type="pct"/>
            <w:tcBorders>
              <w:top w:val="single" w:sz="8" w:space="0" w:color="auto"/>
              <w:left w:val="nil"/>
              <w:bottom w:val="single" w:sz="8" w:space="0" w:color="auto"/>
              <w:right w:val="single" w:sz="8" w:space="0" w:color="auto"/>
            </w:tcBorders>
            <w:vAlign w:val="center"/>
            <w:hideMark/>
          </w:tcPr>
          <w:p w:rsidR="006B4685" w:rsidRPr="00C2043F" w:rsidRDefault="006B4685">
            <w:pPr>
              <w:spacing w:before="0" w:after="0"/>
              <w:jc w:val="center"/>
              <w:rPr>
                <w:noProof/>
                <w:color w:val="000000"/>
                <w:sz w:val="14"/>
                <w:szCs w:val="14"/>
                <w:lang w:val="en-IE" w:eastAsia="en-IE"/>
              </w:rPr>
            </w:pPr>
            <w:r w:rsidRPr="00C2043F">
              <w:rPr>
                <w:noProof/>
                <w:color w:val="000000"/>
                <w:sz w:val="14"/>
                <w:szCs w:val="14"/>
                <w:lang w:val="en-IE" w:eastAsia="en-IE"/>
              </w:rPr>
              <w:t>(2a)</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 </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 </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 </w:t>
            </w:r>
          </w:p>
        </w:tc>
        <w:tc>
          <w:tcPr>
            <w:tcW w:w="478"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 </w:t>
            </w:r>
          </w:p>
        </w:tc>
        <w:tc>
          <w:tcPr>
            <w:tcW w:w="590" w:type="pct"/>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r>
      <w:tr w:rsidR="006B4685" w:rsidRPr="00C2043F">
        <w:trPr>
          <w:trHeight w:val="315"/>
        </w:trPr>
        <w:tc>
          <w:tcPr>
            <w:tcW w:w="1419" w:type="pct"/>
            <w:vMerge w:val="restart"/>
            <w:tcBorders>
              <w:top w:val="nil"/>
              <w:left w:val="single" w:sz="8" w:space="0" w:color="auto"/>
              <w:bottom w:val="single" w:sz="8" w:space="0" w:color="auto"/>
              <w:right w:val="single" w:sz="8" w:space="0" w:color="auto"/>
            </w:tcBorders>
            <w:vAlign w:val="center"/>
            <w:hideMark/>
          </w:tcPr>
          <w:p w:rsidR="006B4685" w:rsidRPr="00C2043F" w:rsidRDefault="006B4685">
            <w:pPr>
              <w:spacing w:before="0" w:after="0"/>
              <w:rPr>
                <w:noProof/>
                <w:color w:val="000000"/>
                <w:sz w:val="20"/>
                <w:szCs w:val="20"/>
                <w:lang w:val="en-IE" w:eastAsia="en-IE"/>
              </w:rPr>
            </w:pPr>
            <w:r w:rsidRPr="00C2043F">
              <w:rPr>
                <w:noProof/>
                <w:color w:val="000000"/>
                <w:sz w:val="20"/>
                <w:szCs w:val="20"/>
                <w:lang w:val="en-IE" w:eastAsia="en-IE"/>
              </w:rPr>
              <w:t>Budget line</w:t>
            </w:r>
          </w:p>
        </w:tc>
        <w:tc>
          <w:tcPr>
            <w:tcW w:w="529" w:type="pct"/>
            <w:tcBorders>
              <w:top w:val="nil"/>
              <w:left w:val="nil"/>
              <w:bottom w:val="single" w:sz="8" w:space="0" w:color="auto"/>
              <w:right w:val="single" w:sz="8" w:space="0" w:color="auto"/>
            </w:tcBorders>
            <w:vAlign w:val="center"/>
            <w:hideMark/>
          </w:tcPr>
          <w:p w:rsidR="006B4685" w:rsidRPr="00C2043F" w:rsidRDefault="006B4685">
            <w:pPr>
              <w:spacing w:before="0" w:after="0"/>
              <w:rPr>
                <w:noProof/>
                <w:color w:val="000000"/>
                <w:sz w:val="18"/>
                <w:szCs w:val="18"/>
                <w:lang w:val="en-IE" w:eastAsia="en-IE"/>
              </w:rPr>
            </w:pPr>
            <w:r w:rsidRPr="00C2043F">
              <w:rPr>
                <w:noProof/>
                <w:color w:val="000000"/>
                <w:sz w:val="18"/>
                <w:szCs w:val="18"/>
                <w:lang w:val="en-IE" w:eastAsia="en-IE"/>
              </w:rPr>
              <w:t>Commitments</w:t>
            </w:r>
          </w:p>
        </w:tc>
        <w:tc>
          <w:tcPr>
            <w:tcW w:w="496" w:type="pct"/>
            <w:tcBorders>
              <w:top w:val="single" w:sz="8" w:space="0" w:color="auto"/>
              <w:left w:val="nil"/>
              <w:bottom w:val="single" w:sz="8" w:space="0" w:color="auto"/>
              <w:right w:val="single" w:sz="8" w:space="0" w:color="auto"/>
            </w:tcBorders>
            <w:vAlign w:val="center"/>
            <w:hideMark/>
          </w:tcPr>
          <w:p w:rsidR="006B4685" w:rsidRPr="00C2043F" w:rsidRDefault="006B4685">
            <w:pPr>
              <w:spacing w:before="0" w:after="0"/>
              <w:jc w:val="center"/>
              <w:rPr>
                <w:noProof/>
                <w:color w:val="000000"/>
                <w:sz w:val="14"/>
                <w:szCs w:val="14"/>
                <w:lang w:val="en-IE" w:eastAsia="en-IE"/>
              </w:rPr>
            </w:pPr>
            <w:r w:rsidRPr="00C2043F">
              <w:rPr>
                <w:noProof/>
                <w:color w:val="000000"/>
                <w:sz w:val="14"/>
                <w:szCs w:val="14"/>
                <w:lang w:val="en-IE" w:eastAsia="en-IE"/>
              </w:rPr>
              <w:t>(1b)</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 </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 </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 </w:t>
            </w:r>
          </w:p>
        </w:tc>
        <w:tc>
          <w:tcPr>
            <w:tcW w:w="478"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 </w:t>
            </w:r>
          </w:p>
        </w:tc>
        <w:tc>
          <w:tcPr>
            <w:tcW w:w="590" w:type="pct"/>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r>
      <w:tr w:rsidR="006B4685" w:rsidRPr="00C2043F">
        <w:trPr>
          <w:trHeight w:val="315"/>
        </w:trPr>
        <w:tc>
          <w:tcPr>
            <w:tcW w:w="1419" w:type="pct"/>
            <w:vMerge/>
            <w:tcBorders>
              <w:top w:val="nil"/>
              <w:left w:val="single" w:sz="8" w:space="0" w:color="auto"/>
              <w:bottom w:val="single" w:sz="8" w:space="0" w:color="auto"/>
              <w:right w:val="single" w:sz="8" w:space="0" w:color="auto"/>
            </w:tcBorders>
            <w:vAlign w:val="center"/>
            <w:hideMark/>
          </w:tcPr>
          <w:p w:rsidR="006B4685" w:rsidRPr="00C2043F" w:rsidRDefault="006B4685">
            <w:pPr>
              <w:spacing w:before="0" w:after="0"/>
              <w:jc w:val="left"/>
              <w:rPr>
                <w:noProof/>
                <w:color w:val="000000"/>
                <w:sz w:val="20"/>
                <w:szCs w:val="20"/>
                <w:lang w:val="en-IE" w:eastAsia="en-IE"/>
              </w:rPr>
            </w:pPr>
          </w:p>
        </w:tc>
        <w:tc>
          <w:tcPr>
            <w:tcW w:w="529" w:type="pct"/>
            <w:tcBorders>
              <w:top w:val="nil"/>
              <w:left w:val="nil"/>
              <w:bottom w:val="single" w:sz="8" w:space="0" w:color="auto"/>
              <w:right w:val="single" w:sz="8" w:space="0" w:color="auto"/>
            </w:tcBorders>
            <w:vAlign w:val="center"/>
            <w:hideMark/>
          </w:tcPr>
          <w:p w:rsidR="006B4685" w:rsidRPr="00C2043F" w:rsidRDefault="006B4685">
            <w:pPr>
              <w:spacing w:before="0" w:after="0"/>
              <w:rPr>
                <w:noProof/>
                <w:color w:val="000000"/>
                <w:sz w:val="18"/>
                <w:szCs w:val="18"/>
                <w:lang w:val="en-IE" w:eastAsia="en-IE"/>
              </w:rPr>
            </w:pPr>
            <w:r w:rsidRPr="00C2043F">
              <w:rPr>
                <w:noProof/>
                <w:color w:val="000000"/>
                <w:sz w:val="18"/>
                <w:szCs w:val="18"/>
                <w:lang w:val="en-IE" w:eastAsia="en-IE"/>
              </w:rPr>
              <w:t>Payments</w:t>
            </w:r>
          </w:p>
        </w:tc>
        <w:tc>
          <w:tcPr>
            <w:tcW w:w="496" w:type="pct"/>
            <w:tcBorders>
              <w:top w:val="single" w:sz="8" w:space="0" w:color="auto"/>
              <w:left w:val="nil"/>
              <w:bottom w:val="single" w:sz="8" w:space="0" w:color="auto"/>
              <w:right w:val="single" w:sz="8" w:space="0" w:color="auto"/>
            </w:tcBorders>
            <w:vAlign w:val="center"/>
            <w:hideMark/>
          </w:tcPr>
          <w:p w:rsidR="006B4685" w:rsidRPr="00C2043F" w:rsidRDefault="006B4685">
            <w:pPr>
              <w:spacing w:before="0" w:after="0"/>
              <w:jc w:val="center"/>
              <w:rPr>
                <w:noProof/>
                <w:color w:val="000000"/>
                <w:sz w:val="14"/>
                <w:szCs w:val="14"/>
                <w:lang w:val="en-IE" w:eastAsia="en-IE"/>
              </w:rPr>
            </w:pPr>
            <w:r w:rsidRPr="00C2043F">
              <w:rPr>
                <w:noProof/>
                <w:color w:val="000000"/>
                <w:sz w:val="14"/>
                <w:szCs w:val="14"/>
                <w:lang w:val="en-IE" w:eastAsia="en-IE"/>
              </w:rPr>
              <w:t>(2b)</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 </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 </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 </w:t>
            </w:r>
          </w:p>
        </w:tc>
        <w:tc>
          <w:tcPr>
            <w:tcW w:w="478"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20"/>
                <w:szCs w:val="20"/>
                <w:lang w:val="en-IE" w:eastAsia="en-IE"/>
              </w:rPr>
            </w:pPr>
            <w:r w:rsidRPr="00C2043F">
              <w:rPr>
                <w:noProof/>
                <w:color w:val="000000"/>
                <w:sz w:val="20"/>
                <w:szCs w:val="20"/>
                <w:lang w:val="en-IE" w:eastAsia="en-IE"/>
              </w:rPr>
              <w:t> </w:t>
            </w:r>
          </w:p>
        </w:tc>
        <w:tc>
          <w:tcPr>
            <w:tcW w:w="590" w:type="pct"/>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r>
      <w:tr w:rsidR="006B4685" w:rsidRPr="00C2043F">
        <w:trPr>
          <w:trHeight w:val="288"/>
        </w:trPr>
        <w:tc>
          <w:tcPr>
            <w:tcW w:w="5000" w:type="pct"/>
            <w:gridSpan w:val="8"/>
            <w:tcBorders>
              <w:top w:val="single" w:sz="8" w:space="0" w:color="auto"/>
              <w:left w:val="single" w:sz="8" w:space="0" w:color="auto"/>
              <w:bottom w:val="single" w:sz="8" w:space="0" w:color="auto"/>
              <w:right w:val="single" w:sz="8" w:space="0" w:color="auto"/>
            </w:tcBorders>
            <w:noWrap/>
            <w:vAlign w:val="bottom"/>
            <w:hideMark/>
          </w:tcPr>
          <w:p w:rsidR="006B4685" w:rsidRPr="00C2043F" w:rsidRDefault="006B4685">
            <w:pPr>
              <w:spacing w:before="0" w:after="0"/>
              <w:jc w:val="left"/>
              <w:rPr>
                <w:noProof/>
                <w:color w:val="000000"/>
                <w:sz w:val="22"/>
                <w:lang w:val="en-IE" w:eastAsia="en-IE"/>
              </w:rPr>
            </w:pPr>
            <w:r w:rsidRPr="00C2043F">
              <w:rPr>
                <w:noProof/>
                <w:color w:val="000000"/>
                <w:sz w:val="22"/>
                <w:lang w:val="en-IE" w:eastAsia="en-IE"/>
              </w:rPr>
              <w:t>Appropriations of an administrative nature financed from the envelope of specific programmes</w:t>
            </w:r>
            <w:r>
              <w:rPr>
                <w:rStyle w:val="FootnoteReference"/>
                <w:noProof/>
                <w:color w:val="000000"/>
                <w:sz w:val="22"/>
                <w:lang w:val="en-IE" w:eastAsia="en-IE"/>
              </w:rPr>
              <w:footnoteReference w:id="41"/>
            </w:r>
          </w:p>
        </w:tc>
      </w:tr>
      <w:tr w:rsidR="006B4685" w:rsidRPr="00C2043F">
        <w:trPr>
          <w:trHeight w:val="288"/>
        </w:trPr>
        <w:tc>
          <w:tcPr>
            <w:tcW w:w="1419" w:type="pct"/>
            <w:tcBorders>
              <w:top w:val="nil"/>
              <w:left w:val="single" w:sz="8" w:space="0" w:color="auto"/>
              <w:bottom w:val="single" w:sz="8" w:space="0" w:color="auto"/>
              <w:right w:val="single" w:sz="8" w:space="0" w:color="auto"/>
            </w:tcBorders>
            <w:vAlign w:val="center"/>
            <w:hideMark/>
          </w:tcPr>
          <w:p w:rsidR="006B4685" w:rsidRPr="00C2043F" w:rsidRDefault="006B4685">
            <w:pPr>
              <w:spacing w:before="0" w:after="0"/>
              <w:rPr>
                <w:noProof/>
                <w:color w:val="000000"/>
                <w:sz w:val="20"/>
                <w:szCs w:val="20"/>
                <w:lang w:val="en-IE" w:eastAsia="en-IE"/>
              </w:rPr>
            </w:pPr>
            <w:r w:rsidRPr="00C2043F">
              <w:rPr>
                <w:noProof/>
                <w:color w:val="000000"/>
                <w:sz w:val="20"/>
                <w:szCs w:val="20"/>
                <w:lang w:val="en-IE" w:eastAsia="en-IE"/>
              </w:rPr>
              <w:t>Budget line</w:t>
            </w:r>
          </w:p>
        </w:tc>
        <w:tc>
          <w:tcPr>
            <w:tcW w:w="529"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noProof/>
                <w:color w:val="000000"/>
                <w:sz w:val="18"/>
                <w:szCs w:val="18"/>
                <w:lang w:val="en-IE" w:eastAsia="en-IE"/>
              </w:rPr>
            </w:pPr>
            <w:r w:rsidRPr="00C2043F">
              <w:rPr>
                <w:noProof/>
                <w:color w:val="000000"/>
                <w:sz w:val="18"/>
                <w:szCs w:val="18"/>
                <w:lang w:val="en-IE" w:eastAsia="en-IE"/>
              </w:rPr>
              <w:t> </w:t>
            </w:r>
          </w:p>
        </w:tc>
        <w:tc>
          <w:tcPr>
            <w:tcW w:w="496" w:type="pct"/>
            <w:tcBorders>
              <w:top w:val="single" w:sz="8" w:space="0" w:color="auto"/>
              <w:left w:val="nil"/>
              <w:bottom w:val="single" w:sz="8" w:space="0" w:color="auto"/>
              <w:right w:val="single" w:sz="8" w:space="0" w:color="auto"/>
            </w:tcBorders>
            <w:vAlign w:val="center"/>
            <w:hideMark/>
          </w:tcPr>
          <w:p w:rsidR="006B4685" w:rsidRPr="00C2043F" w:rsidRDefault="006B4685">
            <w:pPr>
              <w:spacing w:before="0" w:after="0"/>
              <w:jc w:val="center"/>
              <w:rPr>
                <w:noProof/>
                <w:color w:val="000000"/>
                <w:sz w:val="14"/>
                <w:szCs w:val="14"/>
                <w:lang w:val="en-IE" w:eastAsia="en-IE"/>
              </w:rPr>
            </w:pPr>
            <w:r w:rsidRPr="00C2043F">
              <w:rPr>
                <w:noProof/>
                <w:color w:val="000000"/>
                <w:sz w:val="14"/>
                <w:szCs w:val="14"/>
                <w:lang w:val="en-IE" w:eastAsia="en-IE"/>
              </w:rPr>
              <w:t>(3)</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 </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 </w:t>
            </w:r>
          </w:p>
        </w:tc>
        <w:tc>
          <w:tcPr>
            <w:tcW w:w="496"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 </w:t>
            </w:r>
          </w:p>
        </w:tc>
        <w:tc>
          <w:tcPr>
            <w:tcW w:w="478" w:type="pct"/>
            <w:tcBorders>
              <w:top w:val="nil"/>
              <w:left w:val="nil"/>
              <w:bottom w:val="single" w:sz="8" w:space="0" w:color="auto"/>
              <w:right w:val="single" w:sz="8" w:space="0" w:color="auto"/>
            </w:tcBorders>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 </w:t>
            </w:r>
          </w:p>
        </w:tc>
        <w:tc>
          <w:tcPr>
            <w:tcW w:w="590" w:type="pct"/>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r>
      <w:tr w:rsidR="006B4685" w:rsidRPr="00C2043F">
        <w:trPr>
          <w:trHeight w:val="288"/>
        </w:trPr>
        <w:tc>
          <w:tcPr>
            <w:tcW w:w="1419" w:type="pct"/>
            <w:vMerge w:val="restart"/>
            <w:tcBorders>
              <w:top w:val="nil"/>
              <w:left w:val="single" w:sz="8" w:space="0" w:color="auto"/>
              <w:right w:val="single" w:sz="8" w:space="0" w:color="auto"/>
            </w:tcBorders>
            <w:vAlign w:val="center"/>
            <w:hideMark/>
          </w:tcPr>
          <w:p w:rsidR="006B4685" w:rsidRPr="00C2043F" w:rsidRDefault="006B4685">
            <w:pPr>
              <w:spacing w:before="0" w:after="0"/>
              <w:jc w:val="center"/>
              <w:rPr>
                <w:b/>
                <w:bCs/>
                <w:noProof/>
                <w:color w:val="000000"/>
                <w:sz w:val="22"/>
                <w:lang w:val="en-IE" w:eastAsia="en-IE"/>
              </w:rPr>
            </w:pPr>
            <w:r w:rsidRPr="00C2043F">
              <w:rPr>
                <w:b/>
                <w:bCs/>
                <w:noProof/>
                <w:color w:val="000000"/>
                <w:sz w:val="22"/>
                <w:lang w:val="en-IE" w:eastAsia="en-IE"/>
              </w:rPr>
              <w:t>TOTAL appropriations</w:t>
            </w:r>
          </w:p>
          <w:p w:rsidR="006B4685" w:rsidRPr="00C2043F" w:rsidRDefault="006B4685">
            <w:pPr>
              <w:spacing w:before="0" w:after="0"/>
              <w:jc w:val="center"/>
              <w:rPr>
                <w:b/>
                <w:bCs/>
                <w:noProof/>
                <w:color w:val="000000"/>
                <w:sz w:val="22"/>
                <w:lang w:val="en-IE" w:eastAsia="en-IE"/>
              </w:rPr>
            </w:pPr>
            <w:r w:rsidRPr="00C2043F">
              <w:rPr>
                <w:b/>
                <w:bCs/>
                <w:noProof/>
                <w:color w:val="000000"/>
                <w:sz w:val="22"/>
                <w:lang w:val="en-IE" w:eastAsia="en-IE"/>
              </w:rPr>
              <w:t xml:space="preserve">for DG </w:t>
            </w:r>
            <w:r w:rsidRPr="00C2043F">
              <w:rPr>
                <w:noProof/>
                <w:color w:val="000000"/>
                <w:sz w:val="22"/>
                <w:lang w:val="en-IE" w:eastAsia="en-IE"/>
              </w:rPr>
              <w:t>&lt;…….&gt;</w:t>
            </w:r>
          </w:p>
        </w:tc>
        <w:tc>
          <w:tcPr>
            <w:tcW w:w="529" w:type="pct"/>
            <w:tcBorders>
              <w:top w:val="nil"/>
              <w:left w:val="nil"/>
              <w:bottom w:val="single" w:sz="8" w:space="0" w:color="auto"/>
              <w:right w:val="single" w:sz="8" w:space="0" w:color="auto"/>
            </w:tcBorders>
            <w:vAlign w:val="center"/>
            <w:hideMark/>
          </w:tcPr>
          <w:p w:rsidR="006B4685" w:rsidRPr="00C2043F" w:rsidRDefault="006B4685">
            <w:pPr>
              <w:spacing w:before="0" w:after="0"/>
              <w:rPr>
                <w:noProof/>
                <w:color w:val="000000"/>
                <w:sz w:val="18"/>
                <w:szCs w:val="18"/>
                <w:lang w:val="en-IE" w:eastAsia="en-IE"/>
              </w:rPr>
            </w:pPr>
            <w:r w:rsidRPr="00C2043F">
              <w:rPr>
                <w:noProof/>
                <w:color w:val="000000"/>
                <w:sz w:val="18"/>
                <w:szCs w:val="18"/>
                <w:lang w:val="en-IE" w:eastAsia="en-IE"/>
              </w:rPr>
              <w:t>Commitments</w:t>
            </w:r>
          </w:p>
        </w:tc>
        <w:tc>
          <w:tcPr>
            <w:tcW w:w="496" w:type="pct"/>
            <w:tcBorders>
              <w:top w:val="single" w:sz="8" w:space="0" w:color="auto"/>
              <w:left w:val="nil"/>
              <w:bottom w:val="single" w:sz="8" w:space="0" w:color="auto"/>
              <w:right w:val="single" w:sz="8" w:space="0" w:color="auto"/>
            </w:tcBorders>
            <w:vAlign w:val="center"/>
            <w:hideMark/>
          </w:tcPr>
          <w:p w:rsidR="006B4685" w:rsidRPr="00C2043F" w:rsidRDefault="006B4685">
            <w:pPr>
              <w:spacing w:before="0" w:after="0"/>
              <w:jc w:val="center"/>
              <w:rPr>
                <w:noProof/>
                <w:color w:val="000000"/>
                <w:sz w:val="14"/>
                <w:szCs w:val="14"/>
                <w:lang w:val="en-IE" w:eastAsia="en-IE"/>
              </w:rPr>
            </w:pPr>
            <w:r w:rsidRPr="00C2043F">
              <w:rPr>
                <w:noProof/>
                <w:color w:val="000000"/>
                <w:sz w:val="14"/>
                <w:szCs w:val="14"/>
                <w:lang w:val="en-IE" w:eastAsia="en-IE"/>
              </w:rPr>
              <w:t>=1a+1b+3</w:t>
            </w:r>
          </w:p>
        </w:tc>
        <w:tc>
          <w:tcPr>
            <w:tcW w:w="496" w:type="pct"/>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c>
          <w:tcPr>
            <w:tcW w:w="496" w:type="pct"/>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c>
          <w:tcPr>
            <w:tcW w:w="496" w:type="pct"/>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c>
          <w:tcPr>
            <w:tcW w:w="478" w:type="pct"/>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c>
          <w:tcPr>
            <w:tcW w:w="590" w:type="pct"/>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r>
      <w:tr w:rsidR="006B4685" w:rsidRPr="00C2043F">
        <w:trPr>
          <w:trHeight w:val="288"/>
        </w:trPr>
        <w:tc>
          <w:tcPr>
            <w:tcW w:w="1419" w:type="pct"/>
            <w:vMerge/>
            <w:tcBorders>
              <w:left w:val="single" w:sz="8" w:space="0" w:color="auto"/>
              <w:bottom w:val="single" w:sz="8" w:space="0" w:color="auto"/>
              <w:right w:val="single" w:sz="8" w:space="0" w:color="auto"/>
            </w:tcBorders>
            <w:vAlign w:val="center"/>
            <w:hideMark/>
          </w:tcPr>
          <w:p w:rsidR="006B4685" w:rsidRPr="00C2043F" w:rsidRDefault="006B4685">
            <w:pPr>
              <w:spacing w:before="0" w:after="0"/>
              <w:jc w:val="center"/>
              <w:rPr>
                <w:b/>
                <w:bCs/>
                <w:noProof/>
                <w:color w:val="000000"/>
                <w:sz w:val="22"/>
                <w:lang w:val="en-IE" w:eastAsia="en-IE"/>
              </w:rPr>
            </w:pPr>
          </w:p>
        </w:tc>
        <w:tc>
          <w:tcPr>
            <w:tcW w:w="529" w:type="pct"/>
            <w:tcBorders>
              <w:top w:val="nil"/>
              <w:left w:val="nil"/>
              <w:bottom w:val="single" w:sz="8" w:space="0" w:color="auto"/>
              <w:right w:val="single" w:sz="8" w:space="0" w:color="auto"/>
            </w:tcBorders>
            <w:vAlign w:val="center"/>
            <w:hideMark/>
          </w:tcPr>
          <w:p w:rsidR="006B4685" w:rsidRPr="00C2043F" w:rsidRDefault="006B4685">
            <w:pPr>
              <w:spacing w:before="0" w:after="0"/>
              <w:rPr>
                <w:noProof/>
                <w:color w:val="000000"/>
                <w:sz w:val="18"/>
                <w:szCs w:val="18"/>
                <w:lang w:val="en-IE" w:eastAsia="en-IE"/>
              </w:rPr>
            </w:pPr>
            <w:r w:rsidRPr="00C2043F">
              <w:rPr>
                <w:noProof/>
                <w:color w:val="000000"/>
                <w:sz w:val="18"/>
                <w:szCs w:val="18"/>
                <w:lang w:val="en-IE" w:eastAsia="en-IE"/>
              </w:rPr>
              <w:t>Payments</w:t>
            </w:r>
          </w:p>
        </w:tc>
        <w:tc>
          <w:tcPr>
            <w:tcW w:w="496" w:type="pct"/>
            <w:tcBorders>
              <w:top w:val="single" w:sz="8" w:space="0" w:color="auto"/>
              <w:left w:val="nil"/>
              <w:bottom w:val="single" w:sz="8" w:space="0" w:color="auto"/>
              <w:right w:val="single" w:sz="8" w:space="0" w:color="auto"/>
            </w:tcBorders>
            <w:vAlign w:val="center"/>
            <w:hideMark/>
          </w:tcPr>
          <w:p w:rsidR="006B4685" w:rsidRPr="00C2043F" w:rsidRDefault="006B4685">
            <w:pPr>
              <w:spacing w:before="0" w:after="0"/>
              <w:jc w:val="center"/>
              <w:rPr>
                <w:noProof/>
                <w:color w:val="000000"/>
                <w:sz w:val="14"/>
                <w:szCs w:val="14"/>
                <w:lang w:val="en-IE" w:eastAsia="en-IE"/>
              </w:rPr>
            </w:pPr>
            <w:r w:rsidRPr="00C2043F">
              <w:rPr>
                <w:noProof/>
                <w:color w:val="000000"/>
                <w:sz w:val="14"/>
                <w:szCs w:val="14"/>
                <w:lang w:val="en-IE" w:eastAsia="en-IE"/>
              </w:rPr>
              <w:t>=2a+2b+3</w:t>
            </w:r>
          </w:p>
        </w:tc>
        <w:tc>
          <w:tcPr>
            <w:tcW w:w="496" w:type="pct"/>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c>
          <w:tcPr>
            <w:tcW w:w="496" w:type="pct"/>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c>
          <w:tcPr>
            <w:tcW w:w="496" w:type="pct"/>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c>
          <w:tcPr>
            <w:tcW w:w="478" w:type="pct"/>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c>
          <w:tcPr>
            <w:tcW w:w="590" w:type="pct"/>
            <w:tcBorders>
              <w:top w:val="nil"/>
              <w:left w:val="nil"/>
              <w:bottom w:val="single" w:sz="8" w:space="0" w:color="auto"/>
              <w:right w:val="single" w:sz="8" w:space="0" w:color="auto"/>
            </w:tcBorders>
            <w:shd w:val="clear" w:color="000000" w:fill="D9D9D9"/>
            <w:vAlign w:val="center"/>
            <w:hideMark/>
          </w:tcPr>
          <w:p w:rsidR="006B4685" w:rsidRPr="00C2043F" w:rsidRDefault="006B4685">
            <w:pPr>
              <w:spacing w:before="0" w:after="0"/>
              <w:jc w:val="right"/>
              <w:rPr>
                <w:b/>
                <w:bCs/>
                <w:noProof/>
                <w:color w:val="000000"/>
                <w:sz w:val="20"/>
                <w:szCs w:val="20"/>
                <w:lang w:val="en-IE" w:eastAsia="en-IE"/>
              </w:rPr>
            </w:pPr>
            <w:r w:rsidRPr="00C2043F">
              <w:rPr>
                <w:b/>
                <w:bCs/>
                <w:noProof/>
                <w:color w:val="000000"/>
                <w:sz w:val="20"/>
                <w:szCs w:val="20"/>
                <w:lang w:val="en-IE" w:eastAsia="en-IE"/>
              </w:rPr>
              <w:t>0.000</w:t>
            </w:r>
          </w:p>
        </w:tc>
      </w:tr>
    </w:tbl>
    <w:p w:rsidR="006B4685" w:rsidRDefault="006B4685" w:rsidP="006B4685">
      <w:pPr>
        <w:pStyle w:val="ManualHeading3"/>
        <w:rPr>
          <w:bCs/>
          <w:noProof/>
          <w:szCs w:val="24"/>
        </w:rPr>
      </w:pPr>
      <w:bookmarkStart w:id="142" w:name="_Toc514938054"/>
      <w:bookmarkStart w:id="143" w:name="_Toc520485053"/>
      <w:bookmarkStart w:id="144" w:name="_Toc160804597"/>
      <w:bookmarkStart w:id="145" w:name="_Toc198557782"/>
      <w:r w:rsidRPr="0021790A">
        <w:rPr>
          <w:noProof/>
        </w:rPr>
        <w:t>3.2.2.</w:t>
      </w:r>
      <w:r w:rsidRPr="0021790A">
        <w:rPr>
          <w:noProof/>
        </w:rPr>
        <w:tab/>
      </w:r>
      <w:r>
        <w:rPr>
          <w:noProof/>
        </w:rPr>
        <w:t>Estimated output funded from operational appropriations</w:t>
      </w:r>
      <w:bookmarkEnd w:id="142"/>
      <w:bookmarkEnd w:id="143"/>
      <w:r>
        <w:rPr>
          <w:noProof/>
        </w:rPr>
        <w:t xml:space="preserve"> </w:t>
      </w:r>
      <w:bookmarkEnd w:id="144"/>
      <w:bookmarkEnd w:id="145"/>
    </w:p>
    <w:p w:rsidR="006B4685" w:rsidRPr="003A769F" w:rsidRDefault="006B4685" w:rsidP="006B4685">
      <w:pPr>
        <w:jc w:val="right"/>
        <w:rPr>
          <w:noProof/>
          <w:sz w:val="20"/>
          <w:lang w:val="en-IE"/>
        </w:rPr>
      </w:pPr>
      <w:r w:rsidRPr="003A769F">
        <w:rPr>
          <w:noProof/>
          <w:sz w:val="20"/>
          <w:lang w:val="en-IE"/>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882"/>
        <w:gridCol w:w="18"/>
        <w:gridCol w:w="720"/>
        <w:gridCol w:w="540"/>
        <w:gridCol w:w="648"/>
        <w:gridCol w:w="432"/>
        <w:gridCol w:w="720"/>
        <w:gridCol w:w="540"/>
        <w:gridCol w:w="720"/>
        <w:gridCol w:w="720"/>
        <w:gridCol w:w="900"/>
      </w:tblGrid>
      <w:tr w:rsidR="006B4685">
        <w:trPr>
          <w:jc w:val="center"/>
        </w:trPr>
        <w:tc>
          <w:tcPr>
            <w:tcW w:w="1423" w:type="dxa"/>
            <w:vMerge w:val="restart"/>
            <w:vAlign w:val="center"/>
          </w:tcPr>
          <w:p w:rsidR="006B4685" w:rsidRDefault="006B4685">
            <w:pPr>
              <w:ind w:right="-29"/>
              <w:jc w:val="center"/>
              <w:rPr>
                <w:b/>
                <w:noProof/>
                <w:sz w:val="18"/>
                <w:szCs w:val="18"/>
              </w:rPr>
            </w:pPr>
            <w:r>
              <w:rPr>
                <w:b/>
                <w:noProof/>
                <w:sz w:val="18"/>
              </w:rPr>
              <w:t xml:space="preserve">Indicate objectives and outputs </w:t>
            </w:r>
          </w:p>
          <w:p w:rsidR="006B4685" w:rsidRDefault="006B4685">
            <w:pPr>
              <w:ind w:right="-29"/>
              <w:jc w:val="center"/>
              <w:rPr>
                <w:b/>
                <w:noProof/>
                <w:sz w:val="18"/>
                <w:szCs w:val="18"/>
              </w:rPr>
            </w:pPr>
          </w:p>
          <w:p w:rsidR="006B4685" w:rsidRDefault="006B4685">
            <w:pPr>
              <w:ind w:right="-29"/>
              <w:jc w:val="center"/>
              <w:rPr>
                <w:noProof/>
                <w:sz w:val="18"/>
                <w:szCs w:val="18"/>
              </w:rPr>
            </w:pPr>
            <w:r>
              <w:rPr>
                <w:rFonts w:ascii="Wingdings" w:eastAsia="Wingdings" w:hAnsi="Wingdings" w:cs="Wingdings"/>
                <w:noProof/>
                <w:sz w:val="18"/>
              </w:rPr>
              <w:t></w:t>
            </w:r>
          </w:p>
        </w:tc>
        <w:tc>
          <w:tcPr>
            <w:tcW w:w="720" w:type="dxa"/>
            <w:vAlign w:val="center"/>
          </w:tcPr>
          <w:p w:rsidR="006B4685" w:rsidRDefault="006B4685">
            <w:pPr>
              <w:ind w:right="-29"/>
              <w:jc w:val="center"/>
              <w:rPr>
                <w:noProof/>
                <w:sz w:val="18"/>
                <w:szCs w:val="18"/>
              </w:rPr>
            </w:pPr>
          </w:p>
        </w:tc>
        <w:tc>
          <w:tcPr>
            <w:tcW w:w="701" w:type="dxa"/>
            <w:vAlign w:val="center"/>
          </w:tcPr>
          <w:p w:rsidR="006B4685" w:rsidRDefault="006B4685">
            <w:pPr>
              <w:ind w:right="-29"/>
              <w:jc w:val="center"/>
              <w:rPr>
                <w:noProof/>
                <w:sz w:val="18"/>
                <w:szCs w:val="18"/>
              </w:rPr>
            </w:pPr>
          </w:p>
        </w:tc>
        <w:tc>
          <w:tcPr>
            <w:tcW w:w="1224" w:type="dxa"/>
            <w:gridSpan w:val="2"/>
            <w:tcBorders>
              <w:left w:val="nil"/>
            </w:tcBorders>
            <w:vAlign w:val="center"/>
          </w:tcPr>
          <w:p w:rsidR="006B4685" w:rsidRDefault="006B4685">
            <w:pPr>
              <w:ind w:right="-29"/>
              <w:jc w:val="center"/>
              <w:rPr>
                <w:noProof/>
                <w:sz w:val="18"/>
                <w:szCs w:val="18"/>
              </w:rPr>
            </w:pPr>
            <w:r>
              <w:rPr>
                <w:noProof/>
                <w:sz w:val="18"/>
              </w:rPr>
              <w:t xml:space="preserve">Year </w:t>
            </w:r>
            <w:r>
              <w:rPr>
                <w:noProof/>
                <w:sz w:val="22"/>
              </w:rPr>
              <w:br/>
            </w:r>
            <w:r>
              <w:rPr>
                <w:b/>
                <w:noProof/>
                <w:sz w:val="18"/>
              </w:rPr>
              <w:t>2024</w:t>
            </w:r>
          </w:p>
        </w:tc>
        <w:tc>
          <w:tcPr>
            <w:tcW w:w="1260" w:type="dxa"/>
            <w:gridSpan w:val="2"/>
            <w:vAlign w:val="center"/>
          </w:tcPr>
          <w:p w:rsidR="006B4685" w:rsidRDefault="006B4685">
            <w:pPr>
              <w:ind w:right="-29"/>
              <w:jc w:val="center"/>
              <w:rPr>
                <w:noProof/>
                <w:sz w:val="18"/>
                <w:szCs w:val="18"/>
              </w:rPr>
            </w:pPr>
            <w:r>
              <w:rPr>
                <w:noProof/>
                <w:sz w:val="18"/>
              </w:rPr>
              <w:t xml:space="preserve">Year </w:t>
            </w:r>
            <w:r>
              <w:rPr>
                <w:noProof/>
                <w:sz w:val="22"/>
              </w:rPr>
              <w:br/>
            </w:r>
            <w:r>
              <w:rPr>
                <w:b/>
                <w:noProof/>
                <w:sz w:val="18"/>
              </w:rPr>
              <w:t>2025</w:t>
            </w:r>
          </w:p>
        </w:tc>
        <w:tc>
          <w:tcPr>
            <w:tcW w:w="1440" w:type="dxa"/>
            <w:gridSpan w:val="2"/>
            <w:vAlign w:val="center"/>
          </w:tcPr>
          <w:p w:rsidR="006B4685" w:rsidRDefault="006B4685">
            <w:pPr>
              <w:ind w:right="-29"/>
              <w:jc w:val="center"/>
              <w:rPr>
                <w:noProof/>
                <w:sz w:val="18"/>
                <w:szCs w:val="18"/>
              </w:rPr>
            </w:pPr>
            <w:r>
              <w:rPr>
                <w:noProof/>
                <w:sz w:val="18"/>
              </w:rPr>
              <w:t xml:space="preserve">Year </w:t>
            </w:r>
            <w:r>
              <w:rPr>
                <w:noProof/>
                <w:sz w:val="22"/>
              </w:rPr>
              <w:br/>
            </w:r>
            <w:r>
              <w:rPr>
                <w:b/>
                <w:noProof/>
                <w:sz w:val="18"/>
              </w:rPr>
              <w:t>2026</w:t>
            </w:r>
          </w:p>
        </w:tc>
        <w:tc>
          <w:tcPr>
            <w:tcW w:w="1620" w:type="dxa"/>
            <w:gridSpan w:val="3"/>
            <w:vAlign w:val="center"/>
          </w:tcPr>
          <w:p w:rsidR="006B4685" w:rsidRDefault="006B4685">
            <w:pPr>
              <w:ind w:right="-29"/>
              <w:jc w:val="center"/>
              <w:rPr>
                <w:noProof/>
                <w:sz w:val="18"/>
                <w:szCs w:val="18"/>
              </w:rPr>
            </w:pPr>
            <w:r>
              <w:rPr>
                <w:noProof/>
                <w:sz w:val="18"/>
              </w:rPr>
              <w:t xml:space="preserve">Year </w:t>
            </w:r>
            <w:r>
              <w:rPr>
                <w:noProof/>
                <w:sz w:val="22"/>
              </w:rPr>
              <w:br/>
            </w:r>
            <w:r>
              <w:rPr>
                <w:b/>
                <w:noProof/>
                <w:sz w:val="18"/>
              </w:rPr>
              <w:t>2027</w:t>
            </w:r>
          </w:p>
        </w:tc>
        <w:tc>
          <w:tcPr>
            <w:tcW w:w="3600" w:type="dxa"/>
            <w:gridSpan w:val="6"/>
            <w:vAlign w:val="center"/>
          </w:tcPr>
          <w:p w:rsidR="006B4685" w:rsidRPr="003A769F" w:rsidRDefault="006B4685">
            <w:pPr>
              <w:jc w:val="center"/>
              <w:rPr>
                <w:noProof/>
                <w:sz w:val="18"/>
                <w:szCs w:val="18"/>
                <w:lang w:val="en-IE"/>
              </w:rPr>
            </w:pPr>
            <w:r w:rsidRPr="003A769F">
              <w:rPr>
                <w:noProof/>
                <w:sz w:val="18"/>
                <w:lang w:val="en-IE"/>
              </w:rPr>
              <w:t xml:space="preserve">Enter as many years as necessary to show the duration of the impact (see </w:t>
            </w:r>
            <w:r>
              <w:rPr>
                <w:noProof/>
                <w:sz w:val="18"/>
                <w:lang w:val="en-IE"/>
              </w:rPr>
              <w:t>Section</w:t>
            </w:r>
            <w:r w:rsidRPr="003A769F">
              <w:rPr>
                <w:noProof/>
                <w:sz w:val="18"/>
                <w:lang w:val="en-IE"/>
              </w:rPr>
              <w:t xml:space="preserve"> 1.6)</w:t>
            </w:r>
          </w:p>
        </w:tc>
        <w:tc>
          <w:tcPr>
            <w:tcW w:w="1620" w:type="dxa"/>
            <w:gridSpan w:val="2"/>
            <w:tcBorders>
              <w:left w:val="nil"/>
              <w:bottom w:val="nil"/>
            </w:tcBorders>
            <w:vAlign w:val="center"/>
          </w:tcPr>
          <w:p w:rsidR="006B4685" w:rsidRDefault="006B4685">
            <w:pPr>
              <w:ind w:right="-29"/>
              <w:jc w:val="center"/>
              <w:rPr>
                <w:noProof/>
                <w:sz w:val="18"/>
                <w:szCs w:val="18"/>
              </w:rPr>
            </w:pPr>
            <w:r>
              <w:rPr>
                <w:b/>
                <w:noProof/>
                <w:sz w:val="18"/>
              </w:rPr>
              <w:t>TOTAL</w:t>
            </w:r>
          </w:p>
        </w:tc>
      </w:tr>
      <w:tr w:rsidR="006B4685">
        <w:trPr>
          <w:jc w:val="center"/>
        </w:trPr>
        <w:tc>
          <w:tcPr>
            <w:tcW w:w="1423" w:type="dxa"/>
            <w:vMerge/>
            <w:vAlign w:val="center"/>
          </w:tcPr>
          <w:p w:rsidR="006B4685" w:rsidRDefault="006B4685">
            <w:pPr>
              <w:ind w:right="-29"/>
              <w:jc w:val="center"/>
              <w:rPr>
                <w:noProof/>
                <w:sz w:val="18"/>
                <w:szCs w:val="18"/>
              </w:rPr>
            </w:pPr>
          </w:p>
        </w:tc>
        <w:tc>
          <w:tcPr>
            <w:tcW w:w="12185" w:type="dxa"/>
            <w:gridSpan w:val="19"/>
            <w:vAlign w:val="center"/>
          </w:tcPr>
          <w:p w:rsidR="006B4685" w:rsidRDefault="006B4685">
            <w:pPr>
              <w:spacing w:before="60" w:after="60"/>
              <w:ind w:right="-29"/>
              <w:jc w:val="center"/>
              <w:rPr>
                <w:noProof/>
                <w:sz w:val="18"/>
                <w:szCs w:val="18"/>
              </w:rPr>
            </w:pPr>
            <w:r>
              <w:rPr>
                <w:b/>
                <w:noProof/>
                <w:sz w:val="18"/>
              </w:rPr>
              <w:t>OUTPUTS</w:t>
            </w:r>
          </w:p>
        </w:tc>
      </w:tr>
      <w:tr w:rsidR="006B4685">
        <w:trPr>
          <w:cantSplit/>
          <w:trHeight w:val="1134"/>
          <w:jc w:val="center"/>
        </w:trPr>
        <w:tc>
          <w:tcPr>
            <w:tcW w:w="1423" w:type="dxa"/>
            <w:vMerge/>
            <w:vAlign w:val="center"/>
          </w:tcPr>
          <w:p w:rsidR="006B4685" w:rsidRDefault="006B4685">
            <w:pPr>
              <w:rPr>
                <w:noProof/>
                <w:sz w:val="18"/>
                <w:szCs w:val="18"/>
              </w:rPr>
            </w:pPr>
          </w:p>
        </w:tc>
        <w:tc>
          <w:tcPr>
            <w:tcW w:w="720" w:type="dxa"/>
            <w:vAlign w:val="center"/>
          </w:tcPr>
          <w:p w:rsidR="006B4685" w:rsidRDefault="006B4685">
            <w:pPr>
              <w:jc w:val="center"/>
              <w:rPr>
                <w:noProof/>
                <w:sz w:val="18"/>
                <w:szCs w:val="18"/>
              </w:rPr>
            </w:pPr>
            <w:r>
              <w:rPr>
                <w:noProof/>
                <w:sz w:val="18"/>
              </w:rPr>
              <w:t>Type</w:t>
            </w:r>
            <w:r>
              <w:rPr>
                <w:rStyle w:val="FootnoteReference"/>
                <w:noProof/>
                <w:sz w:val="18"/>
              </w:rPr>
              <w:footnoteReference w:id="42"/>
            </w:r>
          </w:p>
          <w:p w:rsidR="006B4685" w:rsidRDefault="006B4685">
            <w:pPr>
              <w:spacing w:before="0" w:after="0"/>
              <w:jc w:val="center"/>
              <w:rPr>
                <w:noProof/>
                <w:sz w:val="18"/>
                <w:szCs w:val="18"/>
              </w:rPr>
            </w:pPr>
          </w:p>
        </w:tc>
        <w:tc>
          <w:tcPr>
            <w:tcW w:w="701" w:type="dxa"/>
            <w:vAlign w:val="center"/>
          </w:tcPr>
          <w:p w:rsidR="006B4685" w:rsidRDefault="006B4685">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rsidR="006B4685" w:rsidRDefault="006B4685">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6B4685" w:rsidRDefault="006B4685">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6B4685" w:rsidRDefault="006B4685">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6B4685" w:rsidRDefault="006B4685">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rsidR="006B4685" w:rsidRDefault="006B4685">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6B4685" w:rsidRDefault="006B4685">
            <w:pPr>
              <w:jc w:val="center"/>
              <w:rPr>
                <w:noProof/>
                <w:sz w:val="18"/>
                <w:szCs w:val="18"/>
              </w:rPr>
            </w:pPr>
            <w:r>
              <w:rPr>
                <w:noProof/>
                <w:sz w:val="18"/>
              </w:rPr>
              <w:t>Cost</w:t>
            </w:r>
          </w:p>
        </w:tc>
        <w:tc>
          <w:tcPr>
            <w:tcW w:w="900" w:type="dxa"/>
            <w:gridSpan w:val="2"/>
            <w:tcBorders>
              <w:right w:val="dashSmallGap" w:sz="4" w:space="0" w:color="auto"/>
            </w:tcBorders>
            <w:shd w:val="pct10" w:color="auto" w:fill="auto"/>
            <w:textDirection w:val="btLr"/>
            <w:vAlign w:val="center"/>
          </w:tcPr>
          <w:p w:rsidR="006B4685" w:rsidRDefault="006B4685">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6B4685" w:rsidRDefault="006B4685">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6B4685" w:rsidRDefault="006B4685">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rsidR="006B4685" w:rsidRDefault="006B4685">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rsidR="006B4685" w:rsidRDefault="006B4685">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6B4685" w:rsidRDefault="006B4685">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6B4685" w:rsidRDefault="006B4685">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6B4685" w:rsidRDefault="006B4685">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rsidR="006B4685" w:rsidRDefault="006B4685">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rsidR="006B4685" w:rsidRDefault="006B4685">
            <w:pPr>
              <w:jc w:val="center"/>
              <w:rPr>
                <w:noProof/>
                <w:sz w:val="18"/>
                <w:szCs w:val="18"/>
              </w:rPr>
            </w:pPr>
            <w:r>
              <w:rPr>
                <w:noProof/>
                <w:sz w:val="18"/>
              </w:rPr>
              <w:t>Total cost</w:t>
            </w:r>
          </w:p>
        </w:tc>
      </w:tr>
      <w:tr w:rsidR="006B4685">
        <w:trPr>
          <w:jc w:val="center"/>
        </w:trPr>
        <w:tc>
          <w:tcPr>
            <w:tcW w:w="2844" w:type="dxa"/>
            <w:gridSpan w:val="3"/>
            <w:vAlign w:val="center"/>
          </w:tcPr>
          <w:p w:rsidR="006B4685" w:rsidRDefault="006B4685">
            <w:pPr>
              <w:spacing w:before="60" w:after="60"/>
              <w:ind w:right="-29"/>
              <w:jc w:val="center"/>
              <w:rPr>
                <w:noProof/>
                <w:sz w:val="18"/>
                <w:szCs w:val="18"/>
              </w:rPr>
            </w:pPr>
            <w:r>
              <w:rPr>
                <w:noProof/>
                <w:sz w:val="18"/>
              </w:rPr>
              <w:t>SPECIFIC OBJECTIVE No 1</w:t>
            </w:r>
            <w:r>
              <w:rPr>
                <w:rStyle w:val="FootnoteReference"/>
                <w:noProof/>
                <w:sz w:val="18"/>
              </w:rPr>
              <w:footnoteReference w:id="43"/>
            </w:r>
            <w:r>
              <w:rPr>
                <w:noProof/>
                <w:sz w:val="18"/>
              </w:rPr>
              <w:t>…</w:t>
            </w:r>
          </w:p>
        </w:tc>
        <w:tc>
          <w:tcPr>
            <w:tcW w:w="504" w:type="dxa"/>
            <w:tcBorders>
              <w:top w:val="nil"/>
              <w:left w:val="nil"/>
              <w:bottom w:val="nil"/>
              <w:right w:val="nil"/>
            </w:tcBorders>
          </w:tcPr>
          <w:p w:rsidR="006B4685" w:rsidRDefault="006B4685">
            <w:pPr>
              <w:spacing w:before="60" w:after="60"/>
              <w:ind w:right="-29"/>
              <w:jc w:val="center"/>
              <w:rPr>
                <w:noProof/>
                <w:sz w:val="18"/>
                <w:szCs w:val="18"/>
              </w:rPr>
            </w:pPr>
          </w:p>
        </w:tc>
        <w:tc>
          <w:tcPr>
            <w:tcW w:w="720" w:type="dxa"/>
            <w:tcBorders>
              <w:top w:val="nil"/>
              <w:left w:val="nil"/>
              <w:bottom w:val="nil"/>
              <w:right w:val="nil"/>
            </w:tcBorders>
          </w:tcPr>
          <w:p w:rsidR="006B4685" w:rsidRDefault="006B4685">
            <w:pPr>
              <w:spacing w:before="60" w:after="60"/>
              <w:ind w:right="-29"/>
              <w:jc w:val="center"/>
              <w:rPr>
                <w:noProof/>
                <w:sz w:val="18"/>
                <w:szCs w:val="18"/>
              </w:rPr>
            </w:pPr>
          </w:p>
        </w:tc>
        <w:tc>
          <w:tcPr>
            <w:tcW w:w="540" w:type="dxa"/>
            <w:tcBorders>
              <w:top w:val="nil"/>
              <w:left w:val="nil"/>
              <w:bottom w:val="nil"/>
              <w:right w:val="nil"/>
            </w:tcBorders>
          </w:tcPr>
          <w:p w:rsidR="006B4685" w:rsidRDefault="006B4685">
            <w:pPr>
              <w:spacing w:before="60" w:after="60"/>
              <w:ind w:right="-29"/>
              <w:jc w:val="center"/>
              <w:rPr>
                <w:noProof/>
                <w:sz w:val="18"/>
                <w:szCs w:val="18"/>
              </w:rPr>
            </w:pPr>
          </w:p>
        </w:tc>
        <w:tc>
          <w:tcPr>
            <w:tcW w:w="720" w:type="dxa"/>
            <w:tcBorders>
              <w:top w:val="nil"/>
              <w:left w:val="nil"/>
              <w:bottom w:val="nil"/>
              <w:right w:val="nil"/>
            </w:tcBorders>
          </w:tcPr>
          <w:p w:rsidR="006B4685" w:rsidRDefault="006B4685">
            <w:pPr>
              <w:spacing w:before="60" w:after="60"/>
              <w:ind w:right="-29"/>
              <w:jc w:val="center"/>
              <w:rPr>
                <w:noProof/>
                <w:sz w:val="18"/>
                <w:szCs w:val="18"/>
              </w:rPr>
            </w:pPr>
          </w:p>
        </w:tc>
        <w:tc>
          <w:tcPr>
            <w:tcW w:w="720" w:type="dxa"/>
            <w:tcBorders>
              <w:top w:val="nil"/>
              <w:left w:val="nil"/>
              <w:bottom w:val="nil"/>
              <w:right w:val="nil"/>
            </w:tcBorders>
          </w:tcPr>
          <w:p w:rsidR="006B4685" w:rsidRDefault="006B4685">
            <w:pPr>
              <w:spacing w:before="60" w:after="60"/>
              <w:ind w:right="-29"/>
              <w:jc w:val="center"/>
              <w:rPr>
                <w:noProof/>
                <w:sz w:val="18"/>
                <w:szCs w:val="18"/>
              </w:rPr>
            </w:pPr>
          </w:p>
        </w:tc>
        <w:tc>
          <w:tcPr>
            <w:tcW w:w="720" w:type="dxa"/>
            <w:tcBorders>
              <w:top w:val="nil"/>
              <w:left w:val="nil"/>
              <w:bottom w:val="nil"/>
              <w:right w:val="nil"/>
            </w:tcBorders>
          </w:tcPr>
          <w:p w:rsidR="006B4685" w:rsidRDefault="006B4685">
            <w:pPr>
              <w:spacing w:before="60" w:after="60"/>
              <w:ind w:right="-29"/>
              <w:jc w:val="center"/>
              <w:rPr>
                <w:noProof/>
                <w:sz w:val="18"/>
                <w:szCs w:val="18"/>
              </w:rPr>
            </w:pPr>
          </w:p>
        </w:tc>
        <w:tc>
          <w:tcPr>
            <w:tcW w:w="900" w:type="dxa"/>
            <w:gridSpan w:val="2"/>
            <w:tcBorders>
              <w:top w:val="nil"/>
              <w:left w:val="nil"/>
              <w:bottom w:val="nil"/>
              <w:right w:val="nil"/>
            </w:tcBorders>
          </w:tcPr>
          <w:p w:rsidR="006B4685" w:rsidRDefault="006B4685">
            <w:pPr>
              <w:spacing w:before="60" w:after="60"/>
              <w:ind w:right="-29"/>
              <w:jc w:val="center"/>
              <w:rPr>
                <w:noProof/>
                <w:sz w:val="18"/>
                <w:szCs w:val="18"/>
              </w:rPr>
            </w:pPr>
          </w:p>
        </w:tc>
        <w:tc>
          <w:tcPr>
            <w:tcW w:w="720" w:type="dxa"/>
            <w:tcBorders>
              <w:top w:val="nil"/>
              <w:left w:val="nil"/>
              <w:bottom w:val="nil"/>
              <w:right w:val="nil"/>
            </w:tcBorders>
          </w:tcPr>
          <w:p w:rsidR="006B4685" w:rsidRDefault="006B4685">
            <w:pPr>
              <w:spacing w:before="60" w:after="60"/>
              <w:ind w:right="-29"/>
              <w:jc w:val="center"/>
              <w:rPr>
                <w:noProof/>
                <w:sz w:val="18"/>
                <w:szCs w:val="18"/>
              </w:rPr>
            </w:pPr>
          </w:p>
        </w:tc>
        <w:tc>
          <w:tcPr>
            <w:tcW w:w="540" w:type="dxa"/>
            <w:tcBorders>
              <w:top w:val="nil"/>
              <w:left w:val="nil"/>
              <w:bottom w:val="nil"/>
              <w:right w:val="nil"/>
            </w:tcBorders>
          </w:tcPr>
          <w:p w:rsidR="006B4685" w:rsidRDefault="006B4685">
            <w:pPr>
              <w:spacing w:before="60" w:after="60"/>
              <w:ind w:right="-29"/>
              <w:jc w:val="center"/>
              <w:rPr>
                <w:noProof/>
                <w:sz w:val="18"/>
                <w:szCs w:val="18"/>
              </w:rPr>
            </w:pPr>
          </w:p>
        </w:tc>
        <w:tc>
          <w:tcPr>
            <w:tcW w:w="648" w:type="dxa"/>
            <w:tcBorders>
              <w:top w:val="nil"/>
              <w:left w:val="nil"/>
              <w:bottom w:val="nil"/>
              <w:right w:val="nil"/>
            </w:tcBorders>
          </w:tcPr>
          <w:p w:rsidR="006B4685" w:rsidRDefault="006B4685">
            <w:pPr>
              <w:spacing w:before="60" w:after="60"/>
              <w:ind w:right="-29"/>
              <w:jc w:val="center"/>
              <w:rPr>
                <w:noProof/>
                <w:sz w:val="18"/>
                <w:szCs w:val="18"/>
              </w:rPr>
            </w:pPr>
          </w:p>
        </w:tc>
        <w:tc>
          <w:tcPr>
            <w:tcW w:w="432" w:type="dxa"/>
            <w:tcBorders>
              <w:top w:val="nil"/>
              <w:left w:val="nil"/>
              <w:bottom w:val="nil"/>
              <w:right w:val="nil"/>
            </w:tcBorders>
          </w:tcPr>
          <w:p w:rsidR="006B4685" w:rsidRDefault="006B4685">
            <w:pPr>
              <w:spacing w:before="60" w:after="60"/>
              <w:ind w:right="-29"/>
              <w:jc w:val="center"/>
              <w:rPr>
                <w:noProof/>
                <w:sz w:val="18"/>
                <w:szCs w:val="18"/>
              </w:rPr>
            </w:pPr>
          </w:p>
        </w:tc>
        <w:tc>
          <w:tcPr>
            <w:tcW w:w="720" w:type="dxa"/>
            <w:tcBorders>
              <w:top w:val="nil"/>
              <w:left w:val="nil"/>
              <w:bottom w:val="nil"/>
              <w:right w:val="nil"/>
            </w:tcBorders>
          </w:tcPr>
          <w:p w:rsidR="006B4685" w:rsidRDefault="006B4685">
            <w:pPr>
              <w:spacing w:before="60" w:after="60"/>
              <w:ind w:right="-29"/>
              <w:jc w:val="center"/>
              <w:rPr>
                <w:noProof/>
                <w:sz w:val="18"/>
                <w:szCs w:val="18"/>
              </w:rPr>
            </w:pPr>
          </w:p>
        </w:tc>
        <w:tc>
          <w:tcPr>
            <w:tcW w:w="540" w:type="dxa"/>
            <w:tcBorders>
              <w:top w:val="nil"/>
              <w:left w:val="nil"/>
              <w:bottom w:val="nil"/>
              <w:right w:val="nil"/>
            </w:tcBorders>
          </w:tcPr>
          <w:p w:rsidR="006B4685" w:rsidRDefault="006B4685">
            <w:pPr>
              <w:spacing w:before="60" w:after="60"/>
              <w:ind w:right="-29"/>
              <w:jc w:val="center"/>
              <w:rPr>
                <w:noProof/>
                <w:sz w:val="18"/>
                <w:szCs w:val="18"/>
              </w:rPr>
            </w:pPr>
          </w:p>
        </w:tc>
        <w:tc>
          <w:tcPr>
            <w:tcW w:w="720" w:type="dxa"/>
            <w:tcBorders>
              <w:top w:val="nil"/>
              <w:left w:val="nil"/>
              <w:bottom w:val="nil"/>
              <w:right w:val="nil"/>
            </w:tcBorders>
          </w:tcPr>
          <w:p w:rsidR="006B4685" w:rsidRDefault="006B4685">
            <w:pPr>
              <w:spacing w:before="60" w:after="60"/>
              <w:ind w:right="-29"/>
              <w:jc w:val="center"/>
              <w:rPr>
                <w:noProof/>
                <w:sz w:val="18"/>
                <w:szCs w:val="18"/>
              </w:rPr>
            </w:pPr>
          </w:p>
        </w:tc>
        <w:tc>
          <w:tcPr>
            <w:tcW w:w="720" w:type="dxa"/>
            <w:tcBorders>
              <w:top w:val="nil"/>
              <w:left w:val="nil"/>
              <w:bottom w:val="nil"/>
              <w:right w:val="nil"/>
            </w:tcBorders>
          </w:tcPr>
          <w:p w:rsidR="006B4685" w:rsidRDefault="006B4685">
            <w:pPr>
              <w:spacing w:before="60" w:after="60"/>
              <w:ind w:right="-29"/>
              <w:jc w:val="center"/>
              <w:rPr>
                <w:noProof/>
                <w:sz w:val="18"/>
                <w:szCs w:val="18"/>
              </w:rPr>
            </w:pPr>
          </w:p>
        </w:tc>
        <w:tc>
          <w:tcPr>
            <w:tcW w:w="900" w:type="dxa"/>
            <w:tcBorders>
              <w:top w:val="nil"/>
              <w:left w:val="nil"/>
              <w:bottom w:val="nil"/>
              <w:right w:val="nil"/>
            </w:tcBorders>
          </w:tcPr>
          <w:p w:rsidR="006B4685" w:rsidRDefault="006B4685">
            <w:pPr>
              <w:spacing w:before="60" w:after="60"/>
              <w:ind w:right="-29"/>
              <w:jc w:val="center"/>
              <w:rPr>
                <w:noProof/>
                <w:sz w:val="18"/>
                <w:szCs w:val="18"/>
              </w:rPr>
            </w:pPr>
          </w:p>
        </w:tc>
      </w:tr>
      <w:tr w:rsidR="006B4685">
        <w:trPr>
          <w:trHeight w:hRule="exact" w:val="369"/>
          <w:jc w:val="center"/>
        </w:trPr>
        <w:tc>
          <w:tcPr>
            <w:tcW w:w="1423" w:type="dxa"/>
          </w:tcPr>
          <w:p w:rsidR="006B4685" w:rsidRDefault="006B4685">
            <w:pPr>
              <w:ind w:right="-29"/>
              <w:jc w:val="center"/>
              <w:rPr>
                <w:noProof/>
                <w:sz w:val="18"/>
                <w:szCs w:val="18"/>
              </w:rPr>
            </w:pPr>
            <w:r>
              <w:rPr>
                <w:noProof/>
                <w:sz w:val="18"/>
              </w:rPr>
              <w:t>- Output</w:t>
            </w:r>
          </w:p>
        </w:tc>
        <w:tc>
          <w:tcPr>
            <w:tcW w:w="720" w:type="dxa"/>
          </w:tcPr>
          <w:p w:rsidR="006B4685" w:rsidRDefault="006B4685">
            <w:pPr>
              <w:ind w:right="-29"/>
              <w:jc w:val="center"/>
              <w:rPr>
                <w:noProof/>
                <w:sz w:val="18"/>
                <w:szCs w:val="18"/>
              </w:rPr>
            </w:pPr>
          </w:p>
        </w:tc>
        <w:tc>
          <w:tcPr>
            <w:tcW w:w="701" w:type="dxa"/>
          </w:tcPr>
          <w:p w:rsidR="006B4685" w:rsidRDefault="006B4685">
            <w:pPr>
              <w:ind w:right="-29"/>
              <w:jc w:val="center"/>
              <w:rPr>
                <w:noProof/>
                <w:sz w:val="18"/>
                <w:szCs w:val="18"/>
              </w:rPr>
            </w:pPr>
          </w:p>
        </w:tc>
        <w:tc>
          <w:tcPr>
            <w:tcW w:w="504" w:type="dxa"/>
            <w:tcBorders>
              <w:right w:val="dashSmallGap" w:sz="4" w:space="0" w:color="auto"/>
            </w:tcBorders>
          </w:tcPr>
          <w:p w:rsidR="006B4685" w:rsidRDefault="006B4685">
            <w:pPr>
              <w:ind w:right="-29"/>
              <w:jc w:val="center"/>
              <w:rPr>
                <w:noProof/>
                <w:sz w:val="18"/>
                <w:szCs w:val="18"/>
              </w:rPr>
            </w:pPr>
          </w:p>
        </w:tc>
        <w:tc>
          <w:tcPr>
            <w:tcW w:w="720" w:type="dxa"/>
            <w:tcBorders>
              <w:left w:val="dashSmallGap" w:sz="4" w:space="0" w:color="auto"/>
            </w:tcBorders>
          </w:tcPr>
          <w:p w:rsidR="006B4685" w:rsidRDefault="006B4685">
            <w:pPr>
              <w:ind w:right="-29"/>
              <w:jc w:val="center"/>
              <w:rPr>
                <w:noProof/>
                <w:sz w:val="18"/>
                <w:szCs w:val="18"/>
              </w:rPr>
            </w:pPr>
          </w:p>
        </w:tc>
        <w:tc>
          <w:tcPr>
            <w:tcW w:w="540" w:type="dxa"/>
            <w:tcBorders>
              <w:right w:val="dashSmallGap" w:sz="4" w:space="0" w:color="auto"/>
            </w:tcBorders>
          </w:tcPr>
          <w:p w:rsidR="006B4685" w:rsidRDefault="006B4685">
            <w:pPr>
              <w:ind w:right="-29"/>
              <w:jc w:val="center"/>
              <w:rPr>
                <w:noProof/>
                <w:sz w:val="18"/>
                <w:szCs w:val="18"/>
              </w:rPr>
            </w:pPr>
          </w:p>
        </w:tc>
        <w:tc>
          <w:tcPr>
            <w:tcW w:w="720" w:type="dxa"/>
            <w:tcBorders>
              <w:left w:val="dashSmallGap" w:sz="4" w:space="0" w:color="auto"/>
            </w:tcBorders>
          </w:tcPr>
          <w:p w:rsidR="006B4685" w:rsidRDefault="006B4685">
            <w:pPr>
              <w:ind w:right="-29"/>
              <w:jc w:val="center"/>
              <w:rPr>
                <w:noProof/>
                <w:sz w:val="18"/>
                <w:szCs w:val="18"/>
              </w:rPr>
            </w:pPr>
          </w:p>
        </w:tc>
        <w:tc>
          <w:tcPr>
            <w:tcW w:w="720" w:type="dxa"/>
            <w:tcBorders>
              <w:right w:val="dashSmallGap" w:sz="4" w:space="0" w:color="auto"/>
            </w:tcBorders>
          </w:tcPr>
          <w:p w:rsidR="006B4685" w:rsidRDefault="006B4685">
            <w:pPr>
              <w:ind w:right="-29"/>
              <w:jc w:val="center"/>
              <w:rPr>
                <w:noProof/>
                <w:sz w:val="18"/>
                <w:szCs w:val="18"/>
              </w:rPr>
            </w:pPr>
          </w:p>
        </w:tc>
        <w:tc>
          <w:tcPr>
            <w:tcW w:w="720" w:type="dxa"/>
            <w:tcBorders>
              <w:left w:val="dashSmallGap" w:sz="4" w:space="0" w:color="auto"/>
            </w:tcBorders>
          </w:tcPr>
          <w:p w:rsidR="006B4685" w:rsidRDefault="006B4685">
            <w:pPr>
              <w:ind w:right="-29"/>
              <w:jc w:val="center"/>
              <w:rPr>
                <w:noProof/>
                <w:sz w:val="18"/>
                <w:szCs w:val="18"/>
              </w:rPr>
            </w:pPr>
          </w:p>
        </w:tc>
        <w:tc>
          <w:tcPr>
            <w:tcW w:w="900" w:type="dxa"/>
            <w:gridSpan w:val="2"/>
            <w:tcBorders>
              <w:right w:val="dashSmallGap" w:sz="4" w:space="0" w:color="auto"/>
            </w:tcBorders>
          </w:tcPr>
          <w:p w:rsidR="006B4685" w:rsidRDefault="006B4685">
            <w:pPr>
              <w:ind w:right="-29"/>
              <w:jc w:val="center"/>
              <w:rPr>
                <w:noProof/>
                <w:sz w:val="18"/>
                <w:szCs w:val="18"/>
              </w:rPr>
            </w:pPr>
          </w:p>
        </w:tc>
        <w:tc>
          <w:tcPr>
            <w:tcW w:w="720" w:type="dxa"/>
            <w:tcBorders>
              <w:left w:val="dashSmallGap" w:sz="4" w:space="0" w:color="auto"/>
            </w:tcBorders>
          </w:tcPr>
          <w:p w:rsidR="006B4685" w:rsidRDefault="006B4685">
            <w:pPr>
              <w:ind w:right="-29"/>
              <w:jc w:val="center"/>
              <w:rPr>
                <w:noProof/>
                <w:sz w:val="18"/>
                <w:szCs w:val="18"/>
              </w:rPr>
            </w:pPr>
          </w:p>
        </w:tc>
        <w:tc>
          <w:tcPr>
            <w:tcW w:w="540" w:type="dxa"/>
            <w:tcBorders>
              <w:right w:val="dashSmallGap" w:sz="4" w:space="0" w:color="auto"/>
            </w:tcBorders>
          </w:tcPr>
          <w:p w:rsidR="006B4685" w:rsidRDefault="006B4685">
            <w:pPr>
              <w:ind w:right="-29"/>
              <w:jc w:val="center"/>
              <w:rPr>
                <w:noProof/>
                <w:sz w:val="18"/>
                <w:szCs w:val="18"/>
              </w:rPr>
            </w:pPr>
          </w:p>
        </w:tc>
        <w:tc>
          <w:tcPr>
            <w:tcW w:w="648" w:type="dxa"/>
            <w:tcBorders>
              <w:left w:val="dashSmallGap" w:sz="4" w:space="0" w:color="auto"/>
            </w:tcBorders>
          </w:tcPr>
          <w:p w:rsidR="006B4685" w:rsidRDefault="006B4685">
            <w:pPr>
              <w:ind w:right="-29"/>
              <w:jc w:val="center"/>
              <w:rPr>
                <w:noProof/>
                <w:sz w:val="18"/>
                <w:szCs w:val="18"/>
              </w:rPr>
            </w:pPr>
          </w:p>
        </w:tc>
        <w:tc>
          <w:tcPr>
            <w:tcW w:w="432" w:type="dxa"/>
            <w:tcBorders>
              <w:right w:val="dashSmallGap" w:sz="4" w:space="0" w:color="auto"/>
            </w:tcBorders>
          </w:tcPr>
          <w:p w:rsidR="006B4685" w:rsidRDefault="006B4685">
            <w:pPr>
              <w:ind w:right="-29"/>
              <w:jc w:val="center"/>
              <w:rPr>
                <w:noProof/>
                <w:sz w:val="18"/>
                <w:szCs w:val="18"/>
              </w:rPr>
            </w:pPr>
          </w:p>
        </w:tc>
        <w:tc>
          <w:tcPr>
            <w:tcW w:w="720" w:type="dxa"/>
            <w:tcBorders>
              <w:left w:val="dashSmallGap" w:sz="4" w:space="0" w:color="auto"/>
            </w:tcBorders>
          </w:tcPr>
          <w:p w:rsidR="006B4685" w:rsidRDefault="006B4685">
            <w:pPr>
              <w:ind w:right="-29"/>
              <w:jc w:val="center"/>
              <w:rPr>
                <w:noProof/>
                <w:sz w:val="18"/>
                <w:szCs w:val="18"/>
              </w:rPr>
            </w:pPr>
          </w:p>
        </w:tc>
        <w:tc>
          <w:tcPr>
            <w:tcW w:w="540" w:type="dxa"/>
            <w:tcBorders>
              <w:right w:val="dashSmallGap" w:sz="4" w:space="0" w:color="auto"/>
            </w:tcBorders>
          </w:tcPr>
          <w:p w:rsidR="006B4685" w:rsidRDefault="006B4685">
            <w:pPr>
              <w:ind w:right="-29"/>
              <w:jc w:val="center"/>
              <w:rPr>
                <w:noProof/>
                <w:sz w:val="18"/>
                <w:szCs w:val="18"/>
              </w:rPr>
            </w:pPr>
          </w:p>
        </w:tc>
        <w:tc>
          <w:tcPr>
            <w:tcW w:w="720" w:type="dxa"/>
            <w:tcBorders>
              <w:left w:val="dashSmallGap" w:sz="4" w:space="0" w:color="auto"/>
            </w:tcBorders>
          </w:tcPr>
          <w:p w:rsidR="006B4685" w:rsidRDefault="006B4685">
            <w:pPr>
              <w:ind w:right="-29"/>
              <w:jc w:val="center"/>
              <w:rPr>
                <w:noProof/>
                <w:sz w:val="18"/>
                <w:szCs w:val="18"/>
              </w:rPr>
            </w:pPr>
          </w:p>
        </w:tc>
        <w:tc>
          <w:tcPr>
            <w:tcW w:w="720" w:type="dxa"/>
          </w:tcPr>
          <w:p w:rsidR="006B4685" w:rsidRDefault="006B4685">
            <w:pPr>
              <w:ind w:right="-29"/>
              <w:jc w:val="center"/>
              <w:rPr>
                <w:noProof/>
                <w:sz w:val="18"/>
                <w:szCs w:val="18"/>
              </w:rPr>
            </w:pPr>
          </w:p>
        </w:tc>
        <w:tc>
          <w:tcPr>
            <w:tcW w:w="900" w:type="dxa"/>
          </w:tcPr>
          <w:p w:rsidR="006B4685" w:rsidRDefault="006B4685">
            <w:pPr>
              <w:ind w:right="-29"/>
              <w:jc w:val="center"/>
              <w:rPr>
                <w:noProof/>
                <w:sz w:val="18"/>
                <w:szCs w:val="18"/>
              </w:rPr>
            </w:pPr>
          </w:p>
        </w:tc>
      </w:tr>
      <w:tr w:rsidR="006B4685">
        <w:trPr>
          <w:trHeight w:hRule="exact" w:val="369"/>
          <w:jc w:val="center"/>
        </w:trPr>
        <w:tc>
          <w:tcPr>
            <w:tcW w:w="1423" w:type="dxa"/>
          </w:tcPr>
          <w:p w:rsidR="006B4685" w:rsidRDefault="006B4685">
            <w:pPr>
              <w:ind w:right="-29"/>
              <w:jc w:val="center"/>
              <w:rPr>
                <w:noProof/>
                <w:sz w:val="18"/>
                <w:szCs w:val="18"/>
              </w:rPr>
            </w:pPr>
            <w:r>
              <w:rPr>
                <w:noProof/>
                <w:sz w:val="18"/>
              </w:rPr>
              <w:t>- Output</w:t>
            </w:r>
          </w:p>
        </w:tc>
        <w:tc>
          <w:tcPr>
            <w:tcW w:w="720" w:type="dxa"/>
          </w:tcPr>
          <w:p w:rsidR="006B4685" w:rsidRDefault="006B4685">
            <w:pPr>
              <w:ind w:right="-29"/>
              <w:jc w:val="center"/>
              <w:rPr>
                <w:noProof/>
                <w:sz w:val="18"/>
                <w:szCs w:val="18"/>
              </w:rPr>
            </w:pPr>
          </w:p>
        </w:tc>
        <w:tc>
          <w:tcPr>
            <w:tcW w:w="701" w:type="dxa"/>
          </w:tcPr>
          <w:p w:rsidR="006B4685" w:rsidRDefault="006B4685">
            <w:pPr>
              <w:ind w:right="-29"/>
              <w:jc w:val="center"/>
              <w:rPr>
                <w:noProof/>
                <w:sz w:val="18"/>
                <w:szCs w:val="18"/>
              </w:rPr>
            </w:pPr>
          </w:p>
        </w:tc>
        <w:tc>
          <w:tcPr>
            <w:tcW w:w="504" w:type="dxa"/>
            <w:tcBorders>
              <w:right w:val="dashSmallGap" w:sz="4" w:space="0" w:color="auto"/>
            </w:tcBorders>
          </w:tcPr>
          <w:p w:rsidR="006B4685" w:rsidRDefault="006B4685">
            <w:pPr>
              <w:ind w:right="-29"/>
              <w:jc w:val="center"/>
              <w:rPr>
                <w:noProof/>
                <w:sz w:val="18"/>
                <w:szCs w:val="18"/>
              </w:rPr>
            </w:pPr>
          </w:p>
        </w:tc>
        <w:tc>
          <w:tcPr>
            <w:tcW w:w="720" w:type="dxa"/>
            <w:tcBorders>
              <w:left w:val="dashSmallGap" w:sz="4" w:space="0" w:color="auto"/>
            </w:tcBorders>
          </w:tcPr>
          <w:p w:rsidR="006B4685" w:rsidRDefault="006B4685">
            <w:pPr>
              <w:ind w:right="-29"/>
              <w:jc w:val="center"/>
              <w:rPr>
                <w:noProof/>
                <w:sz w:val="18"/>
                <w:szCs w:val="18"/>
              </w:rPr>
            </w:pPr>
          </w:p>
        </w:tc>
        <w:tc>
          <w:tcPr>
            <w:tcW w:w="540" w:type="dxa"/>
            <w:tcBorders>
              <w:right w:val="dashSmallGap" w:sz="4" w:space="0" w:color="auto"/>
            </w:tcBorders>
          </w:tcPr>
          <w:p w:rsidR="006B4685" w:rsidRDefault="006B4685">
            <w:pPr>
              <w:ind w:right="-29"/>
              <w:jc w:val="center"/>
              <w:rPr>
                <w:noProof/>
                <w:sz w:val="18"/>
                <w:szCs w:val="18"/>
              </w:rPr>
            </w:pPr>
          </w:p>
        </w:tc>
        <w:tc>
          <w:tcPr>
            <w:tcW w:w="720" w:type="dxa"/>
            <w:tcBorders>
              <w:left w:val="dashSmallGap" w:sz="4" w:space="0" w:color="auto"/>
            </w:tcBorders>
          </w:tcPr>
          <w:p w:rsidR="006B4685" w:rsidRDefault="006B4685">
            <w:pPr>
              <w:ind w:right="-29"/>
              <w:jc w:val="center"/>
              <w:rPr>
                <w:noProof/>
                <w:sz w:val="18"/>
                <w:szCs w:val="18"/>
              </w:rPr>
            </w:pPr>
          </w:p>
        </w:tc>
        <w:tc>
          <w:tcPr>
            <w:tcW w:w="720" w:type="dxa"/>
            <w:tcBorders>
              <w:right w:val="dashSmallGap" w:sz="4" w:space="0" w:color="auto"/>
            </w:tcBorders>
          </w:tcPr>
          <w:p w:rsidR="006B4685" w:rsidRDefault="006B4685">
            <w:pPr>
              <w:ind w:right="-29"/>
              <w:jc w:val="center"/>
              <w:rPr>
                <w:noProof/>
                <w:sz w:val="18"/>
                <w:szCs w:val="18"/>
              </w:rPr>
            </w:pPr>
          </w:p>
        </w:tc>
        <w:tc>
          <w:tcPr>
            <w:tcW w:w="720" w:type="dxa"/>
            <w:tcBorders>
              <w:left w:val="dashSmallGap" w:sz="4" w:space="0" w:color="auto"/>
            </w:tcBorders>
          </w:tcPr>
          <w:p w:rsidR="006B4685" w:rsidRDefault="006B4685">
            <w:pPr>
              <w:ind w:right="-29"/>
              <w:jc w:val="center"/>
              <w:rPr>
                <w:noProof/>
                <w:sz w:val="18"/>
                <w:szCs w:val="18"/>
              </w:rPr>
            </w:pPr>
          </w:p>
        </w:tc>
        <w:tc>
          <w:tcPr>
            <w:tcW w:w="900" w:type="dxa"/>
            <w:gridSpan w:val="2"/>
            <w:tcBorders>
              <w:right w:val="dashSmallGap" w:sz="4" w:space="0" w:color="auto"/>
            </w:tcBorders>
          </w:tcPr>
          <w:p w:rsidR="006B4685" w:rsidRDefault="006B4685">
            <w:pPr>
              <w:ind w:right="-29"/>
              <w:jc w:val="center"/>
              <w:rPr>
                <w:noProof/>
                <w:sz w:val="18"/>
                <w:szCs w:val="18"/>
              </w:rPr>
            </w:pPr>
          </w:p>
        </w:tc>
        <w:tc>
          <w:tcPr>
            <w:tcW w:w="720" w:type="dxa"/>
            <w:tcBorders>
              <w:left w:val="dashSmallGap" w:sz="4" w:space="0" w:color="auto"/>
            </w:tcBorders>
          </w:tcPr>
          <w:p w:rsidR="006B4685" w:rsidRDefault="006B4685">
            <w:pPr>
              <w:ind w:right="-29"/>
              <w:jc w:val="center"/>
              <w:rPr>
                <w:noProof/>
                <w:sz w:val="18"/>
                <w:szCs w:val="18"/>
              </w:rPr>
            </w:pPr>
          </w:p>
        </w:tc>
        <w:tc>
          <w:tcPr>
            <w:tcW w:w="540" w:type="dxa"/>
            <w:tcBorders>
              <w:right w:val="dashSmallGap" w:sz="4" w:space="0" w:color="auto"/>
            </w:tcBorders>
          </w:tcPr>
          <w:p w:rsidR="006B4685" w:rsidRDefault="006B4685">
            <w:pPr>
              <w:ind w:right="-29"/>
              <w:jc w:val="center"/>
              <w:rPr>
                <w:noProof/>
                <w:sz w:val="18"/>
                <w:szCs w:val="18"/>
              </w:rPr>
            </w:pPr>
          </w:p>
        </w:tc>
        <w:tc>
          <w:tcPr>
            <w:tcW w:w="648" w:type="dxa"/>
            <w:tcBorders>
              <w:left w:val="dashSmallGap" w:sz="4" w:space="0" w:color="auto"/>
            </w:tcBorders>
          </w:tcPr>
          <w:p w:rsidR="006B4685" w:rsidRDefault="006B4685">
            <w:pPr>
              <w:ind w:right="-29"/>
              <w:jc w:val="center"/>
              <w:rPr>
                <w:noProof/>
                <w:sz w:val="18"/>
                <w:szCs w:val="18"/>
              </w:rPr>
            </w:pPr>
          </w:p>
        </w:tc>
        <w:tc>
          <w:tcPr>
            <w:tcW w:w="432" w:type="dxa"/>
            <w:tcBorders>
              <w:right w:val="dashSmallGap" w:sz="4" w:space="0" w:color="auto"/>
            </w:tcBorders>
          </w:tcPr>
          <w:p w:rsidR="006B4685" w:rsidRDefault="006B4685">
            <w:pPr>
              <w:ind w:right="-29"/>
              <w:jc w:val="center"/>
              <w:rPr>
                <w:noProof/>
                <w:sz w:val="18"/>
                <w:szCs w:val="18"/>
              </w:rPr>
            </w:pPr>
          </w:p>
        </w:tc>
        <w:tc>
          <w:tcPr>
            <w:tcW w:w="720" w:type="dxa"/>
            <w:tcBorders>
              <w:left w:val="dashSmallGap" w:sz="4" w:space="0" w:color="auto"/>
            </w:tcBorders>
          </w:tcPr>
          <w:p w:rsidR="006B4685" w:rsidRDefault="006B4685">
            <w:pPr>
              <w:ind w:right="-29"/>
              <w:jc w:val="center"/>
              <w:rPr>
                <w:noProof/>
                <w:sz w:val="18"/>
                <w:szCs w:val="18"/>
              </w:rPr>
            </w:pPr>
          </w:p>
        </w:tc>
        <w:tc>
          <w:tcPr>
            <w:tcW w:w="540" w:type="dxa"/>
            <w:tcBorders>
              <w:right w:val="dashSmallGap" w:sz="4" w:space="0" w:color="auto"/>
            </w:tcBorders>
          </w:tcPr>
          <w:p w:rsidR="006B4685" w:rsidRDefault="006B4685">
            <w:pPr>
              <w:ind w:right="-29"/>
              <w:jc w:val="center"/>
              <w:rPr>
                <w:noProof/>
                <w:sz w:val="18"/>
                <w:szCs w:val="18"/>
              </w:rPr>
            </w:pPr>
          </w:p>
        </w:tc>
        <w:tc>
          <w:tcPr>
            <w:tcW w:w="720" w:type="dxa"/>
            <w:tcBorders>
              <w:left w:val="dashSmallGap" w:sz="4" w:space="0" w:color="auto"/>
            </w:tcBorders>
          </w:tcPr>
          <w:p w:rsidR="006B4685" w:rsidRDefault="006B4685">
            <w:pPr>
              <w:ind w:right="-29"/>
              <w:jc w:val="center"/>
              <w:rPr>
                <w:noProof/>
                <w:sz w:val="18"/>
                <w:szCs w:val="18"/>
              </w:rPr>
            </w:pPr>
          </w:p>
        </w:tc>
        <w:tc>
          <w:tcPr>
            <w:tcW w:w="720" w:type="dxa"/>
          </w:tcPr>
          <w:p w:rsidR="006B4685" w:rsidRDefault="006B4685">
            <w:pPr>
              <w:ind w:right="-29"/>
              <w:jc w:val="center"/>
              <w:rPr>
                <w:noProof/>
                <w:sz w:val="18"/>
                <w:szCs w:val="18"/>
              </w:rPr>
            </w:pPr>
          </w:p>
        </w:tc>
        <w:tc>
          <w:tcPr>
            <w:tcW w:w="900" w:type="dxa"/>
          </w:tcPr>
          <w:p w:rsidR="006B4685" w:rsidRDefault="006B4685">
            <w:pPr>
              <w:ind w:right="-29"/>
              <w:jc w:val="center"/>
              <w:rPr>
                <w:noProof/>
                <w:sz w:val="18"/>
                <w:szCs w:val="18"/>
              </w:rPr>
            </w:pPr>
          </w:p>
        </w:tc>
      </w:tr>
      <w:tr w:rsidR="006B4685">
        <w:trPr>
          <w:trHeight w:hRule="exact" w:val="369"/>
          <w:jc w:val="center"/>
        </w:trPr>
        <w:tc>
          <w:tcPr>
            <w:tcW w:w="1423" w:type="dxa"/>
          </w:tcPr>
          <w:p w:rsidR="006B4685" w:rsidRDefault="006B4685">
            <w:pPr>
              <w:ind w:right="-29"/>
              <w:jc w:val="center"/>
              <w:rPr>
                <w:noProof/>
                <w:sz w:val="18"/>
                <w:szCs w:val="18"/>
              </w:rPr>
            </w:pPr>
            <w:r>
              <w:rPr>
                <w:noProof/>
                <w:sz w:val="18"/>
              </w:rPr>
              <w:t>- Output</w:t>
            </w:r>
          </w:p>
        </w:tc>
        <w:tc>
          <w:tcPr>
            <w:tcW w:w="720" w:type="dxa"/>
          </w:tcPr>
          <w:p w:rsidR="006B4685" w:rsidRDefault="006B4685">
            <w:pPr>
              <w:ind w:right="-29"/>
              <w:jc w:val="center"/>
              <w:rPr>
                <w:noProof/>
                <w:sz w:val="18"/>
                <w:szCs w:val="18"/>
              </w:rPr>
            </w:pPr>
          </w:p>
        </w:tc>
        <w:tc>
          <w:tcPr>
            <w:tcW w:w="701" w:type="dxa"/>
          </w:tcPr>
          <w:p w:rsidR="006B4685" w:rsidRDefault="006B4685">
            <w:pPr>
              <w:ind w:right="-29"/>
              <w:jc w:val="center"/>
              <w:rPr>
                <w:noProof/>
                <w:sz w:val="18"/>
                <w:szCs w:val="18"/>
              </w:rPr>
            </w:pPr>
          </w:p>
        </w:tc>
        <w:tc>
          <w:tcPr>
            <w:tcW w:w="504" w:type="dxa"/>
          </w:tcPr>
          <w:p w:rsidR="006B4685" w:rsidRDefault="006B4685">
            <w:pPr>
              <w:ind w:right="-29"/>
              <w:jc w:val="center"/>
              <w:rPr>
                <w:noProof/>
                <w:sz w:val="18"/>
                <w:szCs w:val="18"/>
              </w:rPr>
            </w:pPr>
          </w:p>
        </w:tc>
        <w:tc>
          <w:tcPr>
            <w:tcW w:w="720" w:type="dxa"/>
          </w:tcPr>
          <w:p w:rsidR="006B4685" w:rsidRDefault="006B4685">
            <w:pPr>
              <w:ind w:right="-29"/>
              <w:jc w:val="center"/>
              <w:rPr>
                <w:noProof/>
                <w:sz w:val="18"/>
                <w:szCs w:val="18"/>
              </w:rPr>
            </w:pPr>
          </w:p>
        </w:tc>
        <w:tc>
          <w:tcPr>
            <w:tcW w:w="540" w:type="dxa"/>
          </w:tcPr>
          <w:p w:rsidR="006B4685" w:rsidRDefault="006B4685">
            <w:pPr>
              <w:ind w:right="-29"/>
              <w:jc w:val="center"/>
              <w:rPr>
                <w:noProof/>
                <w:sz w:val="18"/>
                <w:szCs w:val="18"/>
              </w:rPr>
            </w:pPr>
          </w:p>
        </w:tc>
        <w:tc>
          <w:tcPr>
            <w:tcW w:w="720" w:type="dxa"/>
          </w:tcPr>
          <w:p w:rsidR="006B4685" w:rsidRDefault="006B4685">
            <w:pPr>
              <w:ind w:right="-29"/>
              <w:jc w:val="center"/>
              <w:rPr>
                <w:noProof/>
                <w:sz w:val="18"/>
                <w:szCs w:val="18"/>
              </w:rPr>
            </w:pPr>
          </w:p>
        </w:tc>
        <w:tc>
          <w:tcPr>
            <w:tcW w:w="720" w:type="dxa"/>
          </w:tcPr>
          <w:p w:rsidR="006B4685" w:rsidRDefault="006B4685">
            <w:pPr>
              <w:ind w:right="-29"/>
              <w:jc w:val="center"/>
              <w:rPr>
                <w:noProof/>
                <w:sz w:val="18"/>
                <w:szCs w:val="18"/>
              </w:rPr>
            </w:pPr>
          </w:p>
        </w:tc>
        <w:tc>
          <w:tcPr>
            <w:tcW w:w="720" w:type="dxa"/>
          </w:tcPr>
          <w:p w:rsidR="006B4685" w:rsidRDefault="006B4685">
            <w:pPr>
              <w:ind w:right="-29"/>
              <w:jc w:val="center"/>
              <w:rPr>
                <w:noProof/>
                <w:sz w:val="18"/>
                <w:szCs w:val="18"/>
              </w:rPr>
            </w:pPr>
          </w:p>
        </w:tc>
        <w:tc>
          <w:tcPr>
            <w:tcW w:w="900" w:type="dxa"/>
            <w:gridSpan w:val="2"/>
          </w:tcPr>
          <w:p w:rsidR="006B4685" w:rsidRDefault="006B4685">
            <w:pPr>
              <w:ind w:right="-29"/>
              <w:jc w:val="center"/>
              <w:rPr>
                <w:noProof/>
                <w:sz w:val="18"/>
                <w:szCs w:val="18"/>
              </w:rPr>
            </w:pPr>
          </w:p>
        </w:tc>
        <w:tc>
          <w:tcPr>
            <w:tcW w:w="720" w:type="dxa"/>
          </w:tcPr>
          <w:p w:rsidR="006B4685" w:rsidRDefault="006B4685">
            <w:pPr>
              <w:ind w:right="-29"/>
              <w:jc w:val="center"/>
              <w:rPr>
                <w:noProof/>
                <w:sz w:val="18"/>
                <w:szCs w:val="18"/>
              </w:rPr>
            </w:pPr>
          </w:p>
        </w:tc>
        <w:tc>
          <w:tcPr>
            <w:tcW w:w="540" w:type="dxa"/>
          </w:tcPr>
          <w:p w:rsidR="006B4685" w:rsidRDefault="006B4685">
            <w:pPr>
              <w:ind w:right="-29"/>
              <w:jc w:val="center"/>
              <w:rPr>
                <w:noProof/>
                <w:sz w:val="18"/>
                <w:szCs w:val="18"/>
              </w:rPr>
            </w:pPr>
          </w:p>
        </w:tc>
        <w:tc>
          <w:tcPr>
            <w:tcW w:w="648" w:type="dxa"/>
          </w:tcPr>
          <w:p w:rsidR="006B4685" w:rsidRDefault="006B4685">
            <w:pPr>
              <w:ind w:right="-29"/>
              <w:jc w:val="center"/>
              <w:rPr>
                <w:noProof/>
                <w:sz w:val="18"/>
                <w:szCs w:val="18"/>
              </w:rPr>
            </w:pPr>
          </w:p>
        </w:tc>
        <w:tc>
          <w:tcPr>
            <w:tcW w:w="432" w:type="dxa"/>
          </w:tcPr>
          <w:p w:rsidR="006B4685" w:rsidRDefault="006B4685">
            <w:pPr>
              <w:ind w:right="-29"/>
              <w:jc w:val="center"/>
              <w:rPr>
                <w:noProof/>
                <w:sz w:val="18"/>
                <w:szCs w:val="18"/>
              </w:rPr>
            </w:pPr>
          </w:p>
        </w:tc>
        <w:tc>
          <w:tcPr>
            <w:tcW w:w="720" w:type="dxa"/>
          </w:tcPr>
          <w:p w:rsidR="006B4685" w:rsidRDefault="006B4685">
            <w:pPr>
              <w:ind w:right="-29"/>
              <w:jc w:val="center"/>
              <w:rPr>
                <w:noProof/>
                <w:sz w:val="18"/>
                <w:szCs w:val="18"/>
              </w:rPr>
            </w:pPr>
          </w:p>
        </w:tc>
        <w:tc>
          <w:tcPr>
            <w:tcW w:w="540" w:type="dxa"/>
          </w:tcPr>
          <w:p w:rsidR="006B4685" w:rsidRDefault="006B4685">
            <w:pPr>
              <w:ind w:right="-29"/>
              <w:jc w:val="center"/>
              <w:rPr>
                <w:noProof/>
                <w:sz w:val="18"/>
                <w:szCs w:val="18"/>
              </w:rPr>
            </w:pPr>
          </w:p>
        </w:tc>
        <w:tc>
          <w:tcPr>
            <w:tcW w:w="720" w:type="dxa"/>
          </w:tcPr>
          <w:p w:rsidR="006B4685" w:rsidRDefault="006B4685">
            <w:pPr>
              <w:ind w:right="-29"/>
              <w:jc w:val="center"/>
              <w:rPr>
                <w:noProof/>
                <w:sz w:val="18"/>
                <w:szCs w:val="18"/>
              </w:rPr>
            </w:pPr>
          </w:p>
        </w:tc>
        <w:tc>
          <w:tcPr>
            <w:tcW w:w="720" w:type="dxa"/>
          </w:tcPr>
          <w:p w:rsidR="006B4685" w:rsidRDefault="006B4685">
            <w:pPr>
              <w:ind w:right="-29"/>
              <w:jc w:val="center"/>
              <w:rPr>
                <w:noProof/>
                <w:sz w:val="18"/>
                <w:szCs w:val="18"/>
              </w:rPr>
            </w:pPr>
          </w:p>
        </w:tc>
        <w:tc>
          <w:tcPr>
            <w:tcW w:w="900" w:type="dxa"/>
          </w:tcPr>
          <w:p w:rsidR="006B4685" w:rsidRDefault="006B4685">
            <w:pPr>
              <w:ind w:right="-29"/>
              <w:jc w:val="center"/>
              <w:rPr>
                <w:noProof/>
                <w:sz w:val="18"/>
                <w:szCs w:val="18"/>
              </w:rPr>
            </w:pPr>
          </w:p>
        </w:tc>
      </w:tr>
      <w:tr w:rsidR="006B4685" w:rsidRPr="003A769F">
        <w:trPr>
          <w:trHeight w:val="77"/>
          <w:jc w:val="center"/>
        </w:trPr>
        <w:tc>
          <w:tcPr>
            <w:tcW w:w="2844" w:type="dxa"/>
            <w:gridSpan w:val="3"/>
            <w:tcBorders>
              <w:bottom w:val="single" w:sz="12" w:space="0" w:color="auto"/>
            </w:tcBorders>
            <w:vAlign w:val="center"/>
          </w:tcPr>
          <w:p w:rsidR="006B4685" w:rsidRPr="003A769F" w:rsidRDefault="006B4685">
            <w:pPr>
              <w:ind w:right="-29"/>
              <w:jc w:val="center"/>
              <w:rPr>
                <w:noProof/>
                <w:sz w:val="18"/>
                <w:szCs w:val="18"/>
                <w:lang w:val="en-IE"/>
              </w:rPr>
            </w:pPr>
            <w:r w:rsidRPr="003A769F">
              <w:rPr>
                <w:noProof/>
                <w:sz w:val="18"/>
                <w:lang w:val="en-IE"/>
              </w:rPr>
              <w:t>Subtotal for specific objective No 1</w:t>
            </w:r>
          </w:p>
        </w:tc>
        <w:tc>
          <w:tcPr>
            <w:tcW w:w="504" w:type="dxa"/>
            <w:tcBorders>
              <w:bottom w:val="single" w:sz="12" w:space="0" w:color="auto"/>
            </w:tcBorders>
          </w:tcPr>
          <w:p w:rsidR="006B4685" w:rsidRPr="003A769F" w:rsidRDefault="006B4685">
            <w:pPr>
              <w:ind w:right="-29"/>
              <w:jc w:val="center"/>
              <w:rPr>
                <w:noProof/>
                <w:sz w:val="18"/>
                <w:szCs w:val="18"/>
                <w:lang w:val="en-IE"/>
              </w:rPr>
            </w:pPr>
          </w:p>
        </w:tc>
        <w:tc>
          <w:tcPr>
            <w:tcW w:w="720" w:type="dxa"/>
            <w:tcBorders>
              <w:bottom w:val="single" w:sz="12" w:space="0" w:color="auto"/>
            </w:tcBorders>
          </w:tcPr>
          <w:p w:rsidR="006B4685" w:rsidRPr="003A769F" w:rsidRDefault="006B4685">
            <w:pPr>
              <w:ind w:right="-29"/>
              <w:jc w:val="center"/>
              <w:rPr>
                <w:noProof/>
                <w:sz w:val="18"/>
                <w:szCs w:val="18"/>
                <w:lang w:val="en-IE"/>
              </w:rPr>
            </w:pPr>
          </w:p>
        </w:tc>
        <w:tc>
          <w:tcPr>
            <w:tcW w:w="540" w:type="dxa"/>
            <w:tcBorders>
              <w:bottom w:val="single" w:sz="12" w:space="0" w:color="auto"/>
            </w:tcBorders>
          </w:tcPr>
          <w:p w:rsidR="006B4685" w:rsidRPr="003A769F" w:rsidRDefault="006B4685">
            <w:pPr>
              <w:ind w:right="-29"/>
              <w:jc w:val="center"/>
              <w:rPr>
                <w:noProof/>
                <w:sz w:val="18"/>
                <w:szCs w:val="18"/>
                <w:lang w:val="en-IE"/>
              </w:rPr>
            </w:pPr>
          </w:p>
        </w:tc>
        <w:tc>
          <w:tcPr>
            <w:tcW w:w="720" w:type="dxa"/>
            <w:tcBorders>
              <w:bottom w:val="single" w:sz="12" w:space="0" w:color="auto"/>
            </w:tcBorders>
          </w:tcPr>
          <w:p w:rsidR="006B4685" w:rsidRPr="003A769F" w:rsidRDefault="006B4685">
            <w:pPr>
              <w:ind w:right="-29"/>
              <w:jc w:val="center"/>
              <w:rPr>
                <w:noProof/>
                <w:sz w:val="18"/>
                <w:szCs w:val="18"/>
                <w:lang w:val="en-IE"/>
              </w:rPr>
            </w:pPr>
          </w:p>
        </w:tc>
        <w:tc>
          <w:tcPr>
            <w:tcW w:w="720" w:type="dxa"/>
            <w:tcBorders>
              <w:bottom w:val="single" w:sz="12" w:space="0" w:color="auto"/>
            </w:tcBorders>
          </w:tcPr>
          <w:p w:rsidR="006B4685" w:rsidRPr="003A769F" w:rsidRDefault="006B4685">
            <w:pPr>
              <w:ind w:right="-29"/>
              <w:jc w:val="center"/>
              <w:rPr>
                <w:noProof/>
                <w:sz w:val="18"/>
                <w:szCs w:val="18"/>
                <w:lang w:val="en-IE"/>
              </w:rPr>
            </w:pPr>
          </w:p>
        </w:tc>
        <w:tc>
          <w:tcPr>
            <w:tcW w:w="720" w:type="dxa"/>
            <w:tcBorders>
              <w:bottom w:val="single" w:sz="12" w:space="0" w:color="auto"/>
            </w:tcBorders>
          </w:tcPr>
          <w:p w:rsidR="006B4685" w:rsidRPr="003A769F" w:rsidRDefault="006B4685">
            <w:pPr>
              <w:ind w:right="-29"/>
              <w:jc w:val="center"/>
              <w:rPr>
                <w:noProof/>
                <w:sz w:val="18"/>
                <w:szCs w:val="18"/>
                <w:lang w:val="en-IE"/>
              </w:rPr>
            </w:pPr>
          </w:p>
        </w:tc>
        <w:tc>
          <w:tcPr>
            <w:tcW w:w="900" w:type="dxa"/>
            <w:gridSpan w:val="2"/>
            <w:tcBorders>
              <w:bottom w:val="single" w:sz="12" w:space="0" w:color="auto"/>
            </w:tcBorders>
          </w:tcPr>
          <w:p w:rsidR="006B4685" w:rsidRPr="003A769F" w:rsidRDefault="006B4685">
            <w:pPr>
              <w:ind w:right="-29"/>
              <w:jc w:val="center"/>
              <w:rPr>
                <w:noProof/>
                <w:sz w:val="18"/>
                <w:szCs w:val="18"/>
                <w:lang w:val="en-IE"/>
              </w:rPr>
            </w:pPr>
          </w:p>
        </w:tc>
        <w:tc>
          <w:tcPr>
            <w:tcW w:w="720" w:type="dxa"/>
            <w:tcBorders>
              <w:bottom w:val="single" w:sz="12" w:space="0" w:color="auto"/>
            </w:tcBorders>
          </w:tcPr>
          <w:p w:rsidR="006B4685" w:rsidRPr="003A769F" w:rsidRDefault="006B4685">
            <w:pPr>
              <w:ind w:right="-29"/>
              <w:jc w:val="center"/>
              <w:rPr>
                <w:noProof/>
                <w:sz w:val="18"/>
                <w:szCs w:val="18"/>
                <w:lang w:val="en-IE"/>
              </w:rPr>
            </w:pPr>
          </w:p>
        </w:tc>
        <w:tc>
          <w:tcPr>
            <w:tcW w:w="540" w:type="dxa"/>
            <w:tcBorders>
              <w:bottom w:val="single" w:sz="12" w:space="0" w:color="auto"/>
            </w:tcBorders>
          </w:tcPr>
          <w:p w:rsidR="006B4685" w:rsidRPr="003A769F" w:rsidRDefault="006B4685">
            <w:pPr>
              <w:ind w:right="-29"/>
              <w:jc w:val="center"/>
              <w:rPr>
                <w:noProof/>
                <w:sz w:val="18"/>
                <w:szCs w:val="18"/>
                <w:lang w:val="en-IE"/>
              </w:rPr>
            </w:pPr>
          </w:p>
        </w:tc>
        <w:tc>
          <w:tcPr>
            <w:tcW w:w="648" w:type="dxa"/>
            <w:tcBorders>
              <w:bottom w:val="single" w:sz="12" w:space="0" w:color="auto"/>
            </w:tcBorders>
          </w:tcPr>
          <w:p w:rsidR="006B4685" w:rsidRPr="003A769F" w:rsidRDefault="006B4685">
            <w:pPr>
              <w:ind w:right="-29"/>
              <w:jc w:val="center"/>
              <w:rPr>
                <w:noProof/>
                <w:sz w:val="18"/>
                <w:szCs w:val="18"/>
                <w:lang w:val="en-IE"/>
              </w:rPr>
            </w:pPr>
          </w:p>
        </w:tc>
        <w:tc>
          <w:tcPr>
            <w:tcW w:w="432" w:type="dxa"/>
            <w:tcBorders>
              <w:bottom w:val="single" w:sz="12" w:space="0" w:color="auto"/>
            </w:tcBorders>
          </w:tcPr>
          <w:p w:rsidR="006B4685" w:rsidRPr="003A769F" w:rsidRDefault="006B4685">
            <w:pPr>
              <w:ind w:right="-29"/>
              <w:jc w:val="center"/>
              <w:rPr>
                <w:noProof/>
                <w:sz w:val="18"/>
                <w:szCs w:val="18"/>
                <w:lang w:val="en-IE"/>
              </w:rPr>
            </w:pPr>
          </w:p>
        </w:tc>
        <w:tc>
          <w:tcPr>
            <w:tcW w:w="720" w:type="dxa"/>
            <w:tcBorders>
              <w:bottom w:val="single" w:sz="12" w:space="0" w:color="auto"/>
            </w:tcBorders>
          </w:tcPr>
          <w:p w:rsidR="006B4685" w:rsidRPr="003A769F" w:rsidRDefault="006B4685">
            <w:pPr>
              <w:ind w:right="-29"/>
              <w:jc w:val="center"/>
              <w:rPr>
                <w:noProof/>
                <w:sz w:val="18"/>
                <w:szCs w:val="18"/>
                <w:lang w:val="en-IE"/>
              </w:rPr>
            </w:pPr>
          </w:p>
        </w:tc>
        <w:tc>
          <w:tcPr>
            <w:tcW w:w="540" w:type="dxa"/>
            <w:tcBorders>
              <w:bottom w:val="single" w:sz="12" w:space="0" w:color="auto"/>
            </w:tcBorders>
          </w:tcPr>
          <w:p w:rsidR="006B4685" w:rsidRPr="003A769F" w:rsidRDefault="006B4685">
            <w:pPr>
              <w:ind w:right="-29"/>
              <w:jc w:val="center"/>
              <w:rPr>
                <w:noProof/>
                <w:sz w:val="18"/>
                <w:szCs w:val="18"/>
                <w:lang w:val="en-IE"/>
              </w:rPr>
            </w:pPr>
          </w:p>
        </w:tc>
        <w:tc>
          <w:tcPr>
            <w:tcW w:w="720" w:type="dxa"/>
            <w:tcBorders>
              <w:bottom w:val="single" w:sz="12" w:space="0" w:color="auto"/>
            </w:tcBorders>
          </w:tcPr>
          <w:p w:rsidR="006B4685" w:rsidRPr="003A769F" w:rsidRDefault="006B4685">
            <w:pPr>
              <w:ind w:right="-29"/>
              <w:jc w:val="center"/>
              <w:rPr>
                <w:noProof/>
                <w:sz w:val="18"/>
                <w:szCs w:val="18"/>
                <w:lang w:val="en-IE"/>
              </w:rPr>
            </w:pPr>
          </w:p>
        </w:tc>
        <w:tc>
          <w:tcPr>
            <w:tcW w:w="720" w:type="dxa"/>
            <w:tcBorders>
              <w:bottom w:val="single" w:sz="12" w:space="0" w:color="auto"/>
            </w:tcBorders>
          </w:tcPr>
          <w:p w:rsidR="006B4685" w:rsidRPr="003A769F" w:rsidRDefault="006B4685">
            <w:pPr>
              <w:ind w:right="-29"/>
              <w:jc w:val="center"/>
              <w:rPr>
                <w:noProof/>
                <w:sz w:val="18"/>
                <w:szCs w:val="18"/>
                <w:lang w:val="en-IE"/>
              </w:rPr>
            </w:pPr>
          </w:p>
        </w:tc>
        <w:tc>
          <w:tcPr>
            <w:tcW w:w="900" w:type="dxa"/>
            <w:tcBorders>
              <w:bottom w:val="single" w:sz="12" w:space="0" w:color="auto"/>
            </w:tcBorders>
          </w:tcPr>
          <w:p w:rsidR="006B4685" w:rsidRPr="003A769F" w:rsidRDefault="006B4685">
            <w:pPr>
              <w:ind w:right="-29"/>
              <w:jc w:val="center"/>
              <w:rPr>
                <w:noProof/>
                <w:sz w:val="18"/>
                <w:szCs w:val="18"/>
                <w:lang w:val="en-IE"/>
              </w:rPr>
            </w:pPr>
          </w:p>
        </w:tc>
      </w:tr>
      <w:tr w:rsidR="006B4685">
        <w:trPr>
          <w:jc w:val="center"/>
        </w:trPr>
        <w:tc>
          <w:tcPr>
            <w:tcW w:w="2844" w:type="dxa"/>
            <w:gridSpan w:val="3"/>
            <w:vAlign w:val="center"/>
          </w:tcPr>
          <w:p w:rsidR="006B4685" w:rsidRDefault="006B4685">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rsidR="006B4685" w:rsidRDefault="006B4685">
            <w:pPr>
              <w:spacing w:before="60" w:after="60"/>
              <w:ind w:right="-29"/>
              <w:jc w:val="center"/>
              <w:rPr>
                <w:noProof/>
                <w:sz w:val="18"/>
                <w:szCs w:val="18"/>
              </w:rPr>
            </w:pPr>
          </w:p>
        </w:tc>
        <w:tc>
          <w:tcPr>
            <w:tcW w:w="720" w:type="dxa"/>
            <w:tcBorders>
              <w:top w:val="nil"/>
              <w:left w:val="nil"/>
              <w:bottom w:val="nil"/>
              <w:right w:val="nil"/>
            </w:tcBorders>
          </w:tcPr>
          <w:p w:rsidR="006B4685" w:rsidRDefault="006B4685">
            <w:pPr>
              <w:spacing w:before="60" w:after="60"/>
              <w:ind w:right="-29"/>
              <w:jc w:val="center"/>
              <w:rPr>
                <w:noProof/>
                <w:sz w:val="18"/>
                <w:szCs w:val="18"/>
              </w:rPr>
            </w:pPr>
          </w:p>
        </w:tc>
        <w:tc>
          <w:tcPr>
            <w:tcW w:w="540" w:type="dxa"/>
            <w:tcBorders>
              <w:top w:val="nil"/>
              <w:left w:val="nil"/>
              <w:bottom w:val="nil"/>
              <w:right w:val="nil"/>
            </w:tcBorders>
          </w:tcPr>
          <w:p w:rsidR="006B4685" w:rsidRDefault="006B4685">
            <w:pPr>
              <w:spacing w:before="60" w:after="60"/>
              <w:ind w:right="-29"/>
              <w:jc w:val="center"/>
              <w:rPr>
                <w:noProof/>
                <w:sz w:val="18"/>
                <w:szCs w:val="18"/>
              </w:rPr>
            </w:pPr>
          </w:p>
        </w:tc>
        <w:tc>
          <w:tcPr>
            <w:tcW w:w="720" w:type="dxa"/>
            <w:tcBorders>
              <w:top w:val="nil"/>
              <w:left w:val="nil"/>
              <w:bottom w:val="nil"/>
              <w:right w:val="nil"/>
            </w:tcBorders>
          </w:tcPr>
          <w:p w:rsidR="006B4685" w:rsidRDefault="006B4685">
            <w:pPr>
              <w:spacing w:before="60" w:after="60"/>
              <w:ind w:right="-29"/>
              <w:jc w:val="center"/>
              <w:rPr>
                <w:noProof/>
                <w:sz w:val="18"/>
                <w:szCs w:val="18"/>
              </w:rPr>
            </w:pPr>
          </w:p>
        </w:tc>
        <w:tc>
          <w:tcPr>
            <w:tcW w:w="720" w:type="dxa"/>
            <w:tcBorders>
              <w:top w:val="nil"/>
              <w:left w:val="nil"/>
              <w:bottom w:val="nil"/>
              <w:right w:val="nil"/>
            </w:tcBorders>
          </w:tcPr>
          <w:p w:rsidR="006B4685" w:rsidRDefault="006B4685">
            <w:pPr>
              <w:spacing w:before="60" w:after="60"/>
              <w:ind w:right="-29"/>
              <w:jc w:val="center"/>
              <w:rPr>
                <w:noProof/>
                <w:sz w:val="18"/>
                <w:szCs w:val="18"/>
              </w:rPr>
            </w:pPr>
          </w:p>
        </w:tc>
        <w:tc>
          <w:tcPr>
            <w:tcW w:w="720" w:type="dxa"/>
            <w:tcBorders>
              <w:top w:val="nil"/>
              <w:left w:val="nil"/>
              <w:bottom w:val="nil"/>
              <w:right w:val="nil"/>
            </w:tcBorders>
          </w:tcPr>
          <w:p w:rsidR="006B4685" w:rsidRDefault="006B4685">
            <w:pPr>
              <w:spacing w:before="60" w:after="60"/>
              <w:ind w:right="-29"/>
              <w:jc w:val="center"/>
              <w:rPr>
                <w:noProof/>
                <w:sz w:val="18"/>
                <w:szCs w:val="18"/>
              </w:rPr>
            </w:pPr>
          </w:p>
        </w:tc>
        <w:tc>
          <w:tcPr>
            <w:tcW w:w="900" w:type="dxa"/>
            <w:gridSpan w:val="2"/>
            <w:tcBorders>
              <w:top w:val="nil"/>
              <w:left w:val="nil"/>
              <w:bottom w:val="nil"/>
              <w:right w:val="nil"/>
            </w:tcBorders>
          </w:tcPr>
          <w:p w:rsidR="006B4685" w:rsidRDefault="006B4685">
            <w:pPr>
              <w:spacing w:before="60" w:after="60"/>
              <w:ind w:right="-29"/>
              <w:jc w:val="center"/>
              <w:rPr>
                <w:noProof/>
                <w:sz w:val="18"/>
                <w:szCs w:val="18"/>
              </w:rPr>
            </w:pPr>
          </w:p>
        </w:tc>
        <w:tc>
          <w:tcPr>
            <w:tcW w:w="720" w:type="dxa"/>
            <w:tcBorders>
              <w:top w:val="nil"/>
              <w:left w:val="nil"/>
              <w:bottom w:val="nil"/>
              <w:right w:val="nil"/>
            </w:tcBorders>
          </w:tcPr>
          <w:p w:rsidR="006B4685" w:rsidRDefault="006B4685">
            <w:pPr>
              <w:spacing w:before="60" w:after="60"/>
              <w:ind w:right="-29"/>
              <w:jc w:val="center"/>
              <w:rPr>
                <w:noProof/>
                <w:sz w:val="18"/>
                <w:szCs w:val="18"/>
              </w:rPr>
            </w:pPr>
          </w:p>
        </w:tc>
        <w:tc>
          <w:tcPr>
            <w:tcW w:w="540" w:type="dxa"/>
            <w:tcBorders>
              <w:top w:val="nil"/>
              <w:left w:val="nil"/>
              <w:bottom w:val="nil"/>
              <w:right w:val="nil"/>
            </w:tcBorders>
          </w:tcPr>
          <w:p w:rsidR="006B4685" w:rsidRDefault="006B4685">
            <w:pPr>
              <w:spacing w:before="60" w:after="60"/>
              <w:ind w:right="-29"/>
              <w:jc w:val="center"/>
              <w:rPr>
                <w:noProof/>
                <w:sz w:val="18"/>
                <w:szCs w:val="18"/>
              </w:rPr>
            </w:pPr>
          </w:p>
        </w:tc>
        <w:tc>
          <w:tcPr>
            <w:tcW w:w="648" w:type="dxa"/>
            <w:tcBorders>
              <w:top w:val="nil"/>
              <w:left w:val="nil"/>
              <w:bottom w:val="nil"/>
              <w:right w:val="nil"/>
            </w:tcBorders>
          </w:tcPr>
          <w:p w:rsidR="006B4685" w:rsidRDefault="006B4685">
            <w:pPr>
              <w:spacing w:before="60" w:after="60"/>
              <w:ind w:right="-29"/>
              <w:jc w:val="center"/>
              <w:rPr>
                <w:noProof/>
                <w:sz w:val="18"/>
                <w:szCs w:val="18"/>
              </w:rPr>
            </w:pPr>
          </w:p>
        </w:tc>
        <w:tc>
          <w:tcPr>
            <w:tcW w:w="432" w:type="dxa"/>
            <w:tcBorders>
              <w:top w:val="nil"/>
              <w:left w:val="nil"/>
              <w:bottom w:val="nil"/>
              <w:right w:val="nil"/>
            </w:tcBorders>
          </w:tcPr>
          <w:p w:rsidR="006B4685" w:rsidRDefault="006B4685">
            <w:pPr>
              <w:spacing w:before="60" w:after="60"/>
              <w:ind w:right="-29"/>
              <w:jc w:val="center"/>
              <w:rPr>
                <w:noProof/>
                <w:sz w:val="18"/>
                <w:szCs w:val="18"/>
              </w:rPr>
            </w:pPr>
          </w:p>
        </w:tc>
        <w:tc>
          <w:tcPr>
            <w:tcW w:w="720" w:type="dxa"/>
            <w:tcBorders>
              <w:top w:val="nil"/>
              <w:left w:val="nil"/>
              <w:bottom w:val="nil"/>
              <w:right w:val="nil"/>
            </w:tcBorders>
          </w:tcPr>
          <w:p w:rsidR="006B4685" w:rsidRDefault="006B4685">
            <w:pPr>
              <w:spacing w:before="60" w:after="60"/>
              <w:ind w:right="-29"/>
              <w:jc w:val="center"/>
              <w:rPr>
                <w:noProof/>
                <w:sz w:val="18"/>
                <w:szCs w:val="18"/>
              </w:rPr>
            </w:pPr>
          </w:p>
        </w:tc>
        <w:tc>
          <w:tcPr>
            <w:tcW w:w="540" w:type="dxa"/>
            <w:tcBorders>
              <w:top w:val="nil"/>
              <w:left w:val="nil"/>
              <w:bottom w:val="nil"/>
              <w:right w:val="nil"/>
            </w:tcBorders>
          </w:tcPr>
          <w:p w:rsidR="006B4685" w:rsidRDefault="006B4685">
            <w:pPr>
              <w:spacing w:before="60" w:after="60"/>
              <w:ind w:right="-29"/>
              <w:jc w:val="center"/>
              <w:rPr>
                <w:noProof/>
                <w:sz w:val="18"/>
                <w:szCs w:val="18"/>
              </w:rPr>
            </w:pPr>
          </w:p>
        </w:tc>
        <w:tc>
          <w:tcPr>
            <w:tcW w:w="720" w:type="dxa"/>
            <w:tcBorders>
              <w:top w:val="nil"/>
              <w:left w:val="nil"/>
              <w:bottom w:val="nil"/>
              <w:right w:val="nil"/>
            </w:tcBorders>
          </w:tcPr>
          <w:p w:rsidR="006B4685" w:rsidRDefault="006B4685">
            <w:pPr>
              <w:spacing w:before="60" w:after="60"/>
              <w:ind w:right="-29"/>
              <w:jc w:val="center"/>
              <w:rPr>
                <w:noProof/>
                <w:sz w:val="18"/>
                <w:szCs w:val="18"/>
              </w:rPr>
            </w:pPr>
          </w:p>
        </w:tc>
        <w:tc>
          <w:tcPr>
            <w:tcW w:w="720" w:type="dxa"/>
            <w:tcBorders>
              <w:top w:val="nil"/>
              <w:left w:val="nil"/>
              <w:bottom w:val="nil"/>
              <w:right w:val="nil"/>
            </w:tcBorders>
          </w:tcPr>
          <w:p w:rsidR="006B4685" w:rsidRDefault="006B4685">
            <w:pPr>
              <w:spacing w:before="60" w:after="60"/>
              <w:ind w:right="-29"/>
              <w:jc w:val="center"/>
              <w:rPr>
                <w:noProof/>
                <w:sz w:val="18"/>
                <w:szCs w:val="18"/>
              </w:rPr>
            </w:pPr>
          </w:p>
        </w:tc>
        <w:tc>
          <w:tcPr>
            <w:tcW w:w="900" w:type="dxa"/>
            <w:tcBorders>
              <w:top w:val="nil"/>
              <w:left w:val="nil"/>
              <w:bottom w:val="nil"/>
              <w:right w:val="nil"/>
            </w:tcBorders>
          </w:tcPr>
          <w:p w:rsidR="006B4685" w:rsidRDefault="006B4685">
            <w:pPr>
              <w:spacing w:before="60" w:after="60"/>
              <w:ind w:right="-29"/>
              <w:jc w:val="center"/>
              <w:rPr>
                <w:noProof/>
                <w:sz w:val="18"/>
                <w:szCs w:val="18"/>
              </w:rPr>
            </w:pPr>
          </w:p>
        </w:tc>
      </w:tr>
      <w:tr w:rsidR="006B4685">
        <w:trPr>
          <w:trHeight w:hRule="exact" w:val="369"/>
          <w:jc w:val="center"/>
        </w:trPr>
        <w:tc>
          <w:tcPr>
            <w:tcW w:w="1423" w:type="dxa"/>
          </w:tcPr>
          <w:p w:rsidR="006B4685" w:rsidRDefault="006B4685">
            <w:pPr>
              <w:ind w:right="-29"/>
              <w:jc w:val="center"/>
              <w:rPr>
                <w:noProof/>
                <w:sz w:val="18"/>
                <w:szCs w:val="18"/>
              </w:rPr>
            </w:pPr>
            <w:r>
              <w:rPr>
                <w:noProof/>
                <w:sz w:val="18"/>
              </w:rPr>
              <w:t>- Output</w:t>
            </w:r>
          </w:p>
        </w:tc>
        <w:tc>
          <w:tcPr>
            <w:tcW w:w="720" w:type="dxa"/>
          </w:tcPr>
          <w:p w:rsidR="006B4685" w:rsidRDefault="006B4685">
            <w:pPr>
              <w:ind w:right="-29"/>
              <w:jc w:val="center"/>
              <w:rPr>
                <w:noProof/>
                <w:sz w:val="18"/>
                <w:szCs w:val="18"/>
              </w:rPr>
            </w:pPr>
          </w:p>
        </w:tc>
        <w:tc>
          <w:tcPr>
            <w:tcW w:w="701" w:type="dxa"/>
          </w:tcPr>
          <w:p w:rsidR="006B4685" w:rsidRDefault="006B4685">
            <w:pPr>
              <w:ind w:right="-29"/>
              <w:jc w:val="center"/>
              <w:rPr>
                <w:noProof/>
                <w:sz w:val="18"/>
                <w:szCs w:val="18"/>
              </w:rPr>
            </w:pPr>
          </w:p>
        </w:tc>
        <w:tc>
          <w:tcPr>
            <w:tcW w:w="504" w:type="dxa"/>
          </w:tcPr>
          <w:p w:rsidR="006B4685" w:rsidRDefault="006B4685">
            <w:pPr>
              <w:ind w:right="-29"/>
              <w:jc w:val="center"/>
              <w:rPr>
                <w:noProof/>
                <w:sz w:val="18"/>
                <w:szCs w:val="18"/>
              </w:rPr>
            </w:pPr>
          </w:p>
        </w:tc>
        <w:tc>
          <w:tcPr>
            <w:tcW w:w="720" w:type="dxa"/>
          </w:tcPr>
          <w:p w:rsidR="006B4685" w:rsidRDefault="006B4685">
            <w:pPr>
              <w:ind w:right="-29"/>
              <w:jc w:val="center"/>
              <w:rPr>
                <w:noProof/>
                <w:sz w:val="18"/>
                <w:szCs w:val="18"/>
              </w:rPr>
            </w:pPr>
          </w:p>
        </w:tc>
        <w:tc>
          <w:tcPr>
            <w:tcW w:w="540" w:type="dxa"/>
          </w:tcPr>
          <w:p w:rsidR="006B4685" w:rsidRDefault="006B4685">
            <w:pPr>
              <w:ind w:right="-29"/>
              <w:jc w:val="center"/>
              <w:rPr>
                <w:noProof/>
                <w:sz w:val="18"/>
                <w:szCs w:val="18"/>
              </w:rPr>
            </w:pPr>
          </w:p>
        </w:tc>
        <w:tc>
          <w:tcPr>
            <w:tcW w:w="720" w:type="dxa"/>
          </w:tcPr>
          <w:p w:rsidR="006B4685" w:rsidRDefault="006B4685">
            <w:pPr>
              <w:ind w:right="-29"/>
              <w:jc w:val="center"/>
              <w:rPr>
                <w:noProof/>
                <w:sz w:val="18"/>
                <w:szCs w:val="18"/>
              </w:rPr>
            </w:pPr>
          </w:p>
        </w:tc>
        <w:tc>
          <w:tcPr>
            <w:tcW w:w="720" w:type="dxa"/>
          </w:tcPr>
          <w:p w:rsidR="006B4685" w:rsidRDefault="006B4685">
            <w:pPr>
              <w:ind w:right="-29"/>
              <w:jc w:val="center"/>
              <w:rPr>
                <w:noProof/>
                <w:sz w:val="18"/>
                <w:szCs w:val="18"/>
              </w:rPr>
            </w:pPr>
          </w:p>
        </w:tc>
        <w:tc>
          <w:tcPr>
            <w:tcW w:w="720" w:type="dxa"/>
          </w:tcPr>
          <w:p w:rsidR="006B4685" w:rsidRDefault="006B4685">
            <w:pPr>
              <w:ind w:right="-29"/>
              <w:jc w:val="center"/>
              <w:rPr>
                <w:noProof/>
                <w:sz w:val="18"/>
                <w:szCs w:val="18"/>
              </w:rPr>
            </w:pPr>
          </w:p>
        </w:tc>
        <w:tc>
          <w:tcPr>
            <w:tcW w:w="900" w:type="dxa"/>
            <w:gridSpan w:val="2"/>
          </w:tcPr>
          <w:p w:rsidR="006B4685" w:rsidRDefault="006B4685">
            <w:pPr>
              <w:ind w:right="-29"/>
              <w:jc w:val="center"/>
              <w:rPr>
                <w:noProof/>
                <w:sz w:val="18"/>
                <w:szCs w:val="18"/>
              </w:rPr>
            </w:pPr>
          </w:p>
        </w:tc>
        <w:tc>
          <w:tcPr>
            <w:tcW w:w="720" w:type="dxa"/>
          </w:tcPr>
          <w:p w:rsidR="006B4685" w:rsidRDefault="006B4685">
            <w:pPr>
              <w:ind w:right="-29"/>
              <w:jc w:val="center"/>
              <w:rPr>
                <w:noProof/>
                <w:sz w:val="18"/>
                <w:szCs w:val="18"/>
              </w:rPr>
            </w:pPr>
          </w:p>
        </w:tc>
        <w:tc>
          <w:tcPr>
            <w:tcW w:w="540" w:type="dxa"/>
          </w:tcPr>
          <w:p w:rsidR="006B4685" w:rsidRDefault="006B4685">
            <w:pPr>
              <w:ind w:right="-29"/>
              <w:jc w:val="center"/>
              <w:rPr>
                <w:noProof/>
                <w:sz w:val="18"/>
                <w:szCs w:val="18"/>
              </w:rPr>
            </w:pPr>
          </w:p>
        </w:tc>
        <w:tc>
          <w:tcPr>
            <w:tcW w:w="648" w:type="dxa"/>
          </w:tcPr>
          <w:p w:rsidR="006B4685" w:rsidRDefault="006B4685">
            <w:pPr>
              <w:ind w:right="-29"/>
              <w:jc w:val="center"/>
              <w:rPr>
                <w:noProof/>
                <w:sz w:val="18"/>
                <w:szCs w:val="18"/>
              </w:rPr>
            </w:pPr>
          </w:p>
        </w:tc>
        <w:tc>
          <w:tcPr>
            <w:tcW w:w="432" w:type="dxa"/>
          </w:tcPr>
          <w:p w:rsidR="006B4685" w:rsidRDefault="006B4685">
            <w:pPr>
              <w:ind w:right="-29"/>
              <w:jc w:val="center"/>
              <w:rPr>
                <w:noProof/>
                <w:sz w:val="18"/>
                <w:szCs w:val="18"/>
              </w:rPr>
            </w:pPr>
          </w:p>
        </w:tc>
        <w:tc>
          <w:tcPr>
            <w:tcW w:w="720" w:type="dxa"/>
          </w:tcPr>
          <w:p w:rsidR="006B4685" w:rsidRDefault="006B4685">
            <w:pPr>
              <w:ind w:right="-29"/>
              <w:jc w:val="center"/>
              <w:rPr>
                <w:noProof/>
                <w:sz w:val="18"/>
                <w:szCs w:val="18"/>
              </w:rPr>
            </w:pPr>
          </w:p>
        </w:tc>
        <w:tc>
          <w:tcPr>
            <w:tcW w:w="540" w:type="dxa"/>
          </w:tcPr>
          <w:p w:rsidR="006B4685" w:rsidRDefault="006B4685">
            <w:pPr>
              <w:ind w:right="-29"/>
              <w:jc w:val="center"/>
              <w:rPr>
                <w:noProof/>
                <w:sz w:val="18"/>
                <w:szCs w:val="18"/>
              </w:rPr>
            </w:pPr>
          </w:p>
        </w:tc>
        <w:tc>
          <w:tcPr>
            <w:tcW w:w="720" w:type="dxa"/>
          </w:tcPr>
          <w:p w:rsidR="006B4685" w:rsidRDefault="006B4685">
            <w:pPr>
              <w:ind w:right="-29"/>
              <w:jc w:val="center"/>
              <w:rPr>
                <w:noProof/>
                <w:sz w:val="18"/>
                <w:szCs w:val="18"/>
              </w:rPr>
            </w:pPr>
          </w:p>
        </w:tc>
        <w:tc>
          <w:tcPr>
            <w:tcW w:w="720" w:type="dxa"/>
          </w:tcPr>
          <w:p w:rsidR="006B4685" w:rsidRDefault="006B4685">
            <w:pPr>
              <w:ind w:right="-29"/>
              <w:jc w:val="center"/>
              <w:rPr>
                <w:noProof/>
                <w:sz w:val="18"/>
                <w:szCs w:val="18"/>
              </w:rPr>
            </w:pPr>
          </w:p>
        </w:tc>
        <w:tc>
          <w:tcPr>
            <w:tcW w:w="900" w:type="dxa"/>
          </w:tcPr>
          <w:p w:rsidR="006B4685" w:rsidRDefault="006B4685">
            <w:pPr>
              <w:ind w:right="-29"/>
              <w:jc w:val="center"/>
              <w:rPr>
                <w:noProof/>
                <w:sz w:val="18"/>
                <w:szCs w:val="18"/>
              </w:rPr>
            </w:pPr>
          </w:p>
        </w:tc>
      </w:tr>
      <w:tr w:rsidR="006B4685" w:rsidRPr="003A769F">
        <w:trPr>
          <w:jc w:val="center"/>
        </w:trPr>
        <w:tc>
          <w:tcPr>
            <w:tcW w:w="2844" w:type="dxa"/>
            <w:gridSpan w:val="3"/>
            <w:tcBorders>
              <w:bottom w:val="single" w:sz="12" w:space="0" w:color="auto"/>
            </w:tcBorders>
            <w:vAlign w:val="center"/>
          </w:tcPr>
          <w:p w:rsidR="006B4685" w:rsidRPr="003A769F" w:rsidRDefault="006B4685">
            <w:pPr>
              <w:jc w:val="center"/>
              <w:rPr>
                <w:noProof/>
                <w:sz w:val="18"/>
                <w:szCs w:val="18"/>
                <w:lang w:val="en-IE"/>
              </w:rPr>
            </w:pPr>
            <w:r w:rsidRPr="003A769F">
              <w:rPr>
                <w:noProof/>
                <w:sz w:val="18"/>
                <w:lang w:val="en-IE"/>
              </w:rPr>
              <w:t>Subtotal for specific objective No 2</w:t>
            </w:r>
          </w:p>
        </w:tc>
        <w:tc>
          <w:tcPr>
            <w:tcW w:w="504" w:type="dxa"/>
            <w:tcBorders>
              <w:bottom w:val="single" w:sz="12" w:space="0" w:color="auto"/>
            </w:tcBorders>
          </w:tcPr>
          <w:p w:rsidR="006B4685" w:rsidRPr="003A769F" w:rsidRDefault="006B4685">
            <w:pPr>
              <w:ind w:right="-29"/>
              <w:jc w:val="center"/>
              <w:rPr>
                <w:noProof/>
                <w:sz w:val="18"/>
                <w:szCs w:val="18"/>
                <w:lang w:val="en-IE"/>
              </w:rPr>
            </w:pPr>
          </w:p>
        </w:tc>
        <w:tc>
          <w:tcPr>
            <w:tcW w:w="720" w:type="dxa"/>
            <w:tcBorders>
              <w:bottom w:val="single" w:sz="12" w:space="0" w:color="auto"/>
            </w:tcBorders>
          </w:tcPr>
          <w:p w:rsidR="006B4685" w:rsidRPr="003A769F" w:rsidRDefault="006B4685">
            <w:pPr>
              <w:ind w:right="-29"/>
              <w:jc w:val="center"/>
              <w:rPr>
                <w:noProof/>
                <w:sz w:val="18"/>
                <w:szCs w:val="18"/>
                <w:lang w:val="en-IE"/>
              </w:rPr>
            </w:pPr>
          </w:p>
        </w:tc>
        <w:tc>
          <w:tcPr>
            <w:tcW w:w="540" w:type="dxa"/>
            <w:tcBorders>
              <w:bottom w:val="single" w:sz="12" w:space="0" w:color="auto"/>
            </w:tcBorders>
          </w:tcPr>
          <w:p w:rsidR="006B4685" w:rsidRPr="003A769F" w:rsidRDefault="006B4685">
            <w:pPr>
              <w:ind w:right="-29"/>
              <w:jc w:val="center"/>
              <w:rPr>
                <w:noProof/>
                <w:sz w:val="18"/>
                <w:szCs w:val="18"/>
                <w:lang w:val="en-IE"/>
              </w:rPr>
            </w:pPr>
          </w:p>
        </w:tc>
        <w:tc>
          <w:tcPr>
            <w:tcW w:w="720" w:type="dxa"/>
            <w:tcBorders>
              <w:bottom w:val="single" w:sz="12" w:space="0" w:color="auto"/>
            </w:tcBorders>
          </w:tcPr>
          <w:p w:rsidR="006B4685" w:rsidRPr="003A769F" w:rsidRDefault="006B4685">
            <w:pPr>
              <w:ind w:right="-29"/>
              <w:jc w:val="center"/>
              <w:rPr>
                <w:noProof/>
                <w:sz w:val="18"/>
                <w:szCs w:val="18"/>
                <w:lang w:val="en-IE"/>
              </w:rPr>
            </w:pPr>
          </w:p>
        </w:tc>
        <w:tc>
          <w:tcPr>
            <w:tcW w:w="720" w:type="dxa"/>
            <w:tcBorders>
              <w:bottom w:val="single" w:sz="12" w:space="0" w:color="auto"/>
            </w:tcBorders>
          </w:tcPr>
          <w:p w:rsidR="006B4685" w:rsidRPr="003A769F" w:rsidRDefault="006B4685">
            <w:pPr>
              <w:ind w:right="-29"/>
              <w:jc w:val="center"/>
              <w:rPr>
                <w:noProof/>
                <w:sz w:val="18"/>
                <w:szCs w:val="18"/>
                <w:lang w:val="en-IE"/>
              </w:rPr>
            </w:pPr>
          </w:p>
        </w:tc>
        <w:tc>
          <w:tcPr>
            <w:tcW w:w="720" w:type="dxa"/>
            <w:tcBorders>
              <w:bottom w:val="single" w:sz="12" w:space="0" w:color="auto"/>
            </w:tcBorders>
          </w:tcPr>
          <w:p w:rsidR="006B4685" w:rsidRPr="003A769F" w:rsidRDefault="006B4685">
            <w:pPr>
              <w:ind w:right="-29"/>
              <w:jc w:val="center"/>
              <w:rPr>
                <w:noProof/>
                <w:sz w:val="18"/>
                <w:szCs w:val="18"/>
                <w:lang w:val="en-IE"/>
              </w:rPr>
            </w:pPr>
          </w:p>
        </w:tc>
        <w:tc>
          <w:tcPr>
            <w:tcW w:w="882" w:type="dxa"/>
            <w:tcBorders>
              <w:bottom w:val="single" w:sz="12" w:space="0" w:color="auto"/>
            </w:tcBorders>
          </w:tcPr>
          <w:p w:rsidR="006B4685" w:rsidRPr="003A769F" w:rsidRDefault="006B4685">
            <w:pPr>
              <w:ind w:right="-29"/>
              <w:jc w:val="center"/>
              <w:rPr>
                <w:noProof/>
                <w:sz w:val="18"/>
                <w:szCs w:val="18"/>
                <w:lang w:val="en-IE"/>
              </w:rPr>
            </w:pPr>
          </w:p>
        </w:tc>
        <w:tc>
          <w:tcPr>
            <w:tcW w:w="738" w:type="dxa"/>
            <w:gridSpan w:val="2"/>
            <w:tcBorders>
              <w:bottom w:val="single" w:sz="12" w:space="0" w:color="auto"/>
            </w:tcBorders>
          </w:tcPr>
          <w:p w:rsidR="006B4685" w:rsidRPr="003A769F" w:rsidRDefault="006B4685">
            <w:pPr>
              <w:ind w:right="-29"/>
              <w:jc w:val="center"/>
              <w:rPr>
                <w:noProof/>
                <w:sz w:val="18"/>
                <w:szCs w:val="18"/>
                <w:lang w:val="en-IE"/>
              </w:rPr>
            </w:pPr>
          </w:p>
        </w:tc>
        <w:tc>
          <w:tcPr>
            <w:tcW w:w="540" w:type="dxa"/>
            <w:tcBorders>
              <w:bottom w:val="single" w:sz="12" w:space="0" w:color="auto"/>
            </w:tcBorders>
          </w:tcPr>
          <w:p w:rsidR="006B4685" w:rsidRPr="003A769F" w:rsidRDefault="006B4685">
            <w:pPr>
              <w:ind w:right="-29"/>
              <w:jc w:val="center"/>
              <w:rPr>
                <w:noProof/>
                <w:sz w:val="18"/>
                <w:szCs w:val="18"/>
                <w:lang w:val="en-IE"/>
              </w:rPr>
            </w:pPr>
          </w:p>
        </w:tc>
        <w:tc>
          <w:tcPr>
            <w:tcW w:w="648" w:type="dxa"/>
            <w:tcBorders>
              <w:bottom w:val="single" w:sz="12" w:space="0" w:color="auto"/>
            </w:tcBorders>
          </w:tcPr>
          <w:p w:rsidR="006B4685" w:rsidRPr="003A769F" w:rsidRDefault="006B4685">
            <w:pPr>
              <w:ind w:right="-29"/>
              <w:jc w:val="center"/>
              <w:rPr>
                <w:noProof/>
                <w:sz w:val="18"/>
                <w:szCs w:val="18"/>
                <w:lang w:val="en-IE"/>
              </w:rPr>
            </w:pPr>
          </w:p>
        </w:tc>
        <w:tc>
          <w:tcPr>
            <w:tcW w:w="432" w:type="dxa"/>
            <w:tcBorders>
              <w:bottom w:val="single" w:sz="12" w:space="0" w:color="auto"/>
            </w:tcBorders>
          </w:tcPr>
          <w:p w:rsidR="006B4685" w:rsidRPr="003A769F" w:rsidRDefault="006B4685">
            <w:pPr>
              <w:ind w:right="-29"/>
              <w:jc w:val="center"/>
              <w:rPr>
                <w:noProof/>
                <w:sz w:val="18"/>
                <w:szCs w:val="18"/>
                <w:lang w:val="en-IE"/>
              </w:rPr>
            </w:pPr>
          </w:p>
        </w:tc>
        <w:tc>
          <w:tcPr>
            <w:tcW w:w="720" w:type="dxa"/>
            <w:tcBorders>
              <w:bottom w:val="single" w:sz="12" w:space="0" w:color="auto"/>
            </w:tcBorders>
          </w:tcPr>
          <w:p w:rsidR="006B4685" w:rsidRPr="003A769F" w:rsidRDefault="006B4685">
            <w:pPr>
              <w:ind w:right="-29"/>
              <w:jc w:val="center"/>
              <w:rPr>
                <w:noProof/>
                <w:sz w:val="18"/>
                <w:szCs w:val="18"/>
                <w:lang w:val="en-IE"/>
              </w:rPr>
            </w:pPr>
          </w:p>
        </w:tc>
        <w:tc>
          <w:tcPr>
            <w:tcW w:w="540" w:type="dxa"/>
            <w:tcBorders>
              <w:bottom w:val="single" w:sz="12" w:space="0" w:color="auto"/>
            </w:tcBorders>
          </w:tcPr>
          <w:p w:rsidR="006B4685" w:rsidRPr="003A769F" w:rsidRDefault="006B4685">
            <w:pPr>
              <w:ind w:right="-29"/>
              <w:jc w:val="center"/>
              <w:rPr>
                <w:noProof/>
                <w:sz w:val="18"/>
                <w:szCs w:val="18"/>
                <w:lang w:val="en-IE"/>
              </w:rPr>
            </w:pPr>
          </w:p>
        </w:tc>
        <w:tc>
          <w:tcPr>
            <w:tcW w:w="720" w:type="dxa"/>
            <w:tcBorders>
              <w:bottom w:val="single" w:sz="12" w:space="0" w:color="auto"/>
            </w:tcBorders>
          </w:tcPr>
          <w:p w:rsidR="006B4685" w:rsidRPr="003A769F" w:rsidRDefault="006B4685">
            <w:pPr>
              <w:ind w:right="-29"/>
              <w:jc w:val="center"/>
              <w:rPr>
                <w:noProof/>
                <w:sz w:val="18"/>
                <w:szCs w:val="18"/>
                <w:lang w:val="en-IE"/>
              </w:rPr>
            </w:pPr>
          </w:p>
        </w:tc>
        <w:tc>
          <w:tcPr>
            <w:tcW w:w="720" w:type="dxa"/>
            <w:tcBorders>
              <w:bottom w:val="single" w:sz="12" w:space="0" w:color="auto"/>
            </w:tcBorders>
          </w:tcPr>
          <w:p w:rsidR="006B4685" w:rsidRPr="003A769F" w:rsidRDefault="006B4685">
            <w:pPr>
              <w:ind w:right="-29"/>
              <w:jc w:val="center"/>
              <w:rPr>
                <w:noProof/>
                <w:sz w:val="18"/>
                <w:szCs w:val="18"/>
                <w:lang w:val="en-IE"/>
              </w:rPr>
            </w:pPr>
          </w:p>
        </w:tc>
        <w:tc>
          <w:tcPr>
            <w:tcW w:w="900" w:type="dxa"/>
            <w:tcBorders>
              <w:bottom w:val="single" w:sz="12" w:space="0" w:color="auto"/>
            </w:tcBorders>
          </w:tcPr>
          <w:p w:rsidR="006B4685" w:rsidRPr="003A769F" w:rsidRDefault="006B4685">
            <w:pPr>
              <w:ind w:right="-29"/>
              <w:jc w:val="center"/>
              <w:rPr>
                <w:noProof/>
                <w:sz w:val="18"/>
                <w:szCs w:val="18"/>
                <w:lang w:val="en-IE"/>
              </w:rPr>
            </w:pPr>
          </w:p>
        </w:tc>
      </w:tr>
      <w:tr w:rsidR="006B4685">
        <w:trPr>
          <w:jc w:val="center"/>
        </w:trPr>
        <w:tc>
          <w:tcPr>
            <w:tcW w:w="2844" w:type="dxa"/>
            <w:gridSpan w:val="3"/>
            <w:tcBorders>
              <w:top w:val="single" w:sz="12" w:space="0" w:color="auto"/>
              <w:left w:val="single" w:sz="12" w:space="0" w:color="auto"/>
              <w:bottom w:val="single" w:sz="12" w:space="0" w:color="auto"/>
            </w:tcBorders>
            <w:vAlign w:val="center"/>
          </w:tcPr>
          <w:p w:rsidR="006B4685" w:rsidRDefault="006B4685">
            <w:pPr>
              <w:ind w:right="-29"/>
              <w:jc w:val="center"/>
              <w:rPr>
                <w:noProof/>
                <w:sz w:val="18"/>
                <w:szCs w:val="18"/>
              </w:rPr>
            </w:pPr>
            <w:r>
              <w:rPr>
                <w:b/>
                <w:noProof/>
                <w:sz w:val="18"/>
              </w:rPr>
              <w:t>TOTALS</w:t>
            </w:r>
          </w:p>
        </w:tc>
        <w:tc>
          <w:tcPr>
            <w:tcW w:w="504" w:type="dxa"/>
            <w:tcBorders>
              <w:top w:val="single" w:sz="12" w:space="0" w:color="auto"/>
              <w:bottom w:val="single" w:sz="12" w:space="0" w:color="auto"/>
            </w:tcBorders>
          </w:tcPr>
          <w:p w:rsidR="006B4685" w:rsidRDefault="006B4685">
            <w:pPr>
              <w:spacing w:before="180" w:after="180"/>
              <w:ind w:right="-29"/>
              <w:jc w:val="center"/>
              <w:rPr>
                <w:noProof/>
                <w:sz w:val="18"/>
                <w:szCs w:val="18"/>
              </w:rPr>
            </w:pPr>
          </w:p>
        </w:tc>
        <w:tc>
          <w:tcPr>
            <w:tcW w:w="720" w:type="dxa"/>
            <w:tcBorders>
              <w:top w:val="single" w:sz="12" w:space="0" w:color="auto"/>
              <w:bottom w:val="single" w:sz="12" w:space="0" w:color="auto"/>
            </w:tcBorders>
          </w:tcPr>
          <w:p w:rsidR="006B4685" w:rsidRDefault="006B4685">
            <w:pPr>
              <w:spacing w:before="180" w:after="180"/>
              <w:ind w:right="-29"/>
              <w:jc w:val="center"/>
              <w:rPr>
                <w:noProof/>
                <w:sz w:val="18"/>
                <w:szCs w:val="18"/>
              </w:rPr>
            </w:pPr>
          </w:p>
        </w:tc>
        <w:tc>
          <w:tcPr>
            <w:tcW w:w="540" w:type="dxa"/>
            <w:tcBorders>
              <w:top w:val="single" w:sz="12" w:space="0" w:color="auto"/>
              <w:bottom w:val="single" w:sz="12" w:space="0" w:color="auto"/>
            </w:tcBorders>
          </w:tcPr>
          <w:p w:rsidR="006B4685" w:rsidRDefault="006B4685">
            <w:pPr>
              <w:spacing w:before="180" w:after="180"/>
              <w:ind w:right="-29"/>
              <w:jc w:val="center"/>
              <w:rPr>
                <w:noProof/>
                <w:sz w:val="18"/>
                <w:szCs w:val="18"/>
              </w:rPr>
            </w:pPr>
          </w:p>
        </w:tc>
        <w:tc>
          <w:tcPr>
            <w:tcW w:w="720" w:type="dxa"/>
            <w:tcBorders>
              <w:top w:val="single" w:sz="12" w:space="0" w:color="auto"/>
              <w:bottom w:val="single" w:sz="12" w:space="0" w:color="auto"/>
            </w:tcBorders>
          </w:tcPr>
          <w:p w:rsidR="006B4685" w:rsidRDefault="006B4685">
            <w:pPr>
              <w:spacing w:before="180" w:after="180"/>
              <w:ind w:right="-29"/>
              <w:jc w:val="center"/>
              <w:rPr>
                <w:noProof/>
                <w:sz w:val="18"/>
                <w:szCs w:val="18"/>
              </w:rPr>
            </w:pPr>
          </w:p>
        </w:tc>
        <w:tc>
          <w:tcPr>
            <w:tcW w:w="720" w:type="dxa"/>
            <w:tcBorders>
              <w:top w:val="single" w:sz="12" w:space="0" w:color="auto"/>
              <w:bottom w:val="single" w:sz="12" w:space="0" w:color="auto"/>
            </w:tcBorders>
          </w:tcPr>
          <w:p w:rsidR="006B4685" w:rsidRDefault="006B4685">
            <w:pPr>
              <w:spacing w:before="180" w:after="180"/>
              <w:ind w:right="-29"/>
              <w:jc w:val="center"/>
              <w:rPr>
                <w:noProof/>
                <w:sz w:val="18"/>
                <w:szCs w:val="18"/>
              </w:rPr>
            </w:pPr>
          </w:p>
        </w:tc>
        <w:tc>
          <w:tcPr>
            <w:tcW w:w="720" w:type="dxa"/>
            <w:tcBorders>
              <w:top w:val="single" w:sz="12" w:space="0" w:color="auto"/>
              <w:bottom w:val="single" w:sz="12" w:space="0" w:color="auto"/>
            </w:tcBorders>
          </w:tcPr>
          <w:p w:rsidR="006B4685" w:rsidRDefault="006B4685">
            <w:pPr>
              <w:spacing w:before="180" w:after="180"/>
              <w:ind w:right="-29"/>
              <w:jc w:val="center"/>
              <w:rPr>
                <w:noProof/>
                <w:sz w:val="18"/>
                <w:szCs w:val="18"/>
              </w:rPr>
            </w:pPr>
          </w:p>
        </w:tc>
        <w:tc>
          <w:tcPr>
            <w:tcW w:w="900" w:type="dxa"/>
            <w:gridSpan w:val="2"/>
            <w:tcBorders>
              <w:top w:val="single" w:sz="12" w:space="0" w:color="auto"/>
              <w:bottom w:val="single" w:sz="12" w:space="0" w:color="auto"/>
            </w:tcBorders>
          </w:tcPr>
          <w:p w:rsidR="006B4685" w:rsidRDefault="006B4685">
            <w:pPr>
              <w:spacing w:before="180" w:after="180"/>
              <w:ind w:right="-29"/>
              <w:jc w:val="center"/>
              <w:rPr>
                <w:noProof/>
                <w:sz w:val="18"/>
                <w:szCs w:val="18"/>
              </w:rPr>
            </w:pPr>
          </w:p>
        </w:tc>
        <w:tc>
          <w:tcPr>
            <w:tcW w:w="720" w:type="dxa"/>
            <w:tcBorders>
              <w:top w:val="single" w:sz="12" w:space="0" w:color="auto"/>
              <w:bottom w:val="single" w:sz="12" w:space="0" w:color="auto"/>
            </w:tcBorders>
          </w:tcPr>
          <w:p w:rsidR="006B4685" w:rsidRDefault="006B4685">
            <w:pPr>
              <w:spacing w:before="180" w:after="180"/>
              <w:ind w:right="-29"/>
              <w:jc w:val="center"/>
              <w:rPr>
                <w:noProof/>
                <w:sz w:val="18"/>
                <w:szCs w:val="18"/>
              </w:rPr>
            </w:pPr>
          </w:p>
        </w:tc>
        <w:tc>
          <w:tcPr>
            <w:tcW w:w="540" w:type="dxa"/>
            <w:tcBorders>
              <w:top w:val="single" w:sz="12" w:space="0" w:color="auto"/>
              <w:bottom w:val="single" w:sz="12" w:space="0" w:color="auto"/>
            </w:tcBorders>
          </w:tcPr>
          <w:p w:rsidR="006B4685" w:rsidRDefault="006B4685">
            <w:pPr>
              <w:spacing w:before="180" w:after="180"/>
              <w:ind w:right="-29"/>
              <w:jc w:val="center"/>
              <w:rPr>
                <w:noProof/>
                <w:sz w:val="18"/>
                <w:szCs w:val="18"/>
              </w:rPr>
            </w:pPr>
          </w:p>
        </w:tc>
        <w:tc>
          <w:tcPr>
            <w:tcW w:w="648" w:type="dxa"/>
            <w:tcBorders>
              <w:top w:val="single" w:sz="12" w:space="0" w:color="auto"/>
              <w:bottom w:val="single" w:sz="12" w:space="0" w:color="auto"/>
            </w:tcBorders>
          </w:tcPr>
          <w:p w:rsidR="006B4685" w:rsidRDefault="006B4685">
            <w:pPr>
              <w:spacing w:before="180" w:after="180"/>
              <w:ind w:right="-29"/>
              <w:jc w:val="center"/>
              <w:rPr>
                <w:noProof/>
                <w:sz w:val="18"/>
                <w:szCs w:val="18"/>
              </w:rPr>
            </w:pPr>
          </w:p>
        </w:tc>
        <w:tc>
          <w:tcPr>
            <w:tcW w:w="432" w:type="dxa"/>
            <w:tcBorders>
              <w:top w:val="single" w:sz="12" w:space="0" w:color="auto"/>
              <w:bottom w:val="single" w:sz="12" w:space="0" w:color="auto"/>
            </w:tcBorders>
          </w:tcPr>
          <w:p w:rsidR="006B4685" w:rsidRDefault="006B4685">
            <w:pPr>
              <w:spacing w:before="180" w:after="180"/>
              <w:ind w:right="-29"/>
              <w:jc w:val="center"/>
              <w:rPr>
                <w:noProof/>
                <w:sz w:val="18"/>
                <w:szCs w:val="18"/>
              </w:rPr>
            </w:pPr>
          </w:p>
        </w:tc>
        <w:tc>
          <w:tcPr>
            <w:tcW w:w="720" w:type="dxa"/>
            <w:tcBorders>
              <w:top w:val="single" w:sz="12" w:space="0" w:color="auto"/>
              <w:bottom w:val="single" w:sz="12" w:space="0" w:color="auto"/>
            </w:tcBorders>
          </w:tcPr>
          <w:p w:rsidR="006B4685" w:rsidRDefault="006B4685">
            <w:pPr>
              <w:spacing w:before="180" w:after="180"/>
              <w:ind w:right="-29"/>
              <w:jc w:val="center"/>
              <w:rPr>
                <w:noProof/>
                <w:sz w:val="18"/>
                <w:szCs w:val="18"/>
              </w:rPr>
            </w:pPr>
          </w:p>
        </w:tc>
        <w:tc>
          <w:tcPr>
            <w:tcW w:w="540" w:type="dxa"/>
            <w:tcBorders>
              <w:top w:val="single" w:sz="12" w:space="0" w:color="auto"/>
              <w:bottom w:val="single" w:sz="12" w:space="0" w:color="auto"/>
            </w:tcBorders>
          </w:tcPr>
          <w:p w:rsidR="006B4685" w:rsidRDefault="006B4685">
            <w:pPr>
              <w:spacing w:before="180" w:after="180"/>
              <w:ind w:right="-29"/>
              <w:jc w:val="center"/>
              <w:rPr>
                <w:noProof/>
                <w:sz w:val="18"/>
                <w:szCs w:val="18"/>
              </w:rPr>
            </w:pPr>
          </w:p>
        </w:tc>
        <w:tc>
          <w:tcPr>
            <w:tcW w:w="720" w:type="dxa"/>
            <w:tcBorders>
              <w:top w:val="single" w:sz="12" w:space="0" w:color="auto"/>
              <w:bottom w:val="single" w:sz="12" w:space="0" w:color="auto"/>
            </w:tcBorders>
          </w:tcPr>
          <w:p w:rsidR="006B4685" w:rsidRDefault="006B4685">
            <w:pPr>
              <w:spacing w:before="180" w:after="180"/>
              <w:ind w:right="-29"/>
              <w:jc w:val="center"/>
              <w:rPr>
                <w:noProof/>
                <w:sz w:val="18"/>
                <w:szCs w:val="18"/>
              </w:rPr>
            </w:pPr>
          </w:p>
        </w:tc>
        <w:tc>
          <w:tcPr>
            <w:tcW w:w="720" w:type="dxa"/>
            <w:tcBorders>
              <w:top w:val="single" w:sz="12" w:space="0" w:color="auto"/>
              <w:bottom w:val="single" w:sz="12" w:space="0" w:color="auto"/>
            </w:tcBorders>
          </w:tcPr>
          <w:p w:rsidR="006B4685" w:rsidRDefault="006B4685">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6B4685" w:rsidRDefault="006B4685">
            <w:pPr>
              <w:spacing w:before="180" w:after="180"/>
              <w:ind w:right="-29"/>
              <w:jc w:val="center"/>
              <w:rPr>
                <w:noProof/>
                <w:sz w:val="18"/>
                <w:szCs w:val="18"/>
              </w:rPr>
            </w:pPr>
          </w:p>
        </w:tc>
      </w:tr>
    </w:tbl>
    <w:p w:rsidR="006B4685" w:rsidRDefault="006B4685" w:rsidP="006B4685">
      <w:pPr>
        <w:rPr>
          <w:noProof/>
        </w:rPr>
        <w:sectPr w:rsidR="006B4685" w:rsidSect="001B1F0B">
          <w:headerReference w:type="default" r:id="rId23"/>
          <w:footerReference w:type="default" r:id="rId24"/>
          <w:pgSz w:w="16840" w:h="11907" w:orient="landscape" w:code="9"/>
          <w:pgMar w:top="1134" w:right="1418" w:bottom="567" w:left="1418" w:header="709" w:footer="709" w:gutter="0"/>
          <w:cols w:space="708"/>
          <w:docGrid w:linePitch="360"/>
        </w:sectPr>
      </w:pPr>
    </w:p>
    <w:p w:rsidR="006B4685" w:rsidRPr="00235FE8" w:rsidRDefault="006B4685" w:rsidP="006B4685">
      <w:pPr>
        <w:pStyle w:val="ManualHeading3"/>
        <w:rPr>
          <w:i w:val="0"/>
          <w:noProof/>
        </w:rPr>
      </w:pPr>
      <w:bookmarkStart w:id="146" w:name="_Toc514938055"/>
      <w:bookmarkStart w:id="147" w:name="_Toc520485054"/>
      <w:bookmarkStart w:id="148" w:name="_Toc160804598"/>
      <w:bookmarkStart w:id="149" w:name="_Toc198557783"/>
      <w:r w:rsidRPr="0021790A">
        <w:rPr>
          <w:noProof/>
        </w:rPr>
        <w:t>3.2.3.</w:t>
      </w:r>
      <w:r w:rsidRPr="0021790A">
        <w:rPr>
          <w:noProof/>
        </w:rPr>
        <w:tab/>
      </w:r>
      <w:bookmarkStart w:id="150" w:name="_Hlk177486126"/>
      <w:r>
        <w:rPr>
          <w:noProof/>
        </w:rPr>
        <w:t>Summary of estimated impact on administrative appropriations</w:t>
      </w:r>
      <w:bookmarkEnd w:id="146"/>
      <w:bookmarkEnd w:id="147"/>
      <w:bookmarkEnd w:id="148"/>
      <w:r w:rsidRPr="00A81EE4">
        <w:rPr>
          <w:noProof/>
          <w:color w:val="0000FF"/>
        </w:rPr>
        <w:t xml:space="preserve"> </w:t>
      </w:r>
      <w:bookmarkEnd w:id="149"/>
      <w:bookmarkEnd w:id="150"/>
    </w:p>
    <w:p w:rsidR="006B4685" w:rsidRDefault="006B4685" w:rsidP="006B4685">
      <w:pPr>
        <w:pStyle w:val="ListDash1"/>
        <w:rPr>
          <w:noProof/>
        </w:rPr>
      </w:pPr>
      <w:r>
        <w:rPr>
          <w:rFonts w:ascii="Wingdings" w:eastAsia="Wingdings" w:hAnsi="Wingdings" w:cs="Wingdings"/>
          <w:noProof/>
        </w:rPr>
        <w:t></w:t>
      </w:r>
      <w:r>
        <w:rPr>
          <w:noProof/>
        </w:rPr>
        <w:tab/>
        <w:t xml:space="preserve">The proposal/initiative does not require the use of appropriations of an administrative nature </w:t>
      </w:r>
    </w:p>
    <w:p w:rsidR="006B4685" w:rsidRDefault="006B4685" w:rsidP="006B4685">
      <w:pPr>
        <w:pStyle w:val="ListDash1"/>
        <w:rPr>
          <w:noProof/>
        </w:rPr>
      </w:pPr>
      <w:r>
        <w:rPr>
          <w:rFonts w:ascii="Wingdings" w:eastAsia="Wingdings" w:hAnsi="Wingdings" w:cs="Wingdings"/>
          <w:noProof/>
        </w:rPr>
        <w:t></w:t>
      </w:r>
      <w:r>
        <w:rPr>
          <w:noProof/>
        </w:rPr>
        <w:tab/>
        <w:t>The proposal/initiative requires the use of appropriations of an administrative nature, as explained below</w:t>
      </w:r>
    </w:p>
    <w:p w:rsidR="006B4685" w:rsidRDefault="006B4685" w:rsidP="006B4685">
      <w:pPr>
        <w:pStyle w:val="ManualHeading3"/>
        <w:rPr>
          <w:noProof/>
        </w:rPr>
      </w:pPr>
      <w:bookmarkStart w:id="151" w:name="_Toc198557784"/>
      <w:r w:rsidRPr="003268F2">
        <w:rPr>
          <w:noProof/>
        </w:rPr>
        <w:t>3.2.3.1</w:t>
      </w:r>
      <w:r>
        <w:rPr>
          <w:noProof/>
        </w:rPr>
        <w:t>.</w:t>
      </w:r>
      <w:r w:rsidRPr="003268F2">
        <w:rPr>
          <w:noProof/>
        </w:rPr>
        <w:t xml:space="preserve"> </w:t>
      </w:r>
      <w:r w:rsidRPr="003A7A3D">
        <w:rPr>
          <w:noProof/>
        </w:rPr>
        <w:t>Appropriations</w:t>
      </w:r>
      <w:r>
        <w:rPr>
          <w:noProof/>
        </w:rPr>
        <w:t xml:space="preserve"> </w:t>
      </w:r>
      <w:r>
        <w:rPr>
          <w:rFonts w:eastAsia="Calibri"/>
          <w:noProof/>
        </w:rPr>
        <w:t>from</w:t>
      </w:r>
      <w:r>
        <w:rPr>
          <w:noProof/>
        </w:rPr>
        <w:t xml:space="preserve"> voted budget</w:t>
      </w:r>
      <w:bookmarkEnd w:id="151"/>
    </w:p>
    <w:tbl>
      <w:tblPr>
        <w:tblW w:w="5000" w:type="pct"/>
        <w:tblLook w:val="04A0" w:firstRow="1" w:lastRow="0" w:firstColumn="1" w:lastColumn="0" w:noHBand="0" w:noVBand="1"/>
      </w:tblPr>
      <w:tblGrid>
        <w:gridCol w:w="4027"/>
        <w:gridCol w:w="1027"/>
        <w:gridCol w:w="1027"/>
        <w:gridCol w:w="1027"/>
        <w:gridCol w:w="1027"/>
        <w:gridCol w:w="1154"/>
      </w:tblGrid>
      <w:tr w:rsidR="006B4685" w:rsidRPr="00290112">
        <w:trPr>
          <w:trHeight w:val="300"/>
        </w:trPr>
        <w:tc>
          <w:tcPr>
            <w:tcW w:w="2167" w:type="pct"/>
            <w:vMerge w:val="restart"/>
            <w:tcBorders>
              <w:top w:val="single" w:sz="8" w:space="0" w:color="auto"/>
              <w:left w:val="single" w:sz="8" w:space="0" w:color="auto"/>
              <w:bottom w:val="single" w:sz="8" w:space="0" w:color="auto"/>
              <w:right w:val="single" w:sz="8" w:space="0" w:color="auto"/>
            </w:tcBorders>
            <w:vAlign w:val="center"/>
            <w:hideMark/>
          </w:tcPr>
          <w:p w:rsidR="006B4685" w:rsidRPr="00290112" w:rsidRDefault="006B4685">
            <w:pPr>
              <w:spacing w:before="0" w:after="0"/>
              <w:jc w:val="center"/>
              <w:rPr>
                <w:b/>
                <w:bCs/>
                <w:noProof/>
                <w:color w:val="000000"/>
                <w:sz w:val="18"/>
                <w:szCs w:val="18"/>
                <w:lang w:val="en-IE" w:eastAsia="en-IE"/>
              </w:rPr>
            </w:pPr>
            <w:r w:rsidRPr="00290112">
              <w:rPr>
                <w:b/>
                <w:bCs/>
                <w:noProof/>
                <w:color w:val="000000"/>
                <w:sz w:val="18"/>
                <w:szCs w:val="18"/>
                <w:lang w:val="en-IE" w:eastAsia="en-IE"/>
              </w:rPr>
              <w:t>VOTED APPROPRIATIONS</w:t>
            </w:r>
          </w:p>
        </w:tc>
        <w:tc>
          <w:tcPr>
            <w:tcW w:w="553" w:type="pct"/>
            <w:tcBorders>
              <w:top w:val="single" w:sz="8" w:space="0" w:color="auto"/>
              <w:left w:val="nil"/>
              <w:bottom w:val="single" w:sz="8" w:space="0" w:color="auto"/>
              <w:right w:val="single" w:sz="8" w:space="0" w:color="auto"/>
            </w:tcBorders>
            <w:vAlign w:val="center"/>
            <w:hideMark/>
          </w:tcPr>
          <w:p w:rsidR="006B4685" w:rsidRPr="00290112" w:rsidRDefault="006B4685">
            <w:pPr>
              <w:spacing w:before="0" w:after="0"/>
              <w:jc w:val="center"/>
              <w:rPr>
                <w:noProof/>
                <w:color w:val="000000"/>
                <w:sz w:val="18"/>
                <w:szCs w:val="18"/>
                <w:lang w:val="en-IE" w:eastAsia="en-IE"/>
              </w:rPr>
            </w:pPr>
            <w:r w:rsidRPr="00290112">
              <w:rPr>
                <w:noProof/>
                <w:color w:val="000000"/>
                <w:sz w:val="18"/>
                <w:szCs w:val="18"/>
                <w:lang w:val="en-IE" w:eastAsia="en-IE"/>
              </w:rPr>
              <w:t>Year</w:t>
            </w:r>
          </w:p>
        </w:tc>
        <w:tc>
          <w:tcPr>
            <w:tcW w:w="553" w:type="pct"/>
            <w:tcBorders>
              <w:top w:val="single" w:sz="8" w:space="0" w:color="auto"/>
              <w:left w:val="nil"/>
              <w:bottom w:val="single" w:sz="8" w:space="0" w:color="auto"/>
              <w:right w:val="single" w:sz="8" w:space="0" w:color="auto"/>
            </w:tcBorders>
            <w:vAlign w:val="center"/>
            <w:hideMark/>
          </w:tcPr>
          <w:p w:rsidR="006B4685" w:rsidRPr="00290112" w:rsidRDefault="006B4685">
            <w:pPr>
              <w:spacing w:before="0" w:after="0"/>
              <w:jc w:val="center"/>
              <w:rPr>
                <w:noProof/>
                <w:color w:val="000000"/>
                <w:sz w:val="18"/>
                <w:szCs w:val="18"/>
                <w:lang w:val="en-IE" w:eastAsia="en-IE"/>
              </w:rPr>
            </w:pPr>
            <w:r w:rsidRPr="00290112">
              <w:rPr>
                <w:noProof/>
                <w:color w:val="000000"/>
                <w:sz w:val="18"/>
                <w:szCs w:val="18"/>
                <w:lang w:val="en-IE" w:eastAsia="en-IE"/>
              </w:rPr>
              <w:t>Year</w:t>
            </w:r>
          </w:p>
        </w:tc>
        <w:tc>
          <w:tcPr>
            <w:tcW w:w="553" w:type="pct"/>
            <w:tcBorders>
              <w:top w:val="single" w:sz="8" w:space="0" w:color="auto"/>
              <w:left w:val="nil"/>
              <w:bottom w:val="single" w:sz="8" w:space="0" w:color="auto"/>
              <w:right w:val="single" w:sz="8" w:space="0" w:color="auto"/>
            </w:tcBorders>
            <w:vAlign w:val="center"/>
            <w:hideMark/>
          </w:tcPr>
          <w:p w:rsidR="006B4685" w:rsidRPr="00290112" w:rsidRDefault="006B4685">
            <w:pPr>
              <w:spacing w:before="0" w:after="0"/>
              <w:jc w:val="center"/>
              <w:rPr>
                <w:noProof/>
                <w:color w:val="000000"/>
                <w:sz w:val="18"/>
                <w:szCs w:val="18"/>
                <w:lang w:val="en-IE" w:eastAsia="en-IE"/>
              </w:rPr>
            </w:pPr>
            <w:r w:rsidRPr="00290112">
              <w:rPr>
                <w:noProof/>
                <w:color w:val="000000"/>
                <w:sz w:val="18"/>
                <w:szCs w:val="18"/>
                <w:lang w:val="en-IE" w:eastAsia="en-IE"/>
              </w:rPr>
              <w:t>Year</w:t>
            </w:r>
          </w:p>
        </w:tc>
        <w:tc>
          <w:tcPr>
            <w:tcW w:w="553" w:type="pct"/>
            <w:tcBorders>
              <w:top w:val="single" w:sz="8" w:space="0" w:color="auto"/>
              <w:left w:val="nil"/>
              <w:bottom w:val="single" w:sz="8" w:space="0" w:color="auto"/>
              <w:right w:val="single" w:sz="8" w:space="0" w:color="auto"/>
            </w:tcBorders>
            <w:vAlign w:val="center"/>
            <w:hideMark/>
          </w:tcPr>
          <w:p w:rsidR="006B4685" w:rsidRPr="00290112" w:rsidRDefault="006B4685">
            <w:pPr>
              <w:spacing w:before="0" w:after="0"/>
              <w:jc w:val="center"/>
              <w:rPr>
                <w:noProof/>
                <w:color w:val="000000"/>
                <w:sz w:val="18"/>
                <w:szCs w:val="18"/>
                <w:lang w:val="en-IE" w:eastAsia="en-IE"/>
              </w:rPr>
            </w:pPr>
            <w:r w:rsidRPr="00290112">
              <w:rPr>
                <w:noProof/>
                <w:color w:val="000000"/>
                <w:sz w:val="18"/>
                <w:szCs w:val="18"/>
                <w:lang w:val="en-IE" w:eastAsia="en-IE"/>
              </w:rPr>
              <w:t>Year</w:t>
            </w:r>
          </w:p>
        </w:tc>
        <w:tc>
          <w:tcPr>
            <w:tcW w:w="622" w:type="pct"/>
            <w:vMerge w:val="restart"/>
            <w:tcBorders>
              <w:top w:val="single" w:sz="8" w:space="0" w:color="auto"/>
              <w:left w:val="single" w:sz="8" w:space="0" w:color="auto"/>
              <w:bottom w:val="single" w:sz="8" w:space="0" w:color="auto"/>
              <w:right w:val="single" w:sz="8" w:space="0" w:color="auto"/>
            </w:tcBorders>
            <w:vAlign w:val="center"/>
            <w:hideMark/>
          </w:tcPr>
          <w:p w:rsidR="006B4685" w:rsidRPr="00290112" w:rsidRDefault="006B4685">
            <w:pPr>
              <w:spacing w:before="0" w:after="0"/>
              <w:jc w:val="center"/>
              <w:rPr>
                <w:b/>
                <w:bCs/>
                <w:noProof/>
                <w:color w:val="000000"/>
                <w:sz w:val="18"/>
                <w:szCs w:val="18"/>
                <w:lang w:val="en-IE" w:eastAsia="en-IE"/>
              </w:rPr>
            </w:pPr>
            <w:r w:rsidRPr="00290112">
              <w:rPr>
                <w:b/>
                <w:bCs/>
                <w:noProof/>
                <w:color w:val="000000"/>
                <w:sz w:val="18"/>
                <w:szCs w:val="18"/>
                <w:lang w:val="en-IE" w:eastAsia="en-IE"/>
              </w:rPr>
              <w:t>TOTAL</w:t>
            </w:r>
            <w:r>
              <w:rPr>
                <w:b/>
                <w:bCs/>
                <w:noProof/>
                <w:color w:val="000000"/>
                <w:sz w:val="18"/>
                <w:szCs w:val="18"/>
                <w:lang w:val="en-IE" w:eastAsia="en-IE"/>
              </w:rPr>
              <w:t xml:space="preserve"> </w:t>
            </w:r>
            <w:r w:rsidRPr="00290112">
              <w:rPr>
                <w:b/>
                <w:bCs/>
                <w:noProof/>
                <w:color w:val="000000"/>
                <w:sz w:val="18"/>
                <w:szCs w:val="18"/>
                <w:lang w:val="en-IE" w:eastAsia="en-IE"/>
              </w:rPr>
              <w:t>2021 - 2027</w:t>
            </w:r>
          </w:p>
        </w:tc>
      </w:tr>
      <w:tr w:rsidR="006B4685" w:rsidRPr="00290112">
        <w:trPr>
          <w:trHeight w:val="300"/>
        </w:trPr>
        <w:tc>
          <w:tcPr>
            <w:tcW w:w="2167" w:type="pct"/>
            <w:vMerge/>
            <w:tcBorders>
              <w:top w:val="single" w:sz="8" w:space="0" w:color="auto"/>
              <w:left w:val="single" w:sz="8" w:space="0" w:color="auto"/>
              <w:bottom w:val="single" w:sz="8" w:space="0" w:color="auto"/>
              <w:right w:val="single" w:sz="8" w:space="0" w:color="auto"/>
            </w:tcBorders>
            <w:vAlign w:val="center"/>
            <w:hideMark/>
          </w:tcPr>
          <w:p w:rsidR="006B4685" w:rsidRPr="00290112" w:rsidRDefault="006B4685">
            <w:pPr>
              <w:spacing w:before="0" w:after="0"/>
              <w:jc w:val="left"/>
              <w:rPr>
                <w:b/>
                <w:bCs/>
                <w:noProof/>
                <w:color w:val="000000"/>
                <w:sz w:val="18"/>
                <w:szCs w:val="18"/>
                <w:lang w:val="en-IE" w:eastAsia="en-IE"/>
              </w:rPr>
            </w:pPr>
          </w:p>
        </w:tc>
        <w:tc>
          <w:tcPr>
            <w:tcW w:w="553" w:type="pct"/>
            <w:tcBorders>
              <w:top w:val="nil"/>
              <w:left w:val="nil"/>
              <w:bottom w:val="single" w:sz="8" w:space="0" w:color="auto"/>
              <w:right w:val="single" w:sz="8" w:space="0" w:color="auto"/>
            </w:tcBorders>
            <w:vAlign w:val="center"/>
            <w:hideMark/>
          </w:tcPr>
          <w:p w:rsidR="006B4685" w:rsidRPr="00290112" w:rsidRDefault="006B4685">
            <w:pPr>
              <w:spacing w:before="0" w:after="0"/>
              <w:jc w:val="center"/>
              <w:rPr>
                <w:b/>
                <w:bCs/>
                <w:noProof/>
                <w:color w:val="000000"/>
                <w:sz w:val="18"/>
                <w:szCs w:val="18"/>
                <w:lang w:val="en-IE" w:eastAsia="en-IE"/>
              </w:rPr>
            </w:pPr>
            <w:r w:rsidRPr="00290112">
              <w:rPr>
                <w:b/>
                <w:bCs/>
                <w:noProof/>
                <w:color w:val="000000"/>
                <w:sz w:val="18"/>
                <w:szCs w:val="18"/>
                <w:lang w:val="en-IE" w:eastAsia="en-IE"/>
              </w:rPr>
              <w:t>2024</w:t>
            </w:r>
          </w:p>
        </w:tc>
        <w:tc>
          <w:tcPr>
            <w:tcW w:w="553" w:type="pct"/>
            <w:tcBorders>
              <w:top w:val="nil"/>
              <w:left w:val="nil"/>
              <w:bottom w:val="single" w:sz="8" w:space="0" w:color="auto"/>
              <w:right w:val="single" w:sz="8" w:space="0" w:color="auto"/>
            </w:tcBorders>
            <w:vAlign w:val="center"/>
            <w:hideMark/>
          </w:tcPr>
          <w:p w:rsidR="006B4685" w:rsidRPr="00290112" w:rsidRDefault="006B4685">
            <w:pPr>
              <w:spacing w:before="0" w:after="0"/>
              <w:jc w:val="center"/>
              <w:rPr>
                <w:b/>
                <w:bCs/>
                <w:noProof/>
                <w:color w:val="000000"/>
                <w:sz w:val="18"/>
                <w:szCs w:val="18"/>
                <w:lang w:val="en-IE" w:eastAsia="en-IE"/>
              </w:rPr>
            </w:pPr>
            <w:r w:rsidRPr="00290112">
              <w:rPr>
                <w:b/>
                <w:bCs/>
                <w:noProof/>
                <w:color w:val="000000"/>
                <w:sz w:val="18"/>
                <w:szCs w:val="18"/>
                <w:lang w:val="en-IE" w:eastAsia="en-IE"/>
              </w:rPr>
              <w:t>2025</w:t>
            </w:r>
          </w:p>
        </w:tc>
        <w:tc>
          <w:tcPr>
            <w:tcW w:w="553" w:type="pct"/>
            <w:tcBorders>
              <w:top w:val="nil"/>
              <w:left w:val="nil"/>
              <w:bottom w:val="single" w:sz="8" w:space="0" w:color="auto"/>
              <w:right w:val="single" w:sz="8" w:space="0" w:color="auto"/>
            </w:tcBorders>
            <w:vAlign w:val="center"/>
            <w:hideMark/>
          </w:tcPr>
          <w:p w:rsidR="006B4685" w:rsidRPr="00290112" w:rsidRDefault="006B4685">
            <w:pPr>
              <w:spacing w:before="0" w:after="0"/>
              <w:jc w:val="center"/>
              <w:rPr>
                <w:b/>
                <w:bCs/>
                <w:noProof/>
                <w:color w:val="000000"/>
                <w:sz w:val="18"/>
                <w:szCs w:val="18"/>
                <w:lang w:val="en-IE" w:eastAsia="en-IE"/>
              </w:rPr>
            </w:pPr>
            <w:r w:rsidRPr="00290112">
              <w:rPr>
                <w:b/>
                <w:bCs/>
                <w:noProof/>
                <w:color w:val="000000"/>
                <w:sz w:val="18"/>
                <w:szCs w:val="18"/>
                <w:lang w:val="en-IE" w:eastAsia="en-IE"/>
              </w:rPr>
              <w:t>2026</w:t>
            </w:r>
          </w:p>
        </w:tc>
        <w:tc>
          <w:tcPr>
            <w:tcW w:w="553" w:type="pct"/>
            <w:tcBorders>
              <w:top w:val="nil"/>
              <w:left w:val="nil"/>
              <w:bottom w:val="single" w:sz="8" w:space="0" w:color="auto"/>
              <w:right w:val="single" w:sz="8" w:space="0" w:color="auto"/>
            </w:tcBorders>
            <w:vAlign w:val="center"/>
            <w:hideMark/>
          </w:tcPr>
          <w:p w:rsidR="006B4685" w:rsidRPr="00290112" w:rsidRDefault="006B4685">
            <w:pPr>
              <w:spacing w:before="0" w:after="0"/>
              <w:jc w:val="center"/>
              <w:rPr>
                <w:b/>
                <w:bCs/>
                <w:noProof/>
                <w:color w:val="000000"/>
                <w:sz w:val="18"/>
                <w:szCs w:val="18"/>
                <w:lang w:val="en-IE" w:eastAsia="en-IE"/>
              </w:rPr>
            </w:pPr>
            <w:r w:rsidRPr="00290112">
              <w:rPr>
                <w:b/>
                <w:bCs/>
                <w:noProof/>
                <w:color w:val="000000"/>
                <w:sz w:val="18"/>
                <w:szCs w:val="18"/>
                <w:lang w:val="en-IE" w:eastAsia="en-IE"/>
              </w:rPr>
              <w:t>2027</w:t>
            </w:r>
          </w:p>
        </w:tc>
        <w:tc>
          <w:tcPr>
            <w:tcW w:w="622" w:type="pct"/>
            <w:vMerge/>
            <w:tcBorders>
              <w:top w:val="single" w:sz="8" w:space="0" w:color="auto"/>
              <w:left w:val="single" w:sz="8" w:space="0" w:color="auto"/>
              <w:bottom w:val="single" w:sz="8" w:space="0" w:color="auto"/>
              <w:right w:val="single" w:sz="8" w:space="0" w:color="auto"/>
            </w:tcBorders>
            <w:vAlign w:val="center"/>
            <w:hideMark/>
          </w:tcPr>
          <w:p w:rsidR="006B4685" w:rsidRPr="00290112" w:rsidRDefault="006B4685">
            <w:pPr>
              <w:spacing w:before="0" w:after="0"/>
              <w:jc w:val="left"/>
              <w:rPr>
                <w:b/>
                <w:bCs/>
                <w:noProof/>
                <w:color w:val="000000"/>
                <w:sz w:val="18"/>
                <w:szCs w:val="18"/>
                <w:lang w:val="en-IE" w:eastAsia="en-IE"/>
              </w:rPr>
            </w:pPr>
          </w:p>
        </w:tc>
      </w:tr>
      <w:tr w:rsidR="006B4685" w:rsidRPr="00290112">
        <w:trPr>
          <w:trHeight w:val="300"/>
        </w:trPr>
        <w:tc>
          <w:tcPr>
            <w:tcW w:w="5000" w:type="pct"/>
            <w:gridSpan w:val="6"/>
            <w:tcBorders>
              <w:top w:val="single" w:sz="8" w:space="0" w:color="auto"/>
              <w:left w:val="single" w:sz="8" w:space="0" w:color="auto"/>
              <w:bottom w:val="single" w:sz="8" w:space="0" w:color="auto"/>
              <w:right w:val="single" w:sz="4" w:space="0" w:color="auto"/>
            </w:tcBorders>
            <w:vAlign w:val="center"/>
            <w:hideMark/>
          </w:tcPr>
          <w:p w:rsidR="006B4685" w:rsidRPr="00290112" w:rsidRDefault="006B4685">
            <w:pPr>
              <w:spacing w:before="0" w:after="0"/>
              <w:jc w:val="left"/>
              <w:rPr>
                <w:b/>
                <w:bCs/>
                <w:noProof/>
                <w:sz w:val="16"/>
                <w:szCs w:val="16"/>
                <w:lang w:val="en-IE" w:eastAsia="en-IE"/>
              </w:rPr>
            </w:pPr>
            <w:r w:rsidRPr="00290112">
              <w:rPr>
                <w:b/>
                <w:bCs/>
                <w:noProof/>
                <w:sz w:val="16"/>
                <w:szCs w:val="16"/>
                <w:lang w:val="en-IE" w:eastAsia="en-IE"/>
              </w:rPr>
              <w:t>HEADING 7</w:t>
            </w:r>
          </w:p>
        </w:tc>
      </w:tr>
      <w:tr w:rsidR="006B4685" w:rsidRPr="00290112">
        <w:trPr>
          <w:trHeight w:val="300"/>
        </w:trPr>
        <w:tc>
          <w:tcPr>
            <w:tcW w:w="2167" w:type="pct"/>
            <w:tcBorders>
              <w:top w:val="nil"/>
              <w:left w:val="single" w:sz="8" w:space="0" w:color="auto"/>
              <w:bottom w:val="single" w:sz="8" w:space="0" w:color="auto"/>
              <w:right w:val="single" w:sz="8" w:space="0" w:color="auto"/>
            </w:tcBorders>
            <w:vAlign w:val="center"/>
            <w:hideMark/>
          </w:tcPr>
          <w:p w:rsidR="006B4685" w:rsidRPr="00290112" w:rsidRDefault="006B4685">
            <w:pPr>
              <w:spacing w:before="0" w:after="0"/>
              <w:jc w:val="left"/>
              <w:rPr>
                <w:noProof/>
                <w:color w:val="000000"/>
                <w:sz w:val="16"/>
                <w:szCs w:val="16"/>
                <w:lang w:val="en-IE" w:eastAsia="en-IE"/>
              </w:rPr>
            </w:pPr>
            <w:r w:rsidRPr="00290112">
              <w:rPr>
                <w:noProof/>
                <w:color w:val="000000"/>
                <w:sz w:val="16"/>
                <w:szCs w:val="16"/>
                <w:lang w:val="en-IE" w:eastAsia="en-IE"/>
              </w:rPr>
              <w:t xml:space="preserve">Human resources </w:t>
            </w:r>
          </w:p>
        </w:tc>
        <w:tc>
          <w:tcPr>
            <w:tcW w:w="553"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noProof/>
                <w:color w:val="000000"/>
                <w:sz w:val="16"/>
                <w:szCs w:val="16"/>
                <w:lang w:val="en-IE" w:eastAsia="en-IE"/>
              </w:rPr>
            </w:pPr>
            <w:r w:rsidRPr="00290112">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noProof/>
                <w:color w:val="000000"/>
                <w:sz w:val="16"/>
                <w:szCs w:val="16"/>
                <w:lang w:val="en-IE" w:eastAsia="en-IE"/>
              </w:rPr>
            </w:pPr>
            <w:r w:rsidRPr="00290112">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noProof/>
                <w:color w:val="000000"/>
                <w:sz w:val="16"/>
                <w:szCs w:val="16"/>
                <w:lang w:val="en-IE" w:eastAsia="en-IE"/>
              </w:rPr>
            </w:pPr>
            <w:r w:rsidRPr="00290112">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noProof/>
                <w:color w:val="000000"/>
                <w:sz w:val="16"/>
                <w:szCs w:val="16"/>
                <w:lang w:val="en-IE" w:eastAsia="en-IE"/>
              </w:rPr>
            </w:pPr>
            <w:r w:rsidRPr="00290112">
              <w:rPr>
                <w:noProof/>
                <w:color w:val="000000"/>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b/>
                <w:bCs/>
                <w:noProof/>
                <w:color w:val="000000"/>
                <w:sz w:val="16"/>
                <w:szCs w:val="16"/>
                <w:lang w:val="en-IE" w:eastAsia="en-IE"/>
              </w:rPr>
            </w:pPr>
            <w:r w:rsidRPr="00290112">
              <w:rPr>
                <w:b/>
                <w:bCs/>
                <w:noProof/>
                <w:color w:val="000000"/>
                <w:sz w:val="16"/>
                <w:szCs w:val="16"/>
                <w:lang w:val="en-IE" w:eastAsia="en-IE"/>
              </w:rPr>
              <w:t>0.000</w:t>
            </w:r>
          </w:p>
        </w:tc>
      </w:tr>
      <w:tr w:rsidR="006B4685" w:rsidRPr="00290112">
        <w:trPr>
          <w:trHeight w:val="300"/>
        </w:trPr>
        <w:tc>
          <w:tcPr>
            <w:tcW w:w="2167" w:type="pct"/>
            <w:tcBorders>
              <w:top w:val="nil"/>
              <w:left w:val="single" w:sz="8" w:space="0" w:color="auto"/>
              <w:bottom w:val="single" w:sz="8" w:space="0" w:color="auto"/>
              <w:right w:val="single" w:sz="8" w:space="0" w:color="auto"/>
            </w:tcBorders>
            <w:vAlign w:val="center"/>
            <w:hideMark/>
          </w:tcPr>
          <w:p w:rsidR="006B4685" w:rsidRPr="00290112" w:rsidRDefault="006B4685">
            <w:pPr>
              <w:spacing w:before="0" w:after="0"/>
              <w:jc w:val="left"/>
              <w:rPr>
                <w:noProof/>
                <w:color w:val="000000"/>
                <w:sz w:val="16"/>
                <w:szCs w:val="16"/>
                <w:lang w:val="en-IE" w:eastAsia="en-IE"/>
              </w:rPr>
            </w:pPr>
            <w:r w:rsidRPr="00290112">
              <w:rPr>
                <w:noProof/>
                <w:color w:val="000000"/>
                <w:sz w:val="16"/>
                <w:szCs w:val="16"/>
                <w:lang w:val="en-IE" w:eastAsia="en-IE"/>
              </w:rPr>
              <w:t xml:space="preserve">Other administrative expenditure </w:t>
            </w:r>
          </w:p>
        </w:tc>
        <w:tc>
          <w:tcPr>
            <w:tcW w:w="553"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noProof/>
                <w:color w:val="000000"/>
                <w:sz w:val="16"/>
                <w:szCs w:val="16"/>
                <w:lang w:val="en-IE" w:eastAsia="en-IE"/>
              </w:rPr>
            </w:pPr>
            <w:r w:rsidRPr="00290112">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noProof/>
                <w:color w:val="000000"/>
                <w:sz w:val="16"/>
                <w:szCs w:val="16"/>
                <w:lang w:val="en-IE" w:eastAsia="en-IE"/>
              </w:rPr>
            </w:pPr>
            <w:r w:rsidRPr="00290112">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noProof/>
                <w:color w:val="000000"/>
                <w:sz w:val="16"/>
                <w:szCs w:val="16"/>
                <w:lang w:val="en-IE" w:eastAsia="en-IE"/>
              </w:rPr>
            </w:pPr>
            <w:r w:rsidRPr="00290112">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noProof/>
                <w:color w:val="000000"/>
                <w:sz w:val="16"/>
                <w:szCs w:val="16"/>
                <w:lang w:val="en-IE" w:eastAsia="en-IE"/>
              </w:rPr>
            </w:pPr>
            <w:r w:rsidRPr="00290112">
              <w:rPr>
                <w:noProof/>
                <w:color w:val="000000"/>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b/>
                <w:bCs/>
                <w:noProof/>
                <w:color w:val="000000"/>
                <w:sz w:val="16"/>
                <w:szCs w:val="16"/>
                <w:lang w:val="en-IE" w:eastAsia="en-IE"/>
              </w:rPr>
            </w:pPr>
            <w:r w:rsidRPr="00290112">
              <w:rPr>
                <w:b/>
                <w:bCs/>
                <w:noProof/>
                <w:color w:val="000000"/>
                <w:sz w:val="16"/>
                <w:szCs w:val="16"/>
                <w:lang w:val="en-IE" w:eastAsia="en-IE"/>
              </w:rPr>
              <w:t>0.000</w:t>
            </w:r>
          </w:p>
        </w:tc>
      </w:tr>
      <w:tr w:rsidR="006B4685" w:rsidRPr="00290112">
        <w:trPr>
          <w:trHeight w:val="300"/>
        </w:trPr>
        <w:tc>
          <w:tcPr>
            <w:tcW w:w="2167" w:type="pct"/>
            <w:tcBorders>
              <w:top w:val="nil"/>
              <w:left w:val="single" w:sz="8" w:space="0" w:color="auto"/>
              <w:bottom w:val="single" w:sz="8" w:space="0" w:color="auto"/>
              <w:right w:val="single" w:sz="8" w:space="0" w:color="auto"/>
            </w:tcBorders>
            <w:shd w:val="clear" w:color="000000" w:fill="CCCCCC"/>
            <w:vAlign w:val="center"/>
            <w:hideMark/>
          </w:tcPr>
          <w:p w:rsidR="006B4685" w:rsidRPr="00290112" w:rsidRDefault="006B4685">
            <w:pPr>
              <w:spacing w:before="0" w:after="0"/>
              <w:jc w:val="center"/>
              <w:rPr>
                <w:b/>
                <w:bCs/>
                <w:noProof/>
                <w:color w:val="000000"/>
                <w:sz w:val="16"/>
                <w:szCs w:val="16"/>
                <w:lang w:val="en-IE" w:eastAsia="en-IE"/>
              </w:rPr>
            </w:pPr>
            <w:r w:rsidRPr="00290112">
              <w:rPr>
                <w:b/>
                <w:bCs/>
                <w:noProof/>
                <w:color w:val="000000"/>
                <w:sz w:val="16"/>
                <w:szCs w:val="16"/>
                <w:lang w:val="en-IE" w:eastAsia="en-IE"/>
              </w:rPr>
              <w:t>Subtotal HEADING 7</w:t>
            </w:r>
          </w:p>
        </w:tc>
        <w:tc>
          <w:tcPr>
            <w:tcW w:w="553"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b/>
                <w:bCs/>
                <w:noProof/>
                <w:color w:val="000000"/>
                <w:sz w:val="16"/>
                <w:szCs w:val="16"/>
                <w:lang w:val="en-IE" w:eastAsia="en-IE"/>
              </w:rPr>
            </w:pPr>
            <w:r w:rsidRPr="00290112">
              <w:rPr>
                <w:b/>
                <w:bCs/>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b/>
                <w:bCs/>
                <w:noProof/>
                <w:color w:val="000000"/>
                <w:sz w:val="16"/>
                <w:szCs w:val="16"/>
                <w:lang w:val="en-IE" w:eastAsia="en-IE"/>
              </w:rPr>
            </w:pPr>
            <w:r w:rsidRPr="00290112">
              <w:rPr>
                <w:b/>
                <w:bCs/>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b/>
                <w:bCs/>
                <w:noProof/>
                <w:color w:val="000000"/>
                <w:sz w:val="16"/>
                <w:szCs w:val="16"/>
                <w:lang w:val="en-IE" w:eastAsia="en-IE"/>
              </w:rPr>
            </w:pPr>
            <w:r w:rsidRPr="00290112">
              <w:rPr>
                <w:b/>
                <w:bCs/>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b/>
                <w:bCs/>
                <w:noProof/>
                <w:color w:val="000000"/>
                <w:sz w:val="16"/>
                <w:szCs w:val="16"/>
                <w:lang w:val="en-IE" w:eastAsia="en-IE"/>
              </w:rPr>
            </w:pPr>
            <w:r w:rsidRPr="00290112">
              <w:rPr>
                <w:b/>
                <w:bCs/>
                <w:noProof/>
                <w:color w:val="000000"/>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b/>
                <w:bCs/>
                <w:noProof/>
                <w:color w:val="000000"/>
                <w:sz w:val="16"/>
                <w:szCs w:val="16"/>
                <w:lang w:val="en-IE" w:eastAsia="en-IE"/>
              </w:rPr>
            </w:pPr>
            <w:r w:rsidRPr="00290112">
              <w:rPr>
                <w:b/>
                <w:bCs/>
                <w:noProof/>
                <w:color w:val="000000"/>
                <w:sz w:val="16"/>
                <w:szCs w:val="16"/>
                <w:lang w:val="en-IE" w:eastAsia="en-IE"/>
              </w:rPr>
              <w:t>0.000</w:t>
            </w:r>
          </w:p>
        </w:tc>
      </w:tr>
      <w:tr w:rsidR="006B4685" w:rsidRPr="00290112">
        <w:trPr>
          <w:trHeight w:val="300"/>
        </w:trPr>
        <w:tc>
          <w:tcPr>
            <w:tcW w:w="5000" w:type="pct"/>
            <w:gridSpan w:val="6"/>
            <w:tcBorders>
              <w:top w:val="single" w:sz="8" w:space="0" w:color="auto"/>
              <w:left w:val="single" w:sz="8" w:space="0" w:color="auto"/>
              <w:bottom w:val="single" w:sz="8" w:space="0" w:color="auto"/>
              <w:right w:val="single" w:sz="4" w:space="0" w:color="auto"/>
            </w:tcBorders>
            <w:vAlign w:val="center"/>
            <w:hideMark/>
          </w:tcPr>
          <w:p w:rsidR="006B4685" w:rsidRPr="00290112" w:rsidRDefault="006B4685">
            <w:pPr>
              <w:spacing w:before="0" w:after="0"/>
              <w:jc w:val="left"/>
              <w:rPr>
                <w:b/>
                <w:bCs/>
                <w:noProof/>
                <w:sz w:val="16"/>
                <w:szCs w:val="16"/>
                <w:lang w:val="en-IE" w:eastAsia="en-IE"/>
              </w:rPr>
            </w:pPr>
            <w:r w:rsidRPr="00290112">
              <w:rPr>
                <w:b/>
                <w:bCs/>
                <w:noProof/>
                <w:sz w:val="16"/>
                <w:szCs w:val="16"/>
                <w:lang w:val="en-IE" w:eastAsia="en-IE"/>
              </w:rPr>
              <w:t>Outside HEADING 7</w:t>
            </w:r>
          </w:p>
        </w:tc>
      </w:tr>
      <w:tr w:rsidR="006B4685" w:rsidRPr="00290112">
        <w:trPr>
          <w:trHeight w:val="300"/>
        </w:trPr>
        <w:tc>
          <w:tcPr>
            <w:tcW w:w="2167" w:type="pct"/>
            <w:tcBorders>
              <w:top w:val="nil"/>
              <w:left w:val="single" w:sz="8" w:space="0" w:color="auto"/>
              <w:bottom w:val="single" w:sz="8" w:space="0" w:color="auto"/>
              <w:right w:val="single" w:sz="8" w:space="0" w:color="auto"/>
            </w:tcBorders>
            <w:vAlign w:val="center"/>
            <w:hideMark/>
          </w:tcPr>
          <w:p w:rsidR="006B4685" w:rsidRPr="00290112" w:rsidRDefault="006B4685">
            <w:pPr>
              <w:spacing w:before="0" w:after="0"/>
              <w:jc w:val="left"/>
              <w:rPr>
                <w:noProof/>
                <w:color w:val="000000"/>
                <w:sz w:val="16"/>
                <w:szCs w:val="16"/>
                <w:lang w:val="en-IE" w:eastAsia="en-IE"/>
              </w:rPr>
            </w:pPr>
            <w:r w:rsidRPr="00290112">
              <w:rPr>
                <w:noProof/>
                <w:color w:val="000000"/>
                <w:sz w:val="16"/>
                <w:szCs w:val="16"/>
                <w:lang w:val="en-IE" w:eastAsia="en-IE"/>
              </w:rPr>
              <w:t xml:space="preserve">Human resources </w:t>
            </w:r>
          </w:p>
        </w:tc>
        <w:tc>
          <w:tcPr>
            <w:tcW w:w="553"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noProof/>
                <w:color w:val="000000"/>
                <w:sz w:val="16"/>
                <w:szCs w:val="16"/>
                <w:lang w:val="en-IE" w:eastAsia="en-IE"/>
              </w:rPr>
            </w:pPr>
            <w:r w:rsidRPr="00290112">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noProof/>
                <w:color w:val="000000"/>
                <w:sz w:val="16"/>
                <w:szCs w:val="16"/>
                <w:lang w:val="en-IE" w:eastAsia="en-IE"/>
              </w:rPr>
            </w:pPr>
            <w:r w:rsidRPr="00290112">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noProof/>
                <w:color w:val="000000"/>
                <w:sz w:val="16"/>
                <w:szCs w:val="16"/>
                <w:lang w:val="en-IE" w:eastAsia="en-IE"/>
              </w:rPr>
            </w:pPr>
            <w:r w:rsidRPr="00290112">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noProof/>
                <w:color w:val="000000"/>
                <w:sz w:val="16"/>
                <w:szCs w:val="16"/>
                <w:lang w:val="en-IE" w:eastAsia="en-IE"/>
              </w:rPr>
            </w:pPr>
            <w:r w:rsidRPr="00290112">
              <w:rPr>
                <w:noProof/>
                <w:color w:val="000000"/>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b/>
                <w:bCs/>
                <w:noProof/>
                <w:color w:val="000000"/>
                <w:sz w:val="16"/>
                <w:szCs w:val="16"/>
                <w:lang w:val="en-IE" w:eastAsia="en-IE"/>
              </w:rPr>
            </w:pPr>
            <w:r w:rsidRPr="00290112">
              <w:rPr>
                <w:b/>
                <w:bCs/>
                <w:noProof/>
                <w:color w:val="000000"/>
                <w:sz w:val="16"/>
                <w:szCs w:val="16"/>
                <w:lang w:val="en-IE" w:eastAsia="en-IE"/>
              </w:rPr>
              <w:t>0.000</w:t>
            </w:r>
          </w:p>
        </w:tc>
      </w:tr>
      <w:tr w:rsidR="006B4685" w:rsidRPr="00290112">
        <w:trPr>
          <w:trHeight w:val="300"/>
        </w:trPr>
        <w:tc>
          <w:tcPr>
            <w:tcW w:w="2167" w:type="pct"/>
            <w:tcBorders>
              <w:top w:val="nil"/>
              <w:left w:val="single" w:sz="8" w:space="0" w:color="auto"/>
              <w:bottom w:val="single" w:sz="8" w:space="0" w:color="auto"/>
              <w:right w:val="single" w:sz="8" w:space="0" w:color="auto"/>
            </w:tcBorders>
            <w:vAlign w:val="center"/>
            <w:hideMark/>
          </w:tcPr>
          <w:p w:rsidR="006B4685" w:rsidRPr="00290112" w:rsidRDefault="006B4685">
            <w:pPr>
              <w:spacing w:before="0" w:after="0"/>
              <w:jc w:val="left"/>
              <w:rPr>
                <w:noProof/>
                <w:color w:val="000000"/>
                <w:sz w:val="16"/>
                <w:szCs w:val="16"/>
                <w:lang w:val="en-IE" w:eastAsia="en-IE"/>
              </w:rPr>
            </w:pPr>
            <w:r w:rsidRPr="00290112">
              <w:rPr>
                <w:noProof/>
                <w:color w:val="000000"/>
                <w:sz w:val="16"/>
                <w:szCs w:val="16"/>
                <w:lang w:val="en-IE" w:eastAsia="en-IE"/>
              </w:rPr>
              <w:t>Other expenditure of an administrative nature</w:t>
            </w:r>
          </w:p>
        </w:tc>
        <w:tc>
          <w:tcPr>
            <w:tcW w:w="553"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noProof/>
                <w:color w:val="000000"/>
                <w:sz w:val="16"/>
                <w:szCs w:val="16"/>
                <w:lang w:val="en-IE" w:eastAsia="en-IE"/>
              </w:rPr>
            </w:pPr>
            <w:r w:rsidRPr="00290112">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noProof/>
                <w:color w:val="000000"/>
                <w:sz w:val="16"/>
                <w:szCs w:val="16"/>
                <w:lang w:val="en-IE" w:eastAsia="en-IE"/>
              </w:rPr>
            </w:pPr>
            <w:r w:rsidRPr="00290112">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noProof/>
                <w:color w:val="000000"/>
                <w:sz w:val="16"/>
                <w:szCs w:val="16"/>
                <w:lang w:val="en-IE" w:eastAsia="en-IE"/>
              </w:rPr>
            </w:pPr>
            <w:r w:rsidRPr="00290112">
              <w:rPr>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noProof/>
                <w:color w:val="000000"/>
                <w:sz w:val="16"/>
                <w:szCs w:val="16"/>
                <w:lang w:val="en-IE" w:eastAsia="en-IE"/>
              </w:rPr>
            </w:pPr>
            <w:r w:rsidRPr="00290112">
              <w:rPr>
                <w:noProof/>
                <w:color w:val="000000"/>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b/>
                <w:bCs/>
                <w:noProof/>
                <w:color w:val="000000"/>
                <w:sz w:val="16"/>
                <w:szCs w:val="16"/>
                <w:lang w:val="en-IE" w:eastAsia="en-IE"/>
              </w:rPr>
            </w:pPr>
            <w:r w:rsidRPr="00290112">
              <w:rPr>
                <w:b/>
                <w:bCs/>
                <w:noProof/>
                <w:color w:val="000000"/>
                <w:sz w:val="16"/>
                <w:szCs w:val="16"/>
                <w:lang w:val="en-IE" w:eastAsia="en-IE"/>
              </w:rPr>
              <w:t>0.000</w:t>
            </w:r>
          </w:p>
        </w:tc>
      </w:tr>
      <w:tr w:rsidR="006B4685" w:rsidRPr="00290112">
        <w:trPr>
          <w:trHeight w:val="300"/>
        </w:trPr>
        <w:tc>
          <w:tcPr>
            <w:tcW w:w="2167" w:type="pct"/>
            <w:tcBorders>
              <w:top w:val="nil"/>
              <w:left w:val="single" w:sz="8" w:space="0" w:color="auto"/>
              <w:bottom w:val="single" w:sz="8" w:space="0" w:color="auto"/>
              <w:right w:val="single" w:sz="8" w:space="0" w:color="auto"/>
            </w:tcBorders>
            <w:shd w:val="clear" w:color="000000" w:fill="CCCCCC"/>
            <w:vAlign w:val="center"/>
            <w:hideMark/>
          </w:tcPr>
          <w:p w:rsidR="006B4685" w:rsidRPr="00290112" w:rsidRDefault="006B4685">
            <w:pPr>
              <w:spacing w:before="0" w:after="0"/>
              <w:jc w:val="center"/>
              <w:rPr>
                <w:b/>
                <w:bCs/>
                <w:noProof/>
                <w:color w:val="000000"/>
                <w:sz w:val="16"/>
                <w:szCs w:val="16"/>
                <w:lang w:val="en-IE" w:eastAsia="en-IE"/>
              </w:rPr>
            </w:pPr>
            <w:r w:rsidRPr="00290112">
              <w:rPr>
                <w:b/>
                <w:bCs/>
                <w:noProof/>
                <w:color w:val="000000"/>
                <w:sz w:val="16"/>
                <w:szCs w:val="16"/>
                <w:lang w:val="en-IE" w:eastAsia="en-IE"/>
              </w:rPr>
              <w:t>Subtotal outside HEADING 7</w:t>
            </w:r>
          </w:p>
        </w:tc>
        <w:tc>
          <w:tcPr>
            <w:tcW w:w="553"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b/>
                <w:bCs/>
                <w:noProof/>
                <w:color w:val="000000"/>
                <w:sz w:val="16"/>
                <w:szCs w:val="16"/>
                <w:lang w:val="en-IE" w:eastAsia="en-IE"/>
              </w:rPr>
            </w:pPr>
            <w:r w:rsidRPr="00290112">
              <w:rPr>
                <w:b/>
                <w:bCs/>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b/>
                <w:bCs/>
                <w:noProof/>
                <w:color w:val="000000"/>
                <w:sz w:val="16"/>
                <w:szCs w:val="16"/>
                <w:lang w:val="en-IE" w:eastAsia="en-IE"/>
              </w:rPr>
            </w:pPr>
            <w:r w:rsidRPr="00290112">
              <w:rPr>
                <w:b/>
                <w:bCs/>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b/>
                <w:bCs/>
                <w:noProof/>
                <w:color w:val="000000"/>
                <w:sz w:val="16"/>
                <w:szCs w:val="16"/>
                <w:lang w:val="en-IE" w:eastAsia="en-IE"/>
              </w:rPr>
            </w:pPr>
            <w:r w:rsidRPr="00290112">
              <w:rPr>
                <w:b/>
                <w:bCs/>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b/>
                <w:bCs/>
                <w:noProof/>
                <w:color w:val="000000"/>
                <w:sz w:val="16"/>
                <w:szCs w:val="16"/>
                <w:lang w:val="en-IE" w:eastAsia="en-IE"/>
              </w:rPr>
            </w:pPr>
            <w:r w:rsidRPr="00290112">
              <w:rPr>
                <w:b/>
                <w:bCs/>
                <w:noProof/>
                <w:color w:val="000000"/>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b/>
                <w:bCs/>
                <w:noProof/>
                <w:color w:val="000000"/>
                <w:sz w:val="16"/>
                <w:szCs w:val="16"/>
                <w:lang w:val="en-IE" w:eastAsia="en-IE"/>
              </w:rPr>
            </w:pPr>
            <w:r w:rsidRPr="00290112">
              <w:rPr>
                <w:b/>
                <w:bCs/>
                <w:noProof/>
                <w:color w:val="000000"/>
                <w:sz w:val="16"/>
                <w:szCs w:val="16"/>
                <w:lang w:val="en-IE" w:eastAsia="en-IE"/>
              </w:rPr>
              <w:t>0.000</w:t>
            </w:r>
          </w:p>
        </w:tc>
      </w:tr>
      <w:tr w:rsidR="006B4685" w:rsidRPr="00290112">
        <w:trPr>
          <w:trHeight w:val="300"/>
        </w:trPr>
        <w:tc>
          <w:tcPr>
            <w:tcW w:w="5000" w:type="pct"/>
            <w:gridSpan w:val="6"/>
            <w:tcBorders>
              <w:top w:val="single" w:sz="8" w:space="0" w:color="auto"/>
              <w:left w:val="single" w:sz="8" w:space="0" w:color="auto"/>
              <w:bottom w:val="single" w:sz="8" w:space="0" w:color="auto"/>
              <w:right w:val="single" w:sz="4" w:space="0" w:color="auto"/>
            </w:tcBorders>
            <w:noWrap/>
            <w:vAlign w:val="center"/>
            <w:hideMark/>
          </w:tcPr>
          <w:p w:rsidR="006B4685" w:rsidRPr="00290112" w:rsidRDefault="006B4685">
            <w:pPr>
              <w:spacing w:before="0" w:after="0"/>
              <w:jc w:val="center"/>
              <w:rPr>
                <w:noProof/>
                <w:color w:val="000000"/>
                <w:sz w:val="16"/>
                <w:szCs w:val="16"/>
                <w:lang w:val="en-IE" w:eastAsia="en-IE"/>
              </w:rPr>
            </w:pPr>
            <w:r w:rsidRPr="00290112">
              <w:rPr>
                <w:noProof/>
                <w:color w:val="000000"/>
                <w:sz w:val="16"/>
                <w:szCs w:val="16"/>
                <w:lang w:val="en-IE" w:eastAsia="en-IE"/>
              </w:rPr>
              <w:t> </w:t>
            </w:r>
          </w:p>
        </w:tc>
      </w:tr>
      <w:tr w:rsidR="006B4685" w:rsidRPr="00290112">
        <w:trPr>
          <w:trHeight w:val="300"/>
        </w:trPr>
        <w:tc>
          <w:tcPr>
            <w:tcW w:w="2167" w:type="pct"/>
            <w:tcBorders>
              <w:top w:val="nil"/>
              <w:left w:val="single" w:sz="8" w:space="0" w:color="auto"/>
              <w:bottom w:val="single" w:sz="8" w:space="0" w:color="auto"/>
              <w:right w:val="single" w:sz="8" w:space="0" w:color="auto"/>
            </w:tcBorders>
            <w:vAlign w:val="center"/>
            <w:hideMark/>
          </w:tcPr>
          <w:p w:rsidR="006B4685" w:rsidRPr="00290112" w:rsidRDefault="006B4685">
            <w:pPr>
              <w:spacing w:before="0" w:after="0"/>
              <w:jc w:val="center"/>
              <w:rPr>
                <w:b/>
                <w:bCs/>
                <w:noProof/>
                <w:color w:val="000000"/>
                <w:sz w:val="16"/>
                <w:szCs w:val="16"/>
                <w:lang w:val="en-IE" w:eastAsia="en-IE"/>
              </w:rPr>
            </w:pPr>
            <w:r w:rsidRPr="00290112">
              <w:rPr>
                <w:b/>
                <w:bCs/>
                <w:noProof/>
                <w:color w:val="000000"/>
                <w:sz w:val="16"/>
                <w:szCs w:val="16"/>
                <w:lang w:val="en-IE" w:eastAsia="en-IE"/>
              </w:rPr>
              <w:t>TOTAL</w:t>
            </w:r>
          </w:p>
        </w:tc>
        <w:tc>
          <w:tcPr>
            <w:tcW w:w="553"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b/>
                <w:bCs/>
                <w:noProof/>
                <w:color w:val="000000"/>
                <w:sz w:val="16"/>
                <w:szCs w:val="16"/>
                <w:lang w:val="en-IE" w:eastAsia="en-IE"/>
              </w:rPr>
            </w:pPr>
            <w:r w:rsidRPr="00290112">
              <w:rPr>
                <w:b/>
                <w:bCs/>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b/>
                <w:bCs/>
                <w:noProof/>
                <w:color w:val="000000"/>
                <w:sz w:val="16"/>
                <w:szCs w:val="16"/>
                <w:lang w:val="en-IE" w:eastAsia="en-IE"/>
              </w:rPr>
            </w:pPr>
            <w:r w:rsidRPr="00290112">
              <w:rPr>
                <w:b/>
                <w:bCs/>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b/>
                <w:bCs/>
                <w:noProof/>
                <w:color w:val="000000"/>
                <w:sz w:val="16"/>
                <w:szCs w:val="16"/>
                <w:lang w:val="en-IE" w:eastAsia="en-IE"/>
              </w:rPr>
            </w:pPr>
            <w:r w:rsidRPr="00290112">
              <w:rPr>
                <w:b/>
                <w:bCs/>
                <w:noProof/>
                <w:color w:val="000000"/>
                <w:sz w:val="16"/>
                <w:szCs w:val="16"/>
                <w:lang w:val="en-IE" w:eastAsia="en-IE"/>
              </w:rPr>
              <w:t>0.000</w:t>
            </w:r>
          </w:p>
        </w:tc>
        <w:tc>
          <w:tcPr>
            <w:tcW w:w="553"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b/>
                <w:bCs/>
                <w:noProof/>
                <w:color w:val="000000"/>
                <w:sz w:val="16"/>
                <w:szCs w:val="16"/>
                <w:lang w:val="en-IE" w:eastAsia="en-IE"/>
              </w:rPr>
            </w:pPr>
            <w:r w:rsidRPr="00290112">
              <w:rPr>
                <w:b/>
                <w:bCs/>
                <w:noProof/>
                <w:color w:val="000000"/>
                <w:sz w:val="16"/>
                <w:szCs w:val="16"/>
                <w:lang w:val="en-IE" w:eastAsia="en-IE"/>
              </w:rPr>
              <w:t>0.000</w:t>
            </w:r>
          </w:p>
        </w:tc>
        <w:tc>
          <w:tcPr>
            <w:tcW w:w="622" w:type="pct"/>
            <w:tcBorders>
              <w:top w:val="nil"/>
              <w:left w:val="nil"/>
              <w:bottom w:val="single" w:sz="8" w:space="0" w:color="auto"/>
              <w:right w:val="single" w:sz="8" w:space="0" w:color="auto"/>
            </w:tcBorders>
            <w:shd w:val="clear" w:color="000000" w:fill="D9D9D9"/>
            <w:vAlign w:val="center"/>
            <w:hideMark/>
          </w:tcPr>
          <w:p w:rsidR="006B4685" w:rsidRPr="00290112" w:rsidRDefault="006B4685">
            <w:pPr>
              <w:spacing w:before="0" w:after="0"/>
              <w:jc w:val="right"/>
              <w:rPr>
                <w:b/>
                <w:bCs/>
                <w:noProof/>
                <w:color w:val="000000"/>
                <w:sz w:val="16"/>
                <w:szCs w:val="16"/>
                <w:lang w:val="en-IE" w:eastAsia="en-IE"/>
              </w:rPr>
            </w:pPr>
            <w:r w:rsidRPr="00290112">
              <w:rPr>
                <w:b/>
                <w:bCs/>
                <w:noProof/>
                <w:color w:val="000000"/>
                <w:sz w:val="16"/>
                <w:szCs w:val="16"/>
                <w:lang w:val="en-IE" w:eastAsia="en-IE"/>
              </w:rPr>
              <w:t>0.000</w:t>
            </w:r>
          </w:p>
        </w:tc>
      </w:tr>
    </w:tbl>
    <w:p w:rsidR="006B4685" w:rsidRPr="00235FE8" w:rsidRDefault="006B4685" w:rsidP="006B4685">
      <w:pPr>
        <w:pStyle w:val="ManualHeading3"/>
        <w:rPr>
          <w:i w:val="0"/>
          <w:noProof/>
        </w:rPr>
      </w:pPr>
      <w:bookmarkStart w:id="152" w:name="_Toc198557785"/>
      <w:r w:rsidRPr="0021790A">
        <w:rPr>
          <w:noProof/>
        </w:rPr>
        <w:t>3.2.</w:t>
      </w:r>
      <w:r>
        <w:rPr>
          <w:noProof/>
        </w:rPr>
        <w:t>4</w:t>
      </w:r>
      <w:r w:rsidRPr="0021790A">
        <w:rPr>
          <w:noProof/>
        </w:rPr>
        <w:t>.</w:t>
      </w:r>
      <w:r w:rsidRPr="0021790A">
        <w:rPr>
          <w:noProof/>
        </w:rPr>
        <w:tab/>
      </w:r>
      <w:bookmarkStart w:id="153" w:name="_Hlk177486230"/>
      <w:r w:rsidRPr="00A238FB">
        <w:rPr>
          <w:noProof/>
        </w:rPr>
        <w:t>Estimated requirements of human resources</w:t>
      </w:r>
      <w:r>
        <w:rPr>
          <w:noProof/>
        </w:rPr>
        <w:t xml:space="preserve"> </w:t>
      </w:r>
      <w:bookmarkEnd w:id="152"/>
      <w:bookmarkEnd w:id="153"/>
    </w:p>
    <w:p w:rsidR="006B4685" w:rsidRDefault="006B4685" w:rsidP="006B4685">
      <w:pPr>
        <w:pStyle w:val="ListDash1"/>
        <w:rPr>
          <w:noProof/>
        </w:rPr>
      </w:pPr>
      <w:r>
        <w:rPr>
          <w:rFonts w:ascii="Wingdings" w:eastAsia="Wingdings" w:hAnsi="Wingdings" w:cs="Wingdings"/>
          <w:noProof/>
        </w:rPr>
        <w:t></w:t>
      </w:r>
      <w:r>
        <w:rPr>
          <w:noProof/>
        </w:rPr>
        <w:tab/>
        <w:t xml:space="preserve">The proposal/initiative does not require the use of human resources </w:t>
      </w:r>
    </w:p>
    <w:p w:rsidR="006B4685" w:rsidRDefault="006B4685" w:rsidP="006B4685">
      <w:pPr>
        <w:pStyle w:val="ListDash1"/>
        <w:rPr>
          <w:noProof/>
        </w:rPr>
      </w:pPr>
      <w:r>
        <w:rPr>
          <w:rFonts w:ascii="Wingdings" w:eastAsia="Wingdings" w:hAnsi="Wingdings" w:cs="Wingdings"/>
          <w:noProof/>
        </w:rPr>
        <w:t></w:t>
      </w:r>
      <w:r>
        <w:rPr>
          <w:noProof/>
        </w:rPr>
        <w:tab/>
        <w:t>The proposal/initiative requires the use of human resources, as explained below</w:t>
      </w:r>
    </w:p>
    <w:p w:rsidR="006B4685" w:rsidRDefault="006B4685" w:rsidP="006B4685">
      <w:pPr>
        <w:pStyle w:val="ManualHeading3"/>
        <w:rPr>
          <w:noProof/>
        </w:rPr>
      </w:pPr>
      <w:bookmarkStart w:id="154" w:name="_Toc198557786"/>
      <w:r w:rsidRPr="003268F2">
        <w:rPr>
          <w:noProof/>
        </w:rPr>
        <w:t>3.2.</w:t>
      </w:r>
      <w:r>
        <w:rPr>
          <w:noProof/>
        </w:rPr>
        <w:t>4</w:t>
      </w:r>
      <w:r w:rsidRPr="003268F2">
        <w:rPr>
          <w:noProof/>
        </w:rPr>
        <w:t>.1</w:t>
      </w:r>
      <w:r>
        <w:rPr>
          <w:noProof/>
        </w:rPr>
        <w:t>.</w:t>
      </w:r>
      <w:r>
        <w:rPr>
          <w:noProof/>
        </w:rPr>
        <w:tab/>
        <w:t>Financed from voted budget</w:t>
      </w:r>
      <w:bookmarkEnd w:id="154"/>
    </w:p>
    <w:p w:rsidR="006B4685" w:rsidRPr="003A769F" w:rsidRDefault="006B4685" w:rsidP="006B4685">
      <w:pPr>
        <w:spacing w:after="60"/>
        <w:jc w:val="right"/>
        <w:rPr>
          <w:i/>
          <w:noProof/>
          <w:sz w:val="20"/>
          <w:lang w:val="en-IE"/>
        </w:rPr>
      </w:pPr>
      <w:r w:rsidRPr="003A769F">
        <w:rPr>
          <w:i/>
          <w:noProof/>
          <w:sz w:val="20"/>
          <w:lang w:val="en-IE"/>
        </w:rPr>
        <w:t>Estimate to be expressed in full</w:t>
      </w:r>
      <w:r>
        <w:rPr>
          <w:i/>
          <w:noProof/>
          <w:sz w:val="20"/>
          <w:lang w:val="en-IE"/>
        </w:rPr>
        <w:t>-</w:t>
      </w:r>
      <w:r w:rsidRPr="003A769F">
        <w:rPr>
          <w:i/>
          <w:noProof/>
          <w:sz w:val="20"/>
          <w:lang w:val="en-IE"/>
        </w:rPr>
        <w:t>time equivalent units</w:t>
      </w:r>
      <w:r>
        <w:rPr>
          <w:i/>
          <w:noProof/>
          <w:sz w:val="20"/>
          <w:lang w:val="en-IE"/>
        </w:rPr>
        <w:t xml:space="preserve"> (FTEs)</w:t>
      </w:r>
      <w:r>
        <w:rPr>
          <w:rStyle w:val="FootnoteReference"/>
          <w:i/>
          <w:noProof/>
          <w:sz w:val="20"/>
          <w:lang w:val="en-IE"/>
        </w:rPr>
        <w:footnoteReference w:id="44"/>
      </w:r>
    </w:p>
    <w:p w:rsidR="006B4685" w:rsidRDefault="006B4685" w:rsidP="006B4685">
      <w:pPr>
        <w:pStyle w:val="Text1"/>
        <w:spacing w:before="60" w:after="60"/>
        <w:ind w:left="-426" w:right="-427"/>
        <w:rPr>
          <w:b/>
          <w:noProof/>
          <w:sz w:val="18"/>
          <w:szCs w:val="18"/>
          <w:lang w:val="en-IE"/>
        </w:rPr>
      </w:pPr>
      <w:bookmarkStart w:id="155" w:name="_Hlk156979231"/>
    </w:p>
    <w:tbl>
      <w:tblPr>
        <w:tblW w:w="5000" w:type="pct"/>
        <w:tblLook w:val="04A0" w:firstRow="1" w:lastRow="0" w:firstColumn="1" w:lastColumn="0" w:noHBand="0" w:noVBand="1"/>
      </w:tblPr>
      <w:tblGrid>
        <w:gridCol w:w="1513"/>
        <w:gridCol w:w="3898"/>
        <w:gridCol w:w="970"/>
        <w:gridCol w:w="970"/>
        <w:gridCol w:w="970"/>
        <w:gridCol w:w="968"/>
      </w:tblGrid>
      <w:tr w:rsidR="006B4685" w:rsidRPr="00E52FD3">
        <w:trPr>
          <w:trHeight w:val="300"/>
        </w:trPr>
        <w:tc>
          <w:tcPr>
            <w:tcW w:w="2913" w:type="pct"/>
            <w:gridSpan w:val="2"/>
            <w:vMerge w:val="restart"/>
            <w:tcBorders>
              <w:top w:val="single" w:sz="8" w:space="0" w:color="auto"/>
              <w:left w:val="single" w:sz="8" w:space="0" w:color="auto"/>
              <w:bottom w:val="single" w:sz="8" w:space="0" w:color="000000"/>
              <w:right w:val="single" w:sz="8" w:space="0" w:color="000000"/>
            </w:tcBorders>
            <w:vAlign w:val="center"/>
            <w:hideMark/>
          </w:tcPr>
          <w:p w:rsidR="006B4685" w:rsidRPr="00E52FD3" w:rsidRDefault="006B4685">
            <w:pPr>
              <w:spacing w:before="0" w:after="0"/>
              <w:jc w:val="center"/>
              <w:rPr>
                <w:b/>
                <w:bCs/>
                <w:noProof/>
                <w:color w:val="000000"/>
                <w:sz w:val="18"/>
                <w:szCs w:val="18"/>
                <w:lang w:val="en-IE" w:eastAsia="en-IE"/>
              </w:rPr>
            </w:pPr>
            <w:r w:rsidRPr="00E52FD3">
              <w:rPr>
                <w:b/>
                <w:bCs/>
                <w:noProof/>
                <w:color w:val="000000"/>
                <w:sz w:val="18"/>
                <w:szCs w:val="18"/>
                <w:lang w:val="en-IE" w:eastAsia="en-IE"/>
              </w:rPr>
              <w:t>VOTED APPROPRIATIONS</w:t>
            </w:r>
          </w:p>
        </w:tc>
        <w:tc>
          <w:tcPr>
            <w:tcW w:w="522" w:type="pct"/>
            <w:tcBorders>
              <w:top w:val="single" w:sz="8" w:space="0" w:color="auto"/>
              <w:left w:val="nil"/>
              <w:bottom w:val="nil"/>
              <w:right w:val="single" w:sz="8" w:space="0" w:color="auto"/>
            </w:tcBorders>
            <w:vAlign w:val="center"/>
            <w:hideMark/>
          </w:tcPr>
          <w:p w:rsidR="006B4685" w:rsidRPr="00E52FD3" w:rsidRDefault="006B4685">
            <w:pPr>
              <w:spacing w:before="0" w:after="0"/>
              <w:jc w:val="center"/>
              <w:rPr>
                <w:noProof/>
                <w:color w:val="000000"/>
                <w:sz w:val="20"/>
                <w:szCs w:val="20"/>
                <w:lang w:val="en-IE" w:eastAsia="en-IE"/>
              </w:rPr>
            </w:pPr>
            <w:r w:rsidRPr="00E52FD3">
              <w:rPr>
                <w:noProof/>
                <w:color w:val="000000"/>
                <w:sz w:val="20"/>
                <w:szCs w:val="20"/>
                <w:lang w:val="en-IE" w:eastAsia="en-IE"/>
              </w:rPr>
              <w:t>Year</w:t>
            </w:r>
          </w:p>
        </w:tc>
        <w:tc>
          <w:tcPr>
            <w:tcW w:w="522" w:type="pct"/>
            <w:tcBorders>
              <w:top w:val="single" w:sz="8" w:space="0" w:color="auto"/>
              <w:left w:val="nil"/>
              <w:bottom w:val="nil"/>
              <w:right w:val="single" w:sz="8" w:space="0" w:color="auto"/>
            </w:tcBorders>
            <w:vAlign w:val="center"/>
            <w:hideMark/>
          </w:tcPr>
          <w:p w:rsidR="006B4685" w:rsidRPr="00E52FD3" w:rsidRDefault="006B4685">
            <w:pPr>
              <w:spacing w:before="0" w:after="0"/>
              <w:jc w:val="center"/>
              <w:rPr>
                <w:noProof/>
                <w:color w:val="000000"/>
                <w:sz w:val="20"/>
                <w:szCs w:val="20"/>
                <w:lang w:val="en-IE" w:eastAsia="en-IE"/>
              </w:rPr>
            </w:pPr>
            <w:r w:rsidRPr="00E52FD3">
              <w:rPr>
                <w:noProof/>
                <w:color w:val="000000"/>
                <w:sz w:val="20"/>
                <w:szCs w:val="20"/>
                <w:lang w:val="en-IE" w:eastAsia="en-IE"/>
              </w:rPr>
              <w:t>Year</w:t>
            </w:r>
          </w:p>
        </w:tc>
        <w:tc>
          <w:tcPr>
            <w:tcW w:w="522" w:type="pct"/>
            <w:tcBorders>
              <w:top w:val="single" w:sz="8" w:space="0" w:color="auto"/>
              <w:left w:val="nil"/>
              <w:bottom w:val="nil"/>
              <w:right w:val="single" w:sz="8" w:space="0" w:color="auto"/>
            </w:tcBorders>
            <w:vAlign w:val="center"/>
            <w:hideMark/>
          </w:tcPr>
          <w:p w:rsidR="006B4685" w:rsidRPr="00E52FD3" w:rsidRDefault="006B4685">
            <w:pPr>
              <w:spacing w:before="0" w:after="0"/>
              <w:jc w:val="center"/>
              <w:rPr>
                <w:noProof/>
                <w:color w:val="000000"/>
                <w:sz w:val="20"/>
                <w:szCs w:val="20"/>
                <w:lang w:val="en-IE" w:eastAsia="en-IE"/>
              </w:rPr>
            </w:pPr>
            <w:r w:rsidRPr="00E52FD3">
              <w:rPr>
                <w:noProof/>
                <w:color w:val="000000"/>
                <w:sz w:val="20"/>
                <w:szCs w:val="20"/>
                <w:lang w:val="en-IE" w:eastAsia="en-IE"/>
              </w:rPr>
              <w:t>Year</w:t>
            </w:r>
          </w:p>
        </w:tc>
        <w:tc>
          <w:tcPr>
            <w:tcW w:w="522" w:type="pct"/>
            <w:tcBorders>
              <w:top w:val="single" w:sz="8" w:space="0" w:color="auto"/>
              <w:left w:val="nil"/>
              <w:bottom w:val="nil"/>
              <w:right w:val="single" w:sz="8" w:space="0" w:color="auto"/>
            </w:tcBorders>
            <w:vAlign w:val="center"/>
            <w:hideMark/>
          </w:tcPr>
          <w:p w:rsidR="006B4685" w:rsidRPr="00E52FD3" w:rsidRDefault="006B4685">
            <w:pPr>
              <w:spacing w:before="0" w:after="0"/>
              <w:jc w:val="center"/>
              <w:rPr>
                <w:noProof/>
                <w:color w:val="000000"/>
                <w:sz w:val="20"/>
                <w:szCs w:val="20"/>
                <w:lang w:val="en-IE" w:eastAsia="en-IE"/>
              </w:rPr>
            </w:pPr>
            <w:r w:rsidRPr="00E52FD3">
              <w:rPr>
                <w:noProof/>
                <w:color w:val="000000"/>
                <w:sz w:val="20"/>
                <w:szCs w:val="20"/>
                <w:lang w:val="en-IE" w:eastAsia="en-IE"/>
              </w:rPr>
              <w:t>Year</w:t>
            </w:r>
          </w:p>
        </w:tc>
      </w:tr>
      <w:tr w:rsidR="006B4685" w:rsidRPr="00E52FD3">
        <w:trPr>
          <w:trHeight w:val="300"/>
        </w:trPr>
        <w:tc>
          <w:tcPr>
            <w:tcW w:w="2913" w:type="pct"/>
            <w:gridSpan w:val="2"/>
            <w:vMerge/>
            <w:tcBorders>
              <w:top w:val="single" w:sz="8" w:space="0" w:color="auto"/>
              <w:left w:val="single" w:sz="8" w:space="0" w:color="auto"/>
              <w:bottom w:val="single" w:sz="8" w:space="0" w:color="auto"/>
              <w:right w:val="single" w:sz="8" w:space="0" w:color="000000"/>
            </w:tcBorders>
            <w:vAlign w:val="center"/>
            <w:hideMark/>
          </w:tcPr>
          <w:p w:rsidR="006B4685" w:rsidRPr="00E52FD3" w:rsidRDefault="006B4685">
            <w:pPr>
              <w:spacing w:before="0" w:after="0"/>
              <w:jc w:val="left"/>
              <w:rPr>
                <w:b/>
                <w:bCs/>
                <w:noProof/>
                <w:color w:val="000000"/>
                <w:sz w:val="18"/>
                <w:szCs w:val="18"/>
                <w:lang w:val="en-IE" w:eastAsia="en-IE"/>
              </w:rPr>
            </w:pPr>
          </w:p>
        </w:tc>
        <w:tc>
          <w:tcPr>
            <w:tcW w:w="522" w:type="pct"/>
            <w:tcBorders>
              <w:top w:val="nil"/>
              <w:left w:val="nil"/>
              <w:bottom w:val="single" w:sz="8" w:space="0" w:color="auto"/>
              <w:right w:val="single" w:sz="8" w:space="0" w:color="auto"/>
            </w:tcBorders>
            <w:vAlign w:val="center"/>
            <w:hideMark/>
          </w:tcPr>
          <w:p w:rsidR="006B4685" w:rsidRPr="00E52FD3" w:rsidRDefault="006B4685">
            <w:pPr>
              <w:spacing w:before="0" w:after="0"/>
              <w:jc w:val="center"/>
              <w:rPr>
                <w:b/>
                <w:bCs/>
                <w:noProof/>
                <w:color w:val="000000"/>
                <w:sz w:val="20"/>
                <w:szCs w:val="20"/>
                <w:lang w:val="en-IE" w:eastAsia="en-IE"/>
              </w:rPr>
            </w:pPr>
            <w:r w:rsidRPr="00E52FD3">
              <w:rPr>
                <w:b/>
                <w:bCs/>
                <w:noProof/>
                <w:color w:val="000000"/>
                <w:sz w:val="20"/>
                <w:szCs w:val="20"/>
                <w:lang w:val="en-IE" w:eastAsia="en-IE"/>
              </w:rPr>
              <w:t>2024</w:t>
            </w:r>
          </w:p>
        </w:tc>
        <w:tc>
          <w:tcPr>
            <w:tcW w:w="522" w:type="pct"/>
            <w:tcBorders>
              <w:top w:val="nil"/>
              <w:left w:val="nil"/>
              <w:bottom w:val="single" w:sz="8" w:space="0" w:color="auto"/>
              <w:right w:val="single" w:sz="8" w:space="0" w:color="auto"/>
            </w:tcBorders>
            <w:vAlign w:val="center"/>
            <w:hideMark/>
          </w:tcPr>
          <w:p w:rsidR="006B4685" w:rsidRPr="00E52FD3" w:rsidRDefault="006B4685">
            <w:pPr>
              <w:spacing w:before="0" w:after="0"/>
              <w:jc w:val="center"/>
              <w:rPr>
                <w:b/>
                <w:bCs/>
                <w:noProof/>
                <w:color w:val="000000"/>
                <w:sz w:val="20"/>
                <w:szCs w:val="20"/>
                <w:lang w:val="en-IE" w:eastAsia="en-IE"/>
              </w:rPr>
            </w:pPr>
            <w:r w:rsidRPr="00E52FD3">
              <w:rPr>
                <w:b/>
                <w:bCs/>
                <w:noProof/>
                <w:color w:val="000000"/>
                <w:sz w:val="20"/>
                <w:szCs w:val="20"/>
                <w:lang w:val="en-IE" w:eastAsia="en-IE"/>
              </w:rPr>
              <w:t>2025</w:t>
            </w:r>
          </w:p>
        </w:tc>
        <w:tc>
          <w:tcPr>
            <w:tcW w:w="522" w:type="pct"/>
            <w:tcBorders>
              <w:top w:val="nil"/>
              <w:left w:val="nil"/>
              <w:bottom w:val="single" w:sz="8" w:space="0" w:color="auto"/>
              <w:right w:val="single" w:sz="8" w:space="0" w:color="auto"/>
            </w:tcBorders>
            <w:vAlign w:val="center"/>
            <w:hideMark/>
          </w:tcPr>
          <w:p w:rsidR="006B4685" w:rsidRPr="00E52FD3" w:rsidRDefault="006B4685">
            <w:pPr>
              <w:spacing w:before="0" w:after="0"/>
              <w:jc w:val="center"/>
              <w:rPr>
                <w:b/>
                <w:bCs/>
                <w:noProof/>
                <w:color w:val="000000"/>
                <w:sz w:val="20"/>
                <w:szCs w:val="20"/>
                <w:lang w:val="en-IE" w:eastAsia="en-IE"/>
              </w:rPr>
            </w:pPr>
            <w:r w:rsidRPr="00E52FD3">
              <w:rPr>
                <w:b/>
                <w:bCs/>
                <w:noProof/>
                <w:color w:val="000000"/>
                <w:sz w:val="20"/>
                <w:szCs w:val="20"/>
                <w:lang w:val="en-IE" w:eastAsia="en-IE"/>
              </w:rPr>
              <w:t>2026</w:t>
            </w:r>
          </w:p>
        </w:tc>
        <w:tc>
          <w:tcPr>
            <w:tcW w:w="522" w:type="pct"/>
            <w:tcBorders>
              <w:top w:val="nil"/>
              <w:left w:val="nil"/>
              <w:bottom w:val="single" w:sz="8" w:space="0" w:color="auto"/>
              <w:right w:val="single" w:sz="8" w:space="0" w:color="auto"/>
            </w:tcBorders>
            <w:vAlign w:val="center"/>
            <w:hideMark/>
          </w:tcPr>
          <w:p w:rsidR="006B4685" w:rsidRPr="00E52FD3" w:rsidRDefault="006B4685">
            <w:pPr>
              <w:spacing w:before="0" w:after="0"/>
              <w:jc w:val="center"/>
              <w:rPr>
                <w:b/>
                <w:bCs/>
                <w:noProof/>
                <w:color w:val="000000"/>
                <w:sz w:val="20"/>
                <w:szCs w:val="20"/>
                <w:lang w:val="en-IE" w:eastAsia="en-IE"/>
              </w:rPr>
            </w:pPr>
            <w:r w:rsidRPr="00E52FD3">
              <w:rPr>
                <w:b/>
                <w:bCs/>
                <w:noProof/>
                <w:color w:val="000000"/>
                <w:sz w:val="20"/>
                <w:szCs w:val="20"/>
                <w:lang w:val="en-IE" w:eastAsia="en-IE"/>
              </w:rPr>
              <w:t>2027</w:t>
            </w:r>
          </w:p>
        </w:tc>
      </w:tr>
      <w:tr w:rsidR="006B4685" w:rsidRPr="00E52FD3">
        <w:trPr>
          <w:trHeight w:val="300"/>
        </w:trPr>
        <w:tc>
          <w:tcPr>
            <w:tcW w:w="5000" w:type="pct"/>
            <w:gridSpan w:val="6"/>
            <w:tcBorders>
              <w:top w:val="single" w:sz="8" w:space="0" w:color="auto"/>
              <w:left w:val="single" w:sz="8" w:space="0" w:color="auto"/>
              <w:bottom w:val="single" w:sz="8" w:space="0" w:color="auto"/>
              <w:right w:val="single" w:sz="4" w:space="0" w:color="auto"/>
            </w:tcBorders>
            <w:vAlign w:val="center"/>
            <w:hideMark/>
          </w:tcPr>
          <w:p w:rsidR="006B4685" w:rsidRPr="00E52FD3" w:rsidRDefault="006B4685">
            <w:pPr>
              <w:spacing w:before="0" w:after="0"/>
              <w:jc w:val="left"/>
              <w:rPr>
                <w:rFonts w:ascii="Wingdings" w:hAnsi="Wingdings" w:cs="Calibri"/>
                <w:b/>
                <w:bCs/>
                <w:noProof/>
                <w:color w:val="000000"/>
                <w:sz w:val="16"/>
                <w:szCs w:val="16"/>
                <w:lang w:val="en-IE" w:eastAsia="en-IE"/>
              </w:rPr>
            </w:pPr>
            <w:r w:rsidRPr="00E52FD3">
              <w:rPr>
                <w:rFonts w:ascii="Wingdings" w:hAnsi="Wingdings" w:cs="Calibri"/>
                <w:b/>
                <w:bCs/>
                <w:noProof/>
                <w:color w:val="000000"/>
                <w:sz w:val="16"/>
                <w:szCs w:val="16"/>
                <w:lang w:val="en-IE" w:eastAsia="en-IE"/>
              </w:rPr>
              <w:t></w:t>
            </w:r>
            <w:r w:rsidRPr="00E52FD3">
              <w:rPr>
                <w:b/>
                <w:bCs/>
                <w:noProof/>
                <w:color w:val="000000"/>
                <w:sz w:val="16"/>
                <w:szCs w:val="16"/>
                <w:lang w:val="en-IE" w:eastAsia="en-IE"/>
              </w:rPr>
              <w:t xml:space="preserve"> Establishment plan posts (officials and temporary staff)</w:t>
            </w:r>
          </w:p>
        </w:tc>
      </w:tr>
      <w:tr w:rsidR="006B4685" w:rsidRPr="00E52FD3">
        <w:trPr>
          <w:trHeight w:val="300"/>
        </w:trPr>
        <w:tc>
          <w:tcPr>
            <w:tcW w:w="2913" w:type="pct"/>
            <w:gridSpan w:val="2"/>
            <w:tcBorders>
              <w:top w:val="single" w:sz="8" w:space="0" w:color="auto"/>
              <w:left w:val="single" w:sz="8" w:space="0" w:color="auto"/>
              <w:bottom w:val="single" w:sz="8" w:space="0" w:color="auto"/>
              <w:right w:val="single" w:sz="8" w:space="0" w:color="auto"/>
            </w:tcBorders>
            <w:vAlign w:val="center"/>
            <w:hideMark/>
          </w:tcPr>
          <w:p w:rsidR="006B4685" w:rsidRPr="00E52FD3" w:rsidRDefault="006B4685">
            <w:pPr>
              <w:spacing w:before="0" w:after="0"/>
              <w:ind w:firstLineChars="100" w:firstLine="160"/>
              <w:jc w:val="left"/>
              <w:rPr>
                <w:noProof/>
                <w:color w:val="000000"/>
                <w:sz w:val="16"/>
                <w:szCs w:val="16"/>
                <w:lang w:val="en-IE" w:eastAsia="en-IE"/>
              </w:rPr>
            </w:pPr>
            <w:r w:rsidRPr="00E52FD3">
              <w:rPr>
                <w:noProof/>
                <w:color w:val="000000"/>
                <w:sz w:val="16"/>
                <w:szCs w:val="16"/>
                <w:lang w:val="en-IE" w:eastAsia="en-IE"/>
              </w:rPr>
              <w:t>20 01 02 01</w:t>
            </w:r>
            <w:r w:rsidRPr="00E52FD3">
              <w:rPr>
                <w:rFonts w:ascii="Arial Narrow" w:hAnsi="Arial Narrow"/>
                <w:noProof/>
                <w:color w:val="000000"/>
                <w:sz w:val="20"/>
                <w:szCs w:val="20"/>
                <w:lang w:val="en-IE" w:eastAsia="en-IE"/>
              </w:rPr>
              <w:t xml:space="preserve"> </w:t>
            </w:r>
            <w:r w:rsidRPr="00E52FD3">
              <w:rPr>
                <w:noProof/>
                <w:color w:val="000000"/>
                <w:sz w:val="16"/>
                <w:szCs w:val="16"/>
                <w:lang w:val="en-IE" w:eastAsia="en-IE"/>
              </w:rPr>
              <w:t>(Headquarters and Commission’s Representation Offices)</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r>
      <w:tr w:rsidR="006B4685" w:rsidRPr="00E52FD3">
        <w:trPr>
          <w:trHeight w:val="300"/>
        </w:trPr>
        <w:tc>
          <w:tcPr>
            <w:tcW w:w="2913" w:type="pct"/>
            <w:gridSpan w:val="2"/>
            <w:tcBorders>
              <w:top w:val="single" w:sz="8" w:space="0" w:color="auto"/>
              <w:left w:val="single" w:sz="8" w:space="0" w:color="auto"/>
              <w:bottom w:val="single" w:sz="8" w:space="0" w:color="auto"/>
              <w:right w:val="single" w:sz="8" w:space="0" w:color="auto"/>
            </w:tcBorders>
            <w:vAlign w:val="center"/>
            <w:hideMark/>
          </w:tcPr>
          <w:p w:rsidR="006B4685" w:rsidRPr="00E52FD3" w:rsidRDefault="006B4685">
            <w:pPr>
              <w:spacing w:before="0" w:after="0"/>
              <w:ind w:firstLineChars="100" w:firstLine="160"/>
              <w:jc w:val="left"/>
              <w:rPr>
                <w:noProof/>
                <w:color w:val="000000"/>
                <w:sz w:val="16"/>
                <w:szCs w:val="16"/>
                <w:lang w:val="en-IE" w:eastAsia="en-IE"/>
              </w:rPr>
            </w:pPr>
            <w:r w:rsidRPr="00E52FD3">
              <w:rPr>
                <w:noProof/>
                <w:color w:val="000000"/>
                <w:sz w:val="16"/>
                <w:szCs w:val="16"/>
                <w:lang w:val="en-IE" w:eastAsia="en-IE"/>
              </w:rPr>
              <w:t>20 01 02 03 (EU Delegations)</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r>
      <w:tr w:rsidR="006B4685" w:rsidRPr="00E52FD3">
        <w:trPr>
          <w:trHeight w:val="300"/>
        </w:trPr>
        <w:tc>
          <w:tcPr>
            <w:tcW w:w="2913" w:type="pct"/>
            <w:gridSpan w:val="2"/>
            <w:tcBorders>
              <w:top w:val="single" w:sz="8" w:space="0" w:color="auto"/>
              <w:left w:val="single" w:sz="8" w:space="0" w:color="auto"/>
              <w:bottom w:val="single" w:sz="8" w:space="0" w:color="auto"/>
              <w:right w:val="single" w:sz="8" w:space="0" w:color="auto"/>
            </w:tcBorders>
            <w:vAlign w:val="center"/>
            <w:hideMark/>
          </w:tcPr>
          <w:p w:rsidR="006B4685" w:rsidRPr="00E52FD3" w:rsidRDefault="006B4685">
            <w:pPr>
              <w:spacing w:before="0" w:after="0"/>
              <w:ind w:firstLineChars="100" w:firstLine="160"/>
              <w:jc w:val="left"/>
              <w:rPr>
                <w:noProof/>
                <w:color w:val="000000"/>
                <w:sz w:val="16"/>
                <w:szCs w:val="16"/>
                <w:lang w:val="en-IE" w:eastAsia="en-IE"/>
              </w:rPr>
            </w:pPr>
            <w:r w:rsidRPr="00E52FD3">
              <w:rPr>
                <w:noProof/>
                <w:color w:val="000000"/>
                <w:sz w:val="16"/>
                <w:szCs w:val="16"/>
                <w:lang w:val="en-IE" w:eastAsia="en-IE"/>
              </w:rPr>
              <w:t>01 01 01 01 (Indirect research)</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r>
      <w:tr w:rsidR="006B4685" w:rsidRPr="00E52FD3">
        <w:trPr>
          <w:trHeight w:val="300"/>
        </w:trPr>
        <w:tc>
          <w:tcPr>
            <w:tcW w:w="2913" w:type="pct"/>
            <w:gridSpan w:val="2"/>
            <w:tcBorders>
              <w:top w:val="single" w:sz="8" w:space="0" w:color="auto"/>
              <w:left w:val="single" w:sz="8" w:space="0" w:color="auto"/>
              <w:bottom w:val="single" w:sz="8" w:space="0" w:color="auto"/>
              <w:right w:val="single" w:sz="8" w:space="0" w:color="auto"/>
            </w:tcBorders>
            <w:vAlign w:val="center"/>
            <w:hideMark/>
          </w:tcPr>
          <w:p w:rsidR="006B4685" w:rsidRPr="00E52FD3" w:rsidRDefault="006B4685">
            <w:pPr>
              <w:spacing w:before="0" w:after="0"/>
              <w:ind w:firstLineChars="100" w:firstLine="160"/>
              <w:jc w:val="left"/>
              <w:rPr>
                <w:noProof/>
                <w:color w:val="000000"/>
                <w:sz w:val="16"/>
                <w:szCs w:val="16"/>
                <w:lang w:val="en-IE" w:eastAsia="en-IE"/>
              </w:rPr>
            </w:pPr>
            <w:r w:rsidRPr="00E52FD3">
              <w:rPr>
                <w:noProof/>
                <w:color w:val="000000"/>
                <w:sz w:val="16"/>
                <w:szCs w:val="16"/>
                <w:lang w:val="en-IE" w:eastAsia="en-IE"/>
              </w:rPr>
              <w:t>01 01 01 11 (Direct research)</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r>
      <w:tr w:rsidR="006B4685" w:rsidRPr="00E52FD3">
        <w:trPr>
          <w:trHeight w:val="300"/>
        </w:trPr>
        <w:tc>
          <w:tcPr>
            <w:tcW w:w="2913" w:type="pct"/>
            <w:gridSpan w:val="2"/>
            <w:tcBorders>
              <w:top w:val="single" w:sz="8" w:space="0" w:color="auto"/>
              <w:left w:val="single" w:sz="8" w:space="0" w:color="auto"/>
              <w:bottom w:val="single" w:sz="8" w:space="0" w:color="auto"/>
              <w:right w:val="single" w:sz="8" w:space="0" w:color="auto"/>
            </w:tcBorders>
            <w:vAlign w:val="center"/>
            <w:hideMark/>
          </w:tcPr>
          <w:p w:rsidR="006B4685" w:rsidRPr="00E52FD3" w:rsidRDefault="006B4685">
            <w:pPr>
              <w:spacing w:before="0" w:after="0"/>
              <w:ind w:firstLineChars="100" w:firstLine="160"/>
              <w:jc w:val="left"/>
              <w:rPr>
                <w:noProof/>
                <w:color w:val="000000"/>
                <w:sz w:val="16"/>
                <w:szCs w:val="16"/>
                <w:lang w:val="en-IE" w:eastAsia="en-IE"/>
              </w:rPr>
            </w:pPr>
            <w:r w:rsidRPr="00E52FD3">
              <w:rPr>
                <w:noProof/>
                <w:color w:val="000000"/>
                <w:sz w:val="16"/>
                <w:szCs w:val="16"/>
                <w:lang w:val="en-IE" w:eastAsia="en-IE"/>
              </w:rPr>
              <w:t>Other budget lines (specify)</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r>
      <w:tr w:rsidR="006B4685" w:rsidRPr="00E52FD3">
        <w:trPr>
          <w:trHeight w:val="300"/>
        </w:trPr>
        <w:tc>
          <w:tcPr>
            <w:tcW w:w="5000" w:type="pct"/>
            <w:gridSpan w:val="6"/>
            <w:tcBorders>
              <w:top w:val="single" w:sz="8" w:space="0" w:color="auto"/>
              <w:left w:val="single" w:sz="8" w:space="0" w:color="auto"/>
              <w:bottom w:val="single" w:sz="8" w:space="0" w:color="auto"/>
              <w:right w:val="single" w:sz="4" w:space="0" w:color="auto"/>
            </w:tcBorders>
            <w:vAlign w:val="center"/>
            <w:hideMark/>
          </w:tcPr>
          <w:p w:rsidR="006B4685" w:rsidRPr="00E52FD3" w:rsidRDefault="006B4685">
            <w:pPr>
              <w:spacing w:before="0" w:after="0"/>
              <w:jc w:val="left"/>
              <w:rPr>
                <w:rFonts w:ascii="Wingdings" w:hAnsi="Wingdings" w:cs="Calibri"/>
                <w:b/>
                <w:bCs/>
                <w:noProof/>
                <w:color w:val="000000"/>
                <w:sz w:val="16"/>
                <w:szCs w:val="16"/>
                <w:lang w:val="en-IE" w:eastAsia="en-IE"/>
              </w:rPr>
            </w:pPr>
            <w:r w:rsidRPr="00E52FD3">
              <w:rPr>
                <w:rFonts w:ascii="Calibri" w:hAnsi="Calibri" w:cs="Calibri"/>
                <w:b/>
                <w:bCs/>
                <w:noProof/>
                <w:color w:val="000000"/>
                <w:sz w:val="16"/>
                <w:szCs w:val="16"/>
                <w:lang w:val="en-IE" w:eastAsia="en-IE"/>
              </w:rPr>
              <w:t>•</w:t>
            </w:r>
            <w:r w:rsidRPr="00E52FD3">
              <w:rPr>
                <w:b/>
                <w:bCs/>
                <w:noProof/>
                <w:color w:val="000000"/>
                <w:sz w:val="16"/>
                <w:szCs w:val="16"/>
                <w:lang w:val="en-IE" w:eastAsia="en-IE"/>
              </w:rPr>
              <w:t xml:space="preserve"> External staff (in F</w:t>
            </w:r>
            <w:r>
              <w:rPr>
                <w:b/>
                <w:bCs/>
                <w:noProof/>
                <w:color w:val="000000"/>
                <w:sz w:val="16"/>
                <w:szCs w:val="16"/>
                <w:lang w:val="en-IE" w:eastAsia="en-IE"/>
              </w:rPr>
              <w:t>TEs</w:t>
            </w:r>
            <w:r w:rsidRPr="00E52FD3">
              <w:rPr>
                <w:b/>
                <w:bCs/>
                <w:noProof/>
                <w:color w:val="000000"/>
                <w:sz w:val="16"/>
                <w:szCs w:val="16"/>
                <w:lang w:val="en-IE" w:eastAsia="en-IE"/>
              </w:rPr>
              <w:t>)</w:t>
            </w:r>
          </w:p>
        </w:tc>
      </w:tr>
      <w:tr w:rsidR="006B4685" w:rsidRPr="00E52FD3">
        <w:trPr>
          <w:trHeight w:val="300"/>
        </w:trPr>
        <w:tc>
          <w:tcPr>
            <w:tcW w:w="2913" w:type="pct"/>
            <w:gridSpan w:val="2"/>
            <w:tcBorders>
              <w:top w:val="single" w:sz="8" w:space="0" w:color="auto"/>
              <w:left w:val="single" w:sz="8" w:space="0" w:color="auto"/>
              <w:bottom w:val="single" w:sz="8" w:space="0" w:color="auto"/>
              <w:right w:val="single" w:sz="8" w:space="0" w:color="auto"/>
            </w:tcBorders>
            <w:vAlign w:val="center"/>
            <w:hideMark/>
          </w:tcPr>
          <w:p w:rsidR="006B4685" w:rsidRPr="00E52FD3" w:rsidRDefault="006B4685">
            <w:pPr>
              <w:spacing w:before="0" w:after="0"/>
              <w:ind w:firstLineChars="100" w:firstLine="160"/>
              <w:jc w:val="left"/>
              <w:rPr>
                <w:noProof/>
                <w:color w:val="000000"/>
                <w:sz w:val="16"/>
                <w:szCs w:val="16"/>
                <w:lang w:val="en-IE" w:eastAsia="en-IE"/>
              </w:rPr>
            </w:pPr>
            <w:r w:rsidRPr="00E52FD3">
              <w:rPr>
                <w:noProof/>
                <w:color w:val="000000"/>
                <w:sz w:val="16"/>
                <w:szCs w:val="16"/>
                <w:lang w:val="en-IE" w:eastAsia="en-IE"/>
              </w:rPr>
              <w:t>20 02 01</w:t>
            </w:r>
            <w:r w:rsidRPr="00E52FD3">
              <w:rPr>
                <w:rFonts w:ascii="Arial Narrow" w:hAnsi="Arial Narrow"/>
                <w:noProof/>
                <w:color w:val="000000"/>
                <w:sz w:val="20"/>
                <w:szCs w:val="20"/>
                <w:lang w:val="en-IE" w:eastAsia="en-IE"/>
              </w:rPr>
              <w:t xml:space="preserve"> </w:t>
            </w:r>
            <w:r w:rsidRPr="00E52FD3">
              <w:rPr>
                <w:noProof/>
                <w:color w:val="000000"/>
                <w:sz w:val="16"/>
                <w:szCs w:val="16"/>
                <w:lang w:val="en-IE" w:eastAsia="en-IE"/>
              </w:rPr>
              <w:t>(AC, END from the ‘global envelope’)</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r>
      <w:tr w:rsidR="006B4685" w:rsidRPr="00E52FD3">
        <w:trPr>
          <w:trHeight w:val="300"/>
        </w:trPr>
        <w:tc>
          <w:tcPr>
            <w:tcW w:w="2913" w:type="pct"/>
            <w:gridSpan w:val="2"/>
            <w:tcBorders>
              <w:top w:val="single" w:sz="8" w:space="0" w:color="auto"/>
              <w:left w:val="single" w:sz="8" w:space="0" w:color="auto"/>
              <w:bottom w:val="single" w:sz="8" w:space="0" w:color="auto"/>
              <w:right w:val="single" w:sz="8" w:space="0" w:color="auto"/>
            </w:tcBorders>
            <w:vAlign w:val="center"/>
            <w:hideMark/>
          </w:tcPr>
          <w:p w:rsidR="006B4685" w:rsidRPr="00E52FD3" w:rsidRDefault="006B4685">
            <w:pPr>
              <w:spacing w:before="0" w:after="0"/>
              <w:ind w:firstLineChars="100" w:firstLine="160"/>
              <w:jc w:val="left"/>
              <w:rPr>
                <w:noProof/>
                <w:color w:val="000000"/>
                <w:sz w:val="16"/>
                <w:szCs w:val="16"/>
                <w:lang w:val="en-IE" w:eastAsia="en-IE"/>
              </w:rPr>
            </w:pPr>
            <w:r w:rsidRPr="00E52FD3">
              <w:rPr>
                <w:noProof/>
                <w:color w:val="000000"/>
                <w:sz w:val="16"/>
                <w:szCs w:val="16"/>
                <w:lang w:val="en-IE" w:eastAsia="en-IE"/>
              </w:rPr>
              <w:t>20 02 03 (AC, AL, END and JPD in the EU Delegations)</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r>
      <w:tr w:rsidR="006B4685" w:rsidRPr="00E52FD3">
        <w:trPr>
          <w:trHeight w:val="300"/>
        </w:trPr>
        <w:tc>
          <w:tcPr>
            <w:tcW w:w="815" w:type="pct"/>
            <w:vMerge w:val="restart"/>
            <w:tcBorders>
              <w:top w:val="nil"/>
              <w:left w:val="single" w:sz="8" w:space="0" w:color="auto"/>
              <w:bottom w:val="single" w:sz="8" w:space="0" w:color="auto"/>
              <w:right w:val="single" w:sz="8" w:space="0" w:color="auto"/>
            </w:tcBorders>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Admin. Support line</w:t>
            </w:r>
            <w:r w:rsidRPr="00E52FD3">
              <w:rPr>
                <w:noProof/>
                <w:color w:val="000000"/>
                <w:sz w:val="16"/>
                <w:szCs w:val="16"/>
                <w:lang w:val="en-IE" w:eastAsia="en-IE"/>
              </w:rPr>
              <w:br/>
              <w:t>[XX.01.YY.YY]</w:t>
            </w:r>
          </w:p>
        </w:tc>
        <w:tc>
          <w:tcPr>
            <w:tcW w:w="2098" w:type="pct"/>
            <w:tcBorders>
              <w:top w:val="nil"/>
              <w:left w:val="nil"/>
              <w:bottom w:val="single" w:sz="8" w:space="0" w:color="auto"/>
              <w:right w:val="single" w:sz="8" w:space="0" w:color="auto"/>
            </w:tcBorders>
            <w:vAlign w:val="center"/>
            <w:hideMark/>
          </w:tcPr>
          <w:p w:rsidR="006B4685" w:rsidRPr="00E52FD3" w:rsidRDefault="006B4685">
            <w:pPr>
              <w:spacing w:before="0" w:after="0"/>
              <w:ind w:firstLineChars="100" w:firstLine="160"/>
              <w:jc w:val="left"/>
              <w:rPr>
                <w:noProof/>
                <w:color w:val="000000"/>
                <w:sz w:val="16"/>
                <w:szCs w:val="16"/>
                <w:lang w:val="en-IE" w:eastAsia="en-IE"/>
              </w:rPr>
            </w:pPr>
            <w:r w:rsidRPr="00E52FD3">
              <w:rPr>
                <w:noProof/>
                <w:color w:val="000000"/>
                <w:sz w:val="16"/>
                <w:szCs w:val="16"/>
                <w:lang w:val="en-IE" w:eastAsia="en-IE"/>
              </w:rPr>
              <w:t>- at Headquarters</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r>
      <w:tr w:rsidR="006B4685" w:rsidRPr="00E52FD3">
        <w:trPr>
          <w:trHeight w:val="300"/>
        </w:trPr>
        <w:tc>
          <w:tcPr>
            <w:tcW w:w="815" w:type="pct"/>
            <w:vMerge/>
            <w:tcBorders>
              <w:top w:val="nil"/>
              <w:left w:val="single" w:sz="8" w:space="0" w:color="auto"/>
              <w:bottom w:val="single" w:sz="8" w:space="0" w:color="auto"/>
              <w:right w:val="single" w:sz="8" w:space="0" w:color="auto"/>
            </w:tcBorders>
            <w:vAlign w:val="center"/>
            <w:hideMark/>
          </w:tcPr>
          <w:p w:rsidR="006B4685" w:rsidRPr="00E52FD3" w:rsidRDefault="006B4685">
            <w:pPr>
              <w:spacing w:before="0" w:after="0"/>
              <w:jc w:val="left"/>
              <w:rPr>
                <w:noProof/>
                <w:color w:val="000000"/>
                <w:sz w:val="16"/>
                <w:szCs w:val="16"/>
                <w:lang w:val="en-IE" w:eastAsia="en-IE"/>
              </w:rPr>
            </w:pPr>
          </w:p>
        </w:tc>
        <w:tc>
          <w:tcPr>
            <w:tcW w:w="2098" w:type="pct"/>
            <w:tcBorders>
              <w:top w:val="nil"/>
              <w:left w:val="nil"/>
              <w:bottom w:val="single" w:sz="8" w:space="0" w:color="auto"/>
              <w:right w:val="single" w:sz="8" w:space="0" w:color="auto"/>
            </w:tcBorders>
            <w:vAlign w:val="center"/>
            <w:hideMark/>
          </w:tcPr>
          <w:p w:rsidR="006B4685" w:rsidRPr="00E52FD3" w:rsidRDefault="006B4685">
            <w:pPr>
              <w:spacing w:before="0" w:after="0"/>
              <w:ind w:firstLineChars="100" w:firstLine="160"/>
              <w:jc w:val="left"/>
              <w:rPr>
                <w:noProof/>
                <w:color w:val="000000"/>
                <w:sz w:val="16"/>
                <w:szCs w:val="16"/>
                <w:lang w:val="en-IE" w:eastAsia="en-IE"/>
              </w:rPr>
            </w:pPr>
            <w:r w:rsidRPr="00E52FD3">
              <w:rPr>
                <w:noProof/>
                <w:color w:val="000000"/>
                <w:sz w:val="16"/>
                <w:szCs w:val="16"/>
                <w:lang w:val="en-IE" w:eastAsia="en-IE"/>
              </w:rPr>
              <w:t xml:space="preserve">- in EU Delegations </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r>
      <w:tr w:rsidR="006B4685" w:rsidRPr="00E52FD3">
        <w:trPr>
          <w:trHeight w:val="300"/>
        </w:trPr>
        <w:tc>
          <w:tcPr>
            <w:tcW w:w="2913" w:type="pct"/>
            <w:gridSpan w:val="2"/>
            <w:tcBorders>
              <w:top w:val="single" w:sz="8" w:space="0" w:color="auto"/>
              <w:left w:val="single" w:sz="8" w:space="0" w:color="auto"/>
              <w:bottom w:val="single" w:sz="8" w:space="0" w:color="auto"/>
              <w:right w:val="single" w:sz="8" w:space="0" w:color="auto"/>
            </w:tcBorders>
            <w:vAlign w:val="center"/>
            <w:hideMark/>
          </w:tcPr>
          <w:p w:rsidR="006B4685" w:rsidRPr="00E52FD3" w:rsidRDefault="006B4685">
            <w:pPr>
              <w:spacing w:before="0" w:after="0"/>
              <w:ind w:firstLineChars="100" w:firstLine="160"/>
              <w:jc w:val="left"/>
              <w:rPr>
                <w:noProof/>
                <w:color w:val="000000"/>
                <w:sz w:val="16"/>
                <w:szCs w:val="16"/>
                <w:lang w:val="en-IE" w:eastAsia="en-IE"/>
              </w:rPr>
            </w:pPr>
            <w:r w:rsidRPr="00E52FD3">
              <w:rPr>
                <w:noProof/>
                <w:color w:val="000000"/>
                <w:sz w:val="16"/>
                <w:szCs w:val="16"/>
                <w:lang w:val="en-IE" w:eastAsia="en-IE"/>
              </w:rPr>
              <w:t>01 01 01 02</w:t>
            </w:r>
            <w:r w:rsidRPr="00E52FD3">
              <w:rPr>
                <w:rFonts w:ascii="Arial Narrow" w:hAnsi="Arial Narrow"/>
                <w:noProof/>
                <w:color w:val="000000"/>
                <w:sz w:val="20"/>
                <w:szCs w:val="20"/>
                <w:lang w:val="en-IE" w:eastAsia="en-IE"/>
              </w:rPr>
              <w:t xml:space="preserve"> </w:t>
            </w:r>
            <w:r w:rsidRPr="00E52FD3">
              <w:rPr>
                <w:noProof/>
                <w:color w:val="000000"/>
                <w:sz w:val="16"/>
                <w:szCs w:val="16"/>
                <w:lang w:val="en-IE" w:eastAsia="en-IE"/>
              </w:rPr>
              <w:t>(AC, END - Indirect research)</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r>
      <w:tr w:rsidR="006B4685" w:rsidRPr="00E52FD3">
        <w:trPr>
          <w:trHeight w:val="300"/>
        </w:trPr>
        <w:tc>
          <w:tcPr>
            <w:tcW w:w="2913" w:type="pct"/>
            <w:gridSpan w:val="2"/>
            <w:tcBorders>
              <w:top w:val="single" w:sz="8" w:space="0" w:color="auto"/>
              <w:left w:val="single" w:sz="8" w:space="0" w:color="auto"/>
              <w:bottom w:val="single" w:sz="8" w:space="0" w:color="auto"/>
              <w:right w:val="single" w:sz="8" w:space="0" w:color="auto"/>
            </w:tcBorders>
            <w:vAlign w:val="center"/>
            <w:hideMark/>
          </w:tcPr>
          <w:p w:rsidR="006B4685" w:rsidRPr="00E52FD3" w:rsidRDefault="006B4685">
            <w:pPr>
              <w:spacing w:before="0" w:after="0"/>
              <w:ind w:firstLineChars="100" w:firstLine="160"/>
              <w:jc w:val="left"/>
              <w:rPr>
                <w:noProof/>
                <w:color w:val="000000"/>
                <w:sz w:val="16"/>
                <w:szCs w:val="16"/>
                <w:lang w:val="en-IE" w:eastAsia="en-IE"/>
              </w:rPr>
            </w:pPr>
            <w:r w:rsidRPr="00E52FD3">
              <w:rPr>
                <w:noProof/>
                <w:color w:val="000000"/>
                <w:sz w:val="16"/>
                <w:szCs w:val="16"/>
                <w:lang w:val="en-IE" w:eastAsia="en-IE"/>
              </w:rPr>
              <w:t xml:space="preserve"> 01 01 01 12 (AC, END - Direct research)</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r>
      <w:tr w:rsidR="006B4685" w:rsidRPr="00E52FD3">
        <w:trPr>
          <w:trHeight w:val="300"/>
        </w:trPr>
        <w:tc>
          <w:tcPr>
            <w:tcW w:w="2913" w:type="pct"/>
            <w:gridSpan w:val="2"/>
            <w:tcBorders>
              <w:top w:val="single" w:sz="8" w:space="0" w:color="auto"/>
              <w:left w:val="single" w:sz="8" w:space="0" w:color="auto"/>
              <w:bottom w:val="single" w:sz="8" w:space="0" w:color="auto"/>
              <w:right w:val="single" w:sz="8" w:space="0" w:color="auto"/>
            </w:tcBorders>
            <w:vAlign w:val="center"/>
            <w:hideMark/>
          </w:tcPr>
          <w:p w:rsidR="006B4685" w:rsidRPr="00E52FD3" w:rsidRDefault="006B4685">
            <w:pPr>
              <w:spacing w:before="0" w:after="0"/>
              <w:ind w:firstLineChars="100" w:firstLine="160"/>
              <w:jc w:val="left"/>
              <w:rPr>
                <w:noProof/>
                <w:color w:val="000000"/>
                <w:sz w:val="16"/>
                <w:szCs w:val="16"/>
                <w:lang w:val="en-IE" w:eastAsia="en-IE"/>
              </w:rPr>
            </w:pPr>
            <w:r w:rsidRPr="00E52FD3">
              <w:rPr>
                <w:noProof/>
                <w:color w:val="000000"/>
                <w:sz w:val="16"/>
                <w:szCs w:val="16"/>
                <w:lang w:val="en-IE" w:eastAsia="en-IE"/>
              </w:rPr>
              <w:t>Other budget lines (specify) - Heading 7</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r>
      <w:tr w:rsidR="006B4685" w:rsidRPr="00E52FD3">
        <w:trPr>
          <w:trHeight w:val="300"/>
        </w:trPr>
        <w:tc>
          <w:tcPr>
            <w:tcW w:w="2913" w:type="pct"/>
            <w:gridSpan w:val="2"/>
            <w:tcBorders>
              <w:top w:val="single" w:sz="8" w:space="0" w:color="auto"/>
              <w:left w:val="single" w:sz="8" w:space="0" w:color="auto"/>
              <w:bottom w:val="single" w:sz="8" w:space="0" w:color="auto"/>
              <w:right w:val="single" w:sz="8" w:space="0" w:color="auto"/>
            </w:tcBorders>
            <w:vAlign w:val="center"/>
            <w:hideMark/>
          </w:tcPr>
          <w:p w:rsidR="006B4685" w:rsidRPr="00E52FD3" w:rsidRDefault="006B4685">
            <w:pPr>
              <w:spacing w:before="0" w:after="0"/>
              <w:ind w:firstLineChars="100" w:firstLine="160"/>
              <w:jc w:val="left"/>
              <w:rPr>
                <w:noProof/>
                <w:color w:val="000000"/>
                <w:sz w:val="16"/>
                <w:szCs w:val="16"/>
                <w:lang w:val="en-IE" w:eastAsia="en-IE"/>
              </w:rPr>
            </w:pPr>
            <w:r w:rsidRPr="00E52FD3">
              <w:rPr>
                <w:noProof/>
                <w:color w:val="000000"/>
                <w:sz w:val="16"/>
                <w:szCs w:val="16"/>
                <w:lang w:val="en-IE" w:eastAsia="en-IE"/>
              </w:rPr>
              <w:t>Other budget lines (specify) - Outside Heading 7</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noProof/>
                <w:color w:val="000000"/>
                <w:sz w:val="16"/>
                <w:szCs w:val="16"/>
                <w:lang w:val="en-IE" w:eastAsia="en-IE"/>
              </w:rPr>
            </w:pPr>
            <w:r w:rsidRPr="00E52FD3">
              <w:rPr>
                <w:noProof/>
                <w:color w:val="000000"/>
                <w:sz w:val="16"/>
                <w:szCs w:val="16"/>
                <w:lang w:val="en-IE" w:eastAsia="en-IE"/>
              </w:rPr>
              <w:t>0</w:t>
            </w:r>
          </w:p>
        </w:tc>
      </w:tr>
      <w:tr w:rsidR="006B4685" w:rsidRPr="00E52FD3">
        <w:trPr>
          <w:trHeight w:val="300"/>
        </w:trPr>
        <w:tc>
          <w:tcPr>
            <w:tcW w:w="2913" w:type="pct"/>
            <w:gridSpan w:val="2"/>
            <w:tcBorders>
              <w:top w:val="single" w:sz="8" w:space="0" w:color="auto"/>
              <w:left w:val="single" w:sz="8" w:space="0" w:color="auto"/>
              <w:bottom w:val="single" w:sz="8" w:space="0" w:color="auto"/>
              <w:right w:val="single" w:sz="8" w:space="0" w:color="auto"/>
            </w:tcBorders>
            <w:vAlign w:val="center"/>
            <w:hideMark/>
          </w:tcPr>
          <w:p w:rsidR="006B4685" w:rsidRPr="00E52FD3" w:rsidRDefault="006B4685">
            <w:pPr>
              <w:spacing w:before="0" w:after="0"/>
              <w:ind w:firstLineChars="100" w:firstLine="160"/>
              <w:jc w:val="left"/>
              <w:rPr>
                <w:b/>
                <w:bCs/>
                <w:noProof/>
                <w:color w:val="000000"/>
                <w:sz w:val="16"/>
                <w:szCs w:val="16"/>
                <w:lang w:val="en-IE" w:eastAsia="en-IE"/>
              </w:rPr>
            </w:pPr>
            <w:r w:rsidRPr="00E52FD3">
              <w:rPr>
                <w:b/>
                <w:bCs/>
                <w:noProof/>
                <w:color w:val="000000"/>
                <w:sz w:val="16"/>
                <w:szCs w:val="16"/>
                <w:lang w:val="en-IE" w:eastAsia="en-IE"/>
              </w:rPr>
              <w:t>TOTAL</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b/>
                <w:bCs/>
                <w:noProof/>
                <w:color w:val="000000"/>
                <w:sz w:val="16"/>
                <w:szCs w:val="16"/>
                <w:lang w:val="en-IE" w:eastAsia="en-IE"/>
              </w:rPr>
            </w:pPr>
            <w:r w:rsidRPr="00E52FD3">
              <w:rPr>
                <w:b/>
                <w:bCs/>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b/>
                <w:bCs/>
                <w:noProof/>
                <w:color w:val="000000"/>
                <w:sz w:val="16"/>
                <w:szCs w:val="16"/>
                <w:lang w:val="en-IE" w:eastAsia="en-IE"/>
              </w:rPr>
            </w:pPr>
            <w:r w:rsidRPr="00E52FD3">
              <w:rPr>
                <w:b/>
                <w:bCs/>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b/>
                <w:bCs/>
                <w:noProof/>
                <w:color w:val="000000"/>
                <w:sz w:val="16"/>
                <w:szCs w:val="16"/>
                <w:lang w:val="en-IE" w:eastAsia="en-IE"/>
              </w:rPr>
            </w:pPr>
            <w:r w:rsidRPr="00E52FD3">
              <w:rPr>
                <w:b/>
                <w:bCs/>
                <w:noProof/>
                <w:color w:val="000000"/>
                <w:sz w:val="16"/>
                <w:szCs w:val="16"/>
                <w:lang w:val="en-IE" w:eastAsia="en-IE"/>
              </w:rPr>
              <w:t>0</w:t>
            </w:r>
          </w:p>
        </w:tc>
        <w:tc>
          <w:tcPr>
            <w:tcW w:w="522" w:type="pct"/>
            <w:tcBorders>
              <w:top w:val="nil"/>
              <w:left w:val="nil"/>
              <w:bottom w:val="single" w:sz="8" w:space="0" w:color="auto"/>
              <w:right w:val="single" w:sz="8" w:space="0" w:color="auto"/>
            </w:tcBorders>
            <w:shd w:val="clear" w:color="000000" w:fill="D9D9D9"/>
            <w:vAlign w:val="center"/>
            <w:hideMark/>
          </w:tcPr>
          <w:p w:rsidR="006B4685" w:rsidRPr="00E52FD3" w:rsidRDefault="006B4685">
            <w:pPr>
              <w:spacing w:before="0" w:after="0"/>
              <w:jc w:val="center"/>
              <w:rPr>
                <w:b/>
                <w:bCs/>
                <w:noProof/>
                <w:color w:val="000000"/>
                <w:sz w:val="16"/>
                <w:szCs w:val="16"/>
                <w:lang w:val="en-IE" w:eastAsia="en-IE"/>
              </w:rPr>
            </w:pPr>
            <w:r w:rsidRPr="00E52FD3">
              <w:rPr>
                <w:b/>
                <w:bCs/>
                <w:noProof/>
                <w:color w:val="000000"/>
                <w:sz w:val="16"/>
                <w:szCs w:val="16"/>
                <w:lang w:val="en-IE" w:eastAsia="en-IE"/>
              </w:rPr>
              <w:t>0</w:t>
            </w:r>
          </w:p>
        </w:tc>
      </w:tr>
    </w:tbl>
    <w:p w:rsidR="006B4685" w:rsidRPr="001073B2" w:rsidRDefault="006B4685" w:rsidP="006B4685">
      <w:pPr>
        <w:pStyle w:val="Text1"/>
        <w:ind w:left="-426"/>
        <w:rPr>
          <w:noProof/>
          <w:color w:val="000000" w:themeColor="text1"/>
        </w:rPr>
      </w:pPr>
      <w:r w:rsidRPr="6CBBF117">
        <w:rPr>
          <w:noProof/>
          <w:color w:val="000000" w:themeColor="text1"/>
        </w:rPr>
        <w:t xml:space="preserve">The staff required to implement the proposal </w:t>
      </w:r>
      <w:r>
        <w:rPr>
          <w:noProof/>
          <w:color w:val="000000" w:themeColor="text1"/>
        </w:rPr>
        <w:t>(in FTEs</w:t>
      </w:r>
      <w:r w:rsidRPr="6CBBF117">
        <w:rPr>
          <w:noProof/>
          <w:color w:val="000000" w:themeColor="text1"/>
        </w:rPr>
        <w:t>):</w:t>
      </w:r>
    </w:p>
    <w:tbl>
      <w:tblPr>
        <w:tblStyle w:val="TableGrid"/>
        <w:tblW w:w="0" w:type="auto"/>
        <w:tblInd w:w="-426" w:type="dxa"/>
        <w:tblLook w:val="04A0" w:firstRow="1" w:lastRow="0" w:firstColumn="1" w:lastColumn="0" w:noHBand="0" w:noVBand="1"/>
      </w:tblPr>
      <w:tblGrid>
        <w:gridCol w:w="2061"/>
        <w:gridCol w:w="1993"/>
        <w:gridCol w:w="1747"/>
        <w:gridCol w:w="1938"/>
        <w:gridCol w:w="1748"/>
      </w:tblGrid>
      <w:tr w:rsidR="006B4685">
        <w:tc>
          <w:tcPr>
            <w:tcW w:w="2061" w:type="dxa"/>
          </w:tcPr>
          <w:p w:rsidR="006B4685" w:rsidRPr="00310A4B" w:rsidRDefault="006B4685">
            <w:pPr>
              <w:pStyle w:val="Text1"/>
              <w:ind w:left="0"/>
              <w:jc w:val="center"/>
              <w:rPr>
                <w:b/>
                <w:bCs/>
                <w:noProof/>
                <w:sz w:val="22"/>
                <w:szCs w:val="28"/>
              </w:rPr>
            </w:pPr>
          </w:p>
        </w:tc>
        <w:tc>
          <w:tcPr>
            <w:tcW w:w="1993" w:type="dxa"/>
          </w:tcPr>
          <w:p w:rsidR="006B4685" w:rsidRPr="00310A4B" w:rsidRDefault="006B4685">
            <w:pPr>
              <w:pStyle w:val="Text1"/>
              <w:ind w:left="0"/>
              <w:jc w:val="center"/>
              <w:rPr>
                <w:b/>
                <w:bCs/>
                <w:noProof/>
                <w:sz w:val="22"/>
                <w:szCs w:val="28"/>
              </w:rPr>
            </w:pPr>
            <w:r>
              <w:rPr>
                <w:b/>
                <w:bCs/>
                <w:noProof/>
                <w:sz w:val="22"/>
                <w:szCs w:val="28"/>
              </w:rPr>
              <w:t>Current staff available in the Commission services</w:t>
            </w:r>
          </w:p>
        </w:tc>
        <w:tc>
          <w:tcPr>
            <w:tcW w:w="5433" w:type="dxa"/>
            <w:gridSpan w:val="3"/>
          </w:tcPr>
          <w:p w:rsidR="006B4685" w:rsidRPr="00310A4B" w:rsidRDefault="006B4685">
            <w:pPr>
              <w:pStyle w:val="Text1"/>
              <w:ind w:left="0"/>
              <w:jc w:val="center"/>
              <w:rPr>
                <w:b/>
                <w:bCs/>
                <w:noProof/>
                <w:sz w:val="22"/>
                <w:szCs w:val="28"/>
              </w:rPr>
            </w:pPr>
            <w:r w:rsidRPr="00310A4B">
              <w:rPr>
                <w:b/>
                <w:bCs/>
                <w:noProof/>
                <w:sz w:val="22"/>
                <w:szCs w:val="28"/>
              </w:rPr>
              <w:t>Additional staff</w:t>
            </w:r>
            <w:r>
              <w:rPr>
                <w:b/>
                <w:bCs/>
                <w:noProof/>
                <w:sz w:val="22"/>
                <w:szCs w:val="28"/>
              </w:rPr>
              <w:t>*</w:t>
            </w:r>
          </w:p>
        </w:tc>
      </w:tr>
      <w:tr w:rsidR="006B4685">
        <w:tc>
          <w:tcPr>
            <w:tcW w:w="2061" w:type="dxa"/>
          </w:tcPr>
          <w:p w:rsidR="006B4685" w:rsidRPr="00310A4B" w:rsidRDefault="006B4685">
            <w:pPr>
              <w:pStyle w:val="Text1"/>
              <w:ind w:left="0"/>
              <w:jc w:val="center"/>
              <w:rPr>
                <w:b/>
                <w:bCs/>
                <w:noProof/>
                <w:sz w:val="22"/>
                <w:szCs w:val="28"/>
              </w:rPr>
            </w:pPr>
          </w:p>
        </w:tc>
        <w:tc>
          <w:tcPr>
            <w:tcW w:w="1993" w:type="dxa"/>
          </w:tcPr>
          <w:p w:rsidR="006B4685" w:rsidRPr="00310A4B" w:rsidRDefault="006B4685">
            <w:pPr>
              <w:pStyle w:val="Text1"/>
              <w:ind w:left="0"/>
              <w:jc w:val="center"/>
              <w:rPr>
                <w:b/>
                <w:bCs/>
                <w:noProof/>
                <w:sz w:val="22"/>
                <w:szCs w:val="28"/>
              </w:rPr>
            </w:pPr>
          </w:p>
        </w:tc>
        <w:tc>
          <w:tcPr>
            <w:tcW w:w="1747" w:type="dxa"/>
          </w:tcPr>
          <w:p w:rsidR="006B4685" w:rsidRPr="00310A4B" w:rsidRDefault="006B4685">
            <w:pPr>
              <w:pStyle w:val="Text1"/>
              <w:ind w:left="0"/>
              <w:jc w:val="center"/>
              <w:rPr>
                <w:b/>
                <w:bCs/>
                <w:noProof/>
                <w:sz w:val="22"/>
                <w:szCs w:val="28"/>
              </w:rPr>
            </w:pPr>
            <w:r w:rsidRPr="00310A4B">
              <w:rPr>
                <w:b/>
                <w:bCs/>
                <w:noProof/>
                <w:sz w:val="22"/>
                <w:szCs w:val="28"/>
              </w:rPr>
              <w:t xml:space="preserve">To be financed </w:t>
            </w:r>
            <w:r>
              <w:rPr>
                <w:b/>
                <w:bCs/>
                <w:noProof/>
                <w:sz w:val="22"/>
                <w:szCs w:val="28"/>
              </w:rPr>
              <w:t xml:space="preserve">under </w:t>
            </w:r>
            <w:r w:rsidRPr="00310A4B">
              <w:rPr>
                <w:b/>
                <w:bCs/>
                <w:noProof/>
                <w:sz w:val="22"/>
                <w:szCs w:val="28"/>
              </w:rPr>
              <w:t xml:space="preserve">Heading 7 </w:t>
            </w:r>
            <w:r>
              <w:rPr>
                <w:b/>
                <w:bCs/>
                <w:noProof/>
                <w:sz w:val="22"/>
                <w:szCs w:val="28"/>
              </w:rPr>
              <w:t>or</w:t>
            </w:r>
            <w:r w:rsidRPr="00310A4B">
              <w:rPr>
                <w:b/>
                <w:bCs/>
                <w:noProof/>
                <w:sz w:val="22"/>
                <w:szCs w:val="28"/>
              </w:rPr>
              <w:t xml:space="preserve"> Research</w:t>
            </w:r>
          </w:p>
        </w:tc>
        <w:tc>
          <w:tcPr>
            <w:tcW w:w="1938" w:type="dxa"/>
          </w:tcPr>
          <w:p w:rsidR="006B4685" w:rsidRPr="00310A4B" w:rsidRDefault="006B4685">
            <w:pPr>
              <w:pStyle w:val="Text1"/>
              <w:ind w:left="0"/>
              <w:jc w:val="center"/>
              <w:rPr>
                <w:b/>
                <w:bCs/>
                <w:noProof/>
                <w:sz w:val="22"/>
                <w:szCs w:val="28"/>
              </w:rPr>
            </w:pPr>
            <w:r w:rsidRPr="00310A4B">
              <w:rPr>
                <w:b/>
                <w:bCs/>
                <w:noProof/>
                <w:sz w:val="22"/>
                <w:szCs w:val="28"/>
              </w:rPr>
              <w:t>To be financed from BA line</w:t>
            </w:r>
          </w:p>
        </w:tc>
        <w:tc>
          <w:tcPr>
            <w:tcW w:w="1748" w:type="dxa"/>
          </w:tcPr>
          <w:p w:rsidR="006B4685" w:rsidRPr="00310A4B" w:rsidRDefault="006B4685">
            <w:pPr>
              <w:pStyle w:val="Text1"/>
              <w:ind w:left="0"/>
              <w:jc w:val="center"/>
              <w:rPr>
                <w:b/>
                <w:bCs/>
                <w:noProof/>
                <w:sz w:val="22"/>
                <w:szCs w:val="28"/>
              </w:rPr>
            </w:pPr>
            <w:r w:rsidRPr="00310A4B">
              <w:rPr>
                <w:b/>
                <w:bCs/>
                <w:noProof/>
                <w:sz w:val="22"/>
                <w:szCs w:val="28"/>
              </w:rPr>
              <w:t>To be financed from fees</w:t>
            </w:r>
          </w:p>
        </w:tc>
      </w:tr>
      <w:tr w:rsidR="006B4685">
        <w:tc>
          <w:tcPr>
            <w:tcW w:w="2061" w:type="dxa"/>
          </w:tcPr>
          <w:p w:rsidR="006B4685" w:rsidRDefault="006B4685">
            <w:pPr>
              <w:pStyle w:val="Text1"/>
              <w:ind w:left="0"/>
              <w:rPr>
                <w:noProof/>
                <w:sz w:val="22"/>
                <w:szCs w:val="28"/>
              </w:rPr>
            </w:pPr>
            <w:r>
              <w:rPr>
                <w:noProof/>
                <w:sz w:val="22"/>
                <w:szCs w:val="28"/>
              </w:rPr>
              <w:t>Establishment plan posts</w:t>
            </w:r>
          </w:p>
        </w:tc>
        <w:tc>
          <w:tcPr>
            <w:tcW w:w="1993" w:type="dxa"/>
          </w:tcPr>
          <w:p w:rsidR="006B4685" w:rsidRDefault="006B4685">
            <w:pPr>
              <w:pStyle w:val="Text1"/>
              <w:ind w:left="0"/>
              <w:rPr>
                <w:noProof/>
                <w:sz w:val="22"/>
                <w:szCs w:val="28"/>
              </w:rPr>
            </w:pPr>
          </w:p>
        </w:tc>
        <w:tc>
          <w:tcPr>
            <w:tcW w:w="1747" w:type="dxa"/>
          </w:tcPr>
          <w:p w:rsidR="006B4685" w:rsidRDefault="006B4685">
            <w:pPr>
              <w:pStyle w:val="Text1"/>
              <w:ind w:left="0"/>
              <w:rPr>
                <w:noProof/>
                <w:sz w:val="22"/>
                <w:szCs w:val="28"/>
              </w:rPr>
            </w:pPr>
          </w:p>
        </w:tc>
        <w:tc>
          <w:tcPr>
            <w:tcW w:w="1938" w:type="dxa"/>
          </w:tcPr>
          <w:p w:rsidR="006B4685" w:rsidRDefault="006B4685">
            <w:pPr>
              <w:pStyle w:val="Text1"/>
              <w:ind w:left="0"/>
              <w:rPr>
                <w:noProof/>
                <w:sz w:val="22"/>
                <w:szCs w:val="28"/>
              </w:rPr>
            </w:pPr>
            <w:r>
              <w:rPr>
                <w:noProof/>
                <w:sz w:val="22"/>
                <w:szCs w:val="28"/>
              </w:rPr>
              <w:t>N/A</w:t>
            </w:r>
          </w:p>
        </w:tc>
        <w:tc>
          <w:tcPr>
            <w:tcW w:w="1748" w:type="dxa"/>
          </w:tcPr>
          <w:p w:rsidR="006B4685" w:rsidRDefault="006B4685">
            <w:pPr>
              <w:pStyle w:val="Text1"/>
              <w:ind w:left="0"/>
              <w:rPr>
                <w:noProof/>
                <w:sz w:val="22"/>
                <w:szCs w:val="28"/>
              </w:rPr>
            </w:pPr>
          </w:p>
        </w:tc>
      </w:tr>
      <w:tr w:rsidR="006B4685">
        <w:tc>
          <w:tcPr>
            <w:tcW w:w="2061" w:type="dxa"/>
          </w:tcPr>
          <w:p w:rsidR="006B4685" w:rsidRDefault="006B4685">
            <w:pPr>
              <w:pStyle w:val="Text1"/>
              <w:ind w:left="0"/>
              <w:rPr>
                <w:noProof/>
                <w:sz w:val="22"/>
                <w:szCs w:val="28"/>
              </w:rPr>
            </w:pPr>
            <w:r>
              <w:rPr>
                <w:noProof/>
                <w:sz w:val="22"/>
                <w:szCs w:val="28"/>
              </w:rPr>
              <w:t>External staff (CA, SNEs, INT)</w:t>
            </w:r>
          </w:p>
        </w:tc>
        <w:tc>
          <w:tcPr>
            <w:tcW w:w="1993" w:type="dxa"/>
          </w:tcPr>
          <w:p w:rsidR="006B4685" w:rsidRDefault="006B4685">
            <w:pPr>
              <w:pStyle w:val="Text1"/>
              <w:ind w:left="0"/>
              <w:rPr>
                <w:noProof/>
                <w:sz w:val="22"/>
                <w:szCs w:val="28"/>
              </w:rPr>
            </w:pPr>
          </w:p>
        </w:tc>
        <w:tc>
          <w:tcPr>
            <w:tcW w:w="1747" w:type="dxa"/>
          </w:tcPr>
          <w:p w:rsidR="006B4685" w:rsidRDefault="006B4685">
            <w:pPr>
              <w:pStyle w:val="Text1"/>
              <w:ind w:left="0"/>
              <w:rPr>
                <w:noProof/>
                <w:sz w:val="22"/>
                <w:szCs w:val="28"/>
              </w:rPr>
            </w:pPr>
          </w:p>
        </w:tc>
        <w:tc>
          <w:tcPr>
            <w:tcW w:w="1938" w:type="dxa"/>
          </w:tcPr>
          <w:p w:rsidR="006B4685" w:rsidRDefault="006B4685">
            <w:pPr>
              <w:pStyle w:val="Text1"/>
              <w:ind w:left="0"/>
              <w:rPr>
                <w:noProof/>
                <w:sz w:val="22"/>
                <w:szCs w:val="28"/>
              </w:rPr>
            </w:pPr>
          </w:p>
        </w:tc>
        <w:tc>
          <w:tcPr>
            <w:tcW w:w="1748" w:type="dxa"/>
          </w:tcPr>
          <w:p w:rsidR="006B4685" w:rsidRDefault="006B4685">
            <w:pPr>
              <w:pStyle w:val="Text1"/>
              <w:ind w:left="0"/>
              <w:rPr>
                <w:noProof/>
                <w:sz w:val="22"/>
                <w:szCs w:val="28"/>
              </w:rPr>
            </w:pPr>
          </w:p>
        </w:tc>
      </w:tr>
    </w:tbl>
    <w:p w:rsidR="006B4685" w:rsidRDefault="006B4685" w:rsidP="006B4685">
      <w:pPr>
        <w:pStyle w:val="Text1"/>
        <w:ind w:left="-426" w:right="-427"/>
        <w:rPr>
          <w:noProof/>
          <w:lang w:val="en-IE"/>
        </w:rPr>
      </w:pPr>
      <w:r>
        <w:rPr>
          <w:noProof/>
          <w:lang w:val="en-IE"/>
        </w:rPr>
        <w:t>D</w:t>
      </w:r>
      <w:r w:rsidRPr="003A769F">
        <w:rPr>
          <w:noProof/>
          <w:lang w:val="en-IE"/>
        </w:rPr>
        <w:t>escription of tasks to be carried out</w:t>
      </w:r>
      <w:r>
        <w:rPr>
          <w:noProof/>
          <w:lang w:val="en-IE"/>
        </w:rPr>
        <w:t xml:space="preserve"> by</w:t>
      </w:r>
      <w:r w:rsidRPr="003A769F">
        <w:rPr>
          <w:noProof/>
          <w:lang w:val="en-IE"/>
        </w:rPr>
        <w: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240771">
        <w:tc>
          <w:tcPr>
            <w:tcW w:w="3240" w:type="dxa"/>
          </w:tcPr>
          <w:p w:rsidR="006B4685" w:rsidRDefault="006B4685">
            <w:pPr>
              <w:rPr>
                <w:noProof/>
                <w:sz w:val="20"/>
              </w:rPr>
            </w:pPr>
            <w:r>
              <w:rPr>
                <w:noProof/>
                <w:sz w:val="20"/>
              </w:rPr>
              <w:t>Officials and temporary staff</w:t>
            </w:r>
          </w:p>
        </w:tc>
        <w:tc>
          <w:tcPr>
            <w:tcW w:w="7200" w:type="dxa"/>
          </w:tcPr>
          <w:p w:rsidR="006B4685" w:rsidRDefault="006B4685">
            <w:pPr>
              <w:rPr>
                <w:noProof/>
                <w:sz w:val="20"/>
              </w:rPr>
            </w:pPr>
          </w:p>
        </w:tc>
      </w:tr>
      <w:tr w:rsidR="00240771">
        <w:tc>
          <w:tcPr>
            <w:tcW w:w="3240" w:type="dxa"/>
          </w:tcPr>
          <w:p w:rsidR="006B4685" w:rsidRDefault="006B4685">
            <w:pPr>
              <w:spacing w:before="60" w:after="60"/>
              <w:rPr>
                <w:noProof/>
                <w:sz w:val="20"/>
              </w:rPr>
            </w:pPr>
            <w:r>
              <w:rPr>
                <w:noProof/>
                <w:sz w:val="20"/>
              </w:rPr>
              <w:t>External staff</w:t>
            </w:r>
          </w:p>
        </w:tc>
        <w:tc>
          <w:tcPr>
            <w:tcW w:w="7200" w:type="dxa"/>
          </w:tcPr>
          <w:p w:rsidR="006B4685" w:rsidRDefault="006B4685">
            <w:pPr>
              <w:rPr>
                <w:noProof/>
                <w:sz w:val="20"/>
              </w:rPr>
            </w:pPr>
          </w:p>
        </w:tc>
      </w:tr>
    </w:tbl>
    <w:p w:rsidR="006B4685" w:rsidRPr="00235FE8" w:rsidRDefault="006B4685" w:rsidP="006B4685">
      <w:pPr>
        <w:pStyle w:val="ManualHeading3"/>
        <w:rPr>
          <w:i w:val="0"/>
          <w:noProof/>
        </w:rPr>
      </w:pPr>
      <w:bookmarkStart w:id="156" w:name="_Toc198557787"/>
      <w:r>
        <w:rPr>
          <w:noProof/>
        </w:rPr>
        <w:t>3.2.5.</w:t>
      </w:r>
      <w:r>
        <w:rPr>
          <w:noProof/>
        </w:rPr>
        <w:tab/>
      </w:r>
      <w:r w:rsidRPr="000C2E25">
        <w:rPr>
          <w:noProof/>
        </w:rPr>
        <w:t xml:space="preserve">Overview of estimated impact on </w:t>
      </w:r>
      <w:r>
        <w:rPr>
          <w:noProof/>
        </w:rPr>
        <w:t>d</w:t>
      </w:r>
      <w:r w:rsidRPr="000C2E25">
        <w:rPr>
          <w:noProof/>
        </w:rPr>
        <w:t>igital</w:t>
      </w:r>
      <w:r>
        <w:rPr>
          <w:noProof/>
        </w:rPr>
        <w:t xml:space="preserve"> technology-</w:t>
      </w:r>
      <w:r w:rsidRPr="000C2E25">
        <w:rPr>
          <w:noProof/>
        </w:rPr>
        <w:t xml:space="preserve">related </w:t>
      </w:r>
      <w:r>
        <w:rPr>
          <w:noProof/>
        </w:rPr>
        <w:t xml:space="preserve">investments </w:t>
      </w:r>
      <w:bookmarkEnd w:id="156"/>
    </w:p>
    <w:p w:rsidR="006B4685" w:rsidRPr="008C5AAB" w:rsidRDefault="006B4685" w:rsidP="006B4685">
      <w:pPr>
        <w:pStyle w:val="Text1"/>
        <w:spacing w:line="259" w:lineRule="auto"/>
        <w:rPr>
          <w:noProof/>
        </w:rPr>
      </w:pPr>
      <w:r w:rsidRPr="008C5AAB">
        <w:rPr>
          <w:noProof/>
        </w:rPr>
        <w:t xml:space="preserve">Compulsory: the best estimate of the </w:t>
      </w:r>
      <w:r>
        <w:rPr>
          <w:noProof/>
        </w:rPr>
        <w:t>d</w:t>
      </w:r>
      <w:r w:rsidRPr="008C5AAB">
        <w:rPr>
          <w:noProof/>
        </w:rPr>
        <w:t>igital</w:t>
      </w:r>
      <w:r>
        <w:rPr>
          <w:noProof/>
        </w:rPr>
        <w:t xml:space="preserve"> technology-related</w:t>
      </w:r>
      <w:r w:rsidRPr="008C5AAB">
        <w:rPr>
          <w:noProof/>
        </w:rPr>
        <w:t xml:space="preserve"> </w:t>
      </w:r>
      <w:r>
        <w:rPr>
          <w:noProof/>
        </w:rPr>
        <w:t>investments</w:t>
      </w:r>
      <w:r w:rsidRPr="008C5AAB">
        <w:rPr>
          <w:noProof/>
        </w:rPr>
        <w:t xml:space="preserve"> entailed by the proposal/initiative should be included in the table below. </w:t>
      </w:r>
    </w:p>
    <w:p w:rsidR="006B4685" w:rsidRPr="008C5AAB" w:rsidRDefault="006B4685" w:rsidP="006B4685">
      <w:pPr>
        <w:pStyle w:val="Text1"/>
        <w:spacing w:line="259" w:lineRule="auto"/>
        <w:rPr>
          <w:noProof/>
        </w:rPr>
      </w:pPr>
      <w:r w:rsidRPr="008C5AAB">
        <w:rPr>
          <w:noProof/>
        </w:rPr>
        <w:t>Exceptionally, when required for the implementation of the proposal/init</w:t>
      </w:r>
      <w:r>
        <w:rPr>
          <w:noProof/>
        </w:rPr>
        <w:t>i</w:t>
      </w:r>
      <w:r w:rsidRPr="008C5AAB">
        <w:rPr>
          <w:noProof/>
        </w:rPr>
        <w:t xml:space="preserve">ative, the appropriations under Heading 7 should be presented in the designated line. </w:t>
      </w:r>
    </w:p>
    <w:p w:rsidR="006B4685" w:rsidRDefault="006B4685" w:rsidP="006B4685">
      <w:pPr>
        <w:pStyle w:val="Text1"/>
        <w:spacing w:line="259" w:lineRule="auto"/>
        <w:rPr>
          <w:noProof/>
        </w:rPr>
      </w:pPr>
      <w:r w:rsidRPr="008C5AAB">
        <w:rPr>
          <w:noProof/>
        </w:rPr>
        <w:t xml:space="preserve">The appropriations under Headings 1-6 should be reflected as “Policy IT expenditure on operational programmes”. This expenditure refers to the operational budget to be used to </w:t>
      </w:r>
      <w:r>
        <w:rPr>
          <w:noProof/>
        </w:rPr>
        <w:t xml:space="preserve">re-use/ buy/ </w:t>
      </w:r>
      <w:r w:rsidRPr="008C5AAB">
        <w:rPr>
          <w:noProof/>
        </w:rPr>
        <w:t xml:space="preserve">develop IT platforms/tools directly linked to the implementation of the initiative and their associated </w:t>
      </w:r>
      <w:r>
        <w:rPr>
          <w:noProof/>
        </w:rPr>
        <w:t>investments</w:t>
      </w:r>
      <w:r w:rsidRPr="008C5AAB">
        <w:rPr>
          <w:noProof/>
        </w:rPr>
        <w:t xml:space="preserve"> (e.g. licences, studies, data storage etc). The information provided in this table should be co</w:t>
      </w:r>
      <w:r>
        <w:rPr>
          <w:noProof/>
        </w:rPr>
        <w:t>nsistent</w:t>
      </w:r>
      <w:r w:rsidRPr="008C5AAB">
        <w:rPr>
          <w:noProof/>
        </w:rPr>
        <w:t xml:space="preserve"> with details presented under </w:t>
      </w:r>
      <w:r>
        <w:rPr>
          <w:noProof/>
        </w:rPr>
        <w:t>S</w:t>
      </w:r>
      <w:r w:rsidRPr="008C5AAB">
        <w:rPr>
          <w:noProof/>
        </w:rPr>
        <w:t xml:space="preserve">ection 4 “Digital </w:t>
      </w:r>
      <w:r>
        <w:rPr>
          <w:noProof/>
        </w:rPr>
        <w:t>dimensions</w:t>
      </w:r>
      <w:r w:rsidRPr="008C5AAB">
        <w:rPr>
          <w:noProof/>
        </w:rPr>
        <w:t>”.</w:t>
      </w:r>
    </w:p>
    <w:tbl>
      <w:tblPr>
        <w:tblW w:w="0" w:type="auto"/>
        <w:tblLayout w:type="fixed"/>
        <w:tblLook w:val="04A0" w:firstRow="1" w:lastRow="0" w:firstColumn="1" w:lastColumn="0" w:noHBand="0" w:noVBand="1"/>
      </w:tblPr>
      <w:tblGrid>
        <w:gridCol w:w="3214"/>
        <w:gridCol w:w="835"/>
        <w:gridCol w:w="835"/>
        <w:gridCol w:w="835"/>
        <w:gridCol w:w="835"/>
        <w:gridCol w:w="981"/>
      </w:tblGrid>
      <w:tr w:rsidR="006B4685">
        <w:trPr>
          <w:trHeight w:val="525"/>
        </w:trPr>
        <w:tc>
          <w:tcPr>
            <w:tcW w:w="3214"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B4685" w:rsidRDefault="006B4685">
            <w:pPr>
              <w:spacing w:before="0" w:after="0"/>
              <w:jc w:val="center"/>
              <w:rPr>
                <w:b/>
                <w:bCs/>
                <w:noProof/>
                <w:color w:val="000000" w:themeColor="text1"/>
                <w:sz w:val="18"/>
                <w:szCs w:val="18"/>
              </w:rPr>
            </w:pPr>
            <w:r w:rsidRPr="52050D6D">
              <w:rPr>
                <w:b/>
                <w:bCs/>
                <w:noProof/>
                <w:color w:val="000000" w:themeColor="text1"/>
                <w:sz w:val="18"/>
                <w:szCs w:val="18"/>
              </w:rPr>
              <w:t>TOTAL</w:t>
            </w:r>
            <w:r>
              <w:rPr>
                <w:b/>
                <w:bCs/>
                <w:noProof/>
                <w:color w:val="000000" w:themeColor="text1"/>
                <w:sz w:val="18"/>
                <w:szCs w:val="18"/>
              </w:rPr>
              <w:t xml:space="preserve"> </w:t>
            </w:r>
            <w:r w:rsidRPr="52050D6D">
              <w:rPr>
                <w:b/>
                <w:bCs/>
                <w:noProof/>
                <w:color w:val="000000" w:themeColor="text1"/>
                <w:sz w:val="18"/>
                <w:szCs w:val="18"/>
              </w:rPr>
              <w:t>Digital and IT appropriations</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rsidR="006B4685" w:rsidRDefault="006B4685">
            <w:pPr>
              <w:spacing w:before="0" w:after="0"/>
              <w:jc w:val="center"/>
              <w:rPr>
                <w:noProof/>
                <w:color w:val="000000" w:themeColor="text1"/>
                <w:sz w:val="18"/>
                <w:szCs w:val="18"/>
              </w:rPr>
            </w:pPr>
            <w:r w:rsidRPr="52050D6D">
              <w:rPr>
                <w:noProof/>
                <w:color w:val="000000" w:themeColor="text1"/>
                <w:sz w:val="18"/>
                <w:szCs w:val="18"/>
              </w:rPr>
              <w:t>Year</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rsidR="006B4685" w:rsidRDefault="006B4685">
            <w:pPr>
              <w:spacing w:before="0" w:after="0"/>
              <w:jc w:val="center"/>
              <w:rPr>
                <w:noProof/>
                <w:color w:val="000000" w:themeColor="text1"/>
                <w:sz w:val="18"/>
                <w:szCs w:val="18"/>
              </w:rPr>
            </w:pPr>
            <w:r w:rsidRPr="52050D6D">
              <w:rPr>
                <w:noProof/>
                <w:color w:val="000000" w:themeColor="text1"/>
                <w:sz w:val="18"/>
                <w:szCs w:val="18"/>
              </w:rPr>
              <w:t>Year</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rsidR="006B4685" w:rsidRDefault="006B4685">
            <w:pPr>
              <w:spacing w:before="0" w:after="0"/>
              <w:jc w:val="center"/>
              <w:rPr>
                <w:noProof/>
                <w:color w:val="000000" w:themeColor="text1"/>
                <w:sz w:val="18"/>
                <w:szCs w:val="18"/>
              </w:rPr>
            </w:pPr>
            <w:r w:rsidRPr="52050D6D">
              <w:rPr>
                <w:noProof/>
                <w:color w:val="000000" w:themeColor="text1"/>
                <w:sz w:val="18"/>
                <w:szCs w:val="18"/>
              </w:rPr>
              <w:t>Year</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rsidR="006B4685" w:rsidRDefault="006B4685">
            <w:pPr>
              <w:spacing w:before="0" w:after="0"/>
              <w:jc w:val="center"/>
              <w:rPr>
                <w:noProof/>
                <w:color w:val="000000" w:themeColor="text1"/>
                <w:sz w:val="18"/>
                <w:szCs w:val="18"/>
              </w:rPr>
            </w:pPr>
            <w:r w:rsidRPr="52050D6D">
              <w:rPr>
                <w:noProof/>
                <w:color w:val="000000" w:themeColor="text1"/>
                <w:sz w:val="18"/>
                <w:szCs w:val="18"/>
              </w:rPr>
              <w:t>Year</w:t>
            </w:r>
          </w:p>
        </w:tc>
        <w:tc>
          <w:tcPr>
            <w:tcW w:w="981"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B4685" w:rsidRDefault="006B4685">
            <w:pPr>
              <w:spacing w:before="0" w:after="0"/>
              <w:jc w:val="center"/>
              <w:rPr>
                <w:b/>
                <w:bCs/>
                <w:noProof/>
                <w:color w:val="000000" w:themeColor="text1"/>
                <w:sz w:val="18"/>
                <w:szCs w:val="18"/>
              </w:rPr>
            </w:pPr>
            <w:r w:rsidRPr="52050D6D">
              <w:rPr>
                <w:b/>
                <w:bCs/>
                <w:noProof/>
                <w:color w:val="000000" w:themeColor="text1"/>
                <w:sz w:val="18"/>
                <w:szCs w:val="18"/>
              </w:rPr>
              <w:t>TOTAL MFF 2021 - 2027</w:t>
            </w:r>
          </w:p>
        </w:tc>
      </w:tr>
      <w:tr w:rsidR="006B4685">
        <w:trPr>
          <w:trHeight w:val="525"/>
        </w:trPr>
        <w:tc>
          <w:tcPr>
            <w:tcW w:w="3214" w:type="dxa"/>
            <w:vMerge/>
            <w:tcBorders>
              <w:left w:val="single" w:sz="0" w:space="0" w:color="auto"/>
              <w:bottom w:val="single" w:sz="0" w:space="0" w:color="auto"/>
              <w:right w:val="single" w:sz="0" w:space="0" w:color="auto"/>
            </w:tcBorders>
            <w:vAlign w:val="center"/>
          </w:tcPr>
          <w:p w:rsidR="006B4685" w:rsidRDefault="006B4685">
            <w:pPr>
              <w:rPr>
                <w:noProof/>
              </w:rPr>
            </w:pPr>
          </w:p>
        </w:tc>
        <w:tc>
          <w:tcPr>
            <w:tcW w:w="835" w:type="dxa"/>
            <w:tcBorders>
              <w:top w:val="nil"/>
              <w:left w:val="nil"/>
              <w:bottom w:val="single" w:sz="8" w:space="0" w:color="auto"/>
              <w:right w:val="single" w:sz="8" w:space="0" w:color="auto"/>
            </w:tcBorders>
            <w:tcMar>
              <w:left w:w="108" w:type="dxa"/>
              <w:right w:w="108" w:type="dxa"/>
            </w:tcMar>
            <w:vAlign w:val="center"/>
          </w:tcPr>
          <w:p w:rsidR="006B4685" w:rsidRDefault="006B4685">
            <w:pPr>
              <w:spacing w:before="0" w:after="0"/>
              <w:jc w:val="center"/>
              <w:rPr>
                <w:b/>
                <w:bCs/>
                <w:noProof/>
                <w:color w:val="000000" w:themeColor="text1"/>
                <w:sz w:val="18"/>
                <w:szCs w:val="18"/>
              </w:rPr>
            </w:pPr>
            <w:r w:rsidRPr="52050D6D">
              <w:rPr>
                <w:b/>
                <w:bCs/>
                <w:noProof/>
                <w:color w:val="000000" w:themeColor="text1"/>
                <w:sz w:val="18"/>
                <w:szCs w:val="18"/>
              </w:rPr>
              <w:t>2024</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rsidR="006B4685" w:rsidRDefault="006B4685">
            <w:pPr>
              <w:spacing w:before="0" w:after="0"/>
              <w:jc w:val="center"/>
              <w:rPr>
                <w:b/>
                <w:bCs/>
                <w:noProof/>
                <w:color w:val="000000" w:themeColor="text1"/>
                <w:sz w:val="18"/>
                <w:szCs w:val="18"/>
              </w:rPr>
            </w:pPr>
            <w:r w:rsidRPr="52050D6D">
              <w:rPr>
                <w:b/>
                <w:bCs/>
                <w:noProof/>
                <w:color w:val="000000" w:themeColor="text1"/>
                <w:sz w:val="18"/>
                <w:szCs w:val="18"/>
              </w:rPr>
              <w:t>2025</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rsidR="006B4685" w:rsidRDefault="006B4685">
            <w:pPr>
              <w:spacing w:before="0" w:after="0"/>
              <w:jc w:val="center"/>
              <w:rPr>
                <w:b/>
                <w:bCs/>
                <w:noProof/>
                <w:color w:val="000000" w:themeColor="text1"/>
                <w:sz w:val="18"/>
                <w:szCs w:val="18"/>
              </w:rPr>
            </w:pPr>
            <w:r w:rsidRPr="52050D6D">
              <w:rPr>
                <w:b/>
                <w:bCs/>
                <w:noProof/>
                <w:color w:val="000000" w:themeColor="text1"/>
                <w:sz w:val="18"/>
                <w:szCs w:val="18"/>
              </w:rPr>
              <w:t>2026</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rsidR="006B4685" w:rsidRDefault="006B4685">
            <w:pPr>
              <w:spacing w:before="0" w:after="0"/>
              <w:jc w:val="center"/>
              <w:rPr>
                <w:b/>
                <w:bCs/>
                <w:noProof/>
                <w:color w:val="000000" w:themeColor="text1"/>
                <w:sz w:val="18"/>
                <w:szCs w:val="18"/>
              </w:rPr>
            </w:pPr>
            <w:r w:rsidRPr="52050D6D">
              <w:rPr>
                <w:b/>
                <w:bCs/>
                <w:noProof/>
                <w:color w:val="000000" w:themeColor="text1"/>
                <w:sz w:val="18"/>
                <w:szCs w:val="18"/>
              </w:rPr>
              <w:t>2027</w:t>
            </w:r>
          </w:p>
        </w:tc>
        <w:tc>
          <w:tcPr>
            <w:tcW w:w="981" w:type="dxa"/>
            <w:vMerge/>
            <w:tcBorders>
              <w:left w:val="single" w:sz="0" w:space="0" w:color="auto"/>
              <w:bottom w:val="single" w:sz="0" w:space="0" w:color="auto"/>
              <w:right w:val="single" w:sz="0" w:space="0" w:color="auto"/>
            </w:tcBorders>
            <w:vAlign w:val="center"/>
          </w:tcPr>
          <w:p w:rsidR="006B4685" w:rsidRDefault="006B4685">
            <w:pPr>
              <w:rPr>
                <w:noProof/>
              </w:rPr>
            </w:pPr>
          </w:p>
        </w:tc>
      </w:tr>
      <w:tr w:rsidR="006B4685">
        <w:trPr>
          <w:trHeight w:val="300"/>
        </w:trPr>
        <w:tc>
          <w:tcPr>
            <w:tcW w:w="7535" w:type="dxa"/>
            <w:gridSpan w:val="6"/>
            <w:tcBorders>
              <w:top w:val="nil"/>
              <w:left w:val="single" w:sz="8" w:space="0" w:color="auto"/>
              <w:bottom w:val="single" w:sz="8" w:space="0" w:color="auto"/>
              <w:right w:val="single" w:sz="8" w:space="0" w:color="auto"/>
            </w:tcBorders>
            <w:tcMar>
              <w:left w:w="108" w:type="dxa"/>
              <w:right w:w="108" w:type="dxa"/>
            </w:tcMar>
            <w:vAlign w:val="center"/>
          </w:tcPr>
          <w:p w:rsidR="006B4685" w:rsidRDefault="006B4685">
            <w:pPr>
              <w:spacing w:before="0" w:after="0"/>
              <w:jc w:val="left"/>
              <w:rPr>
                <w:b/>
                <w:bCs/>
                <w:noProof/>
                <w:sz w:val="16"/>
                <w:szCs w:val="16"/>
              </w:rPr>
            </w:pPr>
            <w:r w:rsidRPr="52050D6D">
              <w:rPr>
                <w:b/>
                <w:bCs/>
                <w:noProof/>
                <w:sz w:val="16"/>
                <w:szCs w:val="16"/>
              </w:rPr>
              <w:t>HEADING 7</w:t>
            </w:r>
          </w:p>
        </w:tc>
      </w:tr>
      <w:tr w:rsidR="006B4685">
        <w:trPr>
          <w:trHeight w:val="300"/>
        </w:trPr>
        <w:tc>
          <w:tcPr>
            <w:tcW w:w="3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B4685" w:rsidRDefault="006B4685">
            <w:pPr>
              <w:spacing w:before="0" w:after="0"/>
              <w:jc w:val="left"/>
              <w:rPr>
                <w:noProof/>
                <w:color w:val="000000" w:themeColor="text1"/>
                <w:sz w:val="16"/>
                <w:szCs w:val="16"/>
              </w:rPr>
            </w:pPr>
            <w:r w:rsidRPr="52050D6D">
              <w:rPr>
                <w:rFonts w:ascii="Arial Narrow" w:eastAsia="Arial Narrow" w:hAnsi="Arial Narrow" w:cs="Arial Narrow"/>
                <w:noProof/>
                <w:color w:val="000000" w:themeColor="text1"/>
                <w:sz w:val="20"/>
                <w:szCs w:val="20"/>
              </w:rPr>
              <w:t>IT expenditure (corporate)</w:t>
            </w:r>
            <w:r w:rsidRPr="52050D6D">
              <w:rPr>
                <w:noProof/>
                <w:color w:val="000000" w:themeColor="text1"/>
                <w:sz w:val="16"/>
                <w:szCs w:val="16"/>
              </w:rPr>
              <w:t xml:space="preserve"> </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6B4685" w:rsidRDefault="006B4685">
            <w:pPr>
              <w:spacing w:before="0" w:after="0"/>
              <w:jc w:val="right"/>
              <w:rPr>
                <w:noProof/>
                <w:color w:val="000000" w:themeColor="text1"/>
                <w:sz w:val="16"/>
                <w:szCs w:val="16"/>
              </w:rPr>
            </w:pPr>
            <w:r w:rsidRPr="52050D6D">
              <w:rPr>
                <w:noProof/>
                <w:color w:val="000000" w:themeColor="text1"/>
                <w:sz w:val="16"/>
                <w:szCs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6B4685" w:rsidRDefault="006B4685">
            <w:pPr>
              <w:spacing w:before="0" w:after="0"/>
              <w:jc w:val="right"/>
              <w:rPr>
                <w:noProof/>
                <w:color w:val="000000" w:themeColor="text1"/>
                <w:sz w:val="16"/>
                <w:szCs w:val="16"/>
              </w:rPr>
            </w:pPr>
            <w:r w:rsidRPr="52050D6D">
              <w:rPr>
                <w:noProof/>
                <w:color w:val="000000" w:themeColor="text1"/>
                <w:sz w:val="16"/>
                <w:szCs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6B4685" w:rsidRDefault="006B4685">
            <w:pPr>
              <w:spacing w:before="0" w:after="0"/>
              <w:jc w:val="right"/>
              <w:rPr>
                <w:noProof/>
                <w:color w:val="000000" w:themeColor="text1"/>
                <w:sz w:val="16"/>
                <w:szCs w:val="16"/>
              </w:rPr>
            </w:pPr>
            <w:r w:rsidRPr="52050D6D">
              <w:rPr>
                <w:noProof/>
                <w:color w:val="000000" w:themeColor="text1"/>
                <w:sz w:val="16"/>
                <w:szCs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6B4685" w:rsidRDefault="006B4685">
            <w:pPr>
              <w:spacing w:before="0" w:after="0"/>
              <w:jc w:val="right"/>
              <w:rPr>
                <w:noProof/>
                <w:color w:val="000000" w:themeColor="text1"/>
                <w:sz w:val="16"/>
                <w:szCs w:val="16"/>
              </w:rPr>
            </w:pPr>
            <w:r w:rsidRPr="52050D6D">
              <w:rPr>
                <w:noProof/>
                <w:color w:val="000000" w:themeColor="text1"/>
                <w:sz w:val="16"/>
                <w:szCs w:val="16"/>
              </w:rPr>
              <w:t>0.000</w:t>
            </w:r>
          </w:p>
        </w:tc>
        <w:tc>
          <w:tcPr>
            <w:tcW w:w="981"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6B4685" w:rsidRDefault="006B4685">
            <w:pPr>
              <w:spacing w:before="0" w:after="0"/>
              <w:jc w:val="right"/>
              <w:rPr>
                <w:b/>
                <w:bCs/>
                <w:noProof/>
                <w:color w:val="000000" w:themeColor="text1"/>
                <w:sz w:val="16"/>
                <w:szCs w:val="16"/>
              </w:rPr>
            </w:pPr>
            <w:r w:rsidRPr="52050D6D">
              <w:rPr>
                <w:b/>
                <w:bCs/>
                <w:noProof/>
                <w:color w:val="000000" w:themeColor="text1"/>
                <w:sz w:val="16"/>
                <w:szCs w:val="16"/>
              </w:rPr>
              <w:t>0.000</w:t>
            </w:r>
          </w:p>
        </w:tc>
      </w:tr>
      <w:tr w:rsidR="006B4685">
        <w:trPr>
          <w:trHeight w:val="300"/>
        </w:trPr>
        <w:tc>
          <w:tcPr>
            <w:tcW w:w="321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vAlign w:val="center"/>
          </w:tcPr>
          <w:p w:rsidR="006B4685" w:rsidRDefault="006B4685">
            <w:pPr>
              <w:spacing w:before="0" w:after="0"/>
              <w:jc w:val="center"/>
              <w:rPr>
                <w:b/>
                <w:bCs/>
                <w:noProof/>
                <w:color w:val="000000" w:themeColor="text1"/>
                <w:sz w:val="16"/>
                <w:szCs w:val="16"/>
              </w:rPr>
            </w:pPr>
            <w:r w:rsidRPr="52050D6D">
              <w:rPr>
                <w:b/>
                <w:bCs/>
                <w:noProof/>
                <w:color w:val="000000" w:themeColor="text1"/>
                <w:sz w:val="16"/>
                <w:szCs w:val="16"/>
              </w:rPr>
              <w:t>Subtotal HEADING 7</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6B4685" w:rsidRDefault="006B4685">
            <w:pPr>
              <w:spacing w:before="0" w:after="0"/>
              <w:jc w:val="right"/>
              <w:rPr>
                <w:b/>
                <w:bCs/>
                <w:noProof/>
                <w:color w:val="000000" w:themeColor="text1"/>
                <w:sz w:val="16"/>
                <w:szCs w:val="16"/>
              </w:rPr>
            </w:pPr>
            <w:r w:rsidRPr="52050D6D">
              <w:rPr>
                <w:b/>
                <w:bCs/>
                <w:noProof/>
                <w:color w:val="000000" w:themeColor="text1"/>
                <w:sz w:val="16"/>
                <w:szCs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6B4685" w:rsidRDefault="006B4685">
            <w:pPr>
              <w:spacing w:before="0" w:after="0"/>
              <w:jc w:val="right"/>
              <w:rPr>
                <w:b/>
                <w:bCs/>
                <w:noProof/>
                <w:color w:val="000000" w:themeColor="text1"/>
                <w:sz w:val="16"/>
                <w:szCs w:val="16"/>
              </w:rPr>
            </w:pPr>
            <w:r w:rsidRPr="52050D6D">
              <w:rPr>
                <w:b/>
                <w:bCs/>
                <w:noProof/>
                <w:color w:val="000000" w:themeColor="text1"/>
                <w:sz w:val="16"/>
                <w:szCs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6B4685" w:rsidRDefault="006B4685">
            <w:pPr>
              <w:spacing w:before="0" w:after="0"/>
              <w:jc w:val="right"/>
              <w:rPr>
                <w:b/>
                <w:bCs/>
                <w:noProof/>
                <w:color w:val="000000" w:themeColor="text1"/>
                <w:sz w:val="16"/>
                <w:szCs w:val="16"/>
              </w:rPr>
            </w:pPr>
            <w:r w:rsidRPr="52050D6D">
              <w:rPr>
                <w:b/>
                <w:bCs/>
                <w:noProof/>
                <w:color w:val="000000" w:themeColor="text1"/>
                <w:sz w:val="16"/>
                <w:szCs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6B4685" w:rsidRDefault="006B4685">
            <w:pPr>
              <w:spacing w:before="0" w:after="0"/>
              <w:jc w:val="right"/>
              <w:rPr>
                <w:b/>
                <w:bCs/>
                <w:noProof/>
                <w:color w:val="000000" w:themeColor="text1"/>
                <w:sz w:val="16"/>
                <w:szCs w:val="16"/>
              </w:rPr>
            </w:pPr>
            <w:r w:rsidRPr="52050D6D">
              <w:rPr>
                <w:b/>
                <w:bCs/>
                <w:noProof/>
                <w:color w:val="000000" w:themeColor="text1"/>
                <w:sz w:val="16"/>
                <w:szCs w:val="16"/>
              </w:rPr>
              <w:t>0.000</w:t>
            </w:r>
          </w:p>
        </w:tc>
        <w:tc>
          <w:tcPr>
            <w:tcW w:w="9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6B4685" w:rsidRDefault="006B4685">
            <w:pPr>
              <w:spacing w:before="0" w:after="0"/>
              <w:jc w:val="right"/>
              <w:rPr>
                <w:b/>
                <w:bCs/>
                <w:noProof/>
                <w:color w:val="000000" w:themeColor="text1"/>
                <w:sz w:val="16"/>
                <w:szCs w:val="16"/>
              </w:rPr>
            </w:pPr>
            <w:r w:rsidRPr="52050D6D">
              <w:rPr>
                <w:b/>
                <w:bCs/>
                <w:noProof/>
                <w:color w:val="000000" w:themeColor="text1"/>
                <w:sz w:val="16"/>
                <w:szCs w:val="16"/>
              </w:rPr>
              <w:t>0.000</w:t>
            </w:r>
          </w:p>
        </w:tc>
      </w:tr>
      <w:tr w:rsidR="006B4685">
        <w:trPr>
          <w:trHeight w:val="300"/>
        </w:trPr>
        <w:tc>
          <w:tcPr>
            <w:tcW w:w="7535" w:type="dxa"/>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B4685" w:rsidRDefault="006B4685">
            <w:pPr>
              <w:spacing w:before="0" w:after="0"/>
              <w:jc w:val="left"/>
              <w:rPr>
                <w:b/>
                <w:bCs/>
                <w:noProof/>
                <w:sz w:val="16"/>
                <w:szCs w:val="16"/>
              </w:rPr>
            </w:pPr>
            <w:r w:rsidRPr="52050D6D">
              <w:rPr>
                <w:b/>
                <w:bCs/>
                <w:noProof/>
                <w:sz w:val="16"/>
                <w:szCs w:val="16"/>
              </w:rPr>
              <w:t>Outside HEADING 7</w:t>
            </w:r>
          </w:p>
        </w:tc>
      </w:tr>
      <w:tr w:rsidR="006B4685">
        <w:trPr>
          <w:trHeight w:val="300"/>
        </w:trPr>
        <w:tc>
          <w:tcPr>
            <w:tcW w:w="3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B4685" w:rsidRDefault="006B4685">
            <w:pPr>
              <w:spacing w:before="0" w:after="0"/>
              <w:jc w:val="left"/>
              <w:rPr>
                <w:rFonts w:ascii="Arial Narrow" w:eastAsia="Arial Narrow" w:hAnsi="Arial Narrow" w:cs="Arial Narrow"/>
                <w:noProof/>
                <w:color w:val="000000" w:themeColor="text1"/>
                <w:sz w:val="20"/>
                <w:szCs w:val="20"/>
              </w:rPr>
            </w:pPr>
            <w:r w:rsidRPr="52050D6D">
              <w:rPr>
                <w:rFonts w:ascii="Arial Narrow" w:eastAsia="Arial Narrow" w:hAnsi="Arial Narrow" w:cs="Arial Narrow"/>
                <w:noProof/>
                <w:color w:val="000000" w:themeColor="text1"/>
                <w:sz w:val="20"/>
                <w:szCs w:val="20"/>
              </w:rPr>
              <w:t>Policy IT expenditure on operational programmes</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6B4685" w:rsidRDefault="006B4685">
            <w:pPr>
              <w:spacing w:before="0" w:after="0"/>
              <w:jc w:val="right"/>
              <w:rPr>
                <w:noProof/>
                <w:color w:val="000000" w:themeColor="text1"/>
                <w:sz w:val="16"/>
                <w:szCs w:val="16"/>
              </w:rPr>
            </w:pPr>
            <w:r w:rsidRPr="52050D6D">
              <w:rPr>
                <w:noProof/>
                <w:color w:val="000000" w:themeColor="text1"/>
                <w:sz w:val="16"/>
                <w:szCs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6B4685" w:rsidRDefault="006B4685">
            <w:pPr>
              <w:spacing w:before="0" w:after="0"/>
              <w:jc w:val="right"/>
              <w:rPr>
                <w:noProof/>
                <w:color w:val="000000" w:themeColor="text1"/>
                <w:sz w:val="16"/>
                <w:szCs w:val="16"/>
              </w:rPr>
            </w:pPr>
            <w:r w:rsidRPr="52050D6D">
              <w:rPr>
                <w:noProof/>
                <w:color w:val="000000" w:themeColor="text1"/>
                <w:sz w:val="16"/>
                <w:szCs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6B4685" w:rsidRDefault="006B4685">
            <w:pPr>
              <w:spacing w:before="0" w:after="0"/>
              <w:jc w:val="right"/>
              <w:rPr>
                <w:noProof/>
                <w:color w:val="000000" w:themeColor="text1"/>
                <w:sz w:val="16"/>
                <w:szCs w:val="16"/>
              </w:rPr>
            </w:pPr>
            <w:r w:rsidRPr="52050D6D">
              <w:rPr>
                <w:noProof/>
                <w:color w:val="000000" w:themeColor="text1"/>
                <w:sz w:val="16"/>
                <w:szCs w:val="16"/>
              </w:rPr>
              <w:t>0.000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6B4685" w:rsidRDefault="006B4685">
            <w:pPr>
              <w:spacing w:before="0" w:after="0"/>
              <w:jc w:val="right"/>
              <w:rPr>
                <w:noProof/>
                <w:color w:val="000000" w:themeColor="text1"/>
                <w:sz w:val="16"/>
                <w:szCs w:val="16"/>
              </w:rPr>
            </w:pPr>
            <w:r w:rsidRPr="52050D6D">
              <w:rPr>
                <w:noProof/>
                <w:color w:val="000000" w:themeColor="text1"/>
                <w:sz w:val="16"/>
                <w:szCs w:val="16"/>
              </w:rPr>
              <w:t>0.000</w:t>
            </w:r>
          </w:p>
        </w:tc>
        <w:tc>
          <w:tcPr>
            <w:tcW w:w="981"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6B4685" w:rsidRDefault="006B4685">
            <w:pPr>
              <w:spacing w:before="0" w:after="0"/>
              <w:jc w:val="right"/>
              <w:rPr>
                <w:b/>
                <w:bCs/>
                <w:noProof/>
                <w:color w:val="000000" w:themeColor="text1"/>
                <w:sz w:val="16"/>
                <w:szCs w:val="16"/>
              </w:rPr>
            </w:pPr>
            <w:r w:rsidRPr="52050D6D">
              <w:rPr>
                <w:b/>
                <w:bCs/>
                <w:noProof/>
                <w:color w:val="000000" w:themeColor="text1"/>
                <w:sz w:val="16"/>
                <w:szCs w:val="16"/>
              </w:rPr>
              <w:t>0.000</w:t>
            </w:r>
          </w:p>
        </w:tc>
      </w:tr>
      <w:tr w:rsidR="006B4685">
        <w:trPr>
          <w:trHeight w:val="300"/>
        </w:trPr>
        <w:tc>
          <w:tcPr>
            <w:tcW w:w="321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vAlign w:val="center"/>
          </w:tcPr>
          <w:p w:rsidR="006B4685" w:rsidRDefault="006B4685">
            <w:pPr>
              <w:spacing w:before="0" w:after="0"/>
              <w:jc w:val="center"/>
              <w:rPr>
                <w:b/>
                <w:bCs/>
                <w:noProof/>
                <w:color w:val="000000" w:themeColor="text1"/>
                <w:sz w:val="16"/>
                <w:szCs w:val="16"/>
              </w:rPr>
            </w:pPr>
            <w:r w:rsidRPr="52050D6D">
              <w:rPr>
                <w:b/>
                <w:bCs/>
                <w:noProof/>
                <w:color w:val="000000" w:themeColor="text1"/>
                <w:sz w:val="16"/>
                <w:szCs w:val="16"/>
              </w:rPr>
              <w:t>Subtotal outside HEADING 7</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6B4685" w:rsidRDefault="006B4685">
            <w:pPr>
              <w:spacing w:before="0" w:after="0"/>
              <w:jc w:val="right"/>
              <w:rPr>
                <w:b/>
                <w:bCs/>
                <w:noProof/>
                <w:color w:val="000000" w:themeColor="text1"/>
                <w:sz w:val="16"/>
                <w:szCs w:val="16"/>
              </w:rPr>
            </w:pPr>
            <w:r w:rsidRPr="52050D6D">
              <w:rPr>
                <w:b/>
                <w:bCs/>
                <w:noProof/>
                <w:color w:val="000000" w:themeColor="text1"/>
                <w:sz w:val="16"/>
                <w:szCs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6B4685" w:rsidRDefault="006B4685">
            <w:pPr>
              <w:spacing w:before="0" w:after="0"/>
              <w:jc w:val="right"/>
              <w:rPr>
                <w:b/>
                <w:bCs/>
                <w:noProof/>
                <w:color w:val="000000" w:themeColor="text1"/>
                <w:sz w:val="16"/>
                <w:szCs w:val="16"/>
              </w:rPr>
            </w:pPr>
            <w:r w:rsidRPr="52050D6D">
              <w:rPr>
                <w:b/>
                <w:bCs/>
                <w:noProof/>
                <w:color w:val="000000" w:themeColor="text1"/>
                <w:sz w:val="16"/>
                <w:szCs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6B4685" w:rsidRDefault="006B4685">
            <w:pPr>
              <w:spacing w:before="0" w:after="0"/>
              <w:jc w:val="right"/>
              <w:rPr>
                <w:b/>
                <w:bCs/>
                <w:noProof/>
                <w:color w:val="000000" w:themeColor="text1"/>
                <w:sz w:val="16"/>
                <w:szCs w:val="16"/>
              </w:rPr>
            </w:pPr>
            <w:r w:rsidRPr="52050D6D">
              <w:rPr>
                <w:b/>
                <w:bCs/>
                <w:noProof/>
                <w:color w:val="000000" w:themeColor="text1"/>
                <w:sz w:val="16"/>
                <w:szCs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6B4685" w:rsidRDefault="006B4685">
            <w:pPr>
              <w:spacing w:before="0" w:after="0"/>
              <w:jc w:val="right"/>
              <w:rPr>
                <w:b/>
                <w:bCs/>
                <w:noProof/>
                <w:color w:val="000000" w:themeColor="text1"/>
                <w:sz w:val="16"/>
                <w:szCs w:val="16"/>
              </w:rPr>
            </w:pPr>
            <w:r w:rsidRPr="52050D6D">
              <w:rPr>
                <w:b/>
                <w:bCs/>
                <w:noProof/>
                <w:color w:val="000000" w:themeColor="text1"/>
                <w:sz w:val="16"/>
                <w:szCs w:val="16"/>
              </w:rPr>
              <w:t>0.000</w:t>
            </w:r>
          </w:p>
        </w:tc>
        <w:tc>
          <w:tcPr>
            <w:tcW w:w="9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6B4685" w:rsidRDefault="006B4685">
            <w:pPr>
              <w:spacing w:before="0" w:after="0"/>
              <w:jc w:val="right"/>
              <w:rPr>
                <w:b/>
                <w:bCs/>
                <w:noProof/>
                <w:color w:val="000000" w:themeColor="text1"/>
                <w:sz w:val="16"/>
                <w:szCs w:val="16"/>
              </w:rPr>
            </w:pPr>
            <w:r w:rsidRPr="52050D6D">
              <w:rPr>
                <w:b/>
                <w:bCs/>
                <w:noProof/>
                <w:color w:val="000000" w:themeColor="text1"/>
                <w:sz w:val="16"/>
                <w:szCs w:val="16"/>
              </w:rPr>
              <w:t>0.000</w:t>
            </w:r>
          </w:p>
        </w:tc>
      </w:tr>
      <w:tr w:rsidR="006B4685">
        <w:trPr>
          <w:trHeight w:val="300"/>
        </w:trPr>
        <w:tc>
          <w:tcPr>
            <w:tcW w:w="7535" w:type="dxa"/>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B4685" w:rsidRDefault="006B4685">
            <w:pPr>
              <w:spacing w:before="0" w:after="0"/>
              <w:jc w:val="center"/>
              <w:rPr>
                <w:noProof/>
                <w:color w:val="000000" w:themeColor="text1"/>
                <w:sz w:val="16"/>
                <w:szCs w:val="16"/>
              </w:rPr>
            </w:pPr>
            <w:r w:rsidRPr="52050D6D">
              <w:rPr>
                <w:noProof/>
                <w:color w:val="000000" w:themeColor="text1"/>
                <w:sz w:val="16"/>
                <w:szCs w:val="16"/>
              </w:rPr>
              <w:t xml:space="preserve"> </w:t>
            </w:r>
          </w:p>
        </w:tc>
      </w:tr>
      <w:tr w:rsidR="006B4685">
        <w:trPr>
          <w:trHeight w:val="315"/>
        </w:trPr>
        <w:tc>
          <w:tcPr>
            <w:tcW w:w="3214" w:type="dxa"/>
            <w:tcBorders>
              <w:top w:val="single" w:sz="8" w:space="0" w:color="auto"/>
              <w:left w:val="single" w:sz="12" w:space="0" w:color="auto"/>
              <w:bottom w:val="single" w:sz="12" w:space="0" w:color="auto"/>
              <w:right w:val="single" w:sz="8" w:space="0" w:color="auto"/>
            </w:tcBorders>
            <w:tcMar>
              <w:left w:w="108" w:type="dxa"/>
              <w:right w:w="108" w:type="dxa"/>
            </w:tcMar>
            <w:vAlign w:val="center"/>
          </w:tcPr>
          <w:p w:rsidR="006B4685" w:rsidRDefault="006B4685">
            <w:pPr>
              <w:spacing w:before="0" w:after="0"/>
              <w:jc w:val="center"/>
              <w:rPr>
                <w:b/>
                <w:bCs/>
                <w:noProof/>
                <w:color w:val="000000" w:themeColor="text1"/>
                <w:sz w:val="16"/>
                <w:szCs w:val="16"/>
              </w:rPr>
            </w:pPr>
            <w:r w:rsidRPr="52050D6D">
              <w:rPr>
                <w:b/>
                <w:bCs/>
                <w:noProof/>
                <w:color w:val="000000" w:themeColor="text1"/>
                <w:sz w:val="16"/>
                <w:szCs w:val="16"/>
              </w:rPr>
              <w:t>TOTAL</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rsidR="006B4685" w:rsidRDefault="006B4685">
            <w:pPr>
              <w:spacing w:before="0" w:after="0"/>
              <w:jc w:val="right"/>
              <w:rPr>
                <w:b/>
                <w:bCs/>
                <w:noProof/>
                <w:color w:val="000000" w:themeColor="text1"/>
                <w:sz w:val="16"/>
                <w:szCs w:val="16"/>
              </w:rPr>
            </w:pPr>
            <w:r w:rsidRPr="52050D6D">
              <w:rPr>
                <w:b/>
                <w:bCs/>
                <w:noProof/>
                <w:color w:val="000000" w:themeColor="text1"/>
                <w:sz w:val="16"/>
                <w:szCs w:val="16"/>
              </w:rPr>
              <w:t>0.000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rsidR="006B4685" w:rsidRDefault="006B4685">
            <w:pPr>
              <w:spacing w:before="0" w:after="0"/>
              <w:jc w:val="right"/>
              <w:rPr>
                <w:b/>
                <w:bCs/>
                <w:noProof/>
                <w:color w:val="000000" w:themeColor="text1"/>
                <w:sz w:val="16"/>
                <w:szCs w:val="16"/>
              </w:rPr>
            </w:pPr>
            <w:r w:rsidRPr="52050D6D">
              <w:rPr>
                <w:b/>
                <w:bCs/>
                <w:noProof/>
                <w:color w:val="000000" w:themeColor="text1"/>
                <w:sz w:val="16"/>
                <w:szCs w:val="16"/>
              </w:rPr>
              <w:t>0.000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rsidR="006B4685" w:rsidRDefault="006B4685">
            <w:pPr>
              <w:spacing w:before="0" w:after="0"/>
              <w:jc w:val="right"/>
              <w:rPr>
                <w:b/>
                <w:bCs/>
                <w:noProof/>
                <w:color w:val="000000" w:themeColor="text1"/>
                <w:sz w:val="16"/>
                <w:szCs w:val="16"/>
              </w:rPr>
            </w:pPr>
            <w:r w:rsidRPr="52050D6D">
              <w:rPr>
                <w:b/>
                <w:bCs/>
                <w:noProof/>
                <w:color w:val="000000" w:themeColor="text1"/>
                <w:sz w:val="16"/>
                <w:szCs w:val="16"/>
              </w:rPr>
              <w:t>0.000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rsidR="006B4685" w:rsidRDefault="006B4685">
            <w:pPr>
              <w:spacing w:before="0" w:after="0"/>
              <w:jc w:val="right"/>
              <w:rPr>
                <w:b/>
                <w:bCs/>
                <w:noProof/>
                <w:color w:val="000000" w:themeColor="text1"/>
                <w:sz w:val="16"/>
                <w:szCs w:val="16"/>
              </w:rPr>
            </w:pPr>
            <w:r w:rsidRPr="52050D6D">
              <w:rPr>
                <w:b/>
                <w:bCs/>
                <w:noProof/>
                <w:color w:val="000000" w:themeColor="text1"/>
                <w:sz w:val="16"/>
                <w:szCs w:val="16"/>
              </w:rPr>
              <w:t>0.000</w:t>
            </w:r>
          </w:p>
        </w:tc>
        <w:tc>
          <w:tcPr>
            <w:tcW w:w="981"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rsidR="006B4685" w:rsidRDefault="006B4685">
            <w:pPr>
              <w:spacing w:before="0" w:after="0"/>
              <w:jc w:val="right"/>
              <w:rPr>
                <w:b/>
                <w:bCs/>
                <w:noProof/>
                <w:color w:val="000000" w:themeColor="text1"/>
                <w:sz w:val="16"/>
                <w:szCs w:val="16"/>
              </w:rPr>
            </w:pPr>
            <w:r w:rsidRPr="52050D6D">
              <w:rPr>
                <w:b/>
                <w:bCs/>
                <w:noProof/>
                <w:color w:val="000000" w:themeColor="text1"/>
                <w:sz w:val="16"/>
                <w:szCs w:val="16"/>
              </w:rPr>
              <w:t>0.000</w:t>
            </w:r>
          </w:p>
        </w:tc>
      </w:tr>
    </w:tbl>
    <w:p w:rsidR="006B4685" w:rsidRPr="00235FE8" w:rsidRDefault="006B4685" w:rsidP="006B4685">
      <w:pPr>
        <w:pStyle w:val="ManualHeading3"/>
        <w:rPr>
          <w:i w:val="0"/>
          <w:noProof/>
        </w:rPr>
      </w:pPr>
      <w:bookmarkStart w:id="157" w:name="_Toc514938056"/>
      <w:bookmarkStart w:id="158" w:name="_Toc520485055"/>
      <w:bookmarkStart w:id="159" w:name="_Toc160804599"/>
      <w:bookmarkStart w:id="160" w:name="_Toc198557788"/>
      <w:bookmarkEnd w:id="155"/>
      <w:r w:rsidRPr="0021790A">
        <w:rPr>
          <w:noProof/>
        </w:rPr>
        <w:t>3.2.</w:t>
      </w:r>
      <w:r>
        <w:rPr>
          <w:noProof/>
        </w:rPr>
        <w:t>6</w:t>
      </w:r>
      <w:r w:rsidRPr="0021790A">
        <w:rPr>
          <w:noProof/>
        </w:rPr>
        <w:t>.</w:t>
      </w:r>
      <w:r w:rsidRPr="0021790A">
        <w:rPr>
          <w:noProof/>
        </w:rPr>
        <w:tab/>
      </w:r>
      <w:r>
        <w:rPr>
          <w:noProof/>
        </w:rPr>
        <w:t>Compatibility with the current multiannual financial framework</w:t>
      </w:r>
      <w:bookmarkEnd w:id="157"/>
      <w:bookmarkEnd w:id="158"/>
      <w:bookmarkEnd w:id="159"/>
      <w:r>
        <w:rPr>
          <w:noProof/>
        </w:rPr>
        <w:t xml:space="preserve"> </w:t>
      </w:r>
      <w:bookmarkEnd w:id="160"/>
    </w:p>
    <w:p w:rsidR="006B4685" w:rsidRDefault="006B4685" w:rsidP="006B4685">
      <w:pPr>
        <w:pStyle w:val="Text1"/>
        <w:rPr>
          <w:noProof/>
        </w:rPr>
      </w:pPr>
      <w:r w:rsidRPr="00386FF5">
        <w:rPr>
          <w:noProof/>
        </w:rPr>
        <w:t>The proposal/initiative</w:t>
      </w:r>
      <w:r w:rsidRPr="007974DD">
        <w:rPr>
          <w:noProof/>
        </w:rPr>
        <w:t>:</w:t>
      </w:r>
    </w:p>
    <w:p w:rsidR="006B4685" w:rsidRDefault="006B4685" w:rsidP="006B4685">
      <w:pPr>
        <w:pStyle w:val="ListDash1"/>
        <w:rPr>
          <w:noProof/>
        </w:rPr>
      </w:pPr>
      <w:r>
        <w:rPr>
          <w:rFonts w:ascii="Wingdings" w:eastAsia="Wingdings" w:hAnsi="Wingdings" w:cs="Wingdings"/>
          <w:noProof/>
        </w:rPr>
        <w:t></w:t>
      </w:r>
      <w:r>
        <w:rPr>
          <w:noProof/>
        </w:rPr>
        <w:tab/>
      </w:r>
      <w:r w:rsidRPr="007B1B0C">
        <w:rPr>
          <w:noProof/>
        </w:rPr>
        <w:t>can be fully financed through redeployment within the relevant</w:t>
      </w:r>
      <w:r>
        <w:rPr>
          <w:noProof/>
        </w:rPr>
        <w:t xml:space="preserve"> heading of the multiannual financial framework (MFF)</w:t>
      </w:r>
    </w:p>
    <w:p w:rsidR="006B4685" w:rsidRPr="00186012" w:rsidRDefault="006B4685" w:rsidP="006B4685">
      <w:pPr>
        <w:pStyle w:val="Text1"/>
        <w:pBdr>
          <w:top w:val="single" w:sz="4" w:space="1" w:color="auto"/>
          <w:left w:val="single" w:sz="4" w:space="4" w:color="auto"/>
          <w:bottom w:val="single" w:sz="4" w:space="1" w:color="auto"/>
          <w:right w:val="single" w:sz="4" w:space="4" w:color="auto"/>
        </w:pBdr>
        <w:rPr>
          <w:noProof/>
        </w:rPr>
      </w:pPr>
      <w:r w:rsidRPr="00186012">
        <w:rPr>
          <w:noProof/>
        </w:rPr>
        <w:t>Not applicable as the tasks would be undertaken by decentralised agencies.</w:t>
      </w:r>
    </w:p>
    <w:p w:rsidR="006B4685" w:rsidRDefault="006B4685" w:rsidP="006B4685">
      <w:pPr>
        <w:pStyle w:val="ListDash1"/>
        <w:rPr>
          <w:noProof/>
        </w:rPr>
      </w:pPr>
      <w:r>
        <w:rPr>
          <w:rFonts w:ascii="Wingdings" w:eastAsia="Wingdings" w:hAnsi="Wingdings" w:cs="Wingdings"/>
          <w:noProof/>
        </w:rPr>
        <w:t></w:t>
      </w:r>
      <w:r>
        <w:rPr>
          <w:noProof/>
        </w:rPr>
        <w:tab/>
      </w:r>
      <w:r w:rsidRPr="007B1B0C">
        <w:rPr>
          <w:noProof/>
        </w:rPr>
        <w:t>requires use of the unallocated margin under the relevant heading of the MFF and/or use of the special instruments as defined in the MFF Regulation</w:t>
      </w:r>
    </w:p>
    <w:p w:rsidR="006B4685" w:rsidRPr="00186012" w:rsidRDefault="006B4685" w:rsidP="006B4685">
      <w:pPr>
        <w:pStyle w:val="Text1"/>
        <w:pBdr>
          <w:top w:val="single" w:sz="4" w:space="1" w:color="auto"/>
          <w:left w:val="single" w:sz="4" w:space="4" w:color="auto"/>
          <w:bottom w:val="single" w:sz="4" w:space="1" w:color="auto"/>
          <w:right w:val="single" w:sz="4" w:space="4" w:color="auto"/>
        </w:pBdr>
        <w:rPr>
          <w:noProof/>
        </w:rPr>
      </w:pPr>
      <w:r w:rsidRPr="00186012">
        <w:rPr>
          <w:noProof/>
        </w:rPr>
        <w:t>Not applicable as the tasks would be undertaken by decentralised agencies.</w:t>
      </w:r>
    </w:p>
    <w:p w:rsidR="006B4685" w:rsidRDefault="006B4685" w:rsidP="006B4685">
      <w:pPr>
        <w:pStyle w:val="ListDash1"/>
        <w:rPr>
          <w:noProof/>
        </w:rPr>
      </w:pPr>
      <w:r>
        <w:rPr>
          <w:rFonts w:ascii="Wingdings" w:eastAsia="Wingdings" w:hAnsi="Wingdings" w:cs="Wingdings"/>
          <w:noProof/>
        </w:rPr>
        <w:t></w:t>
      </w:r>
      <w:r>
        <w:rPr>
          <w:noProof/>
        </w:rPr>
        <w:tab/>
      </w:r>
      <w:r w:rsidRPr="007B1B0C">
        <w:rPr>
          <w:noProof/>
        </w:rPr>
        <w:t>requires a revision of the MFF</w:t>
      </w:r>
    </w:p>
    <w:p w:rsidR="006B4685" w:rsidRPr="00186012" w:rsidRDefault="006B4685" w:rsidP="006B4685">
      <w:pPr>
        <w:pStyle w:val="Text1"/>
        <w:pBdr>
          <w:top w:val="single" w:sz="4" w:space="1" w:color="auto"/>
          <w:left w:val="single" w:sz="4" w:space="4" w:color="auto"/>
          <w:bottom w:val="single" w:sz="4" w:space="1" w:color="auto"/>
          <w:right w:val="single" w:sz="4" w:space="4" w:color="auto"/>
        </w:pBdr>
        <w:rPr>
          <w:noProof/>
        </w:rPr>
      </w:pPr>
      <w:r w:rsidRPr="00186012">
        <w:rPr>
          <w:noProof/>
        </w:rPr>
        <w:t>Not applicable as the tasks would be undertaken by decentralised agencies.</w:t>
      </w:r>
    </w:p>
    <w:p w:rsidR="006B4685" w:rsidRPr="0047065F" w:rsidRDefault="006B4685" w:rsidP="006B4685">
      <w:pPr>
        <w:pStyle w:val="ManualHeading3"/>
        <w:rPr>
          <w:noProof/>
        </w:rPr>
      </w:pPr>
      <w:bookmarkStart w:id="161" w:name="_Toc514938058"/>
      <w:bookmarkStart w:id="162" w:name="_Toc520485056"/>
      <w:bookmarkStart w:id="163" w:name="_Toc160804600"/>
      <w:bookmarkStart w:id="164" w:name="_Toc198557789"/>
      <w:r w:rsidRPr="0021790A">
        <w:rPr>
          <w:noProof/>
        </w:rPr>
        <w:t>3.2.</w:t>
      </w:r>
      <w:r>
        <w:rPr>
          <w:noProof/>
        </w:rPr>
        <w:t>7</w:t>
      </w:r>
      <w:r w:rsidRPr="0021790A">
        <w:rPr>
          <w:noProof/>
        </w:rPr>
        <w:t>.</w:t>
      </w:r>
      <w:r w:rsidRPr="0021790A">
        <w:rPr>
          <w:noProof/>
        </w:rPr>
        <w:tab/>
      </w:r>
      <w:r>
        <w:rPr>
          <w:noProof/>
        </w:rPr>
        <w:t>Third-party contributions</w:t>
      </w:r>
      <w:bookmarkEnd w:id="161"/>
      <w:bookmarkEnd w:id="162"/>
      <w:bookmarkEnd w:id="163"/>
      <w:r>
        <w:rPr>
          <w:noProof/>
        </w:rPr>
        <w:t xml:space="preserve"> </w:t>
      </w:r>
      <w:bookmarkEnd w:id="164"/>
    </w:p>
    <w:p w:rsidR="006B4685" w:rsidRPr="00386FF5" w:rsidRDefault="006B4685" w:rsidP="006B4685">
      <w:pPr>
        <w:pStyle w:val="Text1"/>
        <w:rPr>
          <w:noProof/>
        </w:rPr>
      </w:pPr>
      <w:r w:rsidRPr="007974DD">
        <w:rPr>
          <w:noProof/>
        </w:rPr>
        <w:t>The proposal/initiative:</w:t>
      </w:r>
    </w:p>
    <w:p w:rsidR="006B4685" w:rsidRDefault="006B4685" w:rsidP="006B4685">
      <w:pPr>
        <w:pStyle w:val="ListDash1"/>
        <w:rPr>
          <w:noProof/>
        </w:rPr>
      </w:pPr>
      <w:r>
        <w:rPr>
          <w:rFonts w:ascii="Wingdings" w:eastAsia="Wingdings" w:hAnsi="Wingdings" w:cs="Wingdings"/>
          <w:noProof/>
        </w:rPr>
        <w:t></w:t>
      </w:r>
      <w:r>
        <w:rPr>
          <w:noProof/>
        </w:rPr>
        <w:tab/>
        <w:t>does not provide for co-financing by third parties</w:t>
      </w:r>
    </w:p>
    <w:p w:rsidR="006B4685" w:rsidRDefault="006B4685" w:rsidP="006B4685">
      <w:pPr>
        <w:pStyle w:val="ListDash1"/>
        <w:rPr>
          <w:noProof/>
        </w:rPr>
      </w:pPr>
      <w:r>
        <w:rPr>
          <w:rFonts w:ascii="Wingdings" w:eastAsia="Wingdings" w:hAnsi="Wingdings" w:cs="Wingdings"/>
          <w:noProof/>
        </w:rPr>
        <w:t></w:t>
      </w:r>
      <w:r>
        <w:rPr>
          <w:noProof/>
        </w:rPr>
        <w:tab/>
        <w:t>provides for the co-financing by third parties estimated below:</w:t>
      </w:r>
    </w:p>
    <w:p w:rsidR="006B4685" w:rsidRPr="003A769F" w:rsidRDefault="006B4685" w:rsidP="006B4685">
      <w:pPr>
        <w:jc w:val="right"/>
        <w:rPr>
          <w:noProof/>
          <w:sz w:val="20"/>
          <w:lang w:val="en-IE"/>
        </w:rPr>
      </w:pPr>
      <w:r w:rsidRPr="003A769F">
        <w:rPr>
          <w:noProof/>
          <w:sz w:val="20"/>
          <w:lang w:val="en-IE"/>
        </w:rPr>
        <w:t>Appropriations in EUR million (to three decimal places)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9"/>
        <w:gridCol w:w="1217"/>
        <w:gridCol w:w="1217"/>
        <w:gridCol w:w="1217"/>
        <w:gridCol w:w="1217"/>
        <w:gridCol w:w="1462"/>
      </w:tblGrid>
      <w:tr w:rsidR="006B4685">
        <w:trPr>
          <w:cantSplit/>
        </w:trPr>
        <w:tc>
          <w:tcPr>
            <w:tcW w:w="1591" w:type="pct"/>
          </w:tcPr>
          <w:p w:rsidR="006B4685" w:rsidRPr="003A769F" w:rsidRDefault="006B4685">
            <w:pPr>
              <w:spacing w:before="60" w:after="60"/>
              <w:rPr>
                <w:noProof/>
                <w:sz w:val="20"/>
                <w:lang w:val="en-IE"/>
              </w:rPr>
            </w:pPr>
          </w:p>
        </w:tc>
        <w:tc>
          <w:tcPr>
            <w:tcW w:w="655" w:type="pct"/>
            <w:vAlign w:val="center"/>
          </w:tcPr>
          <w:p w:rsidR="006B4685" w:rsidRDefault="006B4685">
            <w:pPr>
              <w:jc w:val="center"/>
              <w:rPr>
                <w:noProof/>
                <w:sz w:val="20"/>
              </w:rPr>
            </w:pPr>
            <w:r>
              <w:rPr>
                <w:noProof/>
                <w:sz w:val="20"/>
              </w:rPr>
              <w:t xml:space="preserve">Year </w:t>
            </w:r>
            <w:r>
              <w:rPr>
                <w:b/>
                <w:noProof/>
                <w:sz w:val="20"/>
              </w:rPr>
              <w:t>2024</w:t>
            </w:r>
          </w:p>
        </w:tc>
        <w:tc>
          <w:tcPr>
            <w:tcW w:w="655" w:type="pct"/>
            <w:vAlign w:val="center"/>
          </w:tcPr>
          <w:p w:rsidR="006B4685" w:rsidRDefault="006B4685">
            <w:pPr>
              <w:jc w:val="center"/>
              <w:rPr>
                <w:noProof/>
                <w:sz w:val="20"/>
              </w:rPr>
            </w:pPr>
            <w:r>
              <w:rPr>
                <w:noProof/>
                <w:sz w:val="20"/>
              </w:rPr>
              <w:t xml:space="preserve">Year </w:t>
            </w:r>
            <w:r>
              <w:rPr>
                <w:b/>
                <w:noProof/>
                <w:sz w:val="20"/>
              </w:rPr>
              <w:t>2025</w:t>
            </w:r>
          </w:p>
        </w:tc>
        <w:tc>
          <w:tcPr>
            <w:tcW w:w="655" w:type="pct"/>
            <w:vAlign w:val="center"/>
          </w:tcPr>
          <w:p w:rsidR="006B4685" w:rsidRDefault="006B4685">
            <w:pPr>
              <w:jc w:val="center"/>
              <w:rPr>
                <w:noProof/>
                <w:sz w:val="20"/>
              </w:rPr>
            </w:pPr>
            <w:r>
              <w:rPr>
                <w:noProof/>
                <w:sz w:val="20"/>
              </w:rPr>
              <w:t xml:space="preserve">Year </w:t>
            </w:r>
            <w:r>
              <w:rPr>
                <w:b/>
                <w:noProof/>
                <w:sz w:val="20"/>
              </w:rPr>
              <w:t>2026</w:t>
            </w:r>
          </w:p>
        </w:tc>
        <w:tc>
          <w:tcPr>
            <w:tcW w:w="655" w:type="pct"/>
            <w:vAlign w:val="center"/>
          </w:tcPr>
          <w:p w:rsidR="006B4685" w:rsidRDefault="006B4685">
            <w:pPr>
              <w:jc w:val="center"/>
              <w:rPr>
                <w:noProof/>
                <w:sz w:val="20"/>
              </w:rPr>
            </w:pPr>
            <w:r>
              <w:rPr>
                <w:noProof/>
                <w:sz w:val="20"/>
              </w:rPr>
              <w:t xml:space="preserve">Year </w:t>
            </w:r>
            <w:r>
              <w:rPr>
                <w:b/>
                <w:noProof/>
                <w:sz w:val="20"/>
              </w:rPr>
              <w:t>2027</w:t>
            </w:r>
          </w:p>
        </w:tc>
        <w:tc>
          <w:tcPr>
            <w:tcW w:w="787" w:type="pct"/>
            <w:vAlign w:val="center"/>
          </w:tcPr>
          <w:p w:rsidR="006B4685" w:rsidRDefault="006B4685">
            <w:pPr>
              <w:spacing w:before="60" w:after="60"/>
              <w:jc w:val="center"/>
              <w:rPr>
                <w:noProof/>
                <w:sz w:val="20"/>
              </w:rPr>
            </w:pPr>
            <w:r>
              <w:rPr>
                <w:noProof/>
                <w:sz w:val="20"/>
              </w:rPr>
              <w:t>Total</w:t>
            </w:r>
          </w:p>
        </w:tc>
      </w:tr>
      <w:tr w:rsidR="006B4685" w:rsidRPr="003A769F">
        <w:trPr>
          <w:cantSplit/>
        </w:trPr>
        <w:tc>
          <w:tcPr>
            <w:tcW w:w="1591" w:type="pct"/>
          </w:tcPr>
          <w:p w:rsidR="006B4685" w:rsidRPr="003A769F" w:rsidRDefault="006B4685">
            <w:pPr>
              <w:rPr>
                <w:noProof/>
                <w:lang w:val="en-IE"/>
              </w:rPr>
            </w:pPr>
            <w:r w:rsidRPr="003A769F">
              <w:rPr>
                <w:noProof/>
                <w:sz w:val="20"/>
                <w:lang w:val="en-IE"/>
              </w:rPr>
              <w:t>Specify the co-financing body</w:t>
            </w:r>
            <w:r w:rsidRPr="003A769F">
              <w:rPr>
                <w:i/>
                <w:noProof/>
                <w:sz w:val="20"/>
                <w:lang w:val="en-IE"/>
              </w:rPr>
              <w:t xml:space="preserve"> </w:t>
            </w:r>
          </w:p>
        </w:tc>
        <w:tc>
          <w:tcPr>
            <w:tcW w:w="655" w:type="pct"/>
            <w:vAlign w:val="center"/>
          </w:tcPr>
          <w:p w:rsidR="006B4685" w:rsidRPr="003A769F" w:rsidRDefault="006B4685">
            <w:pPr>
              <w:spacing w:before="60" w:after="60"/>
              <w:jc w:val="center"/>
              <w:rPr>
                <w:noProof/>
                <w:sz w:val="20"/>
                <w:lang w:val="en-IE"/>
              </w:rPr>
            </w:pPr>
          </w:p>
        </w:tc>
        <w:tc>
          <w:tcPr>
            <w:tcW w:w="655" w:type="pct"/>
            <w:vAlign w:val="center"/>
          </w:tcPr>
          <w:p w:rsidR="006B4685" w:rsidRPr="003A769F" w:rsidRDefault="006B4685">
            <w:pPr>
              <w:spacing w:before="60" w:after="60"/>
              <w:jc w:val="center"/>
              <w:rPr>
                <w:noProof/>
                <w:sz w:val="20"/>
                <w:lang w:val="en-IE"/>
              </w:rPr>
            </w:pPr>
          </w:p>
        </w:tc>
        <w:tc>
          <w:tcPr>
            <w:tcW w:w="655" w:type="pct"/>
            <w:vAlign w:val="center"/>
          </w:tcPr>
          <w:p w:rsidR="006B4685" w:rsidRPr="003A769F" w:rsidRDefault="006B4685">
            <w:pPr>
              <w:spacing w:before="60" w:after="60"/>
              <w:jc w:val="center"/>
              <w:rPr>
                <w:noProof/>
                <w:sz w:val="20"/>
                <w:lang w:val="en-IE"/>
              </w:rPr>
            </w:pPr>
          </w:p>
        </w:tc>
        <w:tc>
          <w:tcPr>
            <w:tcW w:w="655" w:type="pct"/>
            <w:vAlign w:val="center"/>
          </w:tcPr>
          <w:p w:rsidR="006B4685" w:rsidRPr="003A769F" w:rsidRDefault="006B4685">
            <w:pPr>
              <w:spacing w:before="60" w:after="60"/>
              <w:jc w:val="center"/>
              <w:rPr>
                <w:noProof/>
                <w:sz w:val="20"/>
                <w:lang w:val="en-IE"/>
              </w:rPr>
            </w:pPr>
          </w:p>
        </w:tc>
        <w:tc>
          <w:tcPr>
            <w:tcW w:w="787" w:type="pct"/>
            <w:vAlign w:val="center"/>
          </w:tcPr>
          <w:p w:rsidR="006B4685" w:rsidRPr="003A769F" w:rsidRDefault="006B4685">
            <w:pPr>
              <w:spacing w:before="60" w:after="60"/>
              <w:jc w:val="center"/>
              <w:rPr>
                <w:noProof/>
                <w:sz w:val="20"/>
                <w:lang w:val="en-IE"/>
              </w:rPr>
            </w:pPr>
          </w:p>
        </w:tc>
      </w:tr>
      <w:tr w:rsidR="006B4685">
        <w:trPr>
          <w:cantSplit/>
        </w:trPr>
        <w:tc>
          <w:tcPr>
            <w:tcW w:w="1591" w:type="pct"/>
          </w:tcPr>
          <w:p w:rsidR="006B4685" w:rsidRDefault="006B4685">
            <w:pPr>
              <w:spacing w:before="60" w:after="60"/>
              <w:jc w:val="left"/>
              <w:rPr>
                <w:noProof/>
                <w:sz w:val="20"/>
              </w:rPr>
            </w:pPr>
            <w:r>
              <w:rPr>
                <w:noProof/>
                <w:sz w:val="20"/>
              </w:rPr>
              <w:t xml:space="preserve">TOTAL appropriations co-financed </w:t>
            </w:r>
          </w:p>
        </w:tc>
        <w:tc>
          <w:tcPr>
            <w:tcW w:w="655" w:type="pct"/>
            <w:vAlign w:val="center"/>
          </w:tcPr>
          <w:p w:rsidR="006B4685" w:rsidRDefault="006B4685">
            <w:pPr>
              <w:spacing w:before="60" w:after="60"/>
              <w:jc w:val="center"/>
              <w:rPr>
                <w:noProof/>
                <w:sz w:val="20"/>
              </w:rPr>
            </w:pPr>
          </w:p>
        </w:tc>
        <w:tc>
          <w:tcPr>
            <w:tcW w:w="655" w:type="pct"/>
            <w:vAlign w:val="center"/>
          </w:tcPr>
          <w:p w:rsidR="006B4685" w:rsidRDefault="006B4685">
            <w:pPr>
              <w:spacing w:before="60" w:after="60"/>
              <w:jc w:val="center"/>
              <w:rPr>
                <w:noProof/>
                <w:sz w:val="20"/>
              </w:rPr>
            </w:pPr>
          </w:p>
        </w:tc>
        <w:tc>
          <w:tcPr>
            <w:tcW w:w="655" w:type="pct"/>
            <w:vAlign w:val="center"/>
          </w:tcPr>
          <w:p w:rsidR="006B4685" w:rsidRDefault="006B4685">
            <w:pPr>
              <w:spacing w:before="60" w:after="60"/>
              <w:jc w:val="center"/>
              <w:rPr>
                <w:noProof/>
                <w:sz w:val="20"/>
              </w:rPr>
            </w:pPr>
          </w:p>
        </w:tc>
        <w:tc>
          <w:tcPr>
            <w:tcW w:w="655" w:type="pct"/>
            <w:vAlign w:val="center"/>
          </w:tcPr>
          <w:p w:rsidR="006B4685" w:rsidRDefault="006B4685">
            <w:pPr>
              <w:spacing w:before="60" w:after="60"/>
              <w:jc w:val="center"/>
              <w:rPr>
                <w:noProof/>
                <w:sz w:val="20"/>
              </w:rPr>
            </w:pPr>
          </w:p>
        </w:tc>
        <w:tc>
          <w:tcPr>
            <w:tcW w:w="787" w:type="pct"/>
            <w:vAlign w:val="center"/>
          </w:tcPr>
          <w:p w:rsidR="006B4685" w:rsidRDefault="006B4685">
            <w:pPr>
              <w:spacing w:before="60" w:after="60"/>
              <w:jc w:val="center"/>
              <w:rPr>
                <w:noProof/>
                <w:sz w:val="20"/>
              </w:rPr>
            </w:pPr>
          </w:p>
        </w:tc>
      </w:tr>
    </w:tbl>
    <w:p w:rsidR="006B4685" w:rsidRPr="001E0673" w:rsidRDefault="006B4685" w:rsidP="008E5162">
      <w:pPr>
        <w:pStyle w:val="ManualHeading3"/>
        <w:tabs>
          <w:tab w:val="clear" w:pos="850"/>
          <w:tab w:val="left" w:pos="0"/>
        </w:tabs>
        <w:ind w:left="0" w:firstLine="0"/>
        <w:rPr>
          <w:b/>
          <w:bCs/>
          <w:noProof/>
          <w:szCs w:val="24"/>
        </w:rPr>
      </w:pPr>
      <w:r>
        <w:rPr>
          <w:noProof/>
        </w:rPr>
        <w:br/>
      </w:r>
      <w:bookmarkStart w:id="165" w:name="_Toc160804601"/>
      <w:bookmarkStart w:id="166" w:name="_Toc198557790"/>
      <w:bookmarkStart w:id="167" w:name="_Hlk177486416"/>
      <w:r w:rsidRPr="008E5162">
        <w:rPr>
          <w:noProof/>
        </w:rPr>
        <w:t>3.2.8.</w:t>
      </w:r>
      <w:r w:rsidRPr="008E5162">
        <w:rPr>
          <w:noProof/>
        </w:rPr>
        <w:tab/>
        <w:t>Estimated human resources and the use of appropriations required in a</w:t>
      </w:r>
      <w:r>
        <w:rPr>
          <w:noProof/>
        </w:rPr>
        <w:t xml:space="preserve"> </w:t>
      </w:r>
      <w:r w:rsidRPr="008E5162">
        <w:rPr>
          <w:noProof/>
        </w:rPr>
        <w:t>decentralised agency</w:t>
      </w:r>
      <w:bookmarkEnd w:id="165"/>
      <w:bookmarkEnd w:id="166"/>
      <w:r w:rsidRPr="001E0673">
        <w:rPr>
          <w:b/>
          <w:bCs/>
          <w:noProof/>
        </w:rPr>
        <w:t xml:space="preserve"> </w:t>
      </w:r>
    </w:p>
    <w:bookmarkEnd w:id="167"/>
    <w:p w:rsidR="006B4685" w:rsidRPr="0094063F" w:rsidRDefault="006B4685" w:rsidP="006B4685">
      <w:pPr>
        <w:ind w:left="-142"/>
        <w:jc w:val="left"/>
        <w:rPr>
          <w:noProof/>
          <w:sz w:val="22"/>
          <w:u w:val="single"/>
        </w:rPr>
      </w:pPr>
      <w:r w:rsidRPr="0094063F">
        <w:rPr>
          <w:noProof/>
          <w:sz w:val="22"/>
          <w:u w:val="single"/>
        </w:rPr>
        <w:t>Staff requirements (</w:t>
      </w:r>
      <w:r>
        <w:rPr>
          <w:noProof/>
          <w:sz w:val="22"/>
          <w:u w:val="single"/>
        </w:rPr>
        <w:t>fulll-time equivalent units</w:t>
      </w:r>
      <w:r w:rsidRPr="0094063F">
        <w:rPr>
          <w:noProof/>
          <w:sz w:val="22"/>
          <w:u w:val="single"/>
        </w:rPr>
        <w:t>)</w:t>
      </w:r>
    </w:p>
    <w:tbl>
      <w:tblPr>
        <w:tblW w:w="94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97"/>
        <w:gridCol w:w="1449"/>
        <w:gridCol w:w="1450"/>
        <w:gridCol w:w="1449"/>
        <w:gridCol w:w="1450"/>
      </w:tblGrid>
      <w:tr w:rsidR="006B4685" w:rsidRPr="002D73DA">
        <w:trPr>
          <w:trHeight w:val="585"/>
          <w:jc w:val="center"/>
        </w:trPr>
        <w:tc>
          <w:tcPr>
            <w:tcW w:w="3697" w:type="dxa"/>
            <w:vAlign w:val="center"/>
          </w:tcPr>
          <w:p w:rsidR="006B4685" w:rsidRPr="00070628" w:rsidRDefault="006B4685">
            <w:pPr>
              <w:spacing w:before="60" w:after="60"/>
              <w:jc w:val="center"/>
              <w:rPr>
                <w:b/>
                <w:bCs/>
                <w:noProof/>
                <w:sz w:val="20"/>
                <w:szCs w:val="20"/>
              </w:rPr>
            </w:pPr>
            <w:r w:rsidRPr="00070628">
              <w:rPr>
                <w:b/>
                <w:bCs/>
                <w:noProof/>
                <w:color w:val="444444"/>
                <w:sz w:val="20"/>
                <w:szCs w:val="20"/>
                <w:shd w:val="clear" w:color="auto" w:fill="FFFFFF"/>
              </w:rPr>
              <w:t xml:space="preserve">Agency: </w:t>
            </w:r>
            <w:r>
              <w:rPr>
                <w:b/>
                <w:bCs/>
                <w:noProof/>
                <w:color w:val="444444"/>
                <w:sz w:val="20"/>
                <w:szCs w:val="20"/>
                <w:shd w:val="clear" w:color="auto" w:fill="FFFFFF"/>
              </w:rPr>
              <w:t>European Banking Authority</w:t>
            </w:r>
          </w:p>
        </w:tc>
        <w:tc>
          <w:tcPr>
            <w:tcW w:w="1449" w:type="dxa"/>
            <w:vAlign w:val="center"/>
          </w:tcPr>
          <w:p w:rsidR="006B4685" w:rsidRPr="002D73DA" w:rsidRDefault="006B4685">
            <w:pPr>
              <w:spacing w:before="60" w:after="60"/>
              <w:jc w:val="center"/>
              <w:rPr>
                <w:noProof/>
                <w:sz w:val="20"/>
                <w:szCs w:val="20"/>
              </w:rPr>
            </w:pPr>
            <w:r w:rsidRPr="002D73DA">
              <w:rPr>
                <w:noProof/>
                <w:sz w:val="20"/>
                <w:szCs w:val="20"/>
              </w:rPr>
              <w:t>Year</w:t>
            </w:r>
            <w:r>
              <w:rPr>
                <w:b/>
                <w:bCs/>
                <w:noProof/>
                <w:sz w:val="20"/>
                <w:szCs w:val="20"/>
              </w:rPr>
              <w:t xml:space="preserve"> </w:t>
            </w:r>
            <w:r w:rsidRPr="00B87906">
              <w:rPr>
                <w:b/>
                <w:bCs/>
                <w:noProof/>
                <w:sz w:val="20"/>
                <w:szCs w:val="20"/>
              </w:rPr>
              <w:t>2024</w:t>
            </w:r>
          </w:p>
        </w:tc>
        <w:tc>
          <w:tcPr>
            <w:tcW w:w="1450" w:type="dxa"/>
            <w:vAlign w:val="center"/>
          </w:tcPr>
          <w:p w:rsidR="006B4685" w:rsidRPr="002D73DA" w:rsidRDefault="006B4685">
            <w:pPr>
              <w:spacing w:before="60" w:after="60"/>
              <w:jc w:val="center"/>
              <w:rPr>
                <w:noProof/>
                <w:sz w:val="20"/>
                <w:szCs w:val="20"/>
              </w:rPr>
            </w:pPr>
            <w:r w:rsidRPr="002D73DA">
              <w:rPr>
                <w:noProof/>
                <w:sz w:val="20"/>
                <w:szCs w:val="20"/>
              </w:rPr>
              <w:t>Year</w:t>
            </w:r>
            <w:r>
              <w:rPr>
                <w:b/>
                <w:noProof/>
                <w:sz w:val="20"/>
                <w:szCs w:val="20"/>
              </w:rPr>
              <w:t xml:space="preserve"> 2025</w:t>
            </w:r>
          </w:p>
        </w:tc>
        <w:tc>
          <w:tcPr>
            <w:tcW w:w="1449" w:type="dxa"/>
            <w:vAlign w:val="center"/>
          </w:tcPr>
          <w:p w:rsidR="006B4685" w:rsidRPr="002D73DA" w:rsidRDefault="006B4685">
            <w:pPr>
              <w:spacing w:before="60" w:after="60"/>
              <w:jc w:val="center"/>
              <w:rPr>
                <w:noProof/>
                <w:sz w:val="20"/>
                <w:szCs w:val="20"/>
              </w:rPr>
            </w:pPr>
            <w:r w:rsidRPr="002D73DA">
              <w:rPr>
                <w:noProof/>
                <w:sz w:val="20"/>
                <w:szCs w:val="20"/>
              </w:rPr>
              <w:t>Year</w:t>
            </w:r>
            <w:r>
              <w:rPr>
                <w:b/>
                <w:noProof/>
                <w:sz w:val="20"/>
                <w:szCs w:val="20"/>
              </w:rPr>
              <w:t xml:space="preserve"> 2026</w:t>
            </w:r>
          </w:p>
        </w:tc>
        <w:tc>
          <w:tcPr>
            <w:tcW w:w="1450" w:type="dxa"/>
            <w:vAlign w:val="center"/>
          </w:tcPr>
          <w:p w:rsidR="006B4685" w:rsidRPr="002D73DA" w:rsidRDefault="006B4685">
            <w:pPr>
              <w:spacing w:before="60" w:after="60"/>
              <w:jc w:val="center"/>
              <w:rPr>
                <w:noProof/>
                <w:sz w:val="20"/>
                <w:szCs w:val="20"/>
              </w:rPr>
            </w:pPr>
            <w:r w:rsidRPr="002D73DA">
              <w:rPr>
                <w:noProof/>
                <w:sz w:val="20"/>
                <w:szCs w:val="20"/>
              </w:rPr>
              <w:t>Year</w:t>
            </w:r>
            <w:r>
              <w:rPr>
                <w:b/>
                <w:noProof/>
                <w:sz w:val="20"/>
                <w:szCs w:val="20"/>
              </w:rPr>
              <w:t xml:space="preserve"> 2027</w:t>
            </w:r>
          </w:p>
        </w:tc>
      </w:tr>
      <w:tr w:rsidR="006B4685" w:rsidRPr="002D73DA">
        <w:trPr>
          <w:trHeight w:val="585"/>
          <w:jc w:val="center"/>
        </w:trPr>
        <w:tc>
          <w:tcPr>
            <w:tcW w:w="3697" w:type="dxa"/>
            <w:vAlign w:val="center"/>
          </w:tcPr>
          <w:p w:rsidR="006B4685" w:rsidRPr="002D73DA" w:rsidRDefault="006B4685">
            <w:pPr>
              <w:spacing w:before="60" w:after="60"/>
              <w:jc w:val="left"/>
              <w:rPr>
                <w:noProof/>
                <w:sz w:val="20"/>
                <w:szCs w:val="20"/>
              </w:rPr>
            </w:pPr>
            <w:r w:rsidRPr="002D73DA">
              <w:rPr>
                <w:noProof/>
                <w:sz w:val="20"/>
                <w:szCs w:val="20"/>
              </w:rPr>
              <w:t>Temporary agents (AD Grades)</w:t>
            </w:r>
          </w:p>
        </w:tc>
        <w:tc>
          <w:tcPr>
            <w:tcW w:w="1449" w:type="dxa"/>
            <w:vAlign w:val="center"/>
          </w:tcPr>
          <w:p w:rsidR="006B4685" w:rsidRPr="002D73DA" w:rsidRDefault="006B4685">
            <w:pPr>
              <w:spacing w:before="60" w:after="60"/>
              <w:jc w:val="right"/>
              <w:rPr>
                <w:noProof/>
                <w:sz w:val="20"/>
                <w:szCs w:val="20"/>
              </w:rPr>
            </w:pPr>
          </w:p>
        </w:tc>
        <w:tc>
          <w:tcPr>
            <w:tcW w:w="1450" w:type="dxa"/>
            <w:vAlign w:val="center"/>
          </w:tcPr>
          <w:p w:rsidR="006B4685" w:rsidRPr="002D73DA" w:rsidRDefault="006B4685">
            <w:pPr>
              <w:spacing w:before="60" w:after="60"/>
              <w:jc w:val="right"/>
              <w:rPr>
                <w:noProof/>
                <w:sz w:val="20"/>
                <w:szCs w:val="20"/>
              </w:rPr>
            </w:pPr>
          </w:p>
        </w:tc>
        <w:tc>
          <w:tcPr>
            <w:tcW w:w="1449" w:type="dxa"/>
            <w:vAlign w:val="center"/>
          </w:tcPr>
          <w:p w:rsidR="006B4685" w:rsidRPr="002D73DA" w:rsidRDefault="006B4685">
            <w:pPr>
              <w:spacing w:before="60" w:after="60"/>
              <w:jc w:val="right"/>
              <w:rPr>
                <w:noProof/>
                <w:sz w:val="20"/>
                <w:szCs w:val="20"/>
              </w:rPr>
            </w:pPr>
          </w:p>
        </w:tc>
        <w:tc>
          <w:tcPr>
            <w:tcW w:w="1450" w:type="dxa"/>
            <w:vAlign w:val="center"/>
          </w:tcPr>
          <w:p w:rsidR="006B4685" w:rsidRPr="002D73DA" w:rsidRDefault="006B4685">
            <w:pPr>
              <w:spacing w:before="60" w:after="60"/>
              <w:jc w:val="right"/>
              <w:rPr>
                <w:noProof/>
                <w:sz w:val="20"/>
                <w:szCs w:val="20"/>
              </w:rPr>
            </w:pPr>
            <w:r>
              <w:rPr>
                <w:noProof/>
                <w:sz w:val="20"/>
                <w:szCs w:val="20"/>
              </w:rPr>
              <w:t>3</w:t>
            </w:r>
          </w:p>
        </w:tc>
      </w:tr>
      <w:tr w:rsidR="006B4685" w:rsidRPr="002D73DA">
        <w:trPr>
          <w:trHeight w:val="585"/>
          <w:jc w:val="center"/>
        </w:trPr>
        <w:tc>
          <w:tcPr>
            <w:tcW w:w="3697" w:type="dxa"/>
            <w:vAlign w:val="center"/>
          </w:tcPr>
          <w:p w:rsidR="006B4685" w:rsidRPr="002D73DA" w:rsidRDefault="006B4685">
            <w:pPr>
              <w:spacing w:before="60" w:after="60"/>
              <w:jc w:val="left"/>
              <w:rPr>
                <w:noProof/>
                <w:sz w:val="20"/>
                <w:szCs w:val="20"/>
              </w:rPr>
            </w:pPr>
            <w:r w:rsidRPr="002D73DA">
              <w:rPr>
                <w:noProof/>
                <w:sz w:val="20"/>
                <w:szCs w:val="20"/>
              </w:rPr>
              <w:t>Temporary agents (AST grades)</w:t>
            </w:r>
          </w:p>
        </w:tc>
        <w:tc>
          <w:tcPr>
            <w:tcW w:w="1449" w:type="dxa"/>
            <w:vAlign w:val="center"/>
          </w:tcPr>
          <w:p w:rsidR="006B4685" w:rsidRPr="002D73DA" w:rsidRDefault="006B4685">
            <w:pPr>
              <w:spacing w:before="60" w:after="60"/>
              <w:jc w:val="right"/>
              <w:rPr>
                <w:noProof/>
                <w:sz w:val="20"/>
                <w:szCs w:val="20"/>
              </w:rPr>
            </w:pPr>
          </w:p>
        </w:tc>
        <w:tc>
          <w:tcPr>
            <w:tcW w:w="1450" w:type="dxa"/>
            <w:vAlign w:val="center"/>
          </w:tcPr>
          <w:p w:rsidR="006B4685" w:rsidRPr="002D73DA" w:rsidRDefault="006B4685">
            <w:pPr>
              <w:spacing w:before="60" w:after="60"/>
              <w:jc w:val="right"/>
              <w:rPr>
                <w:noProof/>
                <w:sz w:val="20"/>
                <w:szCs w:val="20"/>
              </w:rPr>
            </w:pPr>
          </w:p>
        </w:tc>
        <w:tc>
          <w:tcPr>
            <w:tcW w:w="1449" w:type="dxa"/>
            <w:vAlign w:val="center"/>
          </w:tcPr>
          <w:p w:rsidR="006B4685" w:rsidRPr="002D73DA" w:rsidRDefault="006B4685">
            <w:pPr>
              <w:spacing w:before="60" w:after="60"/>
              <w:jc w:val="right"/>
              <w:rPr>
                <w:noProof/>
                <w:sz w:val="20"/>
                <w:szCs w:val="20"/>
              </w:rPr>
            </w:pPr>
          </w:p>
        </w:tc>
        <w:tc>
          <w:tcPr>
            <w:tcW w:w="1450" w:type="dxa"/>
            <w:vAlign w:val="center"/>
          </w:tcPr>
          <w:p w:rsidR="006B4685" w:rsidRPr="002D73DA" w:rsidRDefault="006B4685">
            <w:pPr>
              <w:spacing w:before="60" w:after="60"/>
              <w:jc w:val="right"/>
              <w:rPr>
                <w:noProof/>
                <w:sz w:val="20"/>
                <w:szCs w:val="20"/>
              </w:rPr>
            </w:pPr>
          </w:p>
        </w:tc>
      </w:tr>
      <w:tr w:rsidR="006B4685" w:rsidRPr="002D73DA">
        <w:trPr>
          <w:trHeight w:val="585"/>
          <w:jc w:val="center"/>
        </w:trPr>
        <w:tc>
          <w:tcPr>
            <w:tcW w:w="3697" w:type="dxa"/>
            <w:vAlign w:val="center"/>
          </w:tcPr>
          <w:p w:rsidR="006B4685" w:rsidRPr="005279FF" w:rsidRDefault="006B4685">
            <w:pPr>
              <w:spacing w:before="60" w:after="60"/>
              <w:jc w:val="left"/>
              <w:rPr>
                <w:i/>
                <w:iCs/>
                <w:noProof/>
                <w:sz w:val="20"/>
                <w:szCs w:val="20"/>
              </w:rPr>
            </w:pPr>
            <w:r w:rsidRPr="005279FF">
              <w:rPr>
                <w:i/>
                <w:iCs/>
                <w:noProof/>
                <w:sz w:val="20"/>
                <w:szCs w:val="20"/>
              </w:rPr>
              <w:t>Temporary agents (AD+AST)</w:t>
            </w:r>
            <w:r>
              <w:rPr>
                <w:i/>
                <w:iCs/>
                <w:noProof/>
                <w:sz w:val="20"/>
                <w:szCs w:val="20"/>
              </w:rPr>
              <w:t xml:space="preserve"> subtotal</w:t>
            </w:r>
          </w:p>
        </w:tc>
        <w:tc>
          <w:tcPr>
            <w:tcW w:w="1449" w:type="dxa"/>
            <w:vAlign w:val="center"/>
          </w:tcPr>
          <w:p w:rsidR="006B4685" w:rsidRPr="00070628" w:rsidRDefault="006B4685">
            <w:pPr>
              <w:spacing w:before="60" w:after="60"/>
              <w:jc w:val="right"/>
              <w:rPr>
                <w:i/>
                <w:iCs/>
                <w:noProof/>
                <w:sz w:val="20"/>
                <w:szCs w:val="20"/>
              </w:rPr>
            </w:pPr>
            <w:r w:rsidRPr="00070628">
              <w:rPr>
                <w:b/>
                <w:bCs/>
                <w:i/>
                <w:iCs/>
                <w:noProof/>
                <w:color w:val="000000"/>
                <w:sz w:val="16"/>
                <w:szCs w:val="16"/>
                <w:lang w:val="en-IE" w:eastAsia="en-IE"/>
              </w:rPr>
              <w:t>0</w:t>
            </w:r>
          </w:p>
        </w:tc>
        <w:tc>
          <w:tcPr>
            <w:tcW w:w="1450" w:type="dxa"/>
            <w:vAlign w:val="center"/>
          </w:tcPr>
          <w:p w:rsidR="006B4685" w:rsidRPr="00070628" w:rsidRDefault="006B4685">
            <w:pPr>
              <w:spacing w:before="60" w:after="60"/>
              <w:jc w:val="right"/>
              <w:rPr>
                <w:i/>
                <w:iCs/>
                <w:noProof/>
                <w:sz w:val="20"/>
                <w:szCs w:val="20"/>
              </w:rPr>
            </w:pPr>
            <w:r w:rsidRPr="00070628">
              <w:rPr>
                <w:b/>
                <w:bCs/>
                <w:i/>
                <w:iCs/>
                <w:noProof/>
                <w:color w:val="000000"/>
                <w:sz w:val="16"/>
                <w:szCs w:val="16"/>
                <w:lang w:val="en-IE" w:eastAsia="en-IE"/>
              </w:rPr>
              <w:t>0</w:t>
            </w:r>
          </w:p>
        </w:tc>
        <w:tc>
          <w:tcPr>
            <w:tcW w:w="1449" w:type="dxa"/>
            <w:vAlign w:val="center"/>
          </w:tcPr>
          <w:p w:rsidR="006B4685" w:rsidRPr="00070628" w:rsidRDefault="006B4685">
            <w:pPr>
              <w:spacing w:before="60" w:after="60"/>
              <w:jc w:val="right"/>
              <w:rPr>
                <w:i/>
                <w:iCs/>
                <w:noProof/>
                <w:sz w:val="20"/>
                <w:szCs w:val="20"/>
              </w:rPr>
            </w:pPr>
            <w:r w:rsidRPr="00070628">
              <w:rPr>
                <w:b/>
                <w:bCs/>
                <w:i/>
                <w:iCs/>
                <w:noProof/>
                <w:color w:val="000000"/>
                <w:sz w:val="16"/>
                <w:szCs w:val="16"/>
                <w:lang w:val="en-IE" w:eastAsia="en-IE"/>
              </w:rPr>
              <w:t>0</w:t>
            </w:r>
          </w:p>
        </w:tc>
        <w:tc>
          <w:tcPr>
            <w:tcW w:w="1450" w:type="dxa"/>
            <w:vAlign w:val="center"/>
          </w:tcPr>
          <w:p w:rsidR="006B4685" w:rsidRPr="00070628" w:rsidRDefault="006B4685">
            <w:pPr>
              <w:spacing w:before="60" w:after="60"/>
              <w:jc w:val="right"/>
              <w:rPr>
                <w:i/>
                <w:iCs/>
                <w:noProof/>
                <w:sz w:val="20"/>
                <w:szCs w:val="20"/>
              </w:rPr>
            </w:pPr>
            <w:r>
              <w:rPr>
                <w:b/>
                <w:bCs/>
                <w:i/>
                <w:iCs/>
                <w:noProof/>
                <w:color w:val="000000"/>
                <w:sz w:val="16"/>
                <w:szCs w:val="16"/>
                <w:lang w:val="en-IE" w:eastAsia="en-IE"/>
              </w:rPr>
              <w:t>3</w:t>
            </w:r>
          </w:p>
        </w:tc>
      </w:tr>
      <w:tr w:rsidR="006B4685" w:rsidRPr="002D73DA">
        <w:trPr>
          <w:trHeight w:val="585"/>
          <w:jc w:val="center"/>
        </w:trPr>
        <w:tc>
          <w:tcPr>
            <w:tcW w:w="3697" w:type="dxa"/>
            <w:vAlign w:val="center"/>
          </w:tcPr>
          <w:p w:rsidR="006B4685" w:rsidRPr="002D73DA" w:rsidRDefault="006B4685">
            <w:pPr>
              <w:spacing w:before="60" w:after="60"/>
              <w:jc w:val="left"/>
              <w:rPr>
                <w:noProof/>
                <w:sz w:val="20"/>
                <w:szCs w:val="20"/>
              </w:rPr>
            </w:pPr>
            <w:r w:rsidRPr="002D73DA">
              <w:rPr>
                <w:noProof/>
                <w:sz w:val="20"/>
                <w:szCs w:val="20"/>
              </w:rPr>
              <w:t xml:space="preserve">Contract </w:t>
            </w:r>
            <w:r>
              <w:rPr>
                <w:noProof/>
                <w:sz w:val="20"/>
                <w:szCs w:val="20"/>
              </w:rPr>
              <w:t>agents</w:t>
            </w:r>
          </w:p>
        </w:tc>
        <w:tc>
          <w:tcPr>
            <w:tcW w:w="1449" w:type="dxa"/>
            <w:vAlign w:val="center"/>
          </w:tcPr>
          <w:p w:rsidR="006B4685" w:rsidRPr="002D73DA" w:rsidRDefault="006B4685">
            <w:pPr>
              <w:spacing w:before="60" w:after="60"/>
              <w:jc w:val="right"/>
              <w:rPr>
                <w:noProof/>
                <w:sz w:val="20"/>
                <w:szCs w:val="20"/>
              </w:rPr>
            </w:pPr>
          </w:p>
        </w:tc>
        <w:tc>
          <w:tcPr>
            <w:tcW w:w="1450" w:type="dxa"/>
            <w:vAlign w:val="center"/>
          </w:tcPr>
          <w:p w:rsidR="006B4685" w:rsidRPr="002D73DA" w:rsidRDefault="006B4685">
            <w:pPr>
              <w:spacing w:before="60" w:after="60"/>
              <w:jc w:val="right"/>
              <w:rPr>
                <w:noProof/>
                <w:sz w:val="20"/>
                <w:szCs w:val="20"/>
              </w:rPr>
            </w:pPr>
          </w:p>
        </w:tc>
        <w:tc>
          <w:tcPr>
            <w:tcW w:w="1449" w:type="dxa"/>
            <w:vAlign w:val="center"/>
          </w:tcPr>
          <w:p w:rsidR="006B4685" w:rsidRPr="002D73DA" w:rsidRDefault="006B4685">
            <w:pPr>
              <w:spacing w:before="60" w:after="60"/>
              <w:jc w:val="right"/>
              <w:rPr>
                <w:noProof/>
                <w:sz w:val="20"/>
                <w:szCs w:val="20"/>
              </w:rPr>
            </w:pPr>
          </w:p>
        </w:tc>
        <w:tc>
          <w:tcPr>
            <w:tcW w:w="1450" w:type="dxa"/>
            <w:vAlign w:val="center"/>
          </w:tcPr>
          <w:p w:rsidR="006B4685" w:rsidRPr="002D73DA" w:rsidRDefault="006B4685">
            <w:pPr>
              <w:spacing w:before="60" w:after="60"/>
              <w:jc w:val="right"/>
              <w:rPr>
                <w:noProof/>
                <w:sz w:val="20"/>
                <w:szCs w:val="20"/>
              </w:rPr>
            </w:pPr>
          </w:p>
        </w:tc>
      </w:tr>
      <w:tr w:rsidR="006B4685" w:rsidRPr="002D73DA">
        <w:trPr>
          <w:trHeight w:val="585"/>
          <w:jc w:val="center"/>
        </w:trPr>
        <w:tc>
          <w:tcPr>
            <w:tcW w:w="3697" w:type="dxa"/>
            <w:vAlign w:val="center"/>
          </w:tcPr>
          <w:p w:rsidR="006B4685" w:rsidRPr="002D73DA" w:rsidRDefault="006B4685">
            <w:pPr>
              <w:spacing w:before="60" w:after="60"/>
              <w:jc w:val="left"/>
              <w:rPr>
                <w:noProof/>
                <w:sz w:val="20"/>
                <w:szCs w:val="20"/>
              </w:rPr>
            </w:pPr>
            <w:r w:rsidRPr="002D73DA">
              <w:rPr>
                <w:noProof/>
                <w:sz w:val="20"/>
                <w:szCs w:val="20"/>
              </w:rPr>
              <w:t xml:space="preserve">Seconded </w:t>
            </w:r>
            <w:r>
              <w:rPr>
                <w:noProof/>
                <w:sz w:val="20"/>
                <w:szCs w:val="20"/>
              </w:rPr>
              <w:t>n</w:t>
            </w:r>
            <w:r w:rsidRPr="002D73DA">
              <w:rPr>
                <w:noProof/>
                <w:sz w:val="20"/>
                <w:szCs w:val="20"/>
              </w:rPr>
              <w:t xml:space="preserve">ational </w:t>
            </w:r>
            <w:r>
              <w:rPr>
                <w:noProof/>
                <w:sz w:val="20"/>
                <w:szCs w:val="20"/>
              </w:rPr>
              <w:t>e</w:t>
            </w:r>
            <w:r w:rsidRPr="002D73DA">
              <w:rPr>
                <w:noProof/>
                <w:sz w:val="20"/>
                <w:szCs w:val="20"/>
              </w:rPr>
              <w:t>xperts</w:t>
            </w:r>
          </w:p>
        </w:tc>
        <w:tc>
          <w:tcPr>
            <w:tcW w:w="1449" w:type="dxa"/>
            <w:vAlign w:val="center"/>
          </w:tcPr>
          <w:p w:rsidR="006B4685" w:rsidRPr="002D73DA" w:rsidRDefault="006B4685">
            <w:pPr>
              <w:spacing w:before="60" w:after="60"/>
              <w:jc w:val="right"/>
              <w:rPr>
                <w:noProof/>
                <w:sz w:val="20"/>
                <w:szCs w:val="20"/>
              </w:rPr>
            </w:pPr>
          </w:p>
        </w:tc>
        <w:tc>
          <w:tcPr>
            <w:tcW w:w="1450" w:type="dxa"/>
            <w:vAlign w:val="center"/>
          </w:tcPr>
          <w:p w:rsidR="006B4685" w:rsidRPr="002D73DA" w:rsidRDefault="006B4685">
            <w:pPr>
              <w:spacing w:before="60" w:after="60"/>
              <w:jc w:val="right"/>
              <w:rPr>
                <w:noProof/>
                <w:sz w:val="20"/>
                <w:szCs w:val="20"/>
              </w:rPr>
            </w:pPr>
          </w:p>
        </w:tc>
        <w:tc>
          <w:tcPr>
            <w:tcW w:w="1449" w:type="dxa"/>
            <w:vAlign w:val="center"/>
          </w:tcPr>
          <w:p w:rsidR="006B4685" w:rsidRPr="002D73DA" w:rsidRDefault="006B4685">
            <w:pPr>
              <w:spacing w:before="60" w:after="60"/>
              <w:jc w:val="right"/>
              <w:rPr>
                <w:noProof/>
                <w:sz w:val="20"/>
                <w:szCs w:val="20"/>
              </w:rPr>
            </w:pPr>
          </w:p>
        </w:tc>
        <w:tc>
          <w:tcPr>
            <w:tcW w:w="1450" w:type="dxa"/>
            <w:vAlign w:val="center"/>
          </w:tcPr>
          <w:p w:rsidR="006B4685" w:rsidRPr="002D73DA" w:rsidRDefault="006B4685">
            <w:pPr>
              <w:spacing w:before="60" w:after="60"/>
              <w:jc w:val="right"/>
              <w:rPr>
                <w:noProof/>
                <w:sz w:val="20"/>
                <w:szCs w:val="20"/>
              </w:rPr>
            </w:pPr>
          </w:p>
        </w:tc>
      </w:tr>
      <w:tr w:rsidR="006B4685" w:rsidRPr="002D73DA">
        <w:trPr>
          <w:trHeight w:val="585"/>
          <w:jc w:val="center"/>
        </w:trPr>
        <w:tc>
          <w:tcPr>
            <w:tcW w:w="3697" w:type="dxa"/>
            <w:tcBorders>
              <w:bottom w:val="single" w:sz="4" w:space="0" w:color="auto"/>
            </w:tcBorders>
            <w:vAlign w:val="center"/>
          </w:tcPr>
          <w:p w:rsidR="006B4685" w:rsidRPr="005279FF" w:rsidRDefault="006B4685">
            <w:pPr>
              <w:spacing w:before="60" w:after="60"/>
              <w:jc w:val="left"/>
              <w:rPr>
                <w:i/>
                <w:iCs/>
                <w:noProof/>
                <w:sz w:val="20"/>
                <w:szCs w:val="20"/>
              </w:rPr>
            </w:pPr>
            <w:r w:rsidRPr="005279FF">
              <w:rPr>
                <w:i/>
                <w:iCs/>
                <w:noProof/>
                <w:sz w:val="20"/>
                <w:szCs w:val="20"/>
              </w:rPr>
              <w:t xml:space="preserve">Contract </w:t>
            </w:r>
            <w:r>
              <w:rPr>
                <w:i/>
                <w:iCs/>
                <w:noProof/>
                <w:sz w:val="20"/>
                <w:szCs w:val="20"/>
              </w:rPr>
              <w:t>agents</w:t>
            </w:r>
            <w:r w:rsidRPr="005279FF">
              <w:rPr>
                <w:i/>
                <w:iCs/>
                <w:noProof/>
                <w:sz w:val="20"/>
                <w:szCs w:val="20"/>
              </w:rPr>
              <w:t xml:space="preserve"> and </w:t>
            </w:r>
            <w:r>
              <w:rPr>
                <w:i/>
                <w:iCs/>
                <w:noProof/>
                <w:sz w:val="20"/>
                <w:szCs w:val="20"/>
              </w:rPr>
              <w:t>seconded national experts subtotal</w:t>
            </w:r>
          </w:p>
        </w:tc>
        <w:tc>
          <w:tcPr>
            <w:tcW w:w="1449" w:type="dxa"/>
            <w:tcBorders>
              <w:bottom w:val="single" w:sz="4" w:space="0" w:color="auto"/>
            </w:tcBorders>
            <w:vAlign w:val="center"/>
          </w:tcPr>
          <w:p w:rsidR="006B4685" w:rsidRPr="00070628" w:rsidRDefault="006B4685">
            <w:pPr>
              <w:spacing w:before="60" w:after="60"/>
              <w:jc w:val="right"/>
              <w:rPr>
                <w:i/>
                <w:iCs/>
                <w:noProof/>
                <w:sz w:val="20"/>
                <w:szCs w:val="20"/>
              </w:rPr>
            </w:pPr>
            <w:r w:rsidRPr="00070628">
              <w:rPr>
                <w:b/>
                <w:bCs/>
                <w:i/>
                <w:iCs/>
                <w:noProof/>
                <w:color w:val="000000"/>
                <w:sz w:val="16"/>
                <w:szCs w:val="16"/>
                <w:lang w:val="en-IE" w:eastAsia="en-IE"/>
              </w:rPr>
              <w:t>0</w:t>
            </w:r>
          </w:p>
        </w:tc>
        <w:tc>
          <w:tcPr>
            <w:tcW w:w="1450" w:type="dxa"/>
            <w:tcBorders>
              <w:bottom w:val="single" w:sz="4" w:space="0" w:color="auto"/>
            </w:tcBorders>
            <w:vAlign w:val="center"/>
          </w:tcPr>
          <w:p w:rsidR="006B4685" w:rsidRPr="00070628" w:rsidRDefault="006B4685">
            <w:pPr>
              <w:spacing w:before="60" w:after="60"/>
              <w:jc w:val="right"/>
              <w:rPr>
                <w:i/>
                <w:iCs/>
                <w:noProof/>
                <w:sz w:val="20"/>
                <w:szCs w:val="20"/>
              </w:rPr>
            </w:pPr>
            <w:r w:rsidRPr="00070628">
              <w:rPr>
                <w:b/>
                <w:bCs/>
                <w:i/>
                <w:iCs/>
                <w:noProof/>
                <w:color w:val="000000"/>
                <w:sz w:val="16"/>
                <w:szCs w:val="16"/>
                <w:lang w:val="en-IE" w:eastAsia="en-IE"/>
              </w:rPr>
              <w:t>0</w:t>
            </w:r>
          </w:p>
        </w:tc>
        <w:tc>
          <w:tcPr>
            <w:tcW w:w="1449" w:type="dxa"/>
            <w:tcBorders>
              <w:bottom w:val="single" w:sz="4" w:space="0" w:color="auto"/>
            </w:tcBorders>
            <w:vAlign w:val="center"/>
          </w:tcPr>
          <w:p w:rsidR="006B4685" w:rsidRPr="00070628" w:rsidRDefault="006B4685">
            <w:pPr>
              <w:spacing w:before="60" w:after="60"/>
              <w:jc w:val="right"/>
              <w:rPr>
                <w:i/>
                <w:iCs/>
                <w:noProof/>
                <w:sz w:val="20"/>
                <w:szCs w:val="20"/>
              </w:rPr>
            </w:pPr>
            <w:r w:rsidRPr="00070628">
              <w:rPr>
                <w:b/>
                <w:bCs/>
                <w:i/>
                <w:iCs/>
                <w:noProof/>
                <w:color w:val="000000"/>
                <w:sz w:val="16"/>
                <w:szCs w:val="16"/>
                <w:lang w:val="en-IE" w:eastAsia="en-IE"/>
              </w:rPr>
              <w:t>0</w:t>
            </w:r>
          </w:p>
        </w:tc>
        <w:tc>
          <w:tcPr>
            <w:tcW w:w="1450" w:type="dxa"/>
            <w:tcBorders>
              <w:bottom w:val="single" w:sz="4" w:space="0" w:color="auto"/>
            </w:tcBorders>
            <w:vAlign w:val="center"/>
          </w:tcPr>
          <w:p w:rsidR="006B4685" w:rsidRPr="00070628" w:rsidRDefault="006B4685">
            <w:pPr>
              <w:spacing w:before="60" w:after="60"/>
              <w:jc w:val="right"/>
              <w:rPr>
                <w:i/>
                <w:iCs/>
                <w:noProof/>
                <w:sz w:val="20"/>
                <w:szCs w:val="20"/>
              </w:rPr>
            </w:pPr>
            <w:r w:rsidRPr="00070628">
              <w:rPr>
                <w:b/>
                <w:bCs/>
                <w:i/>
                <w:iCs/>
                <w:noProof/>
                <w:color w:val="000000"/>
                <w:sz w:val="16"/>
                <w:szCs w:val="16"/>
                <w:lang w:val="en-IE" w:eastAsia="en-IE"/>
              </w:rPr>
              <w:t>0</w:t>
            </w:r>
          </w:p>
        </w:tc>
      </w:tr>
      <w:tr w:rsidR="006B4685" w:rsidRPr="002D73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jc w:val="center"/>
        </w:trPr>
        <w:tc>
          <w:tcPr>
            <w:tcW w:w="3697" w:type="dxa"/>
            <w:tcBorders>
              <w:top w:val="single" w:sz="4" w:space="0" w:color="auto"/>
              <w:left w:val="single" w:sz="4" w:space="0" w:color="auto"/>
              <w:bottom w:val="single" w:sz="4" w:space="0" w:color="auto"/>
              <w:right w:val="single" w:sz="4" w:space="0" w:color="auto"/>
            </w:tcBorders>
            <w:vAlign w:val="center"/>
          </w:tcPr>
          <w:p w:rsidR="006B4685" w:rsidRPr="002D73DA" w:rsidRDefault="006B4685">
            <w:pPr>
              <w:spacing w:before="60" w:after="60"/>
              <w:jc w:val="left"/>
              <w:rPr>
                <w:noProof/>
                <w:sz w:val="20"/>
                <w:szCs w:val="20"/>
              </w:rPr>
            </w:pPr>
            <w:r w:rsidRPr="002D73DA">
              <w:rPr>
                <w:b/>
                <w:noProof/>
                <w:sz w:val="20"/>
                <w:szCs w:val="20"/>
              </w:rPr>
              <w:t>TOTAL</w:t>
            </w:r>
            <w:r>
              <w:rPr>
                <w:b/>
                <w:noProof/>
                <w:sz w:val="20"/>
                <w:szCs w:val="20"/>
              </w:rPr>
              <w:t xml:space="preserve"> staff</w:t>
            </w:r>
          </w:p>
        </w:tc>
        <w:tc>
          <w:tcPr>
            <w:tcW w:w="1449" w:type="dxa"/>
            <w:tcBorders>
              <w:top w:val="single" w:sz="4" w:space="0" w:color="auto"/>
              <w:left w:val="single" w:sz="4" w:space="0" w:color="auto"/>
              <w:bottom w:val="single" w:sz="4" w:space="0" w:color="auto"/>
              <w:right w:val="single" w:sz="4" w:space="0" w:color="auto"/>
            </w:tcBorders>
            <w:vAlign w:val="center"/>
          </w:tcPr>
          <w:p w:rsidR="006B4685" w:rsidRPr="00070628" w:rsidRDefault="006B4685">
            <w:pPr>
              <w:spacing w:before="60" w:after="60"/>
              <w:jc w:val="right"/>
              <w:rPr>
                <w:noProof/>
                <w:sz w:val="20"/>
                <w:szCs w:val="20"/>
              </w:rPr>
            </w:pPr>
            <w:r w:rsidRPr="00066A1C">
              <w:rPr>
                <w:b/>
                <w:bCs/>
                <w:noProof/>
                <w:color w:val="000000"/>
                <w:sz w:val="16"/>
                <w:szCs w:val="16"/>
                <w:lang w:val="en-IE" w:eastAsia="en-IE"/>
              </w:rPr>
              <w:t>0</w:t>
            </w:r>
          </w:p>
        </w:tc>
        <w:tc>
          <w:tcPr>
            <w:tcW w:w="1450" w:type="dxa"/>
            <w:tcBorders>
              <w:top w:val="single" w:sz="4" w:space="0" w:color="auto"/>
              <w:left w:val="single" w:sz="4" w:space="0" w:color="auto"/>
              <w:bottom w:val="single" w:sz="4" w:space="0" w:color="auto"/>
              <w:right w:val="single" w:sz="4" w:space="0" w:color="auto"/>
            </w:tcBorders>
            <w:vAlign w:val="center"/>
          </w:tcPr>
          <w:p w:rsidR="006B4685" w:rsidRPr="002D73DA" w:rsidRDefault="006B4685">
            <w:pPr>
              <w:spacing w:before="60" w:after="60"/>
              <w:jc w:val="right"/>
              <w:rPr>
                <w:b/>
                <w:noProof/>
                <w:sz w:val="20"/>
                <w:szCs w:val="20"/>
              </w:rPr>
            </w:pPr>
            <w:r w:rsidRPr="00066A1C">
              <w:rPr>
                <w:b/>
                <w:bCs/>
                <w:noProof/>
                <w:color w:val="000000"/>
                <w:sz w:val="16"/>
                <w:szCs w:val="16"/>
                <w:lang w:val="en-IE" w:eastAsia="en-IE"/>
              </w:rPr>
              <w:t>0</w:t>
            </w:r>
          </w:p>
        </w:tc>
        <w:tc>
          <w:tcPr>
            <w:tcW w:w="1449" w:type="dxa"/>
            <w:tcBorders>
              <w:top w:val="single" w:sz="4" w:space="0" w:color="auto"/>
              <w:left w:val="single" w:sz="4" w:space="0" w:color="auto"/>
              <w:bottom w:val="single" w:sz="4" w:space="0" w:color="auto"/>
              <w:right w:val="single" w:sz="4" w:space="0" w:color="auto"/>
            </w:tcBorders>
            <w:vAlign w:val="center"/>
          </w:tcPr>
          <w:p w:rsidR="006B4685" w:rsidRPr="002D73DA" w:rsidRDefault="006B4685">
            <w:pPr>
              <w:spacing w:before="60" w:after="60"/>
              <w:jc w:val="right"/>
              <w:rPr>
                <w:b/>
                <w:noProof/>
                <w:sz w:val="20"/>
                <w:szCs w:val="20"/>
              </w:rPr>
            </w:pPr>
            <w:r w:rsidRPr="00066A1C">
              <w:rPr>
                <w:b/>
                <w:bCs/>
                <w:noProof/>
                <w:color w:val="000000"/>
                <w:sz w:val="16"/>
                <w:szCs w:val="16"/>
                <w:lang w:val="en-IE" w:eastAsia="en-IE"/>
              </w:rPr>
              <w:t>0</w:t>
            </w:r>
          </w:p>
        </w:tc>
        <w:tc>
          <w:tcPr>
            <w:tcW w:w="1450" w:type="dxa"/>
            <w:tcBorders>
              <w:top w:val="single" w:sz="4" w:space="0" w:color="auto"/>
              <w:left w:val="single" w:sz="4" w:space="0" w:color="auto"/>
              <w:bottom w:val="single" w:sz="4" w:space="0" w:color="auto"/>
              <w:right w:val="single" w:sz="4" w:space="0" w:color="auto"/>
            </w:tcBorders>
            <w:vAlign w:val="center"/>
          </w:tcPr>
          <w:p w:rsidR="006B4685" w:rsidRPr="002D73DA" w:rsidRDefault="006B4685">
            <w:pPr>
              <w:spacing w:before="60" w:after="60"/>
              <w:jc w:val="right"/>
              <w:rPr>
                <w:b/>
                <w:noProof/>
                <w:sz w:val="20"/>
                <w:szCs w:val="20"/>
              </w:rPr>
            </w:pPr>
            <w:r>
              <w:rPr>
                <w:b/>
                <w:bCs/>
                <w:noProof/>
                <w:color w:val="000000"/>
                <w:sz w:val="16"/>
                <w:szCs w:val="16"/>
                <w:lang w:val="en-IE" w:eastAsia="en-IE"/>
              </w:rPr>
              <w:t>3</w:t>
            </w:r>
          </w:p>
        </w:tc>
      </w:tr>
    </w:tbl>
    <w:p w:rsidR="006B4685" w:rsidRDefault="006B4685" w:rsidP="006B4685">
      <w:pPr>
        <w:spacing w:before="240"/>
        <w:rPr>
          <w:noProof/>
          <w:sz w:val="22"/>
          <w:u w:val="single"/>
          <w:lang w:val="en-IE"/>
        </w:rPr>
      </w:pPr>
    </w:p>
    <w:tbl>
      <w:tblPr>
        <w:tblW w:w="94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97"/>
        <w:gridCol w:w="1449"/>
        <w:gridCol w:w="1450"/>
        <w:gridCol w:w="1449"/>
        <w:gridCol w:w="1450"/>
      </w:tblGrid>
      <w:tr w:rsidR="006B4685" w:rsidRPr="002D73DA">
        <w:trPr>
          <w:trHeight w:val="585"/>
          <w:jc w:val="center"/>
        </w:trPr>
        <w:tc>
          <w:tcPr>
            <w:tcW w:w="3697" w:type="dxa"/>
            <w:vAlign w:val="center"/>
          </w:tcPr>
          <w:p w:rsidR="006B4685" w:rsidRPr="00070628" w:rsidRDefault="006B4685">
            <w:pPr>
              <w:spacing w:before="60" w:after="60"/>
              <w:jc w:val="center"/>
              <w:rPr>
                <w:b/>
                <w:bCs/>
                <w:noProof/>
                <w:sz w:val="20"/>
                <w:szCs w:val="20"/>
              </w:rPr>
            </w:pPr>
            <w:r w:rsidRPr="00070628">
              <w:rPr>
                <w:b/>
                <w:bCs/>
                <w:noProof/>
                <w:color w:val="444444"/>
                <w:sz w:val="20"/>
                <w:szCs w:val="20"/>
                <w:shd w:val="clear" w:color="auto" w:fill="FFFFFF"/>
              </w:rPr>
              <w:t xml:space="preserve">Agency: </w:t>
            </w:r>
            <w:r>
              <w:rPr>
                <w:b/>
                <w:bCs/>
                <w:noProof/>
                <w:color w:val="444444"/>
                <w:sz w:val="20"/>
                <w:szCs w:val="20"/>
                <w:shd w:val="clear" w:color="auto" w:fill="FFFFFF"/>
              </w:rPr>
              <w:t>European Securities and Markets Authority</w:t>
            </w:r>
          </w:p>
        </w:tc>
        <w:tc>
          <w:tcPr>
            <w:tcW w:w="1449" w:type="dxa"/>
            <w:vAlign w:val="center"/>
          </w:tcPr>
          <w:p w:rsidR="006B4685" w:rsidRPr="002D73DA" w:rsidRDefault="006B4685">
            <w:pPr>
              <w:spacing w:before="60" w:after="60"/>
              <w:jc w:val="center"/>
              <w:rPr>
                <w:noProof/>
                <w:sz w:val="20"/>
                <w:szCs w:val="20"/>
              </w:rPr>
            </w:pPr>
            <w:r w:rsidRPr="002D73DA">
              <w:rPr>
                <w:noProof/>
                <w:sz w:val="20"/>
                <w:szCs w:val="20"/>
              </w:rPr>
              <w:t>Year</w:t>
            </w:r>
            <w:r>
              <w:rPr>
                <w:b/>
                <w:bCs/>
                <w:noProof/>
                <w:sz w:val="20"/>
                <w:szCs w:val="20"/>
              </w:rPr>
              <w:t xml:space="preserve"> </w:t>
            </w:r>
            <w:r w:rsidRPr="00B87906">
              <w:rPr>
                <w:b/>
                <w:bCs/>
                <w:noProof/>
                <w:sz w:val="20"/>
                <w:szCs w:val="20"/>
              </w:rPr>
              <w:t>2024</w:t>
            </w:r>
          </w:p>
        </w:tc>
        <w:tc>
          <w:tcPr>
            <w:tcW w:w="1450" w:type="dxa"/>
            <w:vAlign w:val="center"/>
          </w:tcPr>
          <w:p w:rsidR="006B4685" w:rsidRPr="002D73DA" w:rsidRDefault="006B4685">
            <w:pPr>
              <w:spacing w:before="60" w:after="60"/>
              <w:jc w:val="center"/>
              <w:rPr>
                <w:noProof/>
                <w:sz w:val="20"/>
                <w:szCs w:val="20"/>
              </w:rPr>
            </w:pPr>
            <w:r w:rsidRPr="002D73DA">
              <w:rPr>
                <w:noProof/>
                <w:sz w:val="20"/>
                <w:szCs w:val="20"/>
              </w:rPr>
              <w:t>Year</w:t>
            </w:r>
            <w:r>
              <w:rPr>
                <w:b/>
                <w:noProof/>
                <w:sz w:val="20"/>
                <w:szCs w:val="20"/>
              </w:rPr>
              <w:t xml:space="preserve"> 2025</w:t>
            </w:r>
          </w:p>
        </w:tc>
        <w:tc>
          <w:tcPr>
            <w:tcW w:w="1449" w:type="dxa"/>
            <w:vAlign w:val="center"/>
          </w:tcPr>
          <w:p w:rsidR="006B4685" w:rsidRPr="002D73DA" w:rsidRDefault="006B4685">
            <w:pPr>
              <w:spacing w:before="60" w:after="60"/>
              <w:jc w:val="center"/>
              <w:rPr>
                <w:noProof/>
                <w:sz w:val="20"/>
                <w:szCs w:val="20"/>
              </w:rPr>
            </w:pPr>
            <w:r w:rsidRPr="002D73DA">
              <w:rPr>
                <w:noProof/>
                <w:sz w:val="20"/>
                <w:szCs w:val="20"/>
              </w:rPr>
              <w:t>Year</w:t>
            </w:r>
            <w:r>
              <w:rPr>
                <w:b/>
                <w:noProof/>
                <w:sz w:val="20"/>
                <w:szCs w:val="20"/>
              </w:rPr>
              <w:t xml:space="preserve"> 2026</w:t>
            </w:r>
          </w:p>
        </w:tc>
        <w:tc>
          <w:tcPr>
            <w:tcW w:w="1450" w:type="dxa"/>
            <w:vAlign w:val="center"/>
          </w:tcPr>
          <w:p w:rsidR="006B4685" w:rsidRPr="002D73DA" w:rsidRDefault="006B4685">
            <w:pPr>
              <w:spacing w:before="60" w:after="60"/>
              <w:jc w:val="center"/>
              <w:rPr>
                <w:noProof/>
                <w:sz w:val="20"/>
                <w:szCs w:val="20"/>
              </w:rPr>
            </w:pPr>
            <w:r w:rsidRPr="002D73DA">
              <w:rPr>
                <w:noProof/>
                <w:sz w:val="20"/>
                <w:szCs w:val="20"/>
              </w:rPr>
              <w:t>Year</w:t>
            </w:r>
            <w:r>
              <w:rPr>
                <w:b/>
                <w:noProof/>
                <w:sz w:val="20"/>
                <w:szCs w:val="20"/>
              </w:rPr>
              <w:t xml:space="preserve"> 2027</w:t>
            </w:r>
          </w:p>
        </w:tc>
      </w:tr>
      <w:tr w:rsidR="006B4685" w:rsidRPr="002D73DA">
        <w:trPr>
          <w:trHeight w:val="585"/>
          <w:jc w:val="center"/>
        </w:trPr>
        <w:tc>
          <w:tcPr>
            <w:tcW w:w="3697" w:type="dxa"/>
            <w:vAlign w:val="center"/>
          </w:tcPr>
          <w:p w:rsidR="006B4685" w:rsidRPr="002D73DA" w:rsidRDefault="006B4685">
            <w:pPr>
              <w:spacing w:before="60" w:after="60"/>
              <w:jc w:val="left"/>
              <w:rPr>
                <w:noProof/>
                <w:sz w:val="20"/>
                <w:szCs w:val="20"/>
              </w:rPr>
            </w:pPr>
            <w:r w:rsidRPr="002D73DA">
              <w:rPr>
                <w:noProof/>
                <w:sz w:val="20"/>
                <w:szCs w:val="20"/>
              </w:rPr>
              <w:t>Temporary agents (AD Grades)</w:t>
            </w:r>
          </w:p>
        </w:tc>
        <w:tc>
          <w:tcPr>
            <w:tcW w:w="1449" w:type="dxa"/>
            <w:vAlign w:val="center"/>
          </w:tcPr>
          <w:p w:rsidR="006B4685" w:rsidRPr="002D73DA" w:rsidRDefault="006B4685">
            <w:pPr>
              <w:spacing w:before="60" w:after="60"/>
              <w:jc w:val="right"/>
              <w:rPr>
                <w:noProof/>
                <w:sz w:val="20"/>
                <w:szCs w:val="20"/>
              </w:rPr>
            </w:pPr>
          </w:p>
        </w:tc>
        <w:tc>
          <w:tcPr>
            <w:tcW w:w="1450" w:type="dxa"/>
            <w:vAlign w:val="center"/>
          </w:tcPr>
          <w:p w:rsidR="006B4685" w:rsidRPr="002D73DA" w:rsidRDefault="006B4685">
            <w:pPr>
              <w:spacing w:before="60" w:after="60"/>
              <w:jc w:val="right"/>
              <w:rPr>
                <w:noProof/>
                <w:sz w:val="20"/>
                <w:szCs w:val="20"/>
              </w:rPr>
            </w:pPr>
          </w:p>
        </w:tc>
        <w:tc>
          <w:tcPr>
            <w:tcW w:w="1449" w:type="dxa"/>
            <w:vAlign w:val="center"/>
          </w:tcPr>
          <w:p w:rsidR="006B4685" w:rsidRPr="002D73DA" w:rsidRDefault="006B4685">
            <w:pPr>
              <w:spacing w:before="60" w:after="60"/>
              <w:jc w:val="right"/>
              <w:rPr>
                <w:noProof/>
                <w:sz w:val="20"/>
                <w:szCs w:val="20"/>
              </w:rPr>
            </w:pPr>
          </w:p>
        </w:tc>
        <w:tc>
          <w:tcPr>
            <w:tcW w:w="1450" w:type="dxa"/>
            <w:vAlign w:val="center"/>
          </w:tcPr>
          <w:p w:rsidR="006B4685" w:rsidRPr="002D73DA" w:rsidRDefault="006B4685">
            <w:pPr>
              <w:spacing w:before="60" w:after="60"/>
              <w:jc w:val="right"/>
              <w:rPr>
                <w:noProof/>
                <w:sz w:val="20"/>
                <w:szCs w:val="20"/>
              </w:rPr>
            </w:pPr>
            <w:r>
              <w:rPr>
                <w:noProof/>
                <w:sz w:val="20"/>
                <w:szCs w:val="20"/>
              </w:rPr>
              <w:t>(1)</w:t>
            </w:r>
          </w:p>
        </w:tc>
      </w:tr>
      <w:tr w:rsidR="006B4685" w:rsidRPr="002D73DA">
        <w:trPr>
          <w:trHeight w:val="585"/>
          <w:jc w:val="center"/>
        </w:trPr>
        <w:tc>
          <w:tcPr>
            <w:tcW w:w="3697" w:type="dxa"/>
            <w:vAlign w:val="center"/>
          </w:tcPr>
          <w:p w:rsidR="006B4685" w:rsidRPr="002D73DA" w:rsidRDefault="006B4685">
            <w:pPr>
              <w:spacing w:before="60" w:after="60"/>
              <w:jc w:val="left"/>
              <w:rPr>
                <w:noProof/>
                <w:sz w:val="20"/>
                <w:szCs w:val="20"/>
              </w:rPr>
            </w:pPr>
            <w:r w:rsidRPr="002D73DA">
              <w:rPr>
                <w:noProof/>
                <w:sz w:val="20"/>
                <w:szCs w:val="20"/>
              </w:rPr>
              <w:t>Temporary agents (AST grades)</w:t>
            </w:r>
          </w:p>
        </w:tc>
        <w:tc>
          <w:tcPr>
            <w:tcW w:w="1449" w:type="dxa"/>
            <w:vAlign w:val="center"/>
          </w:tcPr>
          <w:p w:rsidR="006B4685" w:rsidRPr="002D73DA" w:rsidRDefault="006B4685">
            <w:pPr>
              <w:spacing w:before="60" w:after="60"/>
              <w:jc w:val="right"/>
              <w:rPr>
                <w:noProof/>
                <w:sz w:val="20"/>
                <w:szCs w:val="20"/>
              </w:rPr>
            </w:pPr>
          </w:p>
        </w:tc>
        <w:tc>
          <w:tcPr>
            <w:tcW w:w="1450" w:type="dxa"/>
            <w:vAlign w:val="center"/>
          </w:tcPr>
          <w:p w:rsidR="006B4685" w:rsidRPr="002D73DA" w:rsidRDefault="006B4685">
            <w:pPr>
              <w:spacing w:before="60" w:after="60"/>
              <w:jc w:val="right"/>
              <w:rPr>
                <w:noProof/>
                <w:sz w:val="20"/>
                <w:szCs w:val="20"/>
              </w:rPr>
            </w:pPr>
          </w:p>
        </w:tc>
        <w:tc>
          <w:tcPr>
            <w:tcW w:w="1449" w:type="dxa"/>
            <w:vAlign w:val="center"/>
          </w:tcPr>
          <w:p w:rsidR="006B4685" w:rsidRPr="002D73DA" w:rsidRDefault="006B4685">
            <w:pPr>
              <w:spacing w:before="60" w:after="60"/>
              <w:jc w:val="right"/>
              <w:rPr>
                <w:noProof/>
                <w:sz w:val="20"/>
                <w:szCs w:val="20"/>
              </w:rPr>
            </w:pPr>
          </w:p>
        </w:tc>
        <w:tc>
          <w:tcPr>
            <w:tcW w:w="1450" w:type="dxa"/>
            <w:vAlign w:val="center"/>
          </w:tcPr>
          <w:p w:rsidR="006B4685" w:rsidRPr="002D73DA" w:rsidRDefault="006B4685">
            <w:pPr>
              <w:spacing w:before="60" w:after="60"/>
              <w:jc w:val="right"/>
              <w:rPr>
                <w:noProof/>
                <w:sz w:val="20"/>
                <w:szCs w:val="20"/>
              </w:rPr>
            </w:pPr>
          </w:p>
        </w:tc>
      </w:tr>
      <w:tr w:rsidR="006B4685" w:rsidRPr="002D73DA">
        <w:trPr>
          <w:trHeight w:val="585"/>
          <w:jc w:val="center"/>
        </w:trPr>
        <w:tc>
          <w:tcPr>
            <w:tcW w:w="3697" w:type="dxa"/>
            <w:vAlign w:val="center"/>
          </w:tcPr>
          <w:p w:rsidR="006B4685" w:rsidRPr="005279FF" w:rsidRDefault="006B4685">
            <w:pPr>
              <w:spacing w:before="60" w:after="60"/>
              <w:jc w:val="left"/>
              <w:rPr>
                <w:i/>
                <w:iCs/>
                <w:noProof/>
                <w:sz w:val="20"/>
                <w:szCs w:val="20"/>
              </w:rPr>
            </w:pPr>
            <w:r w:rsidRPr="005279FF">
              <w:rPr>
                <w:i/>
                <w:iCs/>
                <w:noProof/>
                <w:sz w:val="20"/>
                <w:szCs w:val="20"/>
              </w:rPr>
              <w:t>Temporary agents (AD+AST)</w:t>
            </w:r>
            <w:r>
              <w:rPr>
                <w:i/>
                <w:iCs/>
                <w:noProof/>
                <w:sz w:val="20"/>
                <w:szCs w:val="20"/>
              </w:rPr>
              <w:t xml:space="preserve"> subtotal</w:t>
            </w:r>
          </w:p>
        </w:tc>
        <w:tc>
          <w:tcPr>
            <w:tcW w:w="1449" w:type="dxa"/>
            <w:vAlign w:val="center"/>
          </w:tcPr>
          <w:p w:rsidR="006B4685" w:rsidRPr="00070628" w:rsidRDefault="006B4685">
            <w:pPr>
              <w:spacing w:before="60" w:after="60"/>
              <w:jc w:val="right"/>
              <w:rPr>
                <w:i/>
                <w:iCs/>
                <w:noProof/>
                <w:sz w:val="20"/>
                <w:szCs w:val="20"/>
              </w:rPr>
            </w:pPr>
            <w:r w:rsidRPr="00070628">
              <w:rPr>
                <w:b/>
                <w:bCs/>
                <w:i/>
                <w:iCs/>
                <w:noProof/>
                <w:color w:val="000000"/>
                <w:sz w:val="16"/>
                <w:szCs w:val="16"/>
                <w:lang w:val="en-IE" w:eastAsia="en-IE"/>
              </w:rPr>
              <w:t>0</w:t>
            </w:r>
          </w:p>
        </w:tc>
        <w:tc>
          <w:tcPr>
            <w:tcW w:w="1450" w:type="dxa"/>
            <w:vAlign w:val="center"/>
          </w:tcPr>
          <w:p w:rsidR="006B4685" w:rsidRPr="00070628" w:rsidRDefault="006B4685">
            <w:pPr>
              <w:spacing w:before="60" w:after="60"/>
              <w:jc w:val="right"/>
              <w:rPr>
                <w:i/>
                <w:iCs/>
                <w:noProof/>
                <w:sz w:val="20"/>
                <w:szCs w:val="20"/>
              </w:rPr>
            </w:pPr>
            <w:r w:rsidRPr="00070628">
              <w:rPr>
                <w:b/>
                <w:bCs/>
                <w:i/>
                <w:iCs/>
                <w:noProof/>
                <w:color w:val="000000"/>
                <w:sz w:val="16"/>
                <w:szCs w:val="16"/>
                <w:lang w:val="en-IE" w:eastAsia="en-IE"/>
              </w:rPr>
              <w:t>0</w:t>
            </w:r>
          </w:p>
        </w:tc>
        <w:tc>
          <w:tcPr>
            <w:tcW w:w="1449" w:type="dxa"/>
            <w:vAlign w:val="center"/>
          </w:tcPr>
          <w:p w:rsidR="006B4685" w:rsidRPr="00070628" w:rsidRDefault="006B4685">
            <w:pPr>
              <w:spacing w:before="60" w:after="60"/>
              <w:jc w:val="right"/>
              <w:rPr>
                <w:i/>
                <w:iCs/>
                <w:noProof/>
                <w:sz w:val="20"/>
                <w:szCs w:val="20"/>
              </w:rPr>
            </w:pPr>
            <w:r w:rsidRPr="00070628">
              <w:rPr>
                <w:b/>
                <w:bCs/>
                <w:i/>
                <w:iCs/>
                <w:noProof/>
                <w:color w:val="000000"/>
                <w:sz w:val="16"/>
                <w:szCs w:val="16"/>
                <w:lang w:val="en-IE" w:eastAsia="en-IE"/>
              </w:rPr>
              <w:t>0</w:t>
            </w:r>
          </w:p>
        </w:tc>
        <w:tc>
          <w:tcPr>
            <w:tcW w:w="1450" w:type="dxa"/>
            <w:vAlign w:val="center"/>
          </w:tcPr>
          <w:p w:rsidR="006B4685" w:rsidRPr="00070628" w:rsidRDefault="006B4685">
            <w:pPr>
              <w:spacing w:before="60" w:after="60"/>
              <w:jc w:val="right"/>
              <w:rPr>
                <w:i/>
                <w:iCs/>
                <w:noProof/>
                <w:sz w:val="20"/>
                <w:szCs w:val="20"/>
              </w:rPr>
            </w:pPr>
            <w:r>
              <w:rPr>
                <w:b/>
                <w:bCs/>
                <w:i/>
                <w:iCs/>
                <w:noProof/>
                <w:color w:val="000000"/>
                <w:sz w:val="16"/>
                <w:szCs w:val="16"/>
                <w:lang w:val="en-IE" w:eastAsia="en-IE"/>
              </w:rPr>
              <w:t>(1)</w:t>
            </w:r>
          </w:p>
        </w:tc>
      </w:tr>
      <w:tr w:rsidR="006B4685" w:rsidRPr="002D73DA">
        <w:trPr>
          <w:trHeight w:val="585"/>
          <w:jc w:val="center"/>
        </w:trPr>
        <w:tc>
          <w:tcPr>
            <w:tcW w:w="3697" w:type="dxa"/>
            <w:vAlign w:val="center"/>
          </w:tcPr>
          <w:p w:rsidR="006B4685" w:rsidRPr="002D73DA" w:rsidRDefault="006B4685">
            <w:pPr>
              <w:spacing w:before="60" w:after="60"/>
              <w:jc w:val="left"/>
              <w:rPr>
                <w:noProof/>
                <w:sz w:val="20"/>
                <w:szCs w:val="20"/>
              </w:rPr>
            </w:pPr>
            <w:r w:rsidRPr="002D73DA">
              <w:rPr>
                <w:noProof/>
                <w:sz w:val="20"/>
                <w:szCs w:val="20"/>
              </w:rPr>
              <w:t xml:space="preserve">Contract </w:t>
            </w:r>
            <w:r>
              <w:rPr>
                <w:noProof/>
                <w:sz w:val="20"/>
                <w:szCs w:val="20"/>
              </w:rPr>
              <w:t>agents</w:t>
            </w:r>
          </w:p>
        </w:tc>
        <w:tc>
          <w:tcPr>
            <w:tcW w:w="1449" w:type="dxa"/>
            <w:vAlign w:val="center"/>
          </w:tcPr>
          <w:p w:rsidR="006B4685" w:rsidRPr="002D73DA" w:rsidRDefault="006B4685">
            <w:pPr>
              <w:spacing w:before="60" w:after="60"/>
              <w:jc w:val="right"/>
              <w:rPr>
                <w:noProof/>
                <w:sz w:val="20"/>
                <w:szCs w:val="20"/>
              </w:rPr>
            </w:pPr>
          </w:p>
        </w:tc>
        <w:tc>
          <w:tcPr>
            <w:tcW w:w="1450" w:type="dxa"/>
            <w:vAlign w:val="center"/>
          </w:tcPr>
          <w:p w:rsidR="006B4685" w:rsidRPr="002D73DA" w:rsidRDefault="006B4685">
            <w:pPr>
              <w:spacing w:before="60" w:after="60"/>
              <w:jc w:val="right"/>
              <w:rPr>
                <w:noProof/>
                <w:sz w:val="20"/>
                <w:szCs w:val="20"/>
              </w:rPr>
            </w:pPr>
          </w:p>
        </w:tc>
        <w:tc>
          <w:tcPr>
            <w:tcW w:w="1449" w:type="dxa"/>
            <w:vAlign w:val="center"/>
          </w:tcPr>
          <w:p w:rsidR="006B4685" w:rsidRPr="002D73DA" w:rsidRDefault="006B4685">
            <w:pPr>
              <w:spacing w:before="60" w:after="60"/>
              <w:jc w:val="right"/>
              <w:rPr>
                <w:noProof/>
                <w:sz w:val="20"/>
                <w:szCs w:val="20"/>
              </w:rPr>
            </w:pPr>
          </w:p>
        </w:tc>
        <w:tc>
          <w:tcPr>
            <w:tcW w:w="1450" w:type="dxa"/>
            <w:vAlign w:val="center"/>
          </w:tcPr>
          <w:p w:rsidR="006B4685" w:rsidRPr="002D73DA" w:rsidRDefault="006B4685">
            <w:pPr>
              <w:spacing w:before="60" w:after="60"/>
              <w:jc w:val="right"/>
              <w:rPr>
                <w:noProof/>
                <w:sz w:val="20"/>
                <w:szCs w:val="20"/>
              </w:rPr>
            </w:pPr>
          </w:p>
        </w:tc>
      </w:tr>
      <w:tr w:rsidR="006B4685" w:rsidRPr="002D73DA">
        <w:trPr>
          <w:trHeight w:val="585"/>
          <w:jc w:val="center"/>
        </w:trPr>
        <w:tc>
          <w:tcPr>
            <w:tcW w:w="3697" w:type="dxa"/>
            <w:vAlign w:val="center"/>
          </w:tcPr>
          <w:p w:rsidR="006B4685" w:rsidRPr="002D73DA" w:rsidRDefault="006B4685">
            <w:pPr>
              <w:spacing w:before="60" w:after="60"/>
              <w:jc w:val="left"/>
              <w:rPr>
                <w:noProof/>
                <w:sz w:val="20"/>
                <w:szCs w:val="20"/>
              </w:rPr>
            </w:pPr>
            <w:r w:rsidRPr="002D73DA">
              <w:rPr>
                <w:noProof/>
                <w:sz w:val="20"/>
                <w:szCs w:val="20"/>
              </w:rPr>
              <w:t xml:space="preserve">Seconded </w:t>
            </w:r>
            <w:r>
              <w:rPr>
                <w:noProof/>
                <w:sz w:val="20"/>
                <w:szCs w:val="20"/>
              </w:rPr>
              <w:t>n</w:t>
            </w:r>
            <w:r w:rsidRPr="002D73DA">
              <w:rPr>
                <w:noProof/>
                <w:sz w:val="20"/>
                <w:szCs w:val="20"/>
              </w:rPr>
              <w:t xml:space="preserve">ational </w:t>
            </w:r>
            <w:r>
              <w:rPr>
                <w:noProof/>
                <w:sz w:val="20"/>
                <w:szCs w:val="20"/>
              </w:rPr>
              <w:t>e</w:t>
            </w:r>
            <w:r w:rsidRPr="002D73DA">
              <w:rPr>
                <w:noProof/>
                <w:sz w:val="20"/>
                <w:szCs w:val="20"/>
              </w:rPr>
              <w:t>xperts</w:t>
            </w:r>
          </w:p>
        </w:tc>
        <w:tc>
          <w:tcPr>
            <w:tcW w:w="1449" w:type="dxa"/>
            <w:vAlign w:val="center"/>
          </w:tcPr>
          <w:p w:rsidR="006B4685" w:rsidRPr="002D73DA" w:rsidRDefault="006B4685">
            <w:pPr>
              <w:spacing w:before="60" w:after="60"/>
              <w:jc w:val="right"/>
              <w:rPr>
                <w:noProof/>
                <w:sz w:val="20"/>
                <w:szCs w:val="20"/>
              </w:rPr>
            </w:pPr>
          </w:p>
        </w:tc>
        <w:tc>
          <w:tcPr>
            <w:tcW w:w="1450" w:type="dxa"/>
            <w:vAlign w:val="center"/>
          </w:tcPr>
          <w:p w:rsidR="006B4685" w:rsidRPr="002D73DA" w:rsidRDefault="006B4685">
            <w:pPr>
              <w:spacing w:before="60" w:after="60"/>
              <w:jc w:val="right"/>
              <w:rPr>
                <w:noProof/>
                <w:sz w:val="20"/>
                <w:szCs w:val="20"/>
              </w:rPr>
            </w:pPr>
          </w:p>
        </w:tc>
        <w:tc>
          <w:tcPr>
            <w:tcW w:w="1449" w:type="dxa"/>
            <w:vAlign w:val="center"/>
          </w:tcPr>
          <w:p w:rsidR="006B4685" w:rsidRPr="002D73DA" w:rsidRDefault="006B4685">
            <w:pPr>
              <w:spacing w:before="60" w:after="60"/>
              <w:jc w:val="right"/>
              <w:rPr>
                <w:noProof/>
                <w:sz w:val="20"/>
                <w:szCs w:val="20"/>
              </w:rPr>
            </w:pPr>
          </w:p>
        </w:tc>
        <w:tc>
          <w:tcPr>
            <w:tcW w:w="1450" w:type="dxa"/>
            <w:vAlign w:val="center"/>
          </w:tcPr>
          <w:p w:rsidR="006B4685" w:rsidRPr="002D73DA" w:rsidRDefault="006B4685">
            <w:pPr>
              <w:spacing w:before="60" w:after="60"/>
              <w:jc w:val="right"/>
              <w:rPr>
                <w:noProof/>
                <w:sz w:val="20"/>
                <w:szCs w:val="20"/>
              </w:rPr>
            </w:pPr>
          </w:p>
        </w:tc>
      </w:tr>
      <w:tr w:rsidR="006B4685" w:rsidRPr="002D73DA">
        <w:trPr>
          <w:trHeight w:val="585"/>
          <w:jc w:val="center"/>
        </w:trPr>
        <w:tc>
          <w:tcPr>
            <w:tcW w:w="3697" w:type="dxa"/>
            <w:tcBorders>
              <w:bottom w:val="single" w:sz="4" w:space="0" w:color="auto"/>
            </w:tcBorders>
            <w:vAlign w:val="center"/>
          </w:tcPr>
          <w:p w:rsidR="006B4685" w:rsidRPr="005279FF" w:rsidRDefault="006B4685">
            <w:pPr>
              <w:spacing w:before="60" w:after="60"/>
              <w:jc w:val="left"/>
              <w:rPr>
                <w:i/>
                <w:iCs/>
                <w:noProof/>
                <w:sz w:val="20"/>
                <w:szCs w:val="20"/>
              </w:rPr>
            </w:pPr>
            <w:r w:rsidRPr="005279FF">
              <w:rPr>
                <w:i/>
                <w:iCs/>
                <w:noProof/>
                <w:sz w:val="20"/>
                <w:szCs w:val="20"/>
              </w:rPr>
              <w:t xml:space="preserve">Contract </w:t>
            </w:r>
            <w:r>
              <w:rPr>
                <w:i/>
                <w:iCs/>
                <w:noProof/>
                <w:sz w:val="20"/>
                <w:szCs w:val="20"/>
              </w:rPr>
              <w:t>agents</w:t>
            </w:r>
            <w:r w:rsidRPr="005279FF">
              <w:rPr>
                <w:i/>
                <w:iCs/>
                <w:noProof/>
                <w:sz w:val="20"/>
                <w:szCs w:val="20"/>
              </w:rPr>
              <w:t xml:space="preserve"> and </w:t>
            </w:r>
            <w:r>
              <w:rPr>
                <w:i/>
                <w:iCs/>
                <w:noProof/>
                <w:sz w:val="20"/>
                <w:szCs w:val="20"/>
              </w:rPr>
              <w:t>seconded national experts subtotal</w:t>
            </w:r>
          </w:p>
        </w:tc>
        <w:tc>
          <w:tcPr>
            <w:tcW w:w="1449" w:type="dxa"/>
            <w:tcBorders>
              <w:bottom w:val="single" w:sz="4" w:space="0" w:color="auto"/>
            </w:tcBorders>
            <w:vAlign w:val="center"/>
          </w:tcPr>
          <w:p w:rsidR="006B4685" w:rsidRPr="00070628" w:rsidRDefault="006B4685">
            <w:pPr>
              <w:spacing w:before="60" w:after="60"/>
              <w:jc w:val="right"/>
              <w:rPr>
                <w:i/>
                <w:iCs/>
                <w:noProof/>
                <w:sz w:val="20"/>
                <w:szCs w:val="20"/>
              </w:rPr>
            </w:pPr>
            <w:r w:rsidRPr="00070628">
              <w:rPr>
                <w:b/>
                <w:bCs/>
                <w:i/>
                <w:iCs/>
                <w:noProof/>
                <w:color w:val="000000"/>
                <w:sz w:val="16"/>
                <w:szCs w:val="16"/>
                <w:lang w:val="en-IE" w:eastAsia="en-IE"/>
              </w:rPr>
              <w:t>0</w:t>
            </w:r>
          </w:p>
        </w:tc>
        <w:tc>
          <w:tcPr>
            <w:tcW w:w="1450" w:type="dxa"/>
            <w:tcBorders>
              <w:bottom w:val="single" w:sz="4" w:space="0" w:color="auto"/>
            </w:tcBorders>
            <w:vAlign w:val="center"/>
          </w:tcPr>
          <w:p w:rsidR="006B4685" w:rsidRPr="00070628" w:rsidRDefault="006B4685">
            <w:pPr>
              <w:spacing w:before="60" w:after="60"/>
              <w:jc w:val="right"/>
              <w:rPr>
                <w:i/>
                <w:iCs/>
                <w:noProof/>
                <w:sz w:val="20"/>
                <w:szCs w:val="20"/>
              </w:rPr>
            </w:pPr>
            <w:r w:rsidRPr="00070628">
              <w:rPr>
                <w:b/>
                <w:bCs/>
                <w:i/>
                <w:iCs/>
                <w:noProof/>
                <w:color w:val="000000"/>
                <w:sz w:val="16"/>
                <w:szCs w:val="16"/>
                <w:lang w:val="en-IE" w:eastAsia="en-IE"/>
              </w:rPr>
              <w:t>0</w:t>
            </w:r>
          </w:p>
        </w:tc>
        <w:tc>
          <w:tcPr>
            <w:tcW w:w="1449" w:type="dxa"/>
            <w:tcBorders>
              <w:bottom w:val="single" w:sz="4" w:space="0" w:color="auto"/>
            </w:tcBorders>
            <w:vAlign w:val="center"/>
          </w:tcPr>
          <w:p w:rsidR="006B4685" w:rsidRPr="00070628" w:rsidRDefault="006B4685">
            <w:pPr>
              <w:spacing w:before="60" w:after="60"/>
              <w:jc w:val="right"/>
              <w:rPr>
                <w:i/>
                <w:iCs/>
                <w:noProof/>
                <w:sz w:val="20"/>
                <w:szCs w:val="20"/>
              </w:rPr>
            </w:pPr>
            <w:r>
              <w:rPr>
                <w:b/>
                <w:bCs/>
                <w:i/>
                <w:iCs/>
                <w:noProof/>
                <w:color w:val="000000"/>
                <w:sz w:val="16"/>
                <w:szCs w:val="16"/>
                <w:lang w:val="en-IE" w:eastAsia="en-IE"/>
              </w:rPr>
              <w:t>0</w:t>
            </w:r>
          </w:p>
        </w:tc>
        <w:tc>
          <w:tcPr>
            <w:tcW w:w="1450" w:type="dxa"/>
            <w:tcBorders>
              <w:bottom w:val="single" w:sz="4" w:space="0" w:color="auto"/>
            </w:tcBorders>
            <w:vAlign w:val="center"/>
          </w:tcPr>
          <w:p w:rsidR="006B4685" w:rsidRPr="00070628" w:rsidRDefault="006B4685">
            <w:pPr>
              <w:spacing w:before="60" w:after="60"/>
              <w:jc w:val="right"/>
              <w:rPr>
                <w:i/>
                <w:iCs/>
                <w:noProof/>
                <w:sz w:val="20"/>
                <w:szCs w:val="20"/>
              </w:rPr>
            </w:pPr>
            <w:r>
              <w:rPr>
                <w:b/>
                <w:bCs/>
                <w:i/>
                <w:iCs/>
                <w:noProof/>
                <w:color w:val="000000"/>
                <w:sz w:val="16"/>
                <w:szCs w:val="16"/>
                <w:lang w:val="en-IE" w:eastAsia="en-IE"/>
              </w:rPr>
              <w:t>0</w:t>
            </w:r>
          </w:p>
        </w:tc>
      </w:tr>
      <w:tr w:rsidR="006B4685" w:rsidRPr="002D73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jc w:val="center"/>
        </w:trPr>
        <w:tc>
          <w:tcPr>
            <w:tcW w:w="3697" w:type="dxa"/>
            <w:tcBorders>
              <w:top w:val="single" w:sz="4" w:space="0" w:color="auto"/>
              <w:left w:val="single" w:sz="4" w:space="0" w:color="auto"/>
              <w:bottom w:val="single" w:sz="4" w:space="0" w:color="auto"/>
              <w:right w:val="single" w:sz="4" w:space="0" w:color="auto"/>
            </w:tcBorders>
            <w:vAlign w:val="center"/>
          </w:tcPr>
          <w:p w:rsidR="006B4685" w:rsidRPr="002D73DA" w:rsidRDefault="006B4685">
            <w:pPr>
              <w:spacing w:before="60" w:after="60"/>
              <w:jc w:val="left"/>
              <w:rPr>
                <w:noProof/>
                <w:sz w:val="20"/>
                <w:szCs w:val="20"/>
              </w:rPr>
            </w:pPr>
            <w:r w:rsidRPr="002D73DA">
              <w:rPr>
                <w:b/>
                <w:noProof/>
                <w:sz w:val="20"/>
                <w:szCs w:val="20"/>
              </w:rPr>
              <w:t>TOTAL</w:t>
            </w:r>
            <w:r>
              <w:rPr>
                <w:b/>
                <w:noProof/>
                <w:sz w:val="20"/>
                <w:szCs w:val="20"/>
              </w:rPr>
              <w:t xml:space="preserve"> staff</w:t>
            </w:r>
          </w:p>
        </w:tc>
        <w:tc>
          <w:tcPr>
            <w:tcW w:w="1449" w:type="dxa"/>
            <w:tcBorders>
              <w:top w:val="single" w:sz="4" w:space="0" w:color="auto"/>
              <w:left w:val="single" w:sz="4" w:space="0" w:color="auto"/>
              <w:bottom w:val="single" w:sz="4" w:space="0" w:color="auto"/>
              <w:right w:val="single" w:sz="4" w:space="0" w:color="auto"/>
            </w:tcBorders>
            <w:vAlign w:val="center"/>
          </w:tcPr>
          <w:p w:rsidR="006B4685" w:rsidRPr="00070628" w:rsidRDefault="006B4685">
            <w:pPr>
              <w:spacing w:before="60" w:after="60"/>
              <w:jc w:val="right"/>
              <w:rPr>
                <w:noProof/>
                <w:sz w:val="20"/>
                <w:szCs w:val="20"/>
              </w:rPr>
            </w:pPr>
            <w:r w:rsidRPr="00066A1C">
              <w:rPr>
                <w:b/>
                <w:bCs/>
                <w:noProof/>
                <w:color w:val="000000"/>
                <w:sz w:val="16"/>
                <w:szCs w:val="16"/>
                <w:lang w:val="en-IE" w:eastAsia="en-IE"/>
              </w:rPr>
              <w:t>0</w:t>
            </w:r>
          </w:p>
        </w:tc>
        <w:tc>
          <w:tcPr>
            <w:tcW w:w="1450" w:type="dxa"/>
            <w:tcBorders>
              <w:top w:val="single" w:sz="4" w:space="0" w:color="auto"/>
              <w:left w:val="single" w:sz="4" w:space="0" w:color="auto"/>
              <w:bottom w:val="single" w:sz="4" w:space="0" w:color="auto"/>
              <w:right w:val="single" w:sz="4" w:space="0" w:color="auto"/>
            </w:tcBorders>
            <w:vAlign w:val="center"/>
          </w:tcPr>
          <w:p w:rsidR="006B4685" w:rsidRPr="002D73DA" w:rsidRDefault="006B4685">
            <w:pPr>
              <w:spacing w:before="60" w:after="60"/>
              <w:jc w:val="right"/>
              <w:rPr>
                <w:b/>
                <w:noProof/>
                <w:sz w:val="20"/>
                <w:szCs w:val="20"/>
              </w:rPr>
            </w:pPr>
            <w:r w:rsidRPr="00066A1C">
              <w:rPr>
                <w:b/>
                <w:bCs/>
                <w:noProof/>
                <w:color w:val="000000"/>
                <w:sz w:val="16"/>
                <w:szCs w:val="16"/>
                <w:lang w:val="en-IE" w:eastAsia="en-IE"/>
              </w:rPr>
              <w:t>0</w:t>
            </w:r>
          </w:p>
        </w:tc>
        <w:tc>
          <w:tcPr>
            <w:tcW w:w="1449" w:type="dxa"/>
            <w:tcBorders>
              <w:top w:val="single" w:sz="4" w:space="0" w:color="auto"/>
              <w:left w:val="single" w:sz="4" w:space="0" w:color="auto"/>
              <w:bottom w:val="single" w:sz="4" w:space="0" w:color="auto"/>
              <w:right w:val="single" w:sz="4" w:space="0" w:color="auto"/>
            </w:tcBorders>
            <w:vAlign w:val="center"/>
          </w:tcPr>
          <w:p w:rsidR="006B4685" w:rsidRPr="002D73DA" w:rsidRDefault="006B4685">
            <w:pPr>
              <w:spacing w:before="60" w:after="60"/>
              <w:jc w:val="right"/>
              <w:rPr>
                <w:b/>
                <w:noProof/>
                <w:sz w:val="20"/>
                <w:szCs w:val="20"/>
              </w:rPr>
            </w:pPr>
            <w:r>
              <w:rPr>
                <w:b/>
                <w:bCs/>
                <w:noProof/>
                <w:color w:val="000000"/>
                <w:sz w:val="16"/>
                <w:szCs w:val="16"/>
                <w:lang w:val="en-IE" w:eastAsia="en-IE"/>
              </w:rPr>
              <w:t>0</w:t>
            </w:r>
          </w:p>
        </w:tc>
        <w:tc>
          <w:tcPr>
            <w:tcW w:w="1450" w:type="dxa"/>
            <w:tcBorders>
              <w:top w:val="single" w:sz="4" w:space="0" w:color="auto"/>
              <w:left w:val="single" w:sz="4" w:space="0" w:color="auto"/>
              <w:bottom w:val="single" w:sz="4" w:space="0" w:color="auto"/>
              <w:right w:val="single" w:sz="4" w:space="0" w:color="auto"/>
            </w:tcBorders>
            <w:vAlign w:val="center"/>
          </w:tcPr>
          <w:p w:rsidR="006B4685" w:rsidRPr="002D73DA" w:rsidRDefault="006B4685">
            <w:pPr>
              <w:spacing w:before="60" w:after="60"/>
              <w:jc w:val="right"/>
              <w:rPr>
                <w:b/>
                <w:noProof/>
                <w:sz w:val="20"/>
                <w:szCs w:val="20"/>
              </w:rPr>
            </w:pPr>
            <w:r>
              <w:rPr>
                <w:b/>
                <w:bCs/>
                <w:noProof/>
                <w:color w:val="000000"/>
                <w:sz w:val="16"/>
                <w:szCs w:val="16"/>
                <w:lang w:val="en-IE" w:eastAsia="en-IE"/>
              </w:rPr>
              <w:t>(1)</w:t>
            </w:r>
          </w:p>
        </w:tc>
      </w:tr>
    </w:tbl>
    <w:p w:rsidR="006B4685" w:rsidRDefault="006B4685" w:rsidP="006B4685">
      <w:pPr>
        <w:spacing w:before="240"/>
        <w:rPr>
          <w:noProof/>
          <w:sz w:val="22"/>
          <w:u w:val="single"/>
          <w:lang w:val="en-IE"/>
        </w:rPr>
      </w:pPr>
      <w:r w:rsidRPr="003F4D71">
        <w:rPr>
          <w:noProof/>
          <w:sz w:val="22"/>
          <w:u w:val="single"/>
          <w:lang w:val="en-IE"/>
        </w:rPr>
        <w:t xml:space="preserve">Appropriations covered by the EU </w:t>
      </w:r>
      <w:r>
        <w:rPr>
          <w:noProof/>
          <w:sz w:val="22"/>
          <w:u w:val="single"/>
          <w:lang w:val="en-IE"/>
        </w:rPr>
        <w:t>b</w:t>
      </w:r>
      <w:r w:rsidRPr="003F4D71">
        <w:rPr>
          <w:noProof/>
          <w:sz w:val="22"/>
          <w:u w:val="single"/>
          <w:lang w:val="en-IE"/>
        </w:rPr>
        <w:t>udget contribution in EUR million (to three decimal places)</w:t>
      </w:r>
    </w:p>
    <w:tbl>
      <w:tblPr>
        <w:tblW w:w="9498"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9"/>
        <w:gridCol w:w="1140"/>
        <w:gridCol w:w="1141"/>
        <w:gridCol w:w="1141"/>
        <w:gridCol w:w="1141"/>
        <w:gridCol w:w="1276"/>
      </w:tblGrid>
      <w:tr w:rsidR="00110044">
        <w:trPr>
          <w:cantSplit/>
        </w:trPr>
        <w:tc>
          <w:tcPr>
            <w:tcW w:w="3659" w:type="dxa"/>
            <w:vAlign w:val="center"/>
          </w:tcPr>
          <w:p w:rsidR="006B4685" w:rsidRPr="00070628" w:rsidRDefault="006B4685">
            <w:pPr>
              <w:spacing w:before="60" w:after="60"/>
              <w:jc w:val="center"/>
              <w:rPr>
                <w:b/>
                <w:bCs/>
                <w:noProof/>
                <w:color w:val="444444"/>
                <w:sz w:val="20"/>
                <w:szCs w:val="20"/>
                <w:shd w:val="clear" w:color="auto" w:fill="FFFFFF"/>
              </w:rPr>
            </w:pPr>
            <w:r w:rsidRPr="00070628">
              <w:rPr>
                <w:b/>
                <w:bCs/>
                <w:noProof/>
                <w:color w:val="444444"/>
                <w:sz w:val="20"/>
                <w:szCs w:val="20"/>
                <w:shd w:val="clear" w:color="auto" w:fill="FFFFFF"/>
              </w:rPr>
              <w:t xml:space="preserve">Agency: </w:t>
            </w:r>
            <w:r>
              <w:rPr>
                <w:b/>
                <w:bCs/>
                <w:noProof/>
                <w:color w:val="444444"/>
                <w:sz w:val="20"/>
                <w:szCs w:val="20"/>
                <w:shd w:val="clear" w:color="auto" w:fill="FFFFFF"/>
              </w:rPr>
              <w:t>European Banking Authority</w:t>
            </w:r>
          </w:p>
        </w:tc>
        <w:tc>
          <w:tcPr>
            <w:tcW w:w="1140" w:type="dxa"/>
            <w:vAlign w:val="center"/>
          </w:tcPr>
          <w:p w:rsidR="006B4685" w:rsidRDefault="006B4685">
            <w:pPr>
              <w:jc w:val="center"/>
              <w:rPr>
                <w:noProof/>
                <w:sz w:val="20"/>
              </w:rPr>
            </w:pPr>
            <w:r>
              <w:rPr>
                <w:noProof/>
                <w:sz w:val="20"/>
              </w:rPr>
              <w:t xml:space="preserve">Year </w:t>
            </w:r>
            <w:r w:rsidRPr="00070628">
              <w:rPr>
                <w:b/>
                <w:bCs/>
                <w:noProof/>
                <w:sz w:val="20"/>
              </w:rPr>
              <w:t>2024</w:t>
            </w:r>
          </w:p>
        </w:tc>
        <w:tc>
          <w:tcPr>
            <w:tcW w:w="1141" w:type="dxa"/>
            <w:vAlign w:val="center"/>
          </w:tcPr>
          <w:p w:rsidR="006B4685" w:rsidRDefault="006B4685">
            <w:pPr>
              <w:jc w:val="center"/>
              <w:rPr>
                <w:noProof/>
                <w:sz w:val="20"/>
              </w:rPr>
            </w:pPr>
            <w:r>
              <w:rPr>
                <w:noProof/>
                <w:sz w:val="20"/>
              </w:rPr>
              <w:t>Year</w:t>
            </w:r>
            <w:r>
              <w:rPr>
                <w:b/>
                <w:noProof/>
                <w:sz w:val="20"/>
              </w:rPr>
              <w:t xml:space="preserve"> 2025</w:t>
            </w:r>
          </w:p>
        </w:tc>
        <w:tc>
          <w:tcPr>
            <w:tcW w:w="1141" w:type="dxa"/>
            <w:vAlign w:val="center"/>
          </w:tcPr>
          <w:p w:rsidR="006B4685" w:rsidRDefault="006B4685">
            <w:pPr>
              <w:jc w:val="center"/>
              <w:rPr>
                <w:noProof/>
                <w:sz w:val="20"/>
              </w:rPr>
            </w:pPr>
            <w:r>
              <w:rPr>
                <w:noProof/>
                <w:sz w:val="20"/>
              </w:rPr>
              <w:t xml:space="preserve">Year </w:t>
            </w:r>
            <w:r>
              <w:rPr>
                <w:b/>
                <w:noProof/>
                <w:sz w:val="20"/>
              </w:rPr>
              <w:t>2026</w:t>
            </w:r>
          </w:p>
        </w:tc>
        <w:tc>
          <w:tcPr>
            <w:tcW w:w="1141" w:type="dxa"/>
            <w:vAlign w:val="center"/>
          </w:tcPr>
          <w:p w:rsidR="006B4685" w:rsidRDefault="006B4685">
            <w:pPr>
              <w:jc w:val="center"/>
              <w:rPr>
                <w:noProof/>
                <w:sz w:val="20"/>
              </w:rPr>
            </w:pPr>
            <w:r>
              <w:rPr>
                <w:noProof/>
                <w:sz w:val="20"/>
              </w:rPr>
              <w:t xml:space="preserve">Year </w:t>
            </w:r>
            <w:r>
              <w:rPr>
                <w:b/>
                <w:noProof/>
                <w:sz w:val="20"/>
              </w:rPr>
              <w:t>2027</w:t>
            </w:r>
          </w:p>
        </w:tc>
        <w:tc>
          <w:tcPr>
            <w:tcW w:w="1276" w:type="dxa"/>
            <w:vAlign w:val="center"/>
          </w:tcPr>
          <w:p w:rsidR="006B4685" w:rsidRPr="004C127A" w:rsidRDefault="006B4685">
            <w:pPr>
              <w:spacing w:before="60" w:after="60"/>
              <w:jc w:val="center"/>
              <w:rPr>
                <w:noProof/>
                <w:sz w:val="20"/>
                <w:szCs w:val="20"/>
              </w:rPr>
            </w:pPr>
            <w:r w:rsidRPr="00070628">
              <w:rPr>
                <w:b/>
                <w:bCs/>
                <w:noProof/>
                <w:color w:val="000000"/>
                <w:sz w:val="20"/>
                <w:szCs w:val="20"/>
                <w:lang w:val="en-IE" w:eastAsia="en-IE"/>
              </w:rPr>
              <w:t>TOTAL</w:t>
            </w:r>
            <w:r>
              <w:rPr>
                <w:b/>
                <w:bCs/>
                <w:noProof/>
                <w:color w:val="000000"/>
                <w:sz w:val="20"/>
                <w:szCs w:val="20"/>
                <w:lang w:val="en-IE" w:eastAsia="en-IE"/>
              </w:rPr>
              <w:t xml:space="preserve"> </w:t>
            </w:r>
            <w:r w:rsidRPr="00070628">
              <w:rPr>
                <w:b/>
                <w:bCs/>
                <w:noProof/>
                <w:color w:val="000000"/>
                <w:sz w:val="20"/>
                <w:szCs w:val="20"/>
                <w:lang w:val="en-IE" w:eastAsia="en-IE"/>
              </w:rPr>
              <w:t>2021 - 2027</w:t>
            </w:r>
          </w:p>
        </w:tc>
      </w:tr>
      <w:tr w:rsidR="00110044" w:rsidRPr="003A769F">
        <w:trPr>
          <w:cantSplit/>
          <w:trHeight w:val="700"/>
        </w:trPr>
        <w:tc>
          <w:tcPr>
            <w:tcW w:w="3659" w:type="dxa"/>
            <w:vAlign w:val="center"/>
          </w:tcPr>
          <w:p w:rsidR="006B4685" w:rsidRPr="003A769F" w:rsidRDefault="006B4685">
            <w:pPr>
              <w:jc w:val="left"/>
              <w:rPr>
                <w:noProof/>
                <w:lang w:val="en-IE"/>
              </w:rPr>
            </w:pPr>
            <w:r w:rsidRPr="004B2A0E">
              <w:rPr>
                <w:noProof/>
                <w:sz w:val="20"/>
                <w:szCs w:val="20"/>
              </w:rPr>
              <w:t>Title 1:</w:t>
            </w:r>
            <w:r>
              <w:rPr>
                <w:noProof/>
                <w:sz w:val="20"/>
                <w:szCs w:val="20"/>
              </w:rPr>
              <w:t xml:space="preserve"> Staff expenditure</w:t>
            </w:r>
          </w:p>
        </w:tc>
        <w:tc>
          <w:tcPr>
            <w:tcW w:w="1140"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r>
              <w:rPr>
                <w:noProof/>
                <w:sz w:val="20"/>
                <w:lang w:val="en-IE"/>
              </w:rPr>
              <w:t>0.225</w:t>
            </w:r>
          </w:p>
        </w:tc>
        <w:tc>
          <w:tcPr>
            <w:tcW w:w="1276" w:type="dxa"/>
            <w:vAlign w:val="center"/>
          </w:tcPr>
          <w:p w:rsidR="006B4685" w:rsidRPr="003A769F" w:rsidRDefault="006B4685">
            <w:pPr>
              <w:spacing w:before="60" w:after="60"/>
              <w:jc w:val="right"/>
              <w:rPr>
                <w:noProof/>
                <w:sz w:val="20"/>
                <w:szCs w:val="20"/>
                <w:lang w:val="en-IE"/>
              </w:rPr>
            </w:pPr>
            <w:r w:rsidRPr="1B2547E8">
              <w:rPr>
                <w:b/>
                <w:bCs/>
                <w:noProof/>
                <w:sz w:val="20"/>
                <w:szCs w:val="20"/>
              </w:rPr>
              <w:t>0.</w:t>
            </w:r>
            <w:r>
              <w:rPr>
                <w:b/>
                <w:bCs/>
                <w:noProof/>
                <w:sz w:val="20"/>
                <w:szCs w:val="20"/>
              </w:rPr>
              <w:t>225</w:t>
            </w:r>
          </w:p>
        </w:tc>
      </w:tr>
      <w:tr w:rsidR="00110044" w:rsidRPr="003A769F">
        <w:trPr>
          <w:cantSplit/>
          <w:trHeight w:val="700"/>
        </w:trPr>
        <w:tc>
          <w:tcPr>
            <w:tcW w:w="3659" w:type="dxa"/>
            <w:vAlign w:val="center"/>
          </w:tcPr>
          <w:p w:rsidR="006B4685" w:rsidRPr="003A769F" w:rsidRDefault="006B4685">
            <w:pPr>
              <w:jc w:val="left"/>
              <w:rPr>
                <w:noProof/>
                <w:sz w:val="20"/>
                <w:lang w:val="en-IE"/>
              </w:rPr>
            </w:pPr>
            <w:r w:rsidRPr="004B2A0E">
              <w:rPr>
                <w:noProof/>
                <w:sz w:val="20"/>
                <w:szCs w:val="20"/>
              </w:rPr>
              <w:t>Title 2:</w:t>
            </w:r>
            <w:r>
              <w:rPr>
                <w:noProof/>
                <w:sz w:val="20"/>
                <w:szCs w:val="20"/>
              </w:rPr>
              <w:t xml:space="preserve"> Infrastructure and operating expenditure</w:t>
            </w:r>
          </w:p>
        </w:tc>
        <w:tc>
          <w:tcPr>
            <w:tcW w:w="1140"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r>
              <w:rPr>
                <w:noProof/>
                <w:sz w:val="20"/>
                <w:lang w:val="en-IE"/>
              </w:rPr>
              <w:t>0.037</w:t>
            </w:r>
          </w:p>
        </w:tc>
        <w:tc>
          <w:tcPr>
            <w:tcW w:w="1276" w:type="dxa"/>
            <w:vAlign w:val="center"/>
          </w:tcPr>
          <w:p w:rsidR="006B4685" w:rsidRPr="003A769F" w:rsidRDefault="006B4685">
            <w:pPr>
              <w:spacing w:before="60" w:after="60"/>
              <w:jc w:val="right"/>
              <w:rPr>
                <w:noProof/>
                <w:sz w:val="20"/>
                <w:szCs w:val="20"/>
                <w:lang w:val="en-IE"/>
              </w:rPr>
            </w:pPr>
            <w:r>
              <w:rPr>
                <w:b/>
                <w:bCs/>
                <w:noProof/>
                <w:sz w:val="20"/>
                <w:szCs w:val="20"/>
              </w:rPr>
              <w:t>0.037</w:t>
            </w:r>
          </w:p>
        </w:tc>
      </w:tr>
      <w:tr w:rsidR="00110044" w:rsidRPr="003A769F">
        <w:trPr>
          <w:cantSplit/>
          <w:trHeight w:val="700"/>
        </w:trPr>
        <w:tc>
          <w:tcPr>
            <w:tcW w:w="3659" w:type="dxa"/>
            <w:vAlign w:val="center"/>
          </w:tcPr>
          <w:p w:rsidR="006B4685" w:rsidRPr="003A769F" w:rsidRDefault="006B4685">
            <w:pPr>
              <w:jc w:val="left"/>
              <w:rPr>
                <w:noProof/>
                <w:sz w:val="20"/>
                <w:lang w:val="en-IE"/>
              </w:rPr>
            </w:pPr>
            <w:r w:rsidRPr="004B2A0E">
              <w:rPr>
                <w:noProof/>
                <w:sz w:val="20"/>
                <w:szCs w:val="20"/>
              </w:rPr>
              <w:t>Title</w:t>
            </w:r>
            <w:r>
              <w:rPr>
                <w:noProof/>
                <w:sz w:val="20"/>
                <w:szCs w:val="20"/>
              </w:rPr>
              <w:t xml:space="preserve"> </w:t>
            </w:r>
            <w:r w:rsidRPr="004B2A0E">
              <w:rPr>
                <w:noProof/>
                <w:sz w:val="20"/>
                <w:szCs w:val="20"/>
              </w:rPr>
              <w:t>3:</w:t>
            </w:r>
            <w:r>
              <w:rPr>
                <w:noProof/>
                <w:sz w:val="20"/>
                <w:szCs w:val="20"/>
              </w:rPr>
              <w:t xml:space="preserve"> Operational expenditure</w:t>
            </w:r>
          </w:p>
        </w:tc>
        <w:tc>
          <w:tcPr>
            <w:tcW w:w="1140"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p>
        </w:tc>
        <w:tc>
          <w:tcPr>
            <w:tcW w:w="1276" w:type="dxa"/>
            <w:vAlign w:val="center"/>
          </w:tcPr>
          <w:p w:rsidR="006B4685" w:rsidRPr="003A769F" w:rsidRDefault="006B4685">
            <w:pPr>
              <w:spacing w:before="60" w:after="60"/>
              <w:jc w:val="right"/>
              <w:rPr>
                <w:noProof/>
                <w:sz w:val="20"/>
                <w:szCs w:val="20"/>
                <w:lang w:val="en-IE"/>
              </w:rPr>
            </w:pPr>
            <w:r w:rsidRPr="1B2547E8">
              <w:rPr>
                <w:b/>
                <w:bCs/>
                <w:noProof/>
                <w:sz w:val="20"/>
                <w:szCs w:val="20"/>
              </w:rPr>
              <w:t>0.000</w:t>
            </w:r>
          </w:p>
        </w:tc>
      </w:tr>
      <w:tr w:rsidR="00110044">
        <w:trPr>
          <w:cantSplit/>
          <w:trHeight w:val="700"/>
        </w:trPr>
        <w:tc>
          <w:tcPr>
            <w:tcW w:w="3659" w:type="dxa"/>
            <w:vAlign w:val="center"/>
          </w:tcPr>
          <w:p w:rsidR="006B4685" w:rsidRPr="003F4D71" w:rsidRDefault="006B4685">
            <w:pPr>
              <w:spacing w:before="60" w:after="60"/>
              <w:jc w:val="left"/>
              <w:rPr>
                <w:b/>
                <w:bCs/>
                <w:noProof/>
                <w:sz w:val="20"/>
              </w:rPr>
            </w:pPr>
            <w:r>
              <w:rPr>
                <w:b/>
                <w:bCs/>
                <w:noProof/>
                <w:sz w:val="20"/>
              </w:rPr>
              <w:t>TOTAL of</w:t>
            </w:r>
            <w:r w:rsidRPr="003F4D71">
              <w:rPr>
                <w:b/>
                <w:bCs/>
                <w:noProof/>
                <w:sz w:val="20"/>
              </w:rPr>
              <w:t xml:space="preserve"> appropriations </w:t>
            </w:r>
            <w:r>
              <w:rPr>
                <w:b/>
                <w:bCs/>
                <w:noProof/>
                <w:sz w:val="20"/>
              </w:rPr>
              <w:t>covered by the EU budget</w:t>
            </w:r>
            <w:r w:rsidRPr="003F4D71">
              <w:rPr>
                <w:b/>
                <w:bCs/>
                <w:noProof/>
                <w:sz w:val="20"/>
              </w:rPr>
              <w:t xml:space="preserve"> </w:t>
            </w:r>
          </w:p>
        </w:tc>
        <w:tc>
          <w:tcPr>
            <w:tcW w:w="1140" w:type="dxa"/>
            <w:vAlign w:val="center"/>
          </w:tcPr>
          <w:p w:rsidR="006B4685" w:rsidRDefault="006B4685">
            <w:pPr>
              <w:spacing w:before="60" w:after="60"/>
              <w:jc w:val="right"/>
              <w:rPr>
                <w:noProof/>
                <w:sz w:val="20"/>
              </w:rPr>
            </w:pPr>
            <w:r>
              <w:rPr>
                <w:b/>
                <w:bCs/>
                <w:noProof/>
                <w:sz w:val="20"/>
              </w:rPr>
              <w:t>0.000</w:t>
            </w:r>
          </w:p>
        </w:tc>
        <w:tc>
          <w:tcPr>
            <w:tcW w:w="1141" w:type="dxa"/>
            <w:vAlign w:val="center"/>
          </w:tcPr>
          <w:p w:rsidR="006B4685" w:rsidRDefault="006B4685">
            <w:pPr>
              <w:spacing w:before="60" w:after="60"/>
              <w:jc w:val="right"/>
              <w:rPr>
                <w:noProof/>
                <w:sz w:val="20"/>
              </w:rPr>
            </w:pPr>
            <w:r w:rsidRPr="00D45D3D">
              <w:rPr>
                <w:b/>
                <w:bCs/>
                <w:noProof/>
                <w:sz w:val="20"/>
              </w:rPr>
              <w:t>0.000</w:t>
            </w:r>
          </w:p>
        </w:tc>
        <w:tc>
          <w:tcPr>
            <w:tcW w:w="1141" w:type="dxa"/>
            <w:vAlign w:val="center"/>
          </w:tcPr>
          <w:p w:rsidR="006B4685" w:rsidRDefault="006B4685">
            <w:pPr>
              <w:spacing w:before="60" w:after="60"/>
              <w:jc w:val="right"/>
              <w:rPr>
                <w:noProof/>
                <w:sz w:val="20"/>
              </w:rPr>
            </w:pPr>
            <w:r w:rsidRPr="00D45D3D">
              <w:rPr>
                <w:b/>
                <w:bCs/>
                <w:noProof/>
                <w:sz w:val="20"/>
              </w:rPr>
              <w:t>0.000</w:t>
            </w:r>
          </w:p>
        </w:tc>
        <w:tc>
          <w:tcPr>
            <w:tcW w:w="1141" w:type="dxa"/>
            <w:vAlign w:val="center"/>
          </w:tcPr>
          <w:p w:rsidR="006B4685" w:rsidRDefault="006B4685">
            <w:pPr>
              <w:spacing w:before="60" w:after="60"/>
              <w:jc w:val="right"/>
              <w:rPr>
                <w:noProof/>
                <w:sz w:val="20"/>
              </w:rPr>
            </w:pPr>
            <w:r w:rsidRPr="00D45D3D">
              <w:rPr>
                <w:b/>
                <w:bCs/>
                <w:noProof/>
                <w:sz w:val="20"/>
              </w:rPr>
              <w:t>0.</w:t>
            </w:r>
            <w:r>
              <w:rPr>
                <w:b/>
                <w:bCs/>
                <w:noProof/>
                <w:sz w:val="20"/>
              </w:rPr>
              <w:t>263</w:t>
            </w:r>
          </w:p>
        </w:tc>
        <w:tc>
          <w:tcPr>
            <w:tcW w:w="1276" w:type="dxa"/>
            <w:vAlign w:val="center"/>
          </w:tcPr>
          <w:p w:rsidR="006B4685" w:rsidRDefault="006B4685">
            <w:pPr>
              <w:spacing w:before="60" w:after="60"/>
              <w:jc w:val="right"/>
              <w:rPr>
                <w:noProof/>
                <w:sz w:val="20"/>
              </w:rPr>
            </w:pPr>
            <w:r w:rsidRPr="00D45D3D">
              <w:rPr>
                <w:b/>
                <w:bCs/>
                <w:noProof/>
                <w:sz w:val="20"/>
              </w:rPr>
              <w:t>0.</w:t>
            </w:r>
            <w:r>
              <w:rPr>
                <w:b/>
                <w:bCs/>
                <w:noProof/>
                <w:sz w:val="20"/>
              </w:rPr>
              <w:t>263</w:t>
            </w:r>
          </w:p>
        </w:tc>
      </w:tr>
    </w:tbl>
    <w:p w:rsidR="006B4685" w:rsidRDefault="006B4685" w:rsidP="006B4685">
      <w:pPr>
        <w:spacing w:before="240"/>
        <w:rPr>
          <w:noProof/>
          <w:sz w:val="22"/>
          <w:u w:val="single"/>
          <w:lang w:val="en-IE"/>
        </w:rPr>
      </w:pPr>
    </w:p>
    <w:tbl>
      <w:tblPr>
        <w:tblW w:w="9498"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9"/>
        <w:gridCol w:w="1140"/>
        <w:gridCol w:w="1141"/>
        <w:gridCol w:w="1141"/>
        <w:gridCol w:w="1141"/>
        <w:gridCol w:w="1276"/>
      </w:tblGrid>
      <w:tr w:rsidR="00110044" w:rsidRPr="004C127A">
        <w:trPr>
          <w:cantSplit/>
        </w:trPr>
        <w:tc>
          <w:tcPr>
            <w:tcW w:w="3659" w:type="dxa"/>
            <w:vAlign w:val="center"/>
          </w:tcPr>
          <w:p w:rsidR="006B4685" w:rsidRPr="00070628" w:rsidRDefault="006B4685">
            <w:pPr>
              <w:spacing w:before="60" w:after="60"/>
              <w:jc w:val="center"/>
              <w:rPr>
                <w:b/>
                <w:bCs/>
                <w:noProof/>
                <w:color w:val="444444"/>
                <w:sz w:val="20"/>
                <w:szCs w:val="20"/>
                <w:shd w:val="clear" w:color="auto" w:fill="FFFFFF"/>
              </w:rPr>
            </w:pPr>
            <w:r w:rsidRPr="00070628">
              <w:rPr>
                <w:b/>
                <w:bCs/>
                <w:noProof/>
                <w:color w:val="444444"/>
                <w:sz w:val="20"/>
                <w:szCs w:val="20"/>
                <w:shd w:val="clear" w:color="auto" w:fill="FFFFFF"/>
              </w:rPr>
              <w:t xml:space="preserve">Agency: </w:t>
            </w:r>
            <w:r>
              <w:rPr>
                <w:b/>
                <w:bCs/>
                <w:noProof/>
                <w:color w:val="444444"/>
                <w:sz w:val="20"/>
                <w:szCs w:val="20"/>
                <w:shd w:val="clear" w:color="auto" w:fill="FFFFFF"/>
              </w:rPr>
              <w:t>European Securities and Markets Authority</w:t>
            </w:r>
          </w:p>
        </w:tc>
        <w:tc>
          <w:tcPr>
            <w:tcW w:w="1140" w:type="dxa"/>
            <w:vAlign w:val="center"/>
          </w:tcPr>
          <w:p w:rsidR="006B4685" w:rsidRDefault="006B4685">
            <w:pPr>
              <w:jc w:val="center"/>
              <w:rPr>
                <w:noProof/>
                <w:sz w:val="20"/>
              </w:rPr>
            </w:pPr>
            <w:r>
              <w:rPr>
                <w:noProof/>
                <w:sz w:val="20"/>
              </w:rPr>
              <w:t xml:space="preserve">Year </w:t>
            </w:r>
            <w:r w:rsidRPr="00070628">
              <w:rPr>
                <w:b/>
                <w:bCs/>
                <w:noProof/>
                <w:sz w:val="20"/>
              </w:rPr>
              <w:t>2024</w:t>
            </w:r>
          </w:p>
        </w:tc>
        <w:tc>
          <w:tcPr>
            <w:tcW w:w="1141" w:type="dxa"/>
            <w:vAlign w:val="center"/>
          </w:tcPr>
          <w:p w:rsidR="006B4685" w:rsidRDefault="006B4685">
            <w:pPr>
              <w:jc w:val="center"/>
              <w:rPr>
                <w:noProof/>
                <w:sz w:val="20"/>
              </w:rPr>
            </w:pPr>
            <w:r>
              <w:rPr>
                <w:noProof/>
                <w:sz w:val="20"/>
              </w:rPr>
              <w:t>Year</w:t>
            </w:r>
            <w:r>
              <w:rPr>
                <w:b/>
                <w:noProof/>
                <w:sz w:val="20"/>
              </w:rPr>
              <w:t xml:space="preserve"> 2025</w:t>
            </w:r>
          </w:p>
        </w:tc>
        <w:tc>
          <w:tcPr>
            <w:tcW w:w="1141" w:type="dxa"/>
            <w:vAlign w:val="center"/>
          </w:tcPr>
          <w:p w:rsidR="006B4685" w:rsidRDefault="006B4685">
            <w:pPr>
              <w:jc w:val="center"/>
              <w:rPr>
                <w:noProof/>
                <w:sz w:val="20"/>
              </w:rPr>
            </w:pPr>
            <w:r>
              <w:rPr>
                <w:noProof/>
                <w:sz w:val="20"/>
              </w:rPr>
              <w:t xml:space="preserve">Year </w:t>
            </w:r>
            <w:r>
              <w:rPr>
                <w:b/>
                <w:noProof/>
                <w:sz w:val="20"/>
              </w:rPr>
              <w:t>2026</w:t>
            </w:r>
          </w:p>
        </w:tc>
        <w:tc>
          <w:tcPr>
            <w:tcW w:w="1141" w:type="dxa"/>
            <w:vAlign w:val="center"/>
          </w:tcPr>
          <w:p w:rsidR="006B4685" w:rsidRDefault="006B4685">
            <w:pPr>
              <w:jc w:val="center"/>
              <w:rPr>
                <w:noProof/>
                <w:sz w:val="20"/>
              </w:rPr>
            </w:pPr>
            <w:r>
              <w:rPr>
                <w:noProof/>
                <w:sz w:val="20"/>
              </w:rPr>
              <w:t xml:space="preserve">Year </w:t>
            </w:r>
            <w:r>
              <w:rPr>
                <w:b/>
                <w:noProof/>
                <w:sz w:val="20"/>
              </w:rPr>
              <w:t>2027</w:t>
            </w:r>
          </w:p>
        </w:tc>
        <w:tc>
          <w:tcPr>
            <w:tcW w:w="1276" w:type="dxa"/>
            <w:vAlign w:val="center"/>
          </w:tcPr>
          <w:p w:rsidR="006B4685" w:rsidRPr="004C127A" w:rsidRDefault="006B4685">
            <w:pPr>
              <w:spacing w:before="60" w:after="60"/>
              <w:jc w:val="center"/>
              <w:rPr>
                <w:noProof/>
                <w:sz w:val="20"/>
                <w:szCs w:val="20"/>
              </w:rPr>
            </w:pPr>
            <w:r w:rsidRPr="00070628">
              <w:rPr>
                <w:b/>
                <w:bCs/>
                <w:noProof/>
                <w:color w:val="000000"/>
                <w:sz w:val="20"/>
                <w:szCs w:val="20"/>
                <w:lang w:val="en-IE" w:eastAsia="en-IE"/>
              </w:rPr>
              <w:t>TOTAL</w:t>
            </w:r>
            <w:r>
              <w:rPr>
                <w:b/>
                <w:bCs/>
                <w:noProof/>
                <w:color w:val="000000"/>
                <w:sz w:val="20"/>
                <w:szCs w:val="20"/>
                <w:lang w:val="en-IE" w:eastAsia="en-IE"/>
              </w:rPr>
              <w:t xml:space="preserve"> </w:t>
            </w:r>
            <w:r w:rsidRPr="00070628">
              <w:rPr>
                <w:b/>
                <w:bCs/>
                <w:noProof/>
                <w:color w:val="000000"/>
                <w:sz w:val="20"/>
                <w:szCs w:val="20"/>
                <w:lang w:val="en-IE" w:eastAsia="en-IE"/>
              </w:rPr>
              <w:t>2021 - 2027</w:t>
            </w:r>
          </w:p>
        </w:tc>
      </w:tr>
      <w:tr w:rsidR="00110044" w:rsidRPr="003A769F">
        <w:trPr>
          <w:cantSplit/>
          <w:trHeight w:val="700"/>
        </w:trPr>
        <w:tc>
          <w:tcPr>
            <w:tcW w:w="3659" w:type="dxa"/>
            <w:vAlign w:val="center"/>
          </w:tcPr>
          <w:p w:rsidR="006B4685" w:rsidRPr="003A769F" w:rsidRDefault="006B4685">
            <w:pPr>
              <w:jc w:val="left"/>
              <w:rPr>
                <w:noProof/>
                <w:lang w:val="en-IE"/>
              </w:rPr>
            </w:pPr>
            <w:r w:rsidRPr="004B2A0E">
              <w:rPr>
                <w:noProof/>
                <w:sz w:val="20"/>
                <w:szCs w:val="20"/>
              </w:rPr>
              <w:t>Title 1:</w:t>
            </w:r>
            <w:r>
              <w:rPr>
                <w:noProof/>
                <w:sz w:val="20"/>
                <w:szCs w:val="20"/>
              </w:rPr>
              <w:t xml:space="preserve"> Staff expenditure</w:t>
            </w:r>
          </w:p>
        </w:tc>
        <w:tc>
          <w:tcPr>
            <w:tcW w:w="1140"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r>
              <w:rPr>
                <w:noProof/>
                <w:sz w:val="20"/>
                <w:lang w:val="en-IE"/>
              </w:rPr>
              <w:t>(0.075)</w:t>
            </w:r>
          </w:p>
        </w:tc>
        <w:tc>
          <w:tcPr>
            <w:tcW w:w="1276" w:type="dxa"/>
            <w:vAlign w:val="center"/>
          </w:tcPr>
          <w:p w:rsidR="006B4685" w:rsidRPr="003A769F" w:rsidRDefault="006B4685">
            <w:pPr>
              <w:spacing w:before="60" w:after="60"/>
              <w:jc w:val="right"/>
              <w:rPr>
                <w:noProof/>
                <w:sz w:val="20"/>
                <w:szCs w:val="20"/>
                <w:lang w:val="en-IE"/>
              </w:rPr>
            </w:pPr>
            <w:r>
              <w:rPr>
                <w:b/>
                <w:bCs/>
                <w:noProof/>
                <w:sz w:val="20"/>
                <w:szCs w:val="20"/>
              </w:rPr>
              <w:t>(0.075)</w:t>
            </w:r>
          </w:p>
        </w:tc>
      </w:tr>
      <w:tr w:rsidR="00110044" w:rsidRPr="003A769F">
        <w:trPr>
          <w:cantSplit/>
          <w:trHeight w:val="700"/>
        </w:trPr>
        <w:tc>
          <w:tcPr>
            <w:tcW w:w="3659" w:type="dxa"/>
            <w:vAlign w:val="center"/>
          </w:tcPr>
          <w:p w:rsidR="006B4685" w:rsidRPr="003A769F" w:rsidRDefault="006B4685">
            <w:pPr>
              <w:jc w:val="left"/>
              <w:rPr>
                <w:noProof/>
                <w:sz w:val="20"/>
                <w:lang w:val="en-IE"/>
              </w:rPr>
            </w:pPr>
            <w:r w:rsidRPr="004B2A0E">
              <w:rPr>
                <w:noProof/>
                <w:sz w:val="20"/>
                <w:szCs w:val="20"/>
              </w:rPr>
              <w:t>Title 2:</w:t>
            </w:r>
            <w:r>
              <w:rPr>
                <w:noProof/>
                <w:sz w:val="20"/>
                <w:szCs w:val="20"/>
              </w:rPr>
              <w:t xml:space="preserve"> Infrastructure and operating expenditure</w:t>
            </w:r>
          </w:p>
        </w:tc>
        <w:tc>
          <w:tcPr>
            <w:tcW w:w="1140"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r>
              <w:rPr>
                <w:noProof/>
                <w:sz w:val="20"/>
                <w:lang w:val="en-IE"/>
              </w:rPr>
              <w:t>(0.013)</w:t>
            </w:r>
          </w:p>
        </w:tc>
        <w:tc>
          <w:tcPr>
            <w:tcW w:w="1276" w:type="dxa"/>
            <w:vAlign w:val="center"/>
          </w:tcPr>
          <w:p w:rsidR="006B4685" w:rsidRPr="003A769F" w:rsidRDefault="006B4685">
            <w:pPr>
              <w:spacing w:before="60" w:after="60"/>
              <w:jc w:val="right"/>
              <w:rPr>
                <w:noProof/>
                <w:sz w:val="20"/>
                <w:szCs w:val="20"/>
                <w:lang w:val="en-IE"/>
              </w:rPr>
            </w:pPr>
            <w:r>
              <w:rPr>
                <w:b/>
                <w:bCs/>
                <w:noProof/>
                <w:sz w:val="20"/>
                <w:szCs w:val="20"/>
              </w:rPr>
              <w:t>(0.013)</w:t>
            </w:r>
          </w:p>
        </w:tc>
      </w:tr>
      <w:tr w:rsidR="00110044" w:rsidRPr="003A769F">
        <w:trPr>
          <w:cantSplit/>
          <w:trHeight w:val="700"/>
        </w:trPr>
        <w:tc>
          <w:tcPr>
            <w:tcW w:w="3659" w:type="dxa"/>
            <w:vAlign w:val="center"/>
          </w:tcPr>
          <w:p w:rsidR="006B4685" w:rsidRPr="003A769F" w:rsidRDefault="006B4685">
            <w:pPr>
              <w:jc w:val="left"/>
              <w:rPr>
                <w:noProof/>
                <w:sz w:val="20"/>
                <w:lang w:val="en-IE"/>
              </w:rPr>
            </w:pPr>
            <w:r w:rsidRPr="004B2A0E">
              <w:rPr>
                <w:noProof/>
                <w:sz w:val="20"/>
                <w:szCs w:val="20"/>
              </w:rPr>
              <w:t>Title</w:t>
            </w:r>
            <w:r>
              <w:rPr>
                <w:noProof/>
                <w:sz w:val="20"/>
                <w:szCs w:val="20"/>
              </w:rPr>
              <w:t xml:space="preserve"> </w:t>
            </w:r>
            <w:r w:rsidRPr="004B2A0E">
              <w:rPr>
                <w:noProof/>
                <w:sz w:val="20"/>
                <w:szCs w:val="20"/>
              </w:rPr>
              <w:t>3:</w:t>
            </w:r>
            <w:r>
              <w:rPr>
                <w:noProof/>
                <w:sz w:val="20"/>
                <w:szCs w:val="20"/>
              </w:rPr>
              <w:t xml:space="preserve"> Operational expenditure</w:t>
            </w:r>
          </w:p>
        </w:tc>
        <w:tc>
          <w:tcPr>
            <w:tcW w:w="1140"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p>
        </w:tc>
        <w:tc>
          <w:tcPr>
            <w:tcW w:w="1276" w:type="dxa"/>
            <w:vAlign w:val="center"/>
          </w:tcPr>
          <w:p w:rsidR="006B4685" w:rsidRPr="003A769F" w:rsidRDefault="006B4685">
            <w:pPr>
              <w:spacing w:before="60" w:after="60"/>
              <w:jc w:val="right"/>
              <w:rPr>
                <w:noProof/>
                <w:sz w:val="20"/>
                <w:szCs w:val="20"/>
                <w:lang w:val="en-IE"/>
              </w:rPr>
            </w:pPr>
            <w:r w:rsidRPr="1B2547E8">
              <w:rPr>
                <w:b/>
                <w:bCs/>
                <w:noProof/>
                <w:sz w:val="20"/>
                <w:szCs w:val="20"/>
              </w:rPr>
              <w:t>0.000</w:t>
            </w:r>
          </w:p>
        </w:tc>
      </w:tr>
      <w:tr w:rsidR="00110044">
        <w:trPr>
          <w:cantSplit/>
          <w:trHeight w:val="700"/>
        </w:trPr>
        <w:tc>
          <w:tcPr>
            <w:tcW w:w="3659" w:type="dxa"/>
            <w:vAlign w:val="center"/>
          </w:tcPr>
          <w:p w:rsidR="006B4685" w:rsidRPr="003F4D71" w:rsidRDefault="006B4685">
            <w:pPr>
              <w:spacing w:before="60" w:after="60"/>
              <w:jc w:val="left"/>
              <w:rPr>
                <w:b/>
                <w:bCs/>
                <w:noProof/>
                <w:sz w:val="20"/>
              </w:rPr>
            </w:pPr>
            <w:r>
              <w:rPr>
                <w:b/>
                <w:bCs/>
                <w:noProof/>
                <w:sz w:val="20"/>
              </w:rPr>
              <w:t>TOTAL of</w:t>
            </w:r>
            <w:r w:rsidRPr="003F4D71">
              <w:rPr>
                <w:b/>
                <w:bCs/>
                <w:noProof/>
                <w:sz w:val="20"/>
              </w:rPr>
              <w:t xml:space="preserve"> appropriations </w:t>
            </w:r>
            <w:r>
              <w:rPr>
                <w:b/>
                <w:bCs/>
                <w:noProof/>
                <w:sz w:val="20"/>
              </w:rPr>
              <w:t>covered by the EU budget</w:t>
            </w:r>
            <w:r w:rsidRPr="003F4D71">
              <w:rPr>
                <w:b/>
                <w:bCs/>
                <w:noProof/>
                <w:sz w:val="20"/>
              </w:rPr>
              <w:t xml:space="preserve"> </w:t>
            </w:r>
          </w:p>
        </w:tc>
        <w:tc>
          <w:tcPr>
            <w:tcW w:w="1140" w:type="dxa"/>
            <w:vAlign w:val="center"/>
          </w:tcPr>
          <w:p w:rsidR="006B4685" w:rsidRDefault="006B4685">
            <w:pPr>
              <w:spacing w:before="60" w:after="60"/>
              <w:jc w:val="right"/>
              <w:rPr>
                <w:noProof/>
                <w:sz w:val="20"/>
              </w:rPr>
            </w:pPr>
            <w:r>
              <w:rPr>
                <w:b/>
                <w:bCs/>
                <w:noProof/>
                <w:sz w:val="20"/>
              </w:rPr>
              <w:t>0.000</w:t>
            </w:r>
          </w:p>
        </w:tc>
        <w:tc>
          <w:tcPr>
            <w:tcW w:w="1141" w:type="dxa"/>
            <w:vAlign w:val="center"/>
          </w:tcPr>
          <w:p w:rsidR="006B4685" w:rsidRDefault="006B4685">
            <w:pPr>
              <w:spacing w:before="60" w:after="60"/>
              <w:jc w:val="right"/>
              <w:rPr>
                <w:noProof/>
                <w:sz w:val="20"/>
              </w:rPr>
            </w:pPr>
            <w:r w:rsidRPr="00D45D3D">
              <w:rPr>
                <w:b/>
                <w:bCs/>
                <w:noProof/>
                <w:sz w:val="20"/>
              </w:rPr>
              <w:t>0.000</w:t>
            </w:r>
          </w:p>
        </w:tc>
        <w:tc>
          <w:tcPr>
            <w:tcW w:w="1141" w:type="dxa"/>
            <w:vAlign w:val="center"/>
          </w:tcPr>
          <w:p w:rsidR="006B4685" w:rsidRDefault="006B4685">
            <w:pPr>
              <w:spacing w:before="60" w:after="60"/>
              <w:jc w:val="right"/>
              <w:rPr>
                <w:noProof/>
                <w:sz w:val="20"/>
              </w:rPr>
            </w:pPr>
            <w:r w:rsidRPr="00D45D3D">
              <w:rPr>
                <w:b/>
                <w:bCs/>
                <w:noProof/>
                <w:sz w:val="20"/>
              </w:rPr>
              <w:t>0.000</w:t>
            </w:r>
          </w:p>
        </w:tc>
        <w:tc>
          <w:tcPr>
            <w:tcW w:w="1141" w:type="dxa"/>
            <w:vAlign w:val="center"/>
          </w:tcPr>
          <w:p w:rsidR="006B4685" w:rsidRDefault="006B4685">
            <w:pPr>
              <w:spacing w:before="60" w:after="60"/>
              <w:jc w:val="right"/>
              <w:rPr>
                <w:noProof/>
                <w:sz w:val="20"/>
              </w:rPr>
            </w:pPr>
            <w:r>
              <w:rPr>
                <w:b/>
                <w:bCs/>
                <w:noProof/>
                <w:sz w:val="20"/>
              </w:rPr>
              <w:t>(</w:t>
            </w:r>
            <w:r w:rsidRPr="00D45D3D">
              <w:rPr>
                <w:b/>
                <w:bCs/>
                <w:noProof/>
                <w:sz w:val="20"/>
              </w:rPr>
              <w:t>0.0</w:t>
            </w:r>
            <w:r>
              <w:rPr>
                <w:b/>
                <w:bCs/>
                <w:noProof/>
                <w:sz w:val="20"/>
              </w:rPr>
              <w:t>88)</w:t>
            </w:r>
          </w:p>
        </w:tc>
        <w:tc>
          <w:tcPr>
            <w:tcW w:w="1276" w:type="dxa"/>
            <w:vAlign w:val="center"/>
          </w:tcPr>
          <w:p w:rsidR="006B4685" w:rsidRDefault="006B4685">
            <w:pPr>
              <w:spacing w:before="60" w:after="60"/>
              <w:jc w:val="right"/>
              <w:rPr>
                <w:noProof/>
                <w:sz w:val="20"/>
              </w:rPr>
            </w:pPr>
            <w:r>
              <w:rPr>
                <w:b/>
                <w:bCs/>
                <w:noProof/>
                <w:sz w:val="20"/>
              </w:rPr>
              <w:t>(</w:t>
            </w:r>
            <w:r w:rsidRPr="00D45D3D">
              <w:rPr>
                <w:b/>
                <w:bCs/>
                <w:noProof/>
                <w:sz w:val="20"/>
              </w:rPr>
              <w:t>0.</w:t>
            </w:r>
            <w:r>
              <w:rPr>
                <w:b/>
                <w:bCs/>
                <w:noProof/>
                <w:sz w:val="20"/>
              </w:rPr>
              <w:t>088)</w:t>
            </w:r>
          </w:p>
        </w:tc>
      </w:tr>
    </w:tbl>
    <w:p w:rsidR="006B4685" w:rsidRDefault="006B4685" w:rsidP="006B4685">
      <w:pPr>
        <w:spacing w:before="240"/>
        <w:rPr>
          <w:noProof/>
          <w:sz w:val="22"/>
          <w:u w:val="single"/>
          <w:lang w:val="en-IE"/>
        </w:rPr>
      </w:pPr>
      <w:r>
        <w:rPr>
          <w:noProof/>
          <w:sz w:val="22"/>
          <w:u w:val="single"/>
          <w:lang w:val="en-IE"/>
        </w:rPr>
        <w:tab/>
      </w:r>
      <w:r>
        <w:rPr>
          <w:noProof/>
          <w:sz w:val="22"/>
          <w:u w:val="single"/>
          <w:lang w:val="en-IE"/>
        </w:rPr>
        <w:tab/>
      </w:r>
      <w:r>
        <w:rPr>
          <w:noProof/>
          <w:sz w:val="22"/>
          <w:u w:val="single"/>
          <w:lang w:val="en-IE"/>
        </w:rPr>
        <w:tab/>
      </w:r>
      <w:r>
        <w:rPr>
          <w:noProof/>
          <w:sz w:val="22"/>
          <w:u w:val="single"/>
          <w:lang w:val="en-IE"/>
        </w:rPr>
        <w:tab/>
      </w:r>
      <w:r>
        <w:rPr>
          <w:noProof/>
          <w:sz w:val="22"/>
          <w:u w:val="single"/>
          <w:lang w:val="en-IE"/>
        </w:rPr>
        <w:tab/>
      </w:r>
      <w:r>
        <w:rPr>
          <w:noProof/>
          <w:sz w:val="22"/>
          <w:u w:val="single"/>
          <w:lang w:val="en-IE"/>
        </w:rPr>
        <w:tab/>
      </w:r>
      <w:r>
        <w:rPr>
          <w:noProof/>
          <w:sz w:val="22"/>
          <w:u w:val="single"/>
          <w:lang w:val="en-IE"/>
        </w:rPr>
        <w:tab/>
      </w:r>
    </w:p>
    <w:p w:rsidR="006B4685" w:rsidRDefault="006B4685" w:rsidP="006B4685">
      <w:pPr>
        <w:spacing w:before="240"/>
        <w:rPr>
          <w:noProof/>
          <w:sz w:val="22"/>
          <w:u w:val="single"/>
          <w:lang w:val="en-IE"/>
        </w:rPr>
      </w:pPr>
      <w:r w:rsidRPr="003F4D71">
        <w:rPr>
          <w:noProof/>
          <w:sz w:val="22"/>
          <w:u w:val="single"/>
          <w:lang w:val="en-IE"/>
        </w:rPr>
        <w:t>Appropriations covered by fees</w:t>
      </w:r>
      <w:r>
        <w:rPr>
          <w:noProof/>
          <w:sz w:val="22"/>
          <w:u w:val="single"/>
          <w:lang w:val="en-IE"/>
        </w:rPr>
        <w:t>, if applicable,</w:t>
      </w:r>
      <w:r w:rsidRPr="003F4D71">
        <w:rPr>
          <w:noProof/>
          <w:sz w:val="22"/>
          <w:u w:val="single"/>
          <w:lang w:val="en-IE"/>
        </w:rPr>
        <w:t xml:space="preserve"> in EUR million (to three decimal places)</w:t>
      </w:r>
    </w:p>
    <w:p w:rsidR="006B4685" w:rsidRPr="00186012" w:rsidRDefault="006B4685" w:rsidP="006B4685">
      <w:pPr>
        <w:pStyle w:val="Text1"/>
        <w:ind w:left="-142" w:right="1"/>
        <w:rPr>
          <w:noProof/>
        </w:rPr>
      </w:pPr>
      <w:r w:rsidRPr="00186012">
        <w:rPr>
          <w:noProof/>
        </w:rPr>
        <w:t>N/A</w:t>
      </w:r>
    </w:p>
    <w:p w:rsidR="006B4685" w:rsidRDefault="006B4685" w:rsidP="006B4685">
      <w:pPr>
        <w:spacing w:before="240"/>
        <w:rPr>
          <w:noProof/>
          <w:sz w:val="22"/>
          <w:u w:val="single"/>
          <w:lang w:val="en-IE"/>
        </w:rPr>
      </w:pPr>
      <w:r w:rsidRPr="003F4D71">
        <w:rPr>
          <w:noProof/>
          <w:sz w:val="22"/>
          <w:u w:val="single"/>
          <w:lang w:val="en-IE"/>
        </w:rPr>
        <w:t xml:space="preserve">Appropriations covered by </w:t>
      </w:r>
      <w:r>
        <w:rPr>
          <w:noProof/>
          <w:sz w:val="22"/>
          <w:u w:val="single"/>
          <w:lang w:val="en-IE"/>
        </w:rPr>
        <w:t>co-financing, if applicable,</w:t>
      </w:r>
      <w:r w:rsidRPr="003F4D71">
        <w:rPr>
          <w:noProof/>
          <w:sz w:val="22"/>
          <w:u w:val="single"/>
          <w:lang w:val="en-IE"/>
        </w:rPr>
        <w:t xml:space="preserve"> in EUR million (to three decimal places)</w:t>
      </w:r>
    </w:p>
    <w:p w:rsidR="00E56974" w:rsidRDefault="00DF5E3F" w:rsidP="006B4685">
      <w:pPr>
        <w:spacing w:before="240"/>
        <w:rPr>
          <w:noProof/>
          <w:sz w:val="22"/>
          <w:u w:val="single"/>
          <w:lang w:val="en-IE"/>
        </w:rPr>
      </w:pPr>
      <w:r>
        <w:rPr>
          <w:noProof/>
        </w:rPr>
        <w:t>C</w:t>
      </w:r>
      <w:r w:rsidR="00E56974" w:rsidRPr="00070628">
        <w:rPr>
          <w:noProof/>
        </w:rPr>
        <w:t xml:space="preserve">ontribution </w:t>
      </w:r>
      <w:r w:rsidR="00DF3168">
        <w:rPr>
          <w:noProof/>
        </w:rPr>
        <w:t xml:space="preserve">by national competent authorities </w:t>
      </w:r>
      <w:r w:rsidR="00E56974" w:rsidRPr="00070628">
        <w:rPr>
          <w:noProof/>
        </w:rPr>
        <w:t xml:space="preserve">to the </w:t>
      </w:r>
      <w:r w:rsidR="00E56974" w:rsidRPr="00500F56">
        <w:rPr>
          <w:noProof/>
        </w:rPr>
        <w:t>European Banking Authori</w:t>
      </w:r>
      <w:r w:rsidR="00E56974">
        <w:rPr>
          <w:noProof/>
        </w:rPr>
        <w:t xml:space="preserve">ty </w:t>
      </w:r>
      <w:r w:rsidR="00E56974" w:rsidRPr="00070628">
        <w:rPr>
          <w:noProof/>
        </w:rPr>
        <w:t>will be</w:t>
      </w:r>
      <w:r w:rsidR="00E56974" w:rsidRPr="008798A4">
        <w:rPr>
          <w:noProof/>
        </w:rPr>
        <w:t xml:space="preserve"> </w:t>
      </w:r>
      <w:r w:rsidR="00E56974" w:rsidRPr="00070628">
        <w:rPr>
          <w:noProof/>
        </w:rPr>
        <w:t xml:space="preserve">compensated </w:t>
      </w:r>
      <w:r w:rsidR="00E56974">
        <w:rPr>
          <w:noProof/>
        </w:rPr>
        <w:t xml:space="preserve">in part </w:t>
      </w:r>
      <w:r w:rsidR="00E56974" w:rsidRPr="00070628">
        <w:rPr>
          <w:noProof/>
        </w:rPr>
        <w:t xml:space="preserve">by a reduction of </w:t>
      </w:r>
      <w:r w:rsidR="00DF3168">
        <w:rPr>
          <w:noProof/>
        </w:rPr>
        <w:t>contribution</w:t>
      </w:r>
      <w:r>
        <w:rPr>
          <w:noProof/>
        </w:rPr>
        <w:t>s</w:t>
      </w:r>
      <w:r w:rsidR="00DF3168">
        <w:rPr>
          <w:noProof/>
        </w:rPr>
        <w:t xml:space="preserve"> by national competent authorities</w:t>
      </w:r>
      <w:r w:rsidR="00E56974" w:rsidRPr="00070628">
        <w:rPr>
          <w:noProof/>
        </w:rPr>
        <w:t xml:space="preserve"> </w:t>
      </w:r>
      <w:r w:rsidR="00E56974">
        <w:rPr>
          <w:noProof/>
        </w:rPr>
        <w:t xml:space="preserve">to the </w:t>
      </w:r>
      <w:r w:rsidR="00E56974" w:rsidRPr="00183D0A">
        <w:rPr>
          <w:noProof/>
        </w:rPr>
        <w:t>European Securities and Markets Authority</w:t>
      </w:r>
      <w:r w:rsidR="00A7777B">
        <w:rPr>
          <w:noProof/>
        </w:rPr>
        <w:t>.</w:t>
      </w:r>
    </w:p>
    <w:tbl>
      <w:tblPr>
        <w:tblW w:w="9498"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9"/>
        <w:gridCol w:w="1140"/>
        <w:gridCol w:w="1141"/>
        <w:gridCol w:w="1141"/>
        <w:gridCol w:w="1141"/>
        <w:gridCol w:w="1276"/>
      </w:tblGrid>
      <w:tr w:rsidR="00110044">
        <w:trPr>
          <w:cantSplit/>
        </w:trPr>
        <w:tc>
          <w:tcPr>
            <w:tcW w:w="3659" w:type="dxa"/>
            <w:vAlign w:val="center"/>
          </w:tcPr>
          <w:p w:rsidR="006B4685" w:rsidRPr="00070628" w:rsidRDefault="006B4685">
            <w:pPr>
              <w:spacing w:before="60" w:after="60"/>
              <w:jc w:val="center"/>
              <w:rPr>
                <w:b/>
                <w:bCs/>
                <w:noProof/>
                <w:color w:val="444444"/>
                <w:sz w:val="20"/>
                <w:szCs w:val="20"/>
                <w:shd w:val="clear" w:color="auto" w:fill="FFFFFF"/>
              </w:rPr>
            </w:pPr>
            <w:r w:rsidRPr="00070628">
              <w:rPr>
                <w:b/>
                <w:bCs/>
                <w:noProof/>
                <w:color w:val="444444"/>
                <w:sz w:val="20"/>
                <w:szCs w:val="20"/>
                <w:shd w:val="clear" w:color="auto" w:fill="FFFFFF"/>
              </w:rPr>
              <w:t xml:space="preserve">Agency: </w:t>
            </w:r>
            <w:r>
              <w:rPr>
                <w:b/>
                <w:bCs/>
                <w:noProof/>
                <w:color w:val="444444"/>
                <w:sz w:val="20"/>
                <w:szCs w:val="20"/>
                <w:shd w:val="clear" w:color="auto" w:fill="FFFFFF"/>
              </w:rPr>
              <w:t>European Banking Authority</w:t>
            </w:r>
          </w:p>
        </w:tc>
        <w:tc>
          <w:tcPr>
            <w:tcW w:w="1140" w:type="dxa"/>
            <w:vAlign w:val="center"/>
          </w:tcPr>
          <w:p w:rsidR="006B4685" w:rsidRDefault="006B4685">
            <w:pPr>
              <w:jc w:val="center"/>
              <w:rPr>
                <w:noProof/>
                <w:sz w:val="20"/>
              </w:rPr>
            </w:pPr>
            <w:r>
              <w:rPr>
                <w:noProof/>
                <w:sz w:val="20"/>
              </w:rPr>
              <w:t xml:space="preserve">Year </w:t>
            </w:r>
            <w:r w:rsidRPr="00070628">
              <w:rPr>
                <w:b/>
                <w:bCs/>
                <w:noProof/>
                <w:sz w:val="20"/>
              </w:rPr>
              <w:t>2024</w:t>
            </w:r>
          </w:p>
        </w:tc>
        <w:tc>
          <w:tcPr>
            <w:tcW w:w="1141" w:type="dxa"/>
            <w:vAlign w:val="center"/>
          </w:tcPr>
          <w:p w:rsidR="006B4685" w:rsidRDefault="006B4685">
            <w:pPr>
              <w:jc w:val="center"/>
              <w:rPr>
                <w:noProof/>
                <w:sz w:val="20"/>
              </w:rPr>
            </w:pPr>
            <w:r>
              <w:rPr>
                <w:noProof/>
                <w:sz w:val="20"/>
              </w:rPr>
              <w:t>Year</w:t>
            </w:r>
            <w:r>
              <w:rPr>
                <w:b/>
                <w:noProof/>
                <w:sz w:val="20"/>
              </w:rPr>
              <w:t xml:space="preserve"> 2025</w:t>
            </w:r>
          </w:p>
        </w:tc>
        <w:tc>
          <w:tcPr>
            <w:tcW w:w="1141" w:type="dxa"/>
            <w:vAlign w:val="center"/>
          </w:tcPr>
          <w:p w:rsidR="006B4685" w:rsidRDefault="006B4685">
            <w:pPr>
              <w:jc w:val="center"/>
              <w:rPr>
                <w:noProof/>
                <w:sz w:val="20"/>
              </w:rPr>
            </w:pPr>
            <w:r>
              <w:rPr>
                <w:noProof/>
                <w:sz w:val="20"/>
              </w:rPr>
              <w:t xml:space="preserve">Year </w:t>
            </w:r>
            <w:r>
              <w:rPr>
                <w:b/>
                <w:noProof/>
                <w:sz w:val="20"/>
              </w:rPr>
              <w:t>2026</w:t>
            </w:r>
          </w:p>
        </w:tc>
        <w:tc>
          <w:tcPr>
            <w:tcW w:w="1141" w:type="dxa"/>
            <w:vAlign w:val="center"/>
          </w:tcPr>
          <w:p w:rsidR="006B4685" w:rsidRDefault="006B4685">
            <w:pPr>
              <w:jc w:val="center"/>
              <w:rPr>
                <w:noProof/>
                <w:sz w:val="20"/>
              </w:rPr>
            </w:pPr>
            <w:r>
              <w:rPr>
                <w:noProof/>
                <w:sz w:val="20"/>
              </w:rPr>
              <w:t xml:space="preserve">Year </w:t>
            </w:r>
            <w:r>
              <w:rPr>
                <w:b/>
                <w:noProof/>
                <w:sz w:val="20"/>
              </w:rPr>
              <w:t>2027</w:t>
            </w:r>
          </w:p>
        </w:tc>
        <w:tc>
          <w:tcPr>
            <w:tcW w:w="1276" w:type="dxa"/>
            <w:vAlign w:val="center"/>
          </w:tcPr>
          <w:p w:rsidR="006B4685" w:rsidRPr="004C127A" w:rsidRDefault="006B4685">
            <w:pPr>
              <w:spacing w:before="60" w:after="60"/>
              <w:jc w:val="center"/>
              <w:rPr>
                <w:noProof/>
                <w:sz w:val="20"/>
                <w:szCs w:val="20"/>
              </w:rPr>
            </w:pPr>
            <w:r w:rsidRPr="00070628">
              <w:rPr>
                <w:b/>
                <w:bCs/>
                <w:noProof/>
                <w:color w:val="000000"/>
                <w:sz w:val="20"/>
                <w:szCs w:val="20"/>
                <w:lang w:val="en-IE" w:eastAsia="en-IE"/>
              </w:rPr>
              <w:t>TOTAL</w:t>
            </w:r>
            <w:r>
              <w:rPr>
                <w:b/>
                <w:bCs/>
                <w:noProof/>
                <w:color w:val="000000"/>
                <w:sz w:val="20"/>
                <w:szCs w:val="20"/>
                <w:lang w:val="en-IE" w:eastAsia="en-IE"/>
              </w:rPr>
              <w:t xml:space="preserve"> </w:t>
            </w:r>
            <w:r w:rsidRPr="00070628">
              <w:rPr>
                <w:b/>
                <w:bCs/>
                <w:noProof/>
                <w:color w:val="000000"/>
                <w:sz w:val="20"/>
                <w:szCs w:val="20"/>
                <w:lang w:val="en-IE" w:eastAsia="en-IE"/>
              </w:rPr>
              <w:t>2021 - 2027</w:t>
            </w:r>
          </w:p>
        </w:tc>
      </w:tr>
      <w:tr w:rsidR="00110044" w:rsidRPr="003A769F">
        <w:trPr>
          <w:cantSplit/>
          <w:trHeight w:val="700"/>
        </w:trPr>
        <w:tc>
          <w:tcPr>
            <w:tcW w:w="3659" w:type="dxa"/>
            <w:vAlign w:val="center"/>
          </w:tcPr>
          <w:p w:rsidR="006B4685" w:rsidRPr="003A769F" w:rsidRDefault="006B4685">
            <w:pPr>
              <w:jc w:val="left"/>
              <w:rPr>
                <w:noProof/>
                <w:lang w:val="en-IE"/>
              </w:rPr>
            </w:pPr>
            <w:r w:rsidRPr="004B2A0E">
              <w:rPr>
                <w:noProof/>
                <w:sz w:val="20"/>
                <w:szCs w:val="20"/>
              </w:rPr>
              <w:t>Title 1:</w:t>
            </w:r>
            <w:r>
              <w:rPr>
                <w:noProof/>
                <w:sz w:val="20"/>
                <w:szCs w:val="20"/>
              </w:rPr>
              <w:t xml:space="preserve"> Staff expenditure</w:t>
            </w:r>
          </w:p>
        </w:tc>
        <w:tc>
          <w:tcPr>
            <w:tcW w:w="1140"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r>
              <w:rPr>
                <w:noProof/>
                <w:sz w:val="20"/>
                <w:lang w:val="en-IE"/>
              </w:rPr>
              <w:t>0.338</w:t>
            </w:r>
          </w:p>
        </w:tc>
        <w:tc>
          <w:tcPr>
            <w:tcW w:w="1276" w:type="dxa"/>
            <w:vAlign w:val="center"/>
          </w:tcPr>
          <w:p w:rsidR="006B4685" w:rsidRPr="003A769F" w:rsidRDefault="006B4685">
            <w:pPr>
              <w:spacing w:before="60" w:after="60"/>
              <w:jc w:val="right"/>
              <w:rPr>
                <w:noProof/>
                <w:sz w:val="20"/>
                <w:szCs w:val="20"/>
                <w:lang w:val="en-IE"/>
              </w:rPr>
            </w:pPr>
            <w:r w:rsidRPr="1B2547E8">
              <w:rPr>
                <w:b/>
                <w:bCs/>
                <w:noProof/>
                <w:sz w:val="20"/>
                <w:szCs w:val="20"/>
              </w:rPr>
              <w:t>0.</w:t>
            </w:r>
            <w:r>
              <w:rPr>
                <w:b/>
                <w:bCs/>
                <w:noProof/>
                <w:sz w:val="20"/>
                <w:szCs w:val="20"/>
              </w:rPr>
              <w:t>338</w:t>
            </w:r>
          </w:p>
        </w:tc>
      </w:tr>
      <w:tr w:rsidR="00110044" w:rsidRPr="003A769F">
        <w:trPr>
          <w:cantSplit/>
          <w:trHeight w:val="700"/>
        </w:trPr>
        <w:tc>
          <w:tcPr>
            <w:tcW w:w="3659" w:type="dxa"/>
            <w:vAlign w:val="center"/>
          </w:tcPr>
          <w:p w:rsidR="006B4685" w:rsidRPr="003A769F" w:rsidRDefault="006B4685">
            <w:pPr>
              <w:jc w:val="left"/>
              <w:rPr>
                <w:noProof/>
                <w:sz w:val="20"/>
                <w:lang w:val="en-IE"/>
              </w:rPr>
            </w:pPr>
            <w:r w:rsidRPr="004B2A0E">
              <w:rPr>
                <w:noProof/>
                <w:sz w:val="20"/>
                <w:szCs w:val="20"/>
              </w:rPr>
              <w:t>Title 2:</w:t>
            </w:r>
            <w:r>
              <w:rPr>
                <w:noProof/>
                <w:sz w:val="20"/>
                <w:szCs w:val="20"/>
              </w:rPr>
              <w:t xml:space="preserve"> Infrastructure and operating expenditure</w:t>
            </w:r>
          </w:p>
        </w:tc>
        <w:tc>
          <w:tcPr>
            <w:tcW w:w="1140"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r>
              <w:rPr>
                <w:noProof/>
                <w:sz w:val="20"/>
                <w:lang w:val="en-IE"/>
              </w:rPr>
              <w:t>0.056</w:t>
            </w:r>
          </w:p>
        </w:tc>
        <w:tc>
          <w:tcPr>
            <w:tcW w:w="1276" w:type="dxa"/>
            <w:vAlign w:val="center"/>
          </w:tcPr>
          <w:p w:rsidR="006B4685" w:rsidRPr="003A769F" w:rsidRDefault="006B4685">
            <w:pPr>
              <w:spacing w:before="60" w:after="60"/>
              <w:jc w:val="right"/>
              <w:rPr>
                <w:noProof/>
                <w:sz w:val="20"/>
                <w:szCs w:val="20"/>
                <w:lang w:val="en-IE"/>
              </w:rPr>
            </w:pPr>
            <w:r>
              <w:rPr>
                <w:b/>
                <w:bCs/>
                <w:noProof/>
                <w:sz w:val="20"/>
                <w:szCs w:val="20"/>
              </w:rPr>
              <w:t>0.056</w:t>
            </w:r>
          </w:p>
        </w:tc>
      </w:tr>
      <w:tr w:rsidR="00110044" w:rsidRPr="003A769F">
        <w:trPr>
          <w:cantSplit/>
          <w:trHeight w:val="700"/>
        </w:trPr>
        <w:tc>
          <w:tcPr>
            <w:tcW w:w="3659" w:type="dxa"/>
            <w:vAlign w:val="center"/>
          </w:tcPr>
          <w:p w:rsidR="006B4685" w:rsidRPr="003A769F" w:rsidRDefault="006B4685">
            <w:pPr>
              <w:jc w:val="left"/>
              <w:rPr>
                <w:noProof/>
                <w:sz w:val="20"/>
                <w:lang w:val="en-IE"/>
              </w:rPr>
            </w:pPr>
            <w:r w:rsidRPr="004B2A0E">
              <w:rPr>
                <w:noProof/>
                <w:sz w:val="20"/>
                <w:szCs w:val="20"/>
              </w:rPr>
              <w:t>Title</w:t>
            </w:r>
            <w:r>
              <w:rPr>
                <w:noProof/>
                <w:sz w:val="20"/>
                <w:szCs w:val="20"/>
              </w:rPr>
              <w:t xml:space="preserve"> </w:t>
            </w:r>
            <w:r w:rsidRPr="004B2A0E">
              <w:rPr>
                <w:noProof/>
                <w:sz w:val="20"/>
                <w:szCs w:val="20"/>
              </w:rPr>
              <w:t>3:</w:t>
            </w:r>
            <w:r>
              <w:rPr>
                <w:noProof/>
                <w:sz w:val="20"/>
                <w:szCs w:val="20"/>
              </w:rPr>
              <w:t xml:space="preserve"> Operational expenditure</w:t>
            </w:r>
          </w:p>
        </w:tc>
        <w:tc>
          <w:tcPr>
            <w:tcW w:w="1140"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p>
        </w:tc>
        <w:tc>
          <w:tcPr>
            <w:tcW w:w="1276" w:type="dxa"/>
            <w:vAlign w:val="center"/>
          </w:tcPr>
          <w:p w:rsidR="006B4685" w:rsidRPr="003A769F" w:rsidRDefault="006B4685">
            <w:pPr>
              <w:spacing w:before="60" w:after="60"/>
              <w:jc w:val="right"/>
              <w:rPr>
                <w:noProof/>
                <w:sz w:val="20"/>
                <w:szCs w:val="20"/>
                <w:lang w:val="en-IE"/>
              </w:rPr>
            </w:pPr>
            <w:r w:rsidRPr="1B2547E8">
              <w:rPr>
                <w:b/>
                <w:bCs/>
                <w:noProof/>
                <w:sz w:val="20"/>
                <w:szCs w:val="20"/>
              </w:rPr>
              <w:t>0.000</w:t>
            </w:r>
          </w:p>
        </w:tc>
      </w:tr>
      <w:tr w:rsidR="00110044">
        <w:trPr>
          <w:cantSplit/>
          <w:trHeight w:val="700"/>
        </w:trPr>
        <w:tc>
          <w:tcPr>
            <w:tcW w:w="3659" w:type="dxa"/>
            <w:vAlign w:val="center"/>
          </w:tcPr>
          <w:p w:rsidR="006B4685" w:rsidRPr="003F4D71" w:rsidRDefault="006B4685">
            <w:pPr>
              <w:spacing w:before="60" w:after="60"/>
              <w:jc w:val="left"/>
              <w:rPr>
                <w:b/>
                <w:bCs/>
                <w:noProof/>
                <w:sz w:val="20"/>
              </w:rPr>
            </w:pPr>
            <w:r>
              <w:rPr>
                <w:b/>
                <w:bCs/>
                <w:noProof/>
                <w:sz w:val="20"/>
              </w:rPr>
              <w:t>TOTAL of</w:t>
            </w:r>
            <w:r w:rsidRPr="003F4D71">
              <w:rPr>
                <w:b/>
                <w:bCs/>
                <w:noProof/>
                <w:sz w:val="20"/>
              </w:rPr>
              <w:t xml:space="preserve"> appropriations </w:t>
            </w:r>
            <w:r>
              <w:rPr>
                <w:b/>
                <w:bCs/>
                <w:noProof/>
                <w:sz w:val="20"/>
              </w:rPr>
              <w:t>covered by the EU budget</w:t>
            </w:r>
            <w:r w:rsidRPr="003F4D71">
              <w:rPr>
                <w:b/>
                <w:bCs/>
                <w:noProof/>
                <w:sz w:val="20"/>
              </w:rPr>
              <w:t xml:space="preserve"> </w:t>
            </w:r>
          </w:p>
        </w:tc>
        <w:tc>
          <w:tcPr>
            <w:tcW w:w="1140" w:type="dxa"/>
            <w:vAlign w:val="center"/>
          </w:tcPr>
          <w:p w:rsidR="006B4685" w:rsidRDefault="006B4685">
            <w:pPr>
              <w:spacing w:before="60" w:after="60"/>
              <w:jc w:val="right"/>
              <w:rPr>
                <w:noProof/>
                <w:sz w:val="20"/>
              </w:rPr>
            </w:pPr>
            <w:r>
              <w:rPr>
                <w:b/>
                <w:bCs/>
                <w:noProof/>
                <w:sz w:val="20"/>
              </w:rPr>
              <w:t>0.000</w:t>
            </w:r>
          </w:p>
        </w:tc>
        <w:tc>
          <w:tcPr>
            <w:tcW w:w="1141" w:type="dxa"/>
            <w:vAlign w:val="center"/>
          </w:tcPr>
          <w:p w:rsidR="006B4685" w:rsidRDefault="006B4685">
            <w:pPr>
              <w:spacing w:before="60" w:after="60"/>
              <w:jc w:val="right"/>
              <w:rPr>
                <w:noProof/>
                <w:sz w:val="20"/>
              </w:rPr>
            </w:pPr>
            <w:r w:rsidRPr="00D45D3D">
              <w:rPr>
                <w:b/>
                <w:bCs/>
                <w:noProof/>
                <w:sz w:val="20"/>
              </w:rPr>
              <w:t>0.000</w:t>
            </w:r>
          </w:p>
        </w:tc>
        <w:tc>
          <w:tcPr>
            <w:tcW w:w="1141" w:type="dxa"/>
            <w:vAlign w:val="center"/>
          </w:tcPr>
          <w:p w:rsidR="006B4685" w:rsidRDefault="006B4685">
            <w:pPr>
              <w:spacing w:before="60" w:after="60"/>
              <w:jc w:val="right"/>
              <w:rPr>
                <w:noProof/>
                <w:sz w:val="20"/>
              </w:rPr>
            </w:pPr>
            <w:r w:rsidRPr="00D45D3D">
              <w:rPr>
                <w:b/>
                <w:bCs/>
                <w:noProof/>
                <w:sz w:val="20"/>
              </w:rPr>
              <w:t>0.000</w:t>
            </w:r>
          </w:p>
        </w:tc>
        <w:tc>
          <w:tcPr>
            <w:tcW w:w="1141" w:type="dxa"/>
            <w:vAlign w:val="center"/>
          </w:tcPr>
          <w:p w:rsidR="006B4685" w:rsidRDefault="006B4685">
            <w:pPr>
              <w:spacing w:before="60" w:after="60"/>
              <w:jc w:val="right"/>
              <w:rPr>
                <w:noProof/>
                <w:sz w:val="20"/>
              </w:rPr>
            </w:pPr>
            <w:r w:rsidRPr="00D45D3D">
              <w:rPr>
                <w:b/>
                <w:bCs/>
                <w:noProof/>
                <w:sz w:val="20"/>
              </w:rPr>
              <w:t>0.</w:t>
            </w:r>
            <w:r>
              <w:rPr>
                <w:b/>
                <w:bCs/>
                <w:noProof/>
                <w:sz w:val="20"/>
              </w:rPr>
              <w:t>394</w:t>
            </w:r>
          </w:p>
        </w:tc>
        <w:tc>
          <w:tcPr>
            <w:tcW w:w="1276" w:type="dxa"/>
            <w:vAlign w:val="center"/>
          </w:tcPr>
          <w:p w:rsidR="006B4685" w:rsidRDefault="006B4685">
            <w:pPr>
              <w:spacing w:before="60" w:after="60"/>
              <w:jc w:val="right"/>
              <w:rPr>
                <w:noProof/>
                <w:sz w:val="20"/>
              </w:rPr>
            </w:pPr>
            <w:r w:rsidRPr="00D45D3D">
              <w:rPr>
                <w:b/>
                <w:bCs/>
                <w:noProof/>
                <w:sz w:val="20"/>
              </w:rPr>
              <w:t>0.</w:t>
            </w:r>
            <w:r>
              <w:rPr>
                <w:b/>
                <w:bCs/>
                <w:noProof/>
                <w:sz w:val="20"/>
              </w:rPr>
              <w:t>394</w:t>
            </w:r>
          </w:p>
        </w:tc>
      </w:tr>
    </w:tbl>
    <w:p w:rsidR="006B4685" w:rsidRDefault="00A7777B" w:rsidP="006B4685">
      <w:pPr>
        <w:spacing w:before="240"/>
        <w:rPr>
          <w:noProof/>
          <w:sz w:val="22"/>
          <w:u w:val="single"/>
          <w:lang w:val="en-IE"/>
        </w:rPr>
      </w:pPr>
      <w:r>
        <w:rPr>
          <w:noProof/>
        </w:rPr>
        <w:t>Contributions by national competent authorities</w:t>
      </w:r>
      <w:r w:rsidRPr="00A41F2B">
        <w:rPr>
          <w:noProof/>
        </w:rPr>
        <w:t xml:space="preserve"> to ESMA will be reduced by </w:t>
      </w:r>
      <w:r>
        <w:rPr>
          <w:noProof/>
        </w:rPr>
        <w:t>the amounts shown in the table below</w:t>
      </w:r>
      <w:r w:rsidR="00826921">
        <w:rPr>
          <w:noProof/>
        </w:rPr>
        <w:t>, corresponding to 1 FTE:</w:t>
      </w:r>
    </w:p>
    <w:tbl>
      <w:tblPr>
        <w:tblW w:w="9498"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9"/>
        <w:gridCol w:w="1140"/>
        <w:gridCol w:w="1141"/>
        <w:gridCol w:w="1141"/>
        <w:gridCol w:w="1141"/>
        <w:gridCol w:w="1276"/>
      </w:tblGrid>
      <w:tr w:rsidR="00110044" w:rsidRPr="004C127A">
        <w:trPr>
          <w:cantSplit/>
        </w:trPr>
        <w:tc>
          <w:tcPr>
            <w:tcW w:w="3659" w:type="dxa"/>
            <w:vAlign w:val="center"/>
          </w:tcPr>
          <w:p w:rsidR="006B4685" w:rsidRPr="00070628" w:rsidRDefault="006B4685">
            <w:pPr>
              <w:spacing w:before="60" w:after="60"/>
              <w:jc w:val="center"/>
              <w:rPr>
                <w:b/>
                <w:bCs/>
                <w:noProof/>
                <w:color w:val="444444"/>
                <w:sz w:val="20"/>
                <w:szCs w:val="20"/>
                <w:shd w:val="clear" w:color="auto" w:fill="FFFFFF"/>
              </w:rPr>
            </w:pPr>
            <w:r w:rsidRPr="00070628">
              <w:rPr>
                <w:b/>
                <w:bCs/>
                <w:noProof/>
                <w:color w:val="444444"/>
                <w:sz w:val="20"/>
                <w:szCs w:val="20"/>
                <w:shd w:val="clear" w:color="auto" w:fill="FFFFFF"/>
              </w:rPr>
              <w:t xml:space="preserve">Agency: </w:t>
            </w:r>
            <w:r>
              <w:rPr>
                <w:b/>
                <w:bCs/>
                <w:noProof/>
                <w:color w:val="444444"/>
                <w:sz w:val="20"/>
                <w:szCs w:val="20"/>
                <w:shd w:val="clear" w:color="auto" w:fill="FFFFFF"/>
              </w:rPr>
              <w:t>European Securities and Markets Authority</w:t>
            </w:r>
          </w:p>
        </w:tc>
        <w:tc>
          <w:tcPr>
            <w:tcW w:w="1140" w:type="dxa"/>
            <w:vAlign w:val="center"/>
          </w:tcPr>
          <w:p w:rsidR="006B4685" w:rsidRDefault="006B4685">
            <w:pPr>
              <w:jc w:val="center"/>
              <w:rPr>
                <w:noProof/>
                <w:sz w:val="20"/>
              </w:rPr>
            </w:pPr>
            <w:r>
              <w:rPr>
                <w:noProof/>
                <w:sz w:val="20"/>
              </w:rPr>
              <w:t xml:space="preserve">Year </w:t>
            </w:r>
            <w:r w:rsidRPr="00070628">
              <w:rPr>
                <w:b/>
                <w:bCs/>
                <w:noProof/>
                <w:sz w:val="20"/>
              </w:rPr>
              <w:t>2024</w:t>
            </w:r>
          </w:p>
        </w:tc>
        <w:tc>
          <w:tcPr>
            <w:tcW w:w="1141" w:type="dxa"/>
            <w:vAlign w:val="center"/>
          </w:tcPr>
          <w:p w:rsidR="006B4685" w:rsidRDefault="006B4685">
            <w:pPr>
              <w:jc w:val="center"/>
              <w:rPr>
                <w:noProof/>
                <w:sz w:val="20"/>
              </w:rPr>
            </w:pPr>
            <w:r>
              <w:rPr>
                <w:noProof/>
                <w:sz w:val="20"/>
              </w:rPr>
              <w:t>Year</w:t>
            </w:r>
            <w:r>
              <w:rPr>
                <w:b/>
                <w:noProof/>
                <w:sz w:val="20"/>
              </w:rPr>
              <w:t xml:space="preserve"> 2025</w:t>
            </w:r>
          </w:p>
        </w:tc>
        <w:tc>
          <w:tcPr>
            <w:tcW w:w="1141" w:type="dxa"/>
            <w:vAlign w:val="center"/>
          </w:tcPr>
          <w:p w:rsidR="006B4685" w:rsidRDefault="006B4685">
            <w:pPr>
              <w:jc w:val="center"/>
              <w:rPr>
                <w:noProof/>
                <w:sz w:val="20"/>
              </w:rPr>
            </w:pPr>
            <w:r>
              <w:rPr>
                <w:noProof/>
                <w:sz w:val="20"/>
              </w:rPr>
              <w:t xml:space="preserve">Year </w:t>
            </w:r>
            <w:r>
              <w:rPr>
                <w:b/>
                <w:noProof/>
                <w:sz w:val="20"/>
              </w:rPr>
              <w:t>2026</w:t>
            </w:r>
          </w:p>
        </w:tc>
        <w:tc>
          <w:tcPr>
            <w:tcW w:w="1141" w:type="dxa"/>
            <w:vAlign w:val="center"/>
          </w:tcPr>
          <w:p w:rsidR="006B4685" w:rsidRDefault="006B4685">
            <w:pPr>
              <w:jc w:val="center"/>
              <w:rPr>
                <w:noProof/>
                <w:sz w:val="20"/>
              </w:rPr>
            </w:pPr>
            <w:r>
              <w:rPr>
                <w:noProof/>
                <w:sz w:val="20"/>
              </w:rPr>
              <w:t xml:space="preserve">Year </w:t>
            </w:r>
            <w:r>
              <w:rPr>
                <w:b/>
                <w:noProof/>
                <w:sz w:val="20"/>
              </w:rPr>
              <w:t>2027</w:t>
            </w:r>
          </w:p>
        </w:tc>
        <w:tc>
          <w:tcPr>
            <w:tcW w:w="1276" w:type="dxa"/>
            <w:vAlign w:val="center"/>
          </w:tcPr>
          <w:p w:rsidR="006B4685" w:rsidRPr="004C127A" w:rsidRDefault="006B4685">
            <w:pPr>
              <w:spacing w:before="60" w:after="60"/>
              <w:jc w:val="center"/>
              <w:rPr>
                <w:noProof/>
                <w:sz w:val="20"/>
                <w:szCs w:val="20"/>
              </w:rPr>
            </w:pPr>
            <w:r w:rsidRPr="00070628">
              <w:rPr>
                <w:b/>
                <w:bCs/>
                <w:noProof/>
                <w:color w:val="000000"/>
                <w:sz w:val="20"/>
                <w:szCs w:val="20"/>
                <w:lang w:val="en-IE" w:eastAsia="en-IE"/>
              </w:rPr>
              <w:t>TOTAL</w:t>
            </w:r>
            <w:r>
              <w:rPr>
                <w:b/>
                <w:bCs/>
                <w:noProof/>
                <w:color w:val="000000"/>
                <w:sz w:val="20"/>
                <w:szCs w:val="20"/>
                <w:lang w:val="en-IE" w:eastAsia="en-IE"/>
              </w:rPr>
              <w:t xml:space="preserve"> </w:t>
            </w:r>
            <w:r w:rsidRPr="00070628">
              <w:rPr>
                <w:b/>
                <w:bCs/>
                <w:noProof/>
                <w:color w:val="000000"/>
                <w:sz w:val="20"/>
                <w:szCs w:val="20"/>
                <w:lang w:val="en-IE" w:eastAsia="en-IE"/>
              </w:rPr>
              <w:t>2021 - 2027</w:t>
            </w:r>
          </w:p>
        </w:tc>
      </w:tr>
      <w:tr w:rsidR="00110044" w:rsidRPr="003A769F">
        <w:trPr>
          <w:cantSplit/>
          <w:trHeight w:val="700"/>
        </w:trPr>
        <w:tc>
          <w:tcPr>
            <w:tcW w:w="3659" w:type="dxa"/>
            <w:vAlign w:val="center"/>
          </w:tcPr>
          <w:p w:rsidR="006B4685" w:rsidRPr="003A769F" w:rsidRDefault="006B4685">
            <w:pPr>
              <w:jc w:val="left"/>
              <w:rPr>
                <w:noProof/>
                <w:lang w:val="en-IE"/>
              </w:rPr>
            </w:pPr>
            <w:r w:rsidRPr="004B2A0E">
              <w:rPr>
                <w:noProof/>
                <w:sz w:val="20"/>
                <w:szCs w:val="20"/>
              </w:rPr>
              <w:t>Title 1:</w:t>
            </w:r>
            <w:r>
              <w:rPr>
                <w:noProof/>
                <w:sz w:val="20"/>
                <w:szCs w:val="20"/>
              </w:rPr>
              <w:t xml:space="preserve"> Staff expenditure</w:t>
            </w:r>
          </w:p>
        </w:tc>
        <w:tc>
          <w:tcPr>
            <w:tcW w:w="1140"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r>
              <w:rPr>
                <w:noProof/>
                <w:sz w:val="20"/>
                <w:lang w:val="en-IE"/>
              </w:rPr>
              <w:t>(0.112)</w:t>
            </w:r>
          </w:p>
        </w:tc>
        <w:tc>
          <w:tcPr>
            <w:tcW w:w="1276" w:type="dxa"/>
            <w:vAlign w:val="center"/>
          </w:tcPr>
          <w:p w:rsidR="006B4685" w:rsidRPr="003A769F" w:rsidRDefault="006B4685">
            <w:pPr>
              <w:spacing w:before="60" w:after="60"/>
              <w:jc w:val="right"/>
              <w:rPr>
                <w:noProof/>
                <w:sz w:val="20"/>
                <w:szCs w:val="20"/>
                <w:lang w:val="en-IE"/>
              </w:rPr>
            </w:pPr>
            <w:r>
              <w:rPr>
                <w:b/>
                <w:bCs/>
                <w:noProof/>
                <w:sz w:val="20"/>
                <w:szCs w:val="20"/>
              </w:rPr>
              <w:t>(0.112)</w:t>
            </w:r>
          </w:p>
        </w:tc>
      </w:tr>
      <w:tr w:rsidR="00110044" w:rsidRPr="003A769F">
        <w:trPr>
          <w:cantSplit/>
          <w:trHeight w:val="700"/>
        </w:trPr>
        <w:tc>
          <w:tcPr>
            <w:tcW w:w="3659" w:type="dxa"/>
            <w:vAlign w:val="center"/>
          </w:tcPr>
          <w:p w:rsidR="006B4685" w:rsidRPr="003A769F" w:rsidRDefault="006B4685">
            <w:pPr>
              <w:jc w:val="left"/>
              <w:rPr>
                <w:noProof/>
                <w:sz w:val="20"/>
                <w:lang w:val="en-IE"/>
              </w:rPr>
            </w:pPr>
            <w:r w:rsidRPr="004B2A0E">
              <w:rPr>
                <w:noProof/>
                <w:sz w:val="20"/>
                <w:szCs w:val="20"/>
              </w:rPr>
              <w:t>Title 2:</w:t>
            </w:r>
            <w:r>
              <w:rPr>
                <w:noProof/>
                <w:sz w:val="20"/>
                <w:szCs w:val="20"/>
              </w:rPr>
              <w:t xml:space="preserve"> Infrastructure and operating expenditure</w:t>
            </w:r>
          </w:p>
        </w:tc>
        <w:tc>
          <w:tcPr>
            <w:tcW w:w="1140"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r>
              <w:rPr>
                <w:noProof/>
                <w:sz w:val="20"/>
                <w:lang w:val="en-IE"/>
              </w:rPr>
              <w:t>(0.019)</w:t>
            </w:r>
          </w:p>
        </w:tc>
        <w:tc>
          <w:tcPr>
            <w:tcW w:w="1276" w:type="dxa"/>
            <w:vAlign w:val="center"/>
          </w:tcPr>
          <w:p w:rsidR="006B4685" w:rsidRPr="003A769F" w:rsidRDefault="006B4685">
            <w:pPr>
              <w:spacing w:before="60" w:after="60"/>
              <w:jc w:val="right"/>
              <w:rPr>
                <w:noProof/>
                <w:sz w:val="20"/>
                <w:szCs w:val="20"/>
                <w:lang w:val="en-IE"/>
              </w:rPr>
            </w:pPr>
            <w:r>
              <w:rPr>
                <w:b/>
                <w:bCs/>
                <w:noProof/>
                <w:sz w:val="20"/>
                <w:szCs w:val="20"/>
              </w:rPr>
              <w:t>(0.019)</w:t>
            </w:r>
          </w:p>
        </w:tc>
      </w:tr>
      <w:tr w:rsidR="00110044" w:rsidRPr="003A769F">
        <w:trPr>
          <w:cantSplit/>
          <w:trHeight w:val="700"/>
        </w:trPr>
        <w:tc>
          <w:tcPr>
            <w:tcW w:w="3659" w:type="dxa"/>
            <w:vAlign w:val="center"/>
          </w:tcPr>
          <w:p w:rsidR="006B4685" w:rsidRPr="003A769F" w:rsidRDefault="006B4685">
            <w:pPr>
              <w:jc w:val="left"/>
              <w:rPr>
                <w:noProof/>
                <w:sz w:val="20"/>
                <w:lang w:val="en-IE"/>
              </w:rPr>
            </w:pPr>
            <w:r w:rsidRPr="004B2A0E">
              <w:rPr>
                <w:noProof/>
                <w:sz w:val="20"/>
                <w:szCs w:val="20"/>
              </w:rPr>
              <w:t>Title</w:t>
            </w:r>
            <w:r>
              <w:rPr>
                <w:noProof/>
                <w:sz w:val="20"/>
                <w:szCs w:val="20"/>
              </w:rPr>
              <w:t xml:space="preserve"> </w:t>
            </w:r>
            <w:r w:rsidRPr="004B2A0E">
              <w:rPr>
                <w:noProof/>
                <w:sz w:val="20"/>
                <w:szCs w:val="20"/>
              </w:rPr>
              <w:t>3:</w:t>
            </w:r>
            <w:r>
              <w:rPr>
                <w:noProof/>
                <w:sz w:val="20"/>
                <w:szCs w:val="20"/>
              </w:rPr>
              <w:t xml:space="preserve"> Operational expenditure</w:t>
            </w:r>
          </w:p>
        </w:tc>
        <w:tc>
          <w:tcPr>
            <w:tcW w:w="1140"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p>
        </w:tc>
        <w:tc>
          <w:tcPr>
            <w:tcW w:w="1141" w:type="dxa"/>
            <w:vAlign w:val="center"/>
          </w:tcPr>
          <w:p w:rsidR="006B4685" w:rsidRPr="003A769F" w:rsidRDefault="006B4685">
            <w:pPr>
              <w:spacing w:before="60" w:after="60"/>
              <w:jc w:val="right"/>
              <w:rPr>
                <w:noProof/>
                <w:sz w:val="20"/>
                <w:lang w:val="en-IE"/>
              </w:rPr>
            </w:pPr>
          </w:p>
        </w:tc>
        <w:tc>
          <w:tcPr>
            <w:tcW w:w="1276" w:type="dxa"/>
            <w:vAlign w:val="center"/>
          </w:tcPr>
          <w:p w:rsidR="006B4685" w:rsidRPr="003A769F" w:rsidRDefault="006B4685">
            <w:pPr>
              <w:spacing w:before="60" w:after="60"/>
              <w:jc w:val="right"/>
              <w:rPr>
                <w:noProof/>
                <w:sz w:val="20"/>
                <w:szCs w:val="20"/>
                <w:lang w:val="en-IE"/>
              </w:rPr>
            </w:pPr>
            <w:r w:rsidRPr="1B2547E8">
              <w:rPr>
                <w:b/>
                <w:bCs/>
                <w:noProof/>
                <w:sz w:val="20"/>
                <w:szCs w:val="20"/>
              </w:rPr>
              <w:t>0.000</w:t>
            </w:r>
          </w:p>
        </w:tc>
      </w:tr>
      <w:tr w:rsidR="00110044">
        <w:trPr>
          <w:cantSplit/>
          <w:trHeight w:val="700"/>
        </w:trPr>
        <w:tc>
          <w:tcPr>
            <w:tcW w:w="3659" w:type="dxa"/>
            <w:vAlign w:val="center"/>
          </w:tcPr>
          <w:p w:rsidR="006B4685" w:rsidRPr="003F4D71" w:rsidRDefault="006B4685">
            <w:pPr>
              <w:spacing w:before="60" w:after="60"/>
              <w:jc w:val="left"/>
              <w:rPr>
                <w:b/>
                <w:bCs/>
                <w:noProof/>
                <w:sz w:val="20"/>
              </w:rPr>
            </w:pPr>
            <w:r>
              <w:rPr>
                <w:b/>
                <w:bCs/>
                <w:noProof/>
                <w:sz w:val="20"/>
              </w:rPr>
              <w:t>TOTAL of</w:t>
            </w:r>
            <w:r w:rsidRPr="003F4D71">
              <w:rPr>
                <w:b/>
                <w:bCs/>
                <w:noProof/>
                <w:sz w:val="20"/>
              </w:rPr>
              <w:t xml:space="preserve"> appropriations </w:t>
            </w:r>
            <w:r>
              <w:rPr>
                <w:b/>
                <w:bCs/>
                <w:noProof/>
                <w:sz w:val="20"/>
              </w:rPr>
              <w:t>covered by the EU budget</w:t>
            </w:r>
            <w:r w:rsidRPr="003F4D71">
              <w:rPr>
                <w:b/>
                <w:bCs/>
                <w:noProof/>
                <w:sz w:val="20"/>
              </w:rPr>
              <w:t xml:space="preserve"> </w:t>
            </w:r>
          </w:p>
        </w:tc>
        <w:tc>
          <w:tcPr>
            <w:tcW w:w="1140" w:type="dxa"/>
            <w:vAlign w:val="center"/>
          </w:tcPr>
          <w:p w:rsidR="006B4685" w:rsidRDefault="006B4685">
            <w:pPr>
              <w:spacing w:before="60" w:after="60"/>
              <w:jc w:val="right"/>
              <w:rPr>
                <w:noProof/>
                <w:sz w:val="20"/>
              </w:rPr>
            </w:pPr>
            <w:r>
              <w:rPr>
                <w:b/>
                <w:bCs/>
                <w:noProof/>
                <w:sz w:val="20"/>
              </w:rPr>
              <w:t>0.000</w:t>
            </w:r>
          </w:p>
        </w:tc>
        <w:tc>
          <w:tcPr>
            <w:tcW w:w="1141" w:type="dxa"/>
            <w:vAlign w:val="center"/>
          </w:tcPr>
          <w:p w:rsidR="006B4685" w:rsidRDefault="006B4685">
            <w:pPr>
              <w:spacing w:before="60" w:after="60"/>
              <w:jc w:val="right"/>
              <w:rPr>
                <w:noProof/>
                <w:sz w:val="20"/>
              </w:rPr>
            </w:pPr>
            <w:r w:rsidRPr="00D45D3D">
              <w:rPr>
                <w:b/>
                <w:bCs/>
                <w:noProof/>
                <w:sz w:val="20"/>
              </w:rPr>
              <w:t>0.000</w:t>
            </w:r>
          </w:p>
        </w:tc>
        <w:tc>
          <w:tcPr>
            <w:tcW w:w="1141" w:type="dxa"/>
            <w:vAlign w:val="center"/>
          </w:tcPr>
          <w:p w:rsidR="006B4685" w:rsidRDefault="006B4685">
            <w:pPr>
              <w:spacing w:before="60" w:after="60"/>
              <w:jc w:val="right"/>
              <w:rPr>
                <w:noProof/>
                <w:sz w:val="20"/>
              </w:rPr>
            </w:pPr>
            <w:r w:rsidRPr="00D45D3D">
              <w:rPr>
                <w:b/>
                <w:bCs/>
                <w:noProof/>
                <w:sz w:val="20"/>
              </w:rPr>
              <w:t>0.000</w:t>
            </w:r>
          </w:p>
        </w:tc>
        <w:tc>
          <w:tcPr>
            <w:tcW w:w="1141" w:type="dxa"/>
            <w:vAlign w:val="center"/>
          </w:tcPr>
          <w:p w:rsidR="006B4685" w:rsidRDefault="006B4685">
            <w:pPr>
              <w:spacing w:before="60" w:after="60"/>
              <w:jc w:val="right"/>
              <w:rPr>
                <w:noProof/>
                <w:sz w:val="20"/>
              </w:rPr>
            </w:pPr>
            <w:r>
              <w:rPr>
                <w:b/>
                <w:bCs/>
                <w:noProof/>
                <w:sz w:val="20"/>
              </w:rPr>
              <w:t>(</w:t>
            </w:r>
            <w:r w:rsidRPr="00D45D3D">
              <w:rPr>
                <w:b/>
                <w:bCs/>
                <w:noProof/>
                <w:sz w:val="20"/>
              </w:rPr>
              <w:t>0.</w:t>
            </w:r>
            <w:r>
              <w:rPr>
                <w:b/>
                <w:bCs/>
                <w:noProof/>
                <w:sz w:val="20"/>
              </w:rPr>
              <w:t>131)</w:t>
            </w:r>
          </w:p>
        </w:tc>
        <w:tc>
          <w:tcPr>
            <w:tcW w:w="1276" w:type="dxa"/>
            <w:vAlign w:val="center"/>
          </w:tcPr>
          <w:p w:rsidR="006B4685" w:rsidRDefault="006B4685">
            <w:pPr>
              <w:spacing w:before="60" w:after="60"/>
              <w:jc w:val="right"/>
              <w:rPr>
                <w:noProof/>
                <w:sz w:val="20"/>
              </w:rPr>
            </w:pPr>
            <w:r>
              <w:rPr>
                <w:b/>
                <w:bCs/>
                <w:noProof/>
                <w:sz w:val="20"/>
              </w:rPr>
              <w:t>(</w:t>
            </w:r>
            <w:r w:rsidRPr="00D45D3D">
              <w:rPr>
                <w:b/>
                <w:bCs/>
                <w:noProof/>
                <w:sz w:val="20"/>
              </w:rPr>
              <w:t>0.</w:t>
            </w:r>
            <w:r>
              <w:rPr>
                <w:b/>
                <w:bCs/>
                <w:noProof/>
                <w:sz w:val="20"/>
              </w:rPr>
              <w:t>131)</w:t>
            </w:r>
          </w:p>
        </w:tc>
      </w:tr>
    </w:tbl>
    <w:p w:rsidR="006B4685" w:rsidRDefault="006B4685" w:rsidP="006B4685">
      <w:pPr>
        <w:spacing w:before="240"/>
        <w:rPr>
          <w:b/>
          <w:bCs/>
          <w:noProof/>
          <w:sz w:val="22"/>
          <w:u w:val="single"/>
          <w:lang w:val="en-IE"/>
        </w:rPr>
      </w:pPr>
      <w:r w:rsidRPr="00070628">
        <w:rPr>
          <w:b/>
          <w:bCs/>
          <w:noProof/>
          <w:sz w:val="22"/>
          <w:u w:val="single"/>
          <w:lang w:val="en-IE"/>
        </w:rPr>
        <w:t>Overview</w:t>
      </w:r>
      <w:r>
        <w:rPr>
          <w:b/>
          <w:bCs/>
          <w:noProof/>
          <w:sz w:val="22"/>
          <w:u w:val="single"/>
          <w:lang w:val="en-IE"/>
        </w:rPr>
        <w:t>/summary</w:t>
      </w:r>
      <w:r w:rsidRPr="00070628">
        <w:rPr>
          <w:b/>
          <w:bCs/>
          <w:noProof/>
          <w:sz w:val="22"/>
          <w:u w:val="single"/>
          <w:lang w:val="en-IE"/>
        </w:rPr>
        <w:t xml:space="preserve"> of human resources and appropriations </w:t>
      </w:r>
      <w:r>
        <w:rPr>
          <w:b/>
          <w:bCs/>
          <w:noProof/>
          <w:sz w:val="22"/>
          <w:u w:val="single"/>
          <w:lang w:val="en-IE"/>
        </w:rPr>
        <w:t>(</w:t>
      </w:r>
      <w:r w:rsidRPr="00070628">
        <w:rPr>
          <w:b/>
          <w:bCs/>
          <w:noProof/>
          <w:sz w:val="22"/>
          <w:u w:val="single"/>
          <w:lang w:val="en-IE"/>
        </w:rPr>
        <w:t>in EUR million</w:t>
      </w:r>
      <w:r>
        <w:rPr>
          <w:b/>
          <w:bCs/>
          <w:noProof/>
          <w:sz w:val="22"/>
          <w:u w:val="single"/>
          <w:lang w:val="en-IE"/>
        </w:rPr>
        <w:t>)</w:t>
      </w:r>
      <w:r w:rsidRPr="00070628">
        <w:rPr>
          <w:b/>
          <w:bCs/>
          <w:noProof/>
          <w:sz w:val="22"/>
          <w:u w:val="single"/>
          <w:lang w:val="en-IE"/>
        </w:rPr>
        <w:t xml:space="preserve"> </w:t>
      </w:r>
      <w:r>
        <w:rPr>
          <w:b/>
          <w:bCs/>
          <w:noProof/>
          <w:sz w:val="22"/>
          <w:u w:val="single"/>
          <w:lang w:val="en-IE"/>
        </w:rPr>
        <w:t xml:space="preserve">required by the proposal/initiative in a decentralised agency </w:t>
      </w:r>
    </w:p>
    <w:p w:rsidR="00DD74C1" w:rsidRDefault="00DD74C1" w:rsidP="663A52C3">
      <w:pPr>
        <w:spacing w:before="240"/>
        <w:rPr>
          <w:b/>
          <w:bCs/>
          <w:noProof/>
          <w:sz w:val="22"/>
          <w:u w:val="single"/>
          <w:lang w:val="en-IE"/>
        </w:rPr>
      </w:pPr>
      <w:r w:rsidRPr="663A52C3">
        <w:rPr>
          <w:noProof/>
        </w:rPr>
        <w:t xml:space="preserve">The subsidy of the </w:t>
      </w:r>
      <w:r w:rsidR="29BD5FB3" w:rsidRPr="663A52C3">
        <w:rPr>
          <w:noProof/>
        </w:rPr>
        <w:t>Union</w:t>
      </w:r>
      <w:r w:rsidRPr="663A52C3">
        <w:rPr>
          <w:noProof/>
        </w:rPr>
        <w:t xml:space="preserve"> and contribution by national competent authorities to the European Banking Authority will be compensated in part by a reduction of subsidy and contribution to the European Securities and Markets Authority.</w:t>
      </w:r>
    </w:p>
    <w:tbl>
      <w:tblPr>
        <w:tblW w:w="9498"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9"/>
        <w:gridCol w:w="1140"/>
        <w:gridCol w:w="1141"/>
        <w:gridCol w:w="1141"/>
        <w:gridCol w:w="1141"/>
        <w:gridCol w:w="1276"/>
      </w:tblGrid>
      <w:tr w:rsidR="00110044">
        <w:trPr>
          <w:cantSplit/>
        </w:trPr>
        <w:tc>
          <w:tcPr>
            <w:tcW w:w="3659" w:type="dxa"/>
            <w:vAlign w:val="center"/>
          </w:tcPr>
          <w:p w:rsidR="006B4685" w:rsidRPr="00070628" w:rsidRDefault="006B4685">
            <w:pPr>
              <w:spacing w:before="60" w:after="60"/>
              <w:jc w:val="center"/>
              <w:rPr>
                <w:b/>
                <w:bCs/>
                <w:noProof/>
                <w:sz w:val="20"/>
                <w:lang w:val="en-IE"/>
              </w:rPr>
            </w:pPr>
            <w:r w:rsidRPr="00070628">
              <w:rPr>
                <w:b/>
                <w:bCs/>
                <w:noProof/>
                <w:color w:val="444444"/>
                <w:sz w:val="20"/>
                <w:szCs w:val="20"/>
                <w:shd w:val="clear" w:color="auto" w:fill="FFFFFF"/>
              </w:rPr>
              <w:t xml:space="preserve">Agency: </w:t>
            </w:r>
            <w:r>
              <w:rPr>
                <w:b/>
                <w:bCs/>
                <w:noProof/>
                <w:color w:val="444444"/>
                <w:sz w:val="20"/>
                <w:szCs w:val="20"/>
                <w:shd w:val="clear" w:color="auto" w:fill="FFFFFF"/>
              </w:rPr>
              <w:t>European Banking Authority</w:t>
            </w:r>
          </w:p>
        </w:tc>
        <w:tc>
          <w:tcPr>
            <w:tcW w:w="1140" w:type="dxa"/>
            <w:vAlign w:val="center"/>
          </w:tcPr>
          <w:p w:rsidR="006B4685" w:rsidRDefault="006B4685">
            <w:pPr>
              <w:jc w:val="center"/>
              <w:rPr>
                <w:noProof/>
                <w:sz w:val="20"/>
              </w:rPr>
            </w:pPr>
            <w:r>
              <w:rPr>
                <w:noProof/>
                <w:sz w:val="20"/>
              </w:rPr>
              <w:t xml:space="preserve">Year </w:t>
            </w:r>
            <w:r w:rsidRPr="003F4D71">
              <w:rPr>
                <w:b/>
                <w:bCs/>
                <w:noProof/>
                <w:sz w:val="20"/>
              </w:rPr>
              <w:t>2024</w:t>
            </w:r>
          </w:p>
        </w:tc>
        <w:tc>
          <w:tcPr>
            <w:tcW w:w="1141" w:type="dxa"/>
            <w:vAlign w:val="center"/>
          </w:tcPr>
          <w:p w:rsidR="006B4685" w:rsidRDefault="006B4685">
            <w:pPr>
              <w:jc w:val="center"/>
              <w:rPr>
                <w:noProof/>
                <w:sz w:val="20"/>
              </w:rPr>
            </w:pPr>
            <w:r>
              <w:rPr>
                <w:noProof/>
                <w:sz w:val="20"/>
              </w:rPr>
              <w:t xml:space="preserve">Year </w:t>
            </w:r>
            <w:r>
              <w:rPr>
                <w:b/>
                <w:noProof/>
                <w:sz w:val="20"/>
              </w:rPr>
              <w:t>2025</w:t>
            </w:r>
          </w:p>
        </w:tc>
        <w:tc>
          <w:tcPr>
            <w:tcW w:w="1141" w:type="dxa"/>
            <w:vAlign w:val="center"/>
          </w:tcPr>
          <w:p w:rsidR="006B4685" w:rsidRDefault="006B4685">
            <w:pPr>
              <w:jc w:val="center"/>
              <w:rPr>
                <w:noProof/>
                <w:sz w:val="20"/>
              </w:rPr>
            </w:pPr>
            <w:r>
              <w:rPr>
                <w:noProof/>
                <w:sz w:val="20"/>
              </w:rPr>
              <w:t xml:space="preserve">Year </w:t>
            </w:r>
            <w:r>
              <w:rPr>
                <w:b/>
                <w:noProof/>
                <w:sz w:val="20"/>
              </w:rPr>
              <w:t>2026</w:t>
            </w:r>
          </w:p>
        </w:tc>
        <w:tc>
          <w:tcPr>
            <w:tcW w:w="1141" w:type="dxa"/>
            <w:vAlign w:val="center"/>
          </w:tcPr>
          <w:p w:rsidR="006B4685" w:rsidRDefault="006B4685">
            <w:pPr>
              <w:jc w:val="center"/>
              <w:rPr>
                <w:noProof/>
                <w:sz w:val="20"/>
              </w:rPr>
            </w:pPr>
            <w:r>
              <w:rPr>
                <w:noProof/>
                <w:sz w:val="20"/>
              </w:rPr>
              <w:t xml:space="preserve">Year </w:t>
            </w:r>
            <w:r>
              <w:rPr>
                <w:b/>
                <w:noProof/>
                <w:sz w:val="20"/>
              </w:rPr>
              <w:t>2027</w:t>
            </w:r>
          </w:p>
        </w:tc>
        <w:tc>
          <w:tcPr>
            <w:tcW w:w="1276" w:type="dxa"/>
            <w:vAlign w:val="center"/>
          </w:tcPr>
          <w:p w:rsidR="006B4685" w:rsidRPr="004C127A" w:rsidRDefault="006B4685">
            <w:pPr>
              <w:spacing w:before="60" w:after="60"/>
              <w:jc w:val="center"/>
              <w:rPr>
                <w:noProof/>
                <w:sz w:val="20"/>
                <w:szCs w:val="20"/>
              </w:rPr>
            </w:pPr>
            <w:r w:rsidRPr="00070628">
              <w:rPr>
                <w:b/>
                <w:bCs/>
                <w:noProof/>
                <w:color w:val="000000"/>
                <w:sz w:val="20"/>
                <w:szCs w:val="20"/>
                <w:lang w:val="en-IE" w:eastAsia="en-IE"/>
              </w:rPr>
              <w:t>TOTAL</w:t>
            </w:r>
            <w:r>
              <w:rPr>
                <w:b/>
                <w:bCs/>
                <w:noProof/>
                <w:color w:val="000000"/>
                <w:sz w:val="20"/>
                <w:szCs w:val="20"/>
                <w:lang w:val="en-IE" w:eastAsia="en-IE"/>
              </w:rPr>
              <w:t xml:space="preserve"> </w:t>
            </w:r>
            <w:r w:rsidRPr="00070628">
              <w:rPr>
                <w:b/>
                <w:bCs/>
                <w:noProof/>
                <w:color w:val="000000"/>
                <w:sz w:val="20"/>
                <w:szCs w:val="20"/>
                <w:lang w:val="en-IE" w:eastAsia="en-IE"/>
              </w:rPr>
              <w:t>2021 - 2027</w:t>
            </w:r>
          </w:p>
        </w:tc>
      </w:tr>
      <w:tr w:rsidR="00110044" w:rsidRPr="003A769F">
        <w:trPr>
          <w:cantSplit/>
          <w:trHeight w:val="700"/>
        </w:trPr>
        <w:tc>
          <w:tcPr>
            <w:tcW w:w="3659" w:type="dxa"/>
            <w:vAlign w:val="center"/>
          </w:tcPr>
          <w:p w:rsidR="006B4685" w:rsidRPr="002D2D1C" w:rsidRDefault="006B4685">
            <w:pPr>
              <w:jc w:val="left"/>
              <w:rPr>
                <w:noProof/>
                <w:lang w:val="en-IE"/>
              </w:rPr>
            </w:pPr>
            <w:r w:rsidRPr="00070628">
              <w:rPr>
                <w:noProof/>
                <w:sz w:val="20"/>
                <w:szCs w:val="20"/>
              </w:rPr>
              <w:t>Temporary agents (AD+AS</w:t>
            </w:r>
            <w:r>
              <w:rPr>
                <w:noProof/>
                <w:sz w:val="20"/>
                <w:szCs w:val="20"/>
              </w:rPr>
              <w:t>T)</w:t>
            </w:r>
          </w:p>
        </w:tc>
        <w:tc>
          <w:tcPr>
            <w:tcW w:w="1140" w:type="dxa"/>
            <w:vAlign w:val="center"/>
          </w:tcPr>
          <w:p w:rsidR="006B4685" w:rsidRDefault="006B4685">
            <w:pPr>
              <w:spacing w:before="60" w:after="60"/>
              <w:jc w:val="right"/>
              <w:rPr>
                <w:noProof/>
                <w:sz w:val="20"/>
                <w:szCs w:val="20"/>
              </w:rPr>
            </w:pPr>
            <w:r>
              <w:rPr>
                <w:b/>
                <w:bCs/>
                <w:noProof/>
                <w:color w:val="000000"/>
                <w:sz w:val="16"/>
                <w:szCs w:val="16"/>
                <w:lang w:val="en-IE" w:eastAsia="en-IE"/>
              </w:rPr>
              <w:t>0</w:t>
            </w:r>
          </w:p>
        </w:tc>
        <w:tc>
          <w:tcPr>
            <w:tcW w:w="1141" w:type="dxa"/>
            <w:vAlign w:val="center"/>
          </w:tcPr>
          <w:p w:rsidR="006B4685" w:rsidRDefault="006B4685">
            <w:pPr>
              <w:spacing w:before="60" w:after="60"/>
              <w:jc w:val="right"/>
              <w:rPr>
                <w:noProof/>
                <w:sz w:val="20"/>
                <w:szCs w:val="20"/>
              </w:rPr>
            </w:pPr>
            <w:r>
              <w:rPr>
                <w:b/>
                <w:bCs/>
                <w:noProof/>
                <w:color w:val="000000"/>
                <w:sz w:val="16"/>
                <w:szCs w:val="16"/>
                <w:lang w:val="en-IE" w:eastAsia="en-IE"/>
              </w:rPr>
              <w:t>0</w:t>
            </w:r>
          </w:p>
        </w:tc>
        <w:tc>
          <w:tcPr>
            <w:tcW w:w="1141" w:type="dxa"/>
            <w:vAlign w:val="center"/>
          </w:tcPr>
          <w:p w:rsidR="006B4685" w:rsidRDefault="006B4685">
            <w:pPr>
              <w:spacing w:before="60" w:after="60"/>
              <w:jc w:val="right"/>
              <w:rPr>
                <w:noProof/>
                <w:sz w:val="20"/>
                <w:szCs w:val="20"/>
              </w:rPr>
            </w:pPr>
            <w:r>
              <w:rPr>
                <w:b/>
                <w:bCs/>
                <w:noProof/>
                <w:color w:val="000000"/>
                <w:sz w:val="16"/>
                <w:szCs w:val="16"/>
                <w:lang w:val="en-IE" w:eastAsia="en-IE"/>
              </w:rPr>
              <w:t>0</w:t>
            </w:r>
          </w:p>
        </w:tc>
        <w:tc>
          <w:tcPr>
            <w:tcW w:w="1141" w:type="dxa"/>
            <w:vAlign w:val="center"/>
          </w:tcPr>
          <w:p w:rsidR="006B4685" w:rsidRDefault="006B4685">
            <w:pPr>
              <w:spacing w:before="60" w:after="60"/>
              <w:jc w:val="right"/>
              <w:rPr>
                <w:noProof/>
                <w:sz w:val="20"/>
                <w:szCs w:val="20"/>
              </w:rPr>
            </w:pPr>
            <w:r>
              <w:rPr>
                <w:b/>
                <w:bCs/>
                <w:noProof/>
                <w:color w:val="000000"/>
                <w:sz w:val="16"/>
                <w:szCs w:val="16"/>
                <w:lang w:val="en-IE" w:eastAsia="en-IE"/>
              </w:rPr>
              <w:t>3</w:t>
            </w:r>
          </w:p>
        </w:tc>
        <w:tc>
          <w:tcPr>
            <w:tcW w:w="1276" w:type="dxa"/>
            <w:vAlign w:val="center"/>
          </w:tcPr>
          <w:p w:rsidR="006B4685" w:rsidRPr="00070628" w:rsidRDefault="006B4685">
            <w:pPr>
              <w:spacing w:before="60" w:after="60"/>
              <w:jc w:val="center"/>
              <w:rPr>
                <w:b/>
                <w:bCs/>
                <w:noProof/>
                <w:sz w:val="20"/>
                <w:szCs w:val="20"/>
              </w:rPr>
            </w:pPr>
            <w:r>
              <w:rPr>
                <w:b/>
                <w:bCs/>
                <w:noProof/>
                <w:sz w:val="20"/>
                <w:szCs w:val="20"/>
              </w:rPr>
              <w:t>-</w:t>
            </w:r>
          </w:p>
        </w:tc>
      </w:tr>
      <w:tr w:rsidR="00110044" w:rsidRPr="003A769F">
        <w:trPr>
          <w:cantSplit/>
          <w:trHeight w:val="700"/>
        </w:trPr>
        <w:tc>
          <w:tcPr>
            <w:tcW w:w="3659" w:type="dxa"/>
            <w:vAlign w:val="center"/>
          </w:tcPr>
          <w:p w:rsidR="006B4685" w:rsidRPr="003A769F" w:rsidRDefault="006B4685">
            <w:pPr>
              <w:jc w:val="left"/>
              <w:rPr>
                <w:noProof/>
                <w:sz w:val="20"/>
                <w:lang w:val="en-IE"/>
              </w:rPr>
            </w:pPr>
            <w:r w:rsidRPr="002D73DA">
              <w:rPr>
                <w:noProof/>
                <w:sz w:val="20"/>
                <w:szCs w:val="20"/>
              </w:rPr>
              <w:t xml:space="preserve">Contract </w:t>
            </w:r>
            <w:r>
              <w:rPr>
                <w:noProof/>
                <w:sz w:val="20"/>
                <w:szCs w:val="20"/>
              </w:rPr>
              <w:t>agents</w:t>
            </w:r>
          </w:p>
        </w:tc>
        <w:tc>
          <w:tcPr>
            <w:tcW w:w="1140" w:type="dxa"/>
            <w:vAlign w:val="center"/>
          </w:tcPr>
          <w:p w:rsidR="006B4685" w:rsidRDefault="006B4685">
            <w:pPr>
              <w:spacing w:before="60" w:after="60"/>
              <w:jc w:val="right"/>
              <w:rPr>
                <w:noProof/>
                <w:sz w:val="20"/>
                <w:szCs w:val="20"/>
              </w:rPr>
            </w:pPr>
            <w:r>
              <w:rPr>
                <w:b/>
                <w:bCs/>
                <w:noProof/>
                <w:color w:val="000000"/>
                <w:sz w:val="16"/>
                <w:szCs w:val="16"/>
                <w:lang w:val="en-IE" w:eastAsia="en-IE"/>
              </w:rPr>
              <w:t>0</w:t>
            </w:r>
          </w:p>
        </w:tc>
        <w:tc>
          <w:tcPr>
            <w:tcW w:w="1141" w:type="dxa"/>
            <w:vAlign w:val="center"/>
          </w:tcPr>
          <w:p w:rsidR="006B4685" w:rsidRDefault="006B4685">
            <w:pPr>
              <w:spacing w:before="60" w:after="60"/>
              <w:jc w:val="right"/>
              <w:rPr>
                <w:noProof/>
                <w:sz w:val="20"/>
                <w:szCs w:val="20"/>
              </w:rPr>
            </w:pPr>
            <w:r>
              <w:rPr>
                <w:b/>
                <w:bCs/>
                <w:noProof/>
                <w:color w:val="000000"/>
                <w:sz w:val="16"/>
                <w:szCs w:val="16"/>
                <w:lang w:val="en-IE" w:eastAsia="en-IE"/>
              </w:rPr>
              <w:t>0</w:t>
            </w:r>
          </w:p>
        </w:tc>
        <w:tc>
          <w:tcPr>
            <w:tcW w:w="1141" w:type="dxa"/>
            <w:vAlign w:val="center"/>
          </w:tcPr>
          <w:p w:rsidR="006B4685" w:rsidRDefault="006B4685">
            <w:pPr>
              <w:spacing w:before="60" w:after="60"/>
              <w:jc w:val="right"/>
              <w:rPr>
                <w:noProof/>
                <w:sz w:val="20"/>
                <w:szCs w:val="20"/>
              </w:rPr>
            </w:pPr>
            <w:r>
              <w:rPr>
                <w:b/>
                <w:bCs/>
                <w:noProof/>
                <w:color w:val="000000"/>
                <w:sz w:val="16"/>
                <w:szCs w:val="16"/>
                <w:lang w:val="en-IE" w:eastAsia="en-IE"/>
              </w:rPr>
              <w:t>0</w:t>
            </w:r>
          </w:p>
        </w:tc>
        <w:tc>
          <w:tcPr>
            <w:tcW w:w="1141" w:type="dxa"/>
            <w:vAlign w:val="center"/>
          </w:tcPr>
          <w:p w:rsidR="006B4685" w:rsidRDefault="006B4685">
            <w:pPr>
              <w:spacing w:before="60" w:after="60"/>
              <w:jc w:val="right"/>
              <w:rPr>
                <w:noProof/>
                <w:sz w:val="20"/>
                <w:szCs w:val="20"/>
              </w:rPr>
            </w:pPr>
            <w:r>
              <w:rPr>
                <w:b/>
                <w:bCs/>
                <w:noProof/>
                <w:color w:val="000000"/>
                <w:sz w:val="16"/>
                <w:szCs w:val="16"/>
                <w:lang w:val="en-IE" w:eastAsia="en-IE"/>
              </w:rPr>
              <w:t>0</w:t>
            </w:r>
          </w:p>
        </w:tc>
        <w:tc>
          <w:tcPr>
            <w:tcW w:w="1276" w:type="dxa"/>
            <w:vAlign w:val="center"/>
          </w:tcPr>
          <w:p w:rsidR="006B4685" w:rsidRPr="00070628" w:rsidRDefault="006B4685">
            <w:pPr>
              <w:spacing w:before="60" w:after="60"/>
              <w:jc w:val="center"/>
              <w:rPr>
                <w:b/>
                <w:bCs/>
                <w:noProof/>
                <w:sz w:val="20"/>
                <w:szCs w:val="20"/>
              </w:rPr>
            </w:pPr>
            <w:r>
              <w:rPr>
                <w:b/>
                <w:bCs/>
                <w:noProof/>
                <w:sz w:val="20"/>
                <w:szCs w:val="20"/>
              </w:rPr>
              <w:t>-</w:t>
            </w:r>
          </w:p>
        </w:tc>
      </w:tr>
      <w:tr w:rsidR="00110044" w:rsidRPr="003A769F">
        <w:trPr>
          <w:cantSplit/>
          <w:trHeight w:val="700"/>
        </w:trPr>
        <w:tc>
          <w:tcPr>
            <w:tcW w:w="3659" w:type="dxa"/>
            <w:vAlign w:val="center"/>
          </w:tcPr>
          <w:p w:rsidR="006B4685" w:rsidRPr="003A769F" w:rsidRDefault="006B4685">
            <w:pPr>
              <w:jc w:val="left"/>
              <w:rPr>
                <w:noProof/>
                <w:sz w:val="20"/>
                <w:lang w:val="en-IE"/>
              </w:rPr>
            </w:pPr>
            <w:r w:rsidRPr="002D73DA">
              <w:rPr>
                <w:noProof/>
                <w:sz w:val="20"/>
                <w:szCs w:val="20"/>
              </w:rPr>
              <w:t xml:space="preserve">Seconded </w:t>
            </w:r>
            <w:r>
              <w:rPr>
                <w:noProof/>
                <w:sz w:val="20"/>
                <w:szCs w:val="20"/>
              </w:rPr>
              <w:t>n</w:t>
            </w:r>
            <w:r w:rsidRPr="002D73DA">
              <w:rPr>
                <w:noProof/>
                <w:sz w:val="20"/>
                <w:szCs w:val="20"/>
              </w:rPr>
              <w:t xml:space="preserve">ational </w:t>
            </w:r>
            <w:r>
              <w:rPr>
                <w:noProof/>
                <w:sz w:val="20"/>
                <w:szCs w:val="20"/>
              </w:rPr>
              <w:t>e</w:t>
            </w:r>
            <w:r w:rsidRPr="002D73DA">
              <w:rPr>
                <w:noProof/>
                <w:sz w:val="20"/>
                <w:szCs w:val="20"/>
              </w:rPr>
              <w:t>xperts</w:t>
            </w:r>
          </w:p>
        </w:tc>
        <w:tc>
          <w:tcPr>
            <w:tcW w:w="1140" w:type="dxa"/>
            <w:vAlign w:val="center"/>
          </w:tcPr>
          <w:p w:rsidR="006B4685" w:rsidRDefault="006B4685">
            <w:pPr>
              <w:spacing w:before="60" w:after="60"/>
              <w:jc w:val="right"/>
              <w:rPr>
                <w:noProof/>
                <w:sz w:val="20"/>
                <w:szCs w:val="20"/>
              </w:rPr>
            </w:pPr>
            <w:r>
              <w:rPr>
                <w:b/>
                <w:bCs/>
                <w:noProof/>
                <w:color w:val="000000"/>
                <w:sz w:val="16"/>
                <w:szCs w:val="16"/>
                <w:lang w:val="en-IE" w:eastAsia="en-IE"/>
              </w:rPr>
              <w:t>0</w:t>
            </w:r>
          </w:p>
        </w:tc>
        <w:tc>
          <w:tcPr>
            <w:tcW w:w="1141" w:type="dxa"/>
            <w:vAlign w:val="center"/>
          </w:tcPr>
          <w:p w:rsidR="006B4685" w:rsidRDefault="006B4685">
            <w:pPr>
              <w:spacing w:before="60" w:after="60"/>
              <w:jc w:val="right"/>
              <w:rPr>
                <w:noProof/>
                <w:sz w:val="20"/>
                <w:szCs w:val="20"/>
              </w:rPr>
            </w:pPr>
            <w:r>
              <w:rPr>
                <w:b/>
                <w:bCs/>
                <w:noProof/>
                <w:color w:val="000000"/>
                <w:sz w:val="16"/>
                <w:szCs w:val="16"/>
                <w:lang w:val="en-IE" w:eastAsia="en-IE"/>
              </w:rPr>
              <w:t>0</w:t>
            </w:r>
          </w:p>
        </w:tc>
        <w:tc>
          <w:tcPr>
            <w:tcW w:w="1141" w:type="dxa"/>
            <w:vAlign w:val="center"/>
          </w:tcPr>
          <w:p w:rsidR="006B4685" w:rsidRDefault="006B4685">
            <w:pPr>
              <w:spacing w:before="60" w:after="60"/>
              <w:jc w:val="right"/>
              <w:rPr>
                <w:noProof/>
                <w:sz w:val="20"/>
                <w:szCs w:val="20"/>
              </w:rPr>
            </w:pPr>
            <w:r>
              <w:rPr>
                <w:b/>
                <w:bCs/>
                <w:noProof/>
                <w:color w:val="000000"/>
                <w:sz w:val="16"/>
                <w:szCs w:val="16"/>
                <w:lang w:val="en-IE" w:eastAsia="en-IE"/>
              </w:rPr>
              <w:t>0</w:t>
            </w:r>
          </w:p>
        </w:tc>
        <w:tc>
          <w:tcPr>
            <w:tcW w:w="1141" w:type="dxa"/>
            <w:vAlign w:val="center"/>
          </w:tcPr>
          <w:p w:rsidR="006B4685" w:rsidRDefault="006B4685">
            <w:pPr>
              <w:spacing w:before="60" w:after="60"/>
              <w:jc w:val="right"/>
              <w:rPr>
                <w:noProof/>
                <w:sz w:val="20"/>
                <w:szCs w:val="20"/>
              </w:rPr>
            </w:pPr>
            <w:r>
              <w:rPr>
                <w:b/>
                <w:bCs/>
                <w:noProof/>
                <w:color w:val="000000"/>
                <w:sz w:val="16"/>
                <w:szCs w:val="16"/>
                <w:lang w:val="en-IE" w:eastAsia="en-IE"/>
              </w:rPr>
              <w:t>0</w:t>
            </w:r>
          </w:p>
        </w:tc>
        <w:tc>
          <w:tcPr>
            <w:tcW w:w="1276" w:type="dxa"/>
            <w:vAlign w:val="center"/>
          </w:tcPr>
          <w:p w:rsidR="006B4685" w:rsidRPr="00070628" w:rsidRDefault="006B4685">
            <w:pPr>
              <w:spacing w:before="60" w:after="60"/>
              <w:jc w:val="center"/>
              <w:rPr>
                <w:b/>
                <w:bCs/>
                <w:noProof/>
                <w:sz w:val="20"/>
                <w:szCs w:val="20"/>
              </w:rPr>
            </w:pPr>
            <w:r>
              <w:rPr>
                <w:b/>
                <w:bCs/>
                <w:noProof/>
                <w:sz w:val="20"/>
                <w:szCs w:val="20"/>
              </w:rPr>
              <w:t>-</w:t>
            </w:r>
          </w:p>
        </w:tc>
      </w:tr>
      <w:tr w:rsidR="00110044">
        <w:trPr>
          <w:cantSplit/>
          <w:trHeight w:val="700"/>
        </w:trPr>
        <w:tc>
          <w:tcPr>
            <w:tcW w:w="3659" w:type="dxa"/>
            <w:vAlign w:val="center"/>
          </w:tcPr>
          <w:p w:rsidR="006B4685" w:rsidRDefault="006B4685">
            <w:pPr>
              <w:spacing w:before="60" w:after="60"/>
              <w:jc w:val="left"/>
              <w:rPr>
                <w:b/>
                <w:bCs/>
                <w:noProof/>
                <w:sz w:val="20"/>
              </w:rPr>
            </w:pPr>
            <w:r>
              <w:rPr>
                <w:b/>
                <w:bCs/>
                <w:noProof/>
                <w:sz w:val="20"/>
              </w:rPr>
              <w:t>Total staff</w:t>
            </w:r>
          </w:p>
        </w:tc>
        <w:tc>
          <w:tcPr>
            <w:tcW w:w="1140" w:type="dxa"/>
            <w:vAlign w:val="center"/>
          </w:tcPr>
          <w:p w:rsidR="006B4685" w:rsidRDefault="006B4685">
            <w:pPr>
              <w:spacing w:before="60" w:after="60"/>
              <w:jc w:val="right"/>
              <w:rPr>
                <w:noProof/>
                <w:sz w:val="20"/>
              </w:rPr>
            </w:pPr>
            <w:r w:rsidRPr="00066A1C">
              <w:rPr>
                <w:b/>
                <w:bCs/>
                <w:noProof/>
                <w:color w:val="000000"/>
                <w:sz w:val="16"/>
                <w:szCs w:val="16"/>
                <w:lang w:val="en-IE" w:eastAsia="en-IE"/>
              </w:rPr>
              <w:t>0</w:t>
            </w:r>
          </w:p>
        </w:tc>
        <w:tc>
          <w:tcPr>
            <w:tcW w:w="1141" w:type="dxa"/>
            <w:vAlign w:val="center"/>
          </w:tcPr>
          <w:p w:rsidR="006B4685" w:rsidRDefault="006B4685">
            <w:pPr>
              <w:spacing w:before="60" w:after="60"/>
              <w:jc w:val="right"/>
              <w:rPr>
                <w:noProof/>
                <w:sz w:val="20"/>
              </w:rPr>
            </w:pPr>
            <w:r w:rsidRPr="00066A1C">
              <w:rPr>
                <w:b/>
                <w:bCs/>
                <w:noProof/>
                <w:color w:val="000000"/>
                <w:sz w:val="16"/>
                <w:szCs w:val="16"/>
                <w:lang w:val="en-IE" w:eastAsia="en-IE"/>
              </w:rPr>
              <w:t>0</w:t>
            </w:r>
          </w:p>
        </w:tc>
        <w:tc>
          <w:tcPr>
            <w:tcW w:w="1141" w:type="dxa"/>
            <w:vAlign w:val="center"/>
          </w:tcPr>
          <w:p w:rsidR="006B4685" w:rsidRDefault="006B4685">
            <w:pPr>
              <w:spacing w:before="60" w:after="60"/>
              <w:jc w:val="right"/>
              <w:rPr>
                <w:noProof/>
                <w:sz w:val="20"/>
              </w:rPr>
            </w:pPr>
            <w:r>
              <w:rPr>
                <w:b/>
                <w:bCs/>
                <w:noProof/>
                <w:color w:val="000000"/>
                <w:sz w:val="16"/>
                <w:szCs w:val="16"/>
                <w:lang w:val="en-IE" w:eastAsia="en-IE"/>
              </w:rPr>
              <w:t>0</w:t>
            </w:r>
          </w:p>
        </w:tc>
        <w:tc>
          <w:tcPr>
            <w:tcW w:w="1141" w:type="dxa"/>
            <w:vAlign w:val="center"/>
          </w:tcPr>
          <w:p w:rsidR="006B4685" w:rsidRDefault="006B4685">
            <w:pPr>
              <w:spacing w:before="60" w:after="60"/>
              <w:jc w:val="right"/>
              <w:rPr>
                <w:noProof/>
                <w:sz w:val="20"/>
              </w:rPr>
            </w:pPr>
            <w:r>
              <w:rPr>
                <w:noProof/>
                <w:sz w:val="20"/>
              </w:rPr>
              <w:t>3</w:t>
            </w:r>
          </w:p>
        </w:tc>
        <w:tc>
          <w:tcPr>
            <w:tcW w:w="1276" w:type="dxa"/>
            <w:vAlign w:val="center"/>
          </w:tcPr>
          <w:p w:rsidR="006B4685" w:rsidRPr="00070628" w:rsidRDefault="006B4685">
            <w:pPr>
              <w:spacing w:before="60" w:after="60"/>
              <w:jc w:val="center"/>
              <w:rPr>
                <w:b/>
                <w:bCs/>
                <w:noProof/>
                <w:sz w:val="20"/>
                <w:szCs w:val="20"/>
              </w:rPr>
            </w:pPr>
            <w:r>
              <w:rPr>
                <w:b/>
                <w:bCs/>
                <w:noProof/>
                <w:sz w:val="20"/>
                <w:szCs w:val="20"/>
              </w:rPr>
              <w:t>-</w:t>
            </w:r>
          </w:p>
        </w:tc>
      </w:tr>
      <w:tr w:rsidR="00110044">
        <w:trPr>
          <w:cantSplit/>
          <w:trHeight w:val="700"/>
        </w:trPr>
        <w:tc>
          <w:tcPr>
            <w:tcW w:w="3659" w:type="dxa"/>
            <w:vAlign w:val="center"/>
          </w:tcPr>
          <w:p w:rsidR="006B4685" w:rsidRPr="00070628" w:rsidRDefault="006B4685">
            <w:pPr>
              <w:spacing w:before="60" w:after="60"/>
              <w:jc w:val="left"/>
              <w:rPr>
                <w:noProof/>
                <w:sz w:val="20"/>
              </w:rPr>
            </w:pPr>
            <w:r>
              <w:rPr>
                <w:noProof/>
                <w:sz w:val="20"/>
              </w:rPr>
              <w:t xml:space="preserve">Appropriations covered by the </w:t>
            </w:r>
            <w:r w:rsidRPr="00070628">
              <w:rPr>
                <w:noProof/>
                <w:sz w:val="20"/>
              </w:rPr>
              <w:t xml:space="preserve">EU </w:t>
            </w:r>
            <w:r>
              <w:rPr>
                <w:noProof/>
                <w:sz w:val="20"/>
              </w:rPr>
              <w:t>b</w:t>
            </w:r>
            <w:r w:rsidRPr="00070628">
              <w:rPr>
                <w:noProof/>
                <w:sz w:val="20"/>
              </w:rPr>
              <w:t>udget</w:t>
            </w:r>
          </w:p>
        </w:tc>
        <w:tc>
          <w:tcPr>
            <w:tcW w:w="1140" w:type="dxa"/>
            <w:vAlign w:val="center"/>
          </w:tcPr>
          <w:p w:rsidR="006B4685" w:rsidRPr="0094063F" w:rsidRDefault="006B4685">
            <w:pPr>
              <w:spacing w:before="60" w:after="60"/>
              <w:jc w:val="right"/>
              <w:rPr>
                <w:noProof/>
                <w:sz w:val="20"/>
              </w:rPr>
            </w:pPr>
            <w:r w:rsidRPr="0094063F">
              <w:rPr>
                <w:noProof/>
                <w:sz w:val="20"/>
                <w:szCs w:val="20"/>
              </w:rPr>
              <w:t>0.000</w:t>
            </w:r>
          </w:p>
        </w:tc>
        <w:tc>
          <w:tcPr>
            <w:tcW w:w="1141" w:type="dxa"/>
            <w:vAlign w:val="center"/>
          </w:tcPr>
          <w:p w:rsidR="006B4685" w:rsidRPr="0094063F" w:rsidRDefault="006B4685">
            <w:pPr>
              <w:spacing w:before="60" w:after="60"/>
              <w:jc w:val="right"/>
              <w:rPr>
                <w:noProof/>
                <w:sz w:val="20"/>
              </w:rPr>
            </w:pPr>
            <w:r w:rsidRPr="0094063F">
              <w:rPr>
                <w:noProof/>
                <w:sz w:val="20"/>
                <w:szCs w:val="20"/>
              </w:rPr>
              <w:t>0.000</w:t>
            </w:r>
          </w:p>
        </w:tc>
        <w:tc>
          <w:tcPr>
            <w:tcW w:w="1141" w:type="dxa"/>
            <w:vAlign w:val="center"/>
          </w:tcPr>
          <w:p w:rsidR="006B4685" w:rsidRPr="0094063F" w:rsidRDefault="006B4685">
            <w:pPr>
              <w:spacing w:before="60" w:after="60"/>
              <w:jc w:val="right"/>
              <w:rPr>
                <w:noProof/>
                <w:sz w:val="20"/>
              </w:rPr>
            </w:pPr>
            <w:r w:rsidRPr="0094063F">
              <w:rPr>
                <w:noProof/>
                <w:sz w:val="20"/>
                <w:szCs w:val="20"/>
              </w:rPr>
              <w:t>0.000</w:t>
            </w:r>
          </w:p>
        </w:tc>
        <w:tc>
          <w:tcPr>
            <w:tcW w:w="1141" w:type="dxa"/>
            <w:vAlign w:val="center"/>
          </w:tcPr>
          <w:p w:rsidR="006B4685" w:rsidRPr="0094063F" w:rsidRDefault="006B4685">
            <w:pPr>
              <w:spacing w:before="60" w:after="60"/>
              <w:jc w:val="right"/>
              <w:rPr>
                <w:noProof/>
                <w:sz w:val="20"/>
              </w:rPr>
            </w:pPr>
            <w:r w:rsidRPr="0041310F">
              <w:rPr>
                <w:noProof/>
                <w:sz w:val="20"/>
                <w:szCs w:val="20"/>
              </w:rPr>
              <w:t>0.263</w:t>
            </w:r>
          </w:p>
        </w:tc>
        <w:tc>
          <w:tcPr>
            <w:tcW w:w="1276" w:type="dxa"/>
            <w:vAlign w:val="center"/>
          </w:tcPr>
          <w:p w:rsidR="006B4685" w:rsidRPr="00070628" w:rsidRDefault="006B4685">
            <w:pPr>
              <w:spacing w:before="60" w:after="60"/>
              <w:jc w:val="right"/>
              <w:rPr>
                <w:b/>
                <w:bCs/>
                <w:noProof/>
                <w:sz w:val="20"/>
                <w:szCs w:val="20"/>
              </w:rPr>
            </w:pPr>
            <w:r w:rsidRPr="00D45D3D">
              <w:rPr>
                <w:b/>
                <w:bCs/>
                <w:noProof/>
                <w:sz w:val="20"/>
              </w:rPr>
              <w:t>0.</w:t>
            </w:r>
            <w:r>
              <w:rPr>
                <w:b/>
                <w:bCs/>
                <w:noProof/>
                <w:sz w:val="20"/>
              </w:rPr>
              <w:t>263</w:t>
            </w:r>
          </w:p>
        </w:tc>
      </w:tr>
      <w:tr w:rsidR="00110044">
        <w:trPr>
          <w:cantSplit/>
          <w:trHeight w:val="700"/>
        </w:trPr>
        <w:tc>
          <w:tcPr>
            <w:tcW w:w="3659" w:type="dxa"/>
            <w:vAlign w:val="center"/>
          </w:tcPr>
          <w:p w:rsidR="006B4685" w:rsidRDefault="006B4685">
            <w:pPr>
              <w:spacing w:before="60" w:after="60"/>
              <w:jc w:val="left"/>
              <w:rPr>
                <w:noProof/>
                <w:sz w:val="20"/>
              </w:rPr>
            </w:pPr>
            <w:r w:rsidRPr="00070628">
              <w:rPr>
                <w:noProof/>
                <w:sz w:val="20"/>
              </w:rPr>
              <w:t>Appropriations covered by fees</w:t>
            </w:r>
            <w:r>
              <w:rPr>
                <w:noProof/>
                <w:sz w:val="20"/>
              </w:rPr>
              <w:t xml:space="preserve"> </w:t>
            </w:r>
          </w:p>
          <w:p w:rsidR="006B4685" w:rsidRPr="00070628" w:rsidRDefault="006B4685">
            <w:pPr>
              <w:spacing w:before="60" w:after="60"/>
              <w:jc w:val="left"/>
              <w:rPr>
                <w:noProof/>
                <w:sz w:val="20"/>
              </w:rPr>
            </w:pPr>
            <w:r>
              <w:rPr>
                <w:noProof/>
                <w:sz w:val="20"/>
              </w:rPr>
              <w:t>(if applicable)</w:t>
            </w:r>
          </w:p>
        </w:tc>
        <w:tc>
          <w:tcPr>
            <w:tcW w:w="1140" w:type="dxa"/>
            <w:vAlign w:val="center"/>
          </w:tcPr>
          <w:p w:rsidR="006B4685" w:rsidRPr="0094063F" w:rsidRDefault="006B4685">
            <w:pPr>
              <w:spacing w:before="60" w:after="60"/>
              <w:jc w:val="right"/>
              <w:rPr>
                <w:noProof/>
                <w:sz w:val="20"/>
              </w:rPr>
            </w:pPr>
            <w:r w:rsidRPr="0094063F">
              <w:rPr>
                <w:noProof/>
                <w:sz w:val="20"/>
                <w:szCs w:val="20"/>
              </w:rPr>
              <w:t>0.000</w:t>
            </w:r>
          </w:p>
        </w:tc>
        <w:tc>
          <w:tcPr>
            <w:tcW w:w="1141" w:type="dxa"/>
            <w:vAlign w:val="center"/>
          </w:tcPr>
          <w:p w:rsidR="006B4685" w:rsidRPr="0094063F" w:rsidRDefault="006B4685">
            <w:pPr>
              <w:spacing w:before="60" w:after="60"/>
              <w:jc w:val="right"/>
              <w:rPr>
                <w:noProof/>
                <w:sz w:val="20"/>
              </w:rPr>
            </w:pPr>
            <w:r w:rsidRPr="0094063F">
              <w:rPr>
                <w:noProof/>
                <w:sz w:val="20"/>
                <w:szCs w:val="20"/>
              </w:rPr>
              <w:t>0.000</w:t>
            </w:r>
          </w:p>
        </w:tc>
        <w:tc>
          <w:tcPr>
            <w:tcW w:w="1141" w:type="dxa"/>
            <w:vAlign w:val="center"/>
          </w:tcPr>
          <w:p w:rsidR="006B4685" w:rsidRPr="0094063F" w:rsidRDefault="006B4685">
            <w:pPr>
              <w:spacing w:before="60" w:after="60"/>
              <w:jc w:val="right"/>
              <w:rPr>
                <w:noProof/>
                <w:sz w:val="20"/>
              </w:rPr>
            </w:pPr>
            <w:r w:rsidRPr="0094063F">
              <w:rPr>
                <w:noProof/>
                <w:sz w:val="20"/>
                <w:szCs w:val="20"/>
              </w:rPr>
              <w:t>0.000</w:t>
            </w:r>
          </w:p>
        </w:tc>
        <w:tc>
          <w:tcPr>
            <w:tcW w:w="1141" w:type="dxa"/>
            <w:vAlign w:val="center"/>
          </w:tcPr>
          <w:p w:rsidR="006B4685" w:rsidRPr="0094063F" w:rsidRDefault="006B4685">
            <w:pPr>
              <w:spacing w:before="60" w:after="60"/>
              <w:jc w:val="right"/>
              <w:rPr>
                <w:noProof/>
                <w:sz w:val="20"/>
              </w:rPr>
            </w:pPr>
            <w:r w:rsidRPr="0094063F">
              <w:rPr>
                <w:noProof/>
                <w:sz w:val="20"/>
                <w:szCs w:val="20"/>
              </w:rPr>
              <w:t>0.000</w:t>
            </w:r>
          </w:p>
        </w:tc>
        <w:tc>
          <w:tcPr>
            <w:tcW w:w="1276" w:type="dxa"/>
            <w:vAlign w:val="center"/>
          </w:tcPr>
          <w:p w:rsidR="006B4685" w:rsidRPr="00070628" w:rsidRDefault="006B4685">
            <w:pPr>
              <w:spacing w:before="60" w:after="60"/>
              <w:jc w:val="right"/>
              <w:rPr>
                <w:b/>
                <w:bCs/>
                <w:noProof/>
                <w:sz w:val="20"/>
                <w:szCs w:val="20"/>
              </w:rPr>
            </w:pPr>
            <w:r w:rsidRPr="1B2547E8">
              <w:rPr>
                <w:b/>
                <w:bCs/>
                <w:noProof/>
                <w:sz w:val="20"/>
                <w:szCs w:val="20"/>
              </w:rPr>
              <w:t>0.000</w:t>
            </w:r>
          </w:p>
        </w:tc>
      </w:tr>
      <w:tr w:rsidR="00110044">
        <w:trPr>
          <w:cantSplit/>
          <w:trHeight w:val="700"/>
        </w:trPr>
        <w:tc>
          <w:tcPr>
            <w:tcW w:w="3659" w:type="dxa"/>
            <w:vAlign w:val="center"/>
          </w:tcPr>
          <w:p w:rsidR="006B4685" w:rsidRDefault="006B4685">
            <w:pPr>
              <w:spacing w:before="60" w:after="60"/>
              <w:jc w:val="left"/>
              <w:rPr>
                <w:noProof/>
                <w:sz w:val="20"/>
              </w:rPr>
            </w:pPr>
            <w:r w:rsidRPr="00070628">
              <w:rPr>
                <w:noProof/>
                <w:sz w:val="20"/>
              </w:rPr>
              <w:t xml:space="preserve">Appropriations co-financed </w:t>
            </w:r>
          </w:p>
          <w:p w:rsidR="006B4685" w:rsidRPr="00070628" w:rsidRDefault="006B4685">
            <w:pPr>
              <w:spacing w:before="60" w:after="60"/>
              <w:jc w:val="left"/>
              <w:rPr>
                <w:noProof/>
                <w:sz w:val="20"/>
              </w:rPr>
            </w:pPr>
            <w:r w:rsidRPr="00070628">
              <w:rPr>
                <w:noProof/>
                <w:sz w:val="20"/>
              </w:rPr>
              <w:t>(if applicable)</w:t>
            </w:r>
          </w:p>
        </w:tc>
        <w:tc>
          <w:tcPr>
            <w:tcW w:w="1140" w:type="dxa"/>
            <w:vAlign w:val="center"/>
          </w:tcPr>
          <w:p w:rsidR="006B4685" w:rsidRPr="0094063F" w:rsidRDefault="006B4685">
            <w:pPr>
              <w:spacing w:before="60" w:after="60"/>
              <w:jc w:val="right"/>
              <w:rPr>
                <w:noProof/>
                <w:sz w:val="20"/>
              </w:rPr>
            </w:pPr>
            <w:r w:rsidRPr="0094063F">
              <w:rPr>
                <w:noProof/>
                <w:sz w:val="20"/>
                <w:szCs w:val="20"/>
              </w:rPr>
              <w:t>0.000</w:t>
            </w:r>
          </w:p>
        </w:tc>
        <w:tc>
          <w:tcPr>
            <w:tcW w:w="1141" w:type="dxa"/>
            <w:vAlign w:val="center"/>
          </w:tcPr>
          <w:p w:rsidR="006B4685" w:rsidRPr="0094063F" w:rsidRDefault="006B4685">
            <w:pPr>
              <w:spacing w:before="60" w:after="60"/>
              <w:jc w:val="right"/>
              <w:rPr>
                <w:noProof/>
                <w:sz w:val="20"/>
              </w:rPr>
            </w:pPr>
            <w:r w:rsidRPr="0094063F">
              <w:rPr>
                <w:noProof/>
                <w:sz w:val="20"/>
                <w:szCs w:val="20"/>
              </w:rPr>
              <w:t>0.000</w:t>
            </w:r>
          </w:p>
        </w:tc>
        <w:tc>
          <w:tcPr>
            <w:tcW w:w="1141" w:type="dxa"/>
            <w:vAlign w:val="center"/>
          </w:tcPr>
          <w:p w:rsidR="006B4685" w:rsidRPr="0094063F" w:rsidRDefault="006B4685">
            <w:pPr>
              <w:spacing w:before="60" w:after="60"/>
              <w:jc w:val="right"/>
              <w:rPr>
                <w:noProof/>
                <w:sz w:val="20"/>
              </w:rPr>
            </w:pPr>
            <w:r w:rsidRPr="0094063F">
              <w:rPr>
                <w:noProof/>
                <w:sz w:val="20"/>
                <w:szCs w:val="20"/>
              </w:rPr>
              <w:t>0.000</w:t>
            </w:r>
          </w:p>
        </w:tc>
        <w:tc>
          <w:tcPr>
            <w:tcW w:w="1141" w:type="dxa"/>
            <w:vAlign w:val="center"/>
          </w:tcPr>
          <w:p w:rsidR="006B4685" w:rsidRPr="0041310F" w:rsidRDefault="006B4685">
            <w:pPr>
              <w:spacing w:before="60" w:after="60"/>
              <w:jc w:val="right"/>
              <w:rPr>
                <w:noProof/>
                <w:sz w:val="20"/>
              </w:rPr>
            </w:pPr>
            <w:r w:rsidRPr="0041310F">
              <w:rPr>
                <w:noProof/>
                <w:sz w:val="20"/>
              </w:rPr>
              <w:t>0.394</w:t>
            </w:r>
          </w:p>
        </w:tc>
        <w:tc>
          <w:tcPr>
            <w:tcW w:w="1276" w:type="dxa"/>
            <w:vAlign w:val="center"/>
          </w:tcPr>
          <w:p w:rsidR="006B4685" w:rsidRPr="00070628" w:rsidRDefault="006B4685">
            <w:pPr>
              <w:spacing w:before="60" w:after="60"/>
              <w:jc w:val="right"/>
              <w:rPr>
                <w:b/>
                <w:bCs/>
                <w:noProof/>
                <w:sz w:val="20"/>
                <w:szCs w:val="20"/>
              </w:rPr>
            </w:pPr>
            <w:r w:rsidRPr="00D45D3D">
              <w:rPr>
                <w:b/>
                <w:bCs/>
                <w:noProof/>
                <w:sz w:val="20"/>
              </w:rPr>
              <w:t>0.</w:t>
            </w:r>
            <w:r>
              <w:rPr>
                <w:b/>
                <w:bCs/>
                <w:noProof/>
                <w:sz w:val="20"/>
              </w:rPr>
              <w:t>394</w:t>
            </w:r>
          </w:p>
        </w:tc>
      </w:tr>
      <w:tr w:rsidR="00110044">
        <w:trPr>
          <w:cantSplit/>
          <w:trHeight w:val="700"/>
        </w:trPr>
        <w:tc>
          <w:tcPr>
            <w:tcW w:w="3659" w:type="dxa"/>
            <w:vAlign w:val="center"/>
          </w:tcPr>
          <w:p w:rsidR="006B4685" w:rsidRPr="003F4D71" w:rsidRDefault="006B4685">
            <w:pPr>
              <w:spacing w:before="60" w:after="60"/>
              <w:jc w:val="left"/>
              <w:rPr>
                <w:b/>
                <w:bCs/>
                <w:noProof/>
                <w:sz w:val="20"/>
              </w:rPr>
            </w:pPr>
            <w:r>
              <w:rPr>
                <w:b/>
                <w:bCs/>
                <w:noProof/>
                <w:sz w:val="20"/>
              </w:rPr>
              <w:t xml:space="preserve">TOTAL </w:t>
            </w:r>
            <w:r w:rsidRPr="003F4D71">
              <w:rPr>
                <w:b/>
                <w:bCs/>
                <w:noProof/>
                <w:sz w:val="20"/>
              </w:rPr>
              <w:t>appropriations</w:t>
            </w:r>
          </w:p>
        </w:tc>
        <w:tc>
          <w:tcPr>
            <w:tcW w:w="1140" w:type="dxa"/>
            <w:vAlign w:val="center"/>
          </w:tcPr>
          <w:p w:rsidR="006B4685" w:rsidRPr="00070628" w:rsidRDefault="006B4685">
            <w:pPr>
              <w:spacing w:before="60" w:after="60"/>
              <w:jc w:val="right"/>
              <w:rPr>
                <w:b/>
                <w:bCs/>
                <w:noProof/>
                <w:sz w:val="20"/>
              </w:rPr>
            </w:pPr>
            <w:r>
              <w:rPr>
                <w:b/>
                <w:bCs/>
                <w:noProof/>
                <w:sz w:val="20"/>
              </w:rPr>
              <w:t>0.000</w:t>
            </w:r>
          </w:p>
        </w:tc>
        <w:tc>
          <w:tcPr>
            <w:tcW w:w="1141" w:type="dxa"/>
            <w:vAlign w:val="center"/>
          </w:tcPr>
          <w:p w:rsidR="006B4685" w:rsidRPr="00070628" w:rsidRDefault="006B4685">
            <w:pPr>
              <w:spacing w:before="60" w:after="60"/>
              <w:jc w:val="right"/>
              <w:rPr>
                <w:b/>
                <w:bCs/>
                <w:noProof/>
                <w:sz w:val="20"/>
              </w:rPr>
            </w:pPr>
            <w:r w:rsidRPr="00D45D3D">
              <w:rPr>
                <w:b/>
                <w:bCs/>
                <w:noProof/>
                <w:sz w:val="20"/>
              </w:rPr>
              <w:t>0.000</w:t>
            </w:r>
          </w:p>
        </w:tc>
        <w:tc>
          <w:tcPr>
            <w:tcW w:w="1141" w:type="dxa"/>
            <w:vAlign w:val="center"/>
          </w:tcPr>
          <w:p w:rsidR="006B4685" w:rsidRPr="00070628" w:rsidRDefault="006B4685">
            <w:pPr>
              <w:spacing w:before="60" w:after="60"/>
              <w:jc w:val="right"/>
              <w:rPr>
                <w:b/>
                <w:bCs/>
                <w:noProof/>
                <w:sz w:val="20"/>
              </w:rPr>
            </w:pPr>
            <w:r w:rsidRPr="00D45D3D">
              <w:rPr>
                <w:b/>
                <w:bCs/>
                <w:noProof/>
                <w:sz w:val="20"/>
              </w:rPr>
              <w:t>0.000</w:t>
            </w:r>
          </w:p>
        </w:tc>
        <w:tc>
          <w:tcPr>
            <w:tcW w:w="1141" w:type="dxa"/>
            <w:vAlign w:val="center"/>
          </w:tcPr>
          <w:p w:rsidR="006B4685" w:rsidRPr="00070628" w:rsidRDefault="006B4685">
            <w:pPr>
              <w:spacing w:before="60" w:after="60"/>
              <w:jc w:val="right"/>
              <w:rPr>
                <w:b/>
                <w:bCs/>
                <w:noProof/>
                <w:sz w:val="20"/>
              </w:rPr>
            </w:pPr>
            <w:r>
              <w:rPr>
                <w:b/>
                <w:bCs/>
                <w:noProof/>
                <w:sz w:val="20"/>
              </w:rPr>
              <w:t>0.657</w:t>
            </w:r>
          </w:p>
        </w:tc>
        <w:tc>
          <w:tcPr>
            <w:tcW w:w="1276" w:type="dxa"/>
            <w:vAlign w:val="center"/>
          </w:tcPr>
          <w:p w:rsidR="006B4685" w:rsidRPr="00070628" w:rsidRDefault="006B4685">
            <w:pPr>
              <w:spacing w:before="60" w:after="60"/>
              <w:jc w:val="right"/>
              <w:rPr>
                <w:b/>
                <w:bCs/>
                <w:noProof/>
                <w:sz w:val="20"/>
              </w:rPr>
            </w:pPr>
            <w:r>
              <w:rPr>
                <w:b/>
                <w:bCs/>
                <w:noProof/>
                <w:sz w:val="20"/>
              </w:rPr>
              <w:t>0.657</w:t>
            </w:r>
          </w:p>
        </w:tc>
      </w:tr>
    </w:tbl>
    <w:p w:rsidR="006B4685" w:rsidRDefault="00153B44" w:rsidP="663A52C3">
      <w:pPr>
        <w:spacing w:before="240"/>
        <w:rPr>
          <w:b/>
          <w:bCs/>
          <w:noProof/>
          <w:sz w:val="22"/>
          <w:u w:val="single"/>
          <w:lang w:val="en-IE"/>
        </w:rPr>
      </w:pPr>
      <w:r w:rsidRPr="663A52C3">
        <w:rPr>
          <w:noProof/>
        </w:rPr>
        <w:t xml:space="preserve">The </w:t>
      </w:r>
      <w:r w:rsidR="000C763F" w:rsidRPr="663A52C3">
        <w:rPr>
          <w:noProof/>
        </w:rPr>
        <w:t>headcount of</w:t>
      </w:r>
      <w:r w:rsidRPr="663A52C3">
        <w:rPr>
          <w:noProof/>
        </w:rPr>
        <w:t xml:space="preserve"> ESMA will be reduced by </w:t>
      </w:r>
      <w:r w:rsidR="000C763F" w:rsidRPr="663A52C3">
        <w:rPr>
          <w:noProof/>
        </w:rPr>
        <w:t xml:space="preserve">1 FTE, </w:t>
      </w:r>
      <w:r w:rsidR="003D523D" w:rsidRPr="663A52C3">
        <w:rPr>
          <w:noProof/>
        </w:rPr>
        <w:t xml:space="preserve">allowing for </w:t>
      </w:r>
      <w:r w:rsidR="00832ABD" w:rsidRPr="663A52C3">
        <w:rPr>
          <w:noProof/>
        </w:rPr>
        <w:t xml:space="preserve">a reduction of the </w:t>
      </w:r>
      <w:r w:rsidR="00635382" w:rsidRPr="663A52C3">
        <w:rPr>
          <w:noProof/>
        </w:rPr>
        <w:t xml:space="preserve">subsidy </w:t>
      </w:r>
      <w:r w:rsidR="22190B66" w:rsidRPr="663A52C3">
        <w:rPr>
          <w:noProof/>
        </w:rPr>
        <w:t xml:space="preserve">of </w:t>
      </w:r>
      <w:r w:rsidR="00D93307" w:rsidRPr="663A52C3">
        <w:rPr>
          <w:noProof/>
        </w:rPr>
        <w:t xml:space="preserve">the </w:t>
      </w:r>
      <w:r w:rsidR="7F6C3515" w:rsidRPr="663A52C3">
        <w:rPr>
          <w:noProof/>
        </w:rPr>
        <w:t>Union</w:t>
      </w:r>
      <w:r w:rsidR="00D93307" w:rsidRPr="663A52C3">
        <w:rPr>
          <w:noProof/>
        </w:rPr>
        <w:t xml:space="preserve"> and contribution by national competent authorities</w:t>
      </w:r>
      <w:r w:rsidR="00C50943" w:rsidRPr="663A52C3">
        <w:rPr>
          <w:noProof/>
        </w:rPr>
        <w:t xml:space="preserve"> to ESMA</w:t>
      </w:r>
      <w:r w:rsidR="00D93307" w:rsidRPr="663A52C3">
        <w:rPr>
          <w:noProof/>
        </w:rPr>
        <w:t>, as shown in the table below</w:t>
      </w:r>
      <w:r w:rsidR="000C763F" w:rsidRPr="663A52C3">
        <w:rPr>
          <w:noProof/>
        </w:rPr>
        <w:t>:</w:t>
      </w:r>
    </w:p>
    <w:tbl>
      <w:tblPr>
        <w:tblW w:w="9498"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9"/>
        <w:gridCol w:w="1140"/>
        <w:gridCol w:w="1141"/>
        <w:gridCol w:w="1141"/>
        <w:gridCol w:w="1141"/>
        <w:gridCol w:w="1276"/>
      </w:tblGrid>
      <w:tr w:rsidR="00110044">
        <w:trPr>
          <w:cantSplit/>
        </w:trPr>
        <w:tc>
          <w:tcPr>
            <w:tcW w:w="3659" w:type="dxa"/>
            <w:vAlign w:val="center"/>
          </w:tcPr>
          <w:p w:rsidR="006B4685" w:rsidRPr="00070628" w:rsidRDefault="006B4685">
            <w:pPr>
              <w:spacing w:before="60" w:after="60"/>
              <w:jc w:val="center"/>
              <w:rPr>
                <w:b/>
                <w:bCs/>
                <w:noProof/>
                <w:sz w:val="20"/>
                <w:lang w:val="en-IE"/>
              </w:rPr>
            </w:pPr>
            <w:r w:rsidRPr="00070628">
              <w:rPr>
                <w:b/>
                <w:bCs/>
                <w:noProof/>
                <w:color w:val="444444"/>
                <w:sz w:val="20"/>
                <w:szCs w:val="20"/>
                <w:shd w:val="clear" w:color="auto" w:fill="FFFFFF"/>
              </w:rPr>
              <w:t xml:space="preserve">Agency: </w:t>
            </w:r>
            <w:r>
              <w:rPr>
                <w:b/>
                <w:bCs/>
                <w:noProof/>
                <w:color w:val="444444"/>
                <w:sz w:val="20"/>
                <w:szCs w:val="20"/>
                <w:shd w:val="clear" w:color="auto" w:fill="FFFFFF"/>
              </w:rPr>
              <w:t>European Securities and Markets Authority</w:t>
            </w:r>
          </w:p>
        </w:tc>
        <w:tc>
          <w:tcPr>
            <w:tcW w:w="1140" w:type="dxa"/>
            <w:vAlign w:val="center"/>
          </w:tcPr>
          <w:p w:rsidR="006B4685" w:rsidRDefault="006B4685">
            <w:pPr>
              <w:jc w:val="center"/>
              <w:rPr>
                <w:noProof/>
                <w:sz w:val="20"/>
              </w:rPr>
            </w:pPr>
            <w:r>
              <w:rPr>
                <w:noProof/>
                <w:sz w:val="20"/>
              </w:rPr>
              <w:t xml:space="preserve">Year </w:t>
            </w:r>
            <w:r w:rsidRPr="003F4D71">
              <w:rPr>
                <w:b/>
                <w:bCs/>
                <w:noProof/>
                <w:sz w:val="20"/>
              </w:rPr>
              <w:t>2024</w:t>
            </w:r>
          </w:p>
        </w:tc>
        <w:tc>
          <w:tcPr>
            <w:tcW w:w="1141" w:type="dxa"/>
            <w:vAlign w:val="center"/>
          </w:tcPr>
          <w:p w:rsidR="006B4685" w:rsidRDefault="006B4685">
            <w:pPr>
              <w:jc w:val="center"/>
              <w:rPr>
                <w:noProof/>
                <w:sz w:val="20"/>
              </w:rPr>
            </w:pPr>
            <w:r>
              <w:rPr>
                <w:noProof/>
                <w:sz w:val="20"/>
              </w:rPr>
              <w:t xml:space="preserve">Year </w:t>
            </w:r>
            <w:r>
              <w:rPr>
                <w:b/>
                <w:noProof/>
                <w:sz w:val="20"/>
              </w:rPr>
              <w:t>2025</w:t>
            </w:r>
          </w:p>
        </w:tc>
        <w:tc>
          <w:tcPr>
            <w:tcW w:w="1141" w:type="dxa"/>
            <w:vAlign w:val="center"/>
          </w:tcPr>
          <w:p w:rsidR="006B4685" w:rsidRDefault="006B4685">
            <w:pPr>
              <w:jc w:val="center"/>
              <w:rPr>
                <w:noProof/>
                <w:sz w:val="20"/>
              </w:rPr>
            </w:pPr>
            <w:r>
              <w:rPr>
                <w:noProof/>
                <w:sz w:val="20"/>
              </w:rPr>
              <w:t xml:space="preserve">Year </w:t>
            </w:r>
            <w:r>
              <w:rPr>
                <w:b/>
                <w:noProof/>
                <w:sz w:val="20"/>
              </w:rPr>
              <w:t>2026</w:t>
            </w:r>
          </w:p>
        </w:tc>
        <w:tc>
          <w:tcPr>
            <w:tcW w:w="1141" w:type="dxa"/>
            <w:vAlign w:val="center"/>
          </w:tcPr>
          <w:p w:rsidR="006B4685" w:rsidRDefault="006B4685">
            <w:pPr>
              <w:jc w:val="center"/>
              <w:rPr>
                <w:noProof/>
                <w:sz w:val="20"/>
              </w:rPr>
            </w:pPr>
            <w:r>
              <w:rPr>
                <w:noProof/>
                <w:sz w:val="20"/>
              </w:rPr>
              <w:t xml:space="preserve">Year </w:t>
            </w:r>
            <w:r>
              <w:rPr>
                <w:b/>
                <w:noProof/>
                <w:sz w:val="20"/>
              </w:rPr>
              <w:t>2027</w:t>
            </w:r>
          </w:p>
        </w:tc>
        <w:tc>
          <w:tcPr>
            <w:tcW w:w="1276" w:type="dxa"/>
            <w:vAlign w:val="center"/>
          </w:tcPr>
          <w:p w:rsidR="006B4685" w:rsidRPr="004C127A" w:rsidRDefault="006B4685">
            <w:pPr>
              <w:spacing w:before="60" w:after="60"/>
              <w:jc w:val="center"/>
              <w:rPr>
                <w:noProof/>
                <w:sz w:val="20"/>
                <w:szCs w:val="20"/>
              </w:rPr>
            </w:pPr>
            <w:r w:rsidRPr="00070628">
              <w:rPr>
                <w:b/>
                <w:bCs/>
                <w:noProof/>
                <w:color w:val="000000"/>
                <w:sz w:val="20"/>
                <w:szCs w:val="20"/>
                <w:lang w:val="en-IE" w:eastAsia="en-IE"/>
              </w:rPr>
              <w:t>TOTAL</w:t>
            </w:r>
            <w:r>
              <w:rPr>
                <w:b/>
                <w:bCs/>
                <w:noProof/>
                <w:color w:val="000000"/>
                <w:sz w:val="20"/>
                <w:szCs w:val="20"/>
                <w:lang w:val="en-IE" w:eastAsia="en-IE"/>
              </w:rPr>
              <w:t xml:space="preserve"> </w:t>
            </w:r>
            <w:r w:rsidRPr="00070628">
              <w:rPr>
                <w:b/>
                <w:bCs/>
                <w:noProof/>
                <w:color w:val="000000"/>
                <w:sz w:val="20"/>
                <w:szCs w:val="20"/>
                <w:lang w:val="en-IE" w:eastAsia="en-IE"/>
              </w:rPr>
              <w:t>2021 - 2027</w:t>
            </w:r>
          </w:p>
        </w:tc>
      </w:tr>
      <w:tr w:rsidR="00110044" w:rsidRPr="003A769F">
        <w:trPr>
          <w:cantSplit/>
          <w:trHeight w:val="700"/>
        </w:trPr>
        <w:tc>
          <w:tcPr>
            <w:tcW w:w="3659" w:type="dxa"/>
            <w:vAlign w:val="center"/>
          </w:tcPr>
          <w:p w:rsidR="006B4685" w:rsidRPr="002D2D1C" w:rsidRDefault="006B4685">
            <w:pPr>
              <w:jc w:val="left"/>
              <w:rPr>
                <w:noProof/>
                <w:lang w:val="en-IE"/>
              </w:rPr>
            </w:pPr>
            <w:r w:rsidRPr="00070628">
              <w:rPr>
                <w:noProof/>
                <w:sz w:val="20"/>
                <w:szCs w:val="20"/>
              </w:rPr>
              <w:t>Temporary agents (AD+AS</w:t>
            </w:r>
            <w:r>
              <w:rPr>
                <w:noProof/>
                <w:sz w:val="20"/>
                <w:szCs w:val="20"/>
              </w:rPr>
              <w:t>T)</w:t>
            </w:r>
          </w:p>
        </w:tc>
        <w:tc>
          <w:tcPr>
            <w:tcW w:w="1140" w:type="dxa"/>
            <w:vAlign w:val="center"/>
          </w:tcPr>
          <w:p w:rsidR="006B4685" w:rsidRDefault="006B4685">
            <w:pPr>
              <w:spacing w:before="60" w:after="60"/>
              <w:jc w:val="right"/>
              <w:rPr>
                <w:noProof/>
                <w:sz w:val="20"/>
                <w:szCs w:val="20"/>
              </w:rPr>
            </w:pPr>
            <w:r>
              <w:rPr>
                <w:b/>
                <w:bCs/>
                <w:noProof/>
                <w:color w:val="000000"/>
                <w:sz w:val="16"/>
                <w:szCs w:val="16"/>
                <w:lang w:val="en-IE" w:eastAsia="en-IE"/>
              </w:rPr>
              <w:t>0</w:t>
            </w:r>
          </w:p>
        </w:tc>
        <w:tc>
          <w:tcPr>
            <w:tcW w:w="1141" w:type="dxa"/>
            <w:vAlign w:val="center"/>
          </w:tcPr>
          <w:p w:rsidR="006B4685" w:rsidRDefault="006B4685">
            <w:pPr>
              <w:spacing w:before="60" w:after="60"/>
              <w:jc w:val="right"/>
              <w:rPr>
                <w:noProof/>
                <w:sz w:val="20"/>
                <w:szCs w:val="20"/>
              </w:rPr>
            </w:pPr>
            <w:r>
              <w:rPr>
                <w:b/>
                <w:bCs/>
                <w:noProof/>
                <w:color w:val="000000"/>
                <w:sz w:val="16"/>
                <w:szCs w:val="16"/>
                <w:lang w:val="en-IE" w:eastAsia="en-IE"/>
              </w:rPr>
              <w:t>0</w:t>
            </w:r>
          </w:p>
        </w:tc>
        <w:tc>
          <w:tcPr>
            <w:tcW w:w="1141" w:type="dxa"/>
            <w:vAlign w:val="center"/>
          </w:tcPr>
          <w:p w:rsidR="006B4685" w:rsidRDefault="006B4685">
            <w:pPr>
              <w:spacing w:before="60" w:after="60"/>
              <w:jc w:val="right"/>
              <w:rPr>
                <w:noProof/>
                <w:sz w:val="20"/>
                <w:szCs w:val="20"/>
              </w:rPr>
            </w:pPr>
            <w:r>
              <w:rPr>
                <w:b/>
                <w:bCs/>
                <w:noProof/>
                <w:color w:val="000000"/>
                <w:sz w:val="16"/>
                <w:szCs w:val="16"/>
                <w:lang w:val="en-IE" w:eastAsia="en-IE"/>
              </w:rPr>
              <w:t>0</w:t>
            </w:r>
          </w:p>
        </w:tc>
        <w:tc>
          <w:tcPr>
            <w:tcW w:w="1141" w:type="dxa"/>
            <w:vAlign w:val="center"/>
          </w:tcPr>
          <w:p w:rsidR="006B4685" w:rsidRDefault="006B4685">
            <w:pPr>
              <w:spacing w:before="60" w:after="60"/>
              <w:jc w:val="right"/>
              <w:rPr>
                <w:noProof/>
                <w:sz w:val="20"/>
                <w:szCs w:val="20"/>
              </w:rPr>
            </w:pPr>
            <w:r>
              <w:rPr>
                <w:b/>
                <w:bCs/>
                <w:noProof/>
                <w:color w:val="000000"/>
                <w:sz w:val="16"/>
                <w:szCs w:val="16"/>
                <w:lang w:val="en-IE" w:eastAsia="en-IE"/>
              </w:rPr>
              <w:t>(1)</w:t>
            </w:r>
          </w:p>
        </w:tc>
        <w:tc>
          <w:tcPr>
            <w:tcW w:w="1276" w:type="dxa"/>
            <w:vAlign w:val="center"/>
          </w:tcPr>
          <w:p w:rsidR="006B4685" w:rsidRPr="00070628" w:rsidRDefault="006B4685">
            <w:pPr>
              <w:spacing w:before="60" w:after="60"/>
              <w:jc w:val="center"/>
              <w:rPr>
                <w:b/>
                <w:bCs/>
                <w:noProof/>
                <w:sz w:val="20"/>
                <w:szCs w:val="20"/>
              </w:rPr>
            </w:pPr>
            <w:r>
              <w:rPr>
                <w:b/>
                <w:bCs/>
                <w:noProof/>
                <w:sz w:val="20"/>
                <w:szCs w:val="20"/>
              </w:rPr>
              <w:t>-</w:t>
            </w:r>
          </w:p>
        </w:tc>
      </w:tr>
      <w:tr w:rsidR="00110044" w:rsidRPr="003A769F">
        <w:trPr>
          <w:cantSplit/>
          <w:trHeight w:val="700"/>
        </w:trPr>
        <w:tc>
          <w:tcPr>
            <w:tcW w:w="3659" w:type="dxa"/>
            <w:vAlign w:val="center"/>
          </w:tcPr>
          <w:p w:rsidR="006B4685" w:rsidRPr="003A769F" w:rsidRDefault="006B4685">
            <w:pPr>
              <w:jc w:val="left"/>
              <w:rPr>
                <w:noProof/>
                <w:sz w:val="20"/>
                <w:lang w:val="en-IE"/>
              </w:rPr>
            </w:pPr>
            <w:r w:rsidRPr="002D73DA">
              <w:rPr>
                <w:noProof/>
                <w:sz w:val="20"/>
                <w:szCs w:val="20"/>
              </w:rPr>
              <w:t xml:space="preserve">Contract </w:t>
            </w:r>
            <w:r>
              <w:rPr>
                <w:noProof/>
                <w:sz w:val="20"/>
                <w:szCs w:val="20"/>
              </w:rPr>
              <w:t>agents</w:t>
            </w:r>
          </w:p>
        </w:tc>
        <w:tc>
          <w:tcPr>
            <w:tcW w:w="1140" w:type="dxa"/>
            <w:vAlign w:val="center"/>
          </w:tcPr>
          <w:p w:rsidR="006B4685" w:rsidRDefault="006B4685">
            <w:pPr>
              <w:spacing w:before="60" w:after="60"/>
              <w:jc w:val="right"/>
              <w:rPr>
                <w:noProof/>
                <w:sz w:val="20"/>
                <w:szCs w:val="20"/>
              </w:rPr>
            </w:pPr>
            <w:r>
              <w:rPr>
                <w:b/>
                <w:bCs/>
                <w:noProof/>
                <w:color w:val="000000"/>
                <w:sz w:val="16"/>
                <w:szCs w:val="16"/>
                <w:lang w:val="en-IE" w:eastAsia="en-IE"/>
              </w:rPr>
              <w:t>0</w:t>
            </w:r>
          </w:p>
        </w:tc>
        <w:tc>
          <w:tcPr>
            <w:tcW w:w="1141" w:type="dxa"/>
            <w:vAlign w:val="center"/>
          </w:tcPr>
          <w:p w:rsidR="006B4685" w:rsidRDefault="006B4685">
            <w:pPr>
              <w:spacing w:before="60" w:after="60"/>
              <w:jc w:val="right"/>
              <w:rPr>
                <w:noProof/>
                <w:sz w:val="20"/>
                <w:szCs w:val="20"/>
              </w:rPr>
            </w:pPr>
            <w:r>
              <w:rPr>
                <w:b/>
                <w:bCs/>
                <w:noProof/>
                <w:color w:val="000000"/>
                <w:sz w:val="16"/>
                <w:szCs w:val="16"/>
                <w:lang w:val="en-IE" w:eastAsia="en-IE"/>
              </w:rPr>
              <w:t>0</w:t>
            </w:r>
          </w:p>
        </w:tc>
        <w:tc>
          <w:tcPr>
            <w:tcW w:w="1141" w:type="dxa"/>
            <w:vAlign w:val="center"/>
          </w:tcPr>
          <w:p w:rsidR="006B4685" w:rsidRDefault="006B4685">
            <w:pPr>
              <w:spacing w:before="60" w:after="60"/>
              <w:jc w:val="right"/>
              <w:rPr>
                <w:noProof/>
                <w:sz w:val="20"/>
                <w:szCs w:val="20"/>
              </w:rPr>
            </w:pPr>
            <w:r>
              <w:rPr>
                <w:b/>
                <w:bCs/>
                <w:noProof/>
                <w:color w:val="000000"/>
                <w:sz w:val="16"/>
                <w:szCs w:val="16"/>
                <w:lang w:val="en-IE" w:eastAsia="en-IE"/>
              </w:rPr>
              <w:t>0</w:t>
            </w:r>
          </w:p>
        </w:tc>
        <w:tc>
          <w:tcPr>
            <w:tcW w:w="1141" w:type="dxa"/>
            <w:vAlign w:val="center"/>
          </w:tcPr>
          <w:p w:rsidR="006B4685" w:rsidRDefault="006B4685">
            <w:pPr>
              <w:spacing w:before="60" w:after="60"/>
              <w:jc w:val="right"/>
              <w:rPr>
                <w:noProof/>
                <w:sz w:val="20"/>
                <w:szCs w:val="20"/>
              </w:rPr>
            </w:pPr>
            <w:r>
              <w:rPr>
                <w:b/>
                <w:bCs/>
                <w:noProof/>
                <w:color w:val="000000"/>
                <w:sz w:val="16"/>
                <w:szCs w:val="16"/>
                <w:lang w:val="en-IE" w:eastAsia="en-IE"/>
              </w:rPr>
              <w:t>0</w:t>
            </w:r>
          </w:p>
        </w:tc>
        <w:tc>
          <w:tcPr>
            <w:tcW w:w="1276" w:type="dxa"/>
            <w:vAlign w:val="center"/>
          </w:tcPr>
          <w:p w:rsidR="006B4685" w:rsidRPr="00070628" w:rsidRDefault="006B4685">
            <w:pPr>
              <w:spacing w:before="60" w:after="60"/>
              <w:jc w:val="center"/>
              <w:rPr>
                <w:b/>
                <w:bCs/>
                <w:noProof/>
                <w:sz w:val="20"/>
                <w:szCs w:val="20"/>
              </w:rPr>
            </w:pPr>
            <w:r>
              <w:rPr>
                <w:b/>
                <w:bCs/>
                <w:noProof/>
                <w:sz w:val="20"/>
                <w:szCs w:val="20"/>
              </w:rPr>
              <w:t>-</w:t>
            </w:r>
          </w:p>
        </w:tc>
      </w:tr>
      <w:tr w:rsidR="00110044" w:rsidRPr="003A769F">
        <w:trPr>
          <w:cantSplit/>
          <w:trHeight w:val="700"/>
        </w:trPr>
        <w:tc>
          <w:tcPr>
            <w:tcW w:w="3659" w:type="dxa"/>
            <w:vAlign w:val="center"/>
          </w:tcPr>
          <w:p w:rsidR="006B4685" w:rsidRPr="003A769F" w:rsidRDefault="006B4685">
            <w:pPr>
              <w:jc w:val="left"/>
              <w:rPr>
                <w:noProof/>
                <w:sz w:val="20"/>
                <w:lang w:val="en-IE"/>
              </w:rPr>
            </w:pPr>
            <w:r w:rsidRPr="002D73DA">
              <w:rPr>
                <w:noProof/>
                <w:sz w:val="20"/>
                <w:szCs w:val="20"/>
              </w:rPr>
              <w:t xml:space="preserve">Seconded </w:t>
            </w:r>
            <w:r>
              <w:rPr>
                <w:noProof/>
                <w:sz w:val="20"/>
                <w:szCs w:val="20"/>
              </w:rPr>
              <w:t>n</w:t>
            </w:r>
            <w:r w:rsidRPr="002D73DA">
              <w:rPr>
                <w:noProof/>
                <w:sz w:val="20"/>
                <w:szCs w:val="20"/>
              </w:rPr>
              <w:t xml:space="preserve">ational </w:t>
            </w:r>
            <w:r>
              <w:rPr>
                <w:noProof/>
                <w:sz w:val="20"/>
                <w:szCs w:val="20"/>
              </w:rPr>
              <w:t>e</w:t>
            </w:r>
            <w:r w:rsidRPr="002D73DA">
              <w:rPr>
                <w:noProof/>
                <w:sz w:val="20"/>
                <w:szCs w:val="20"/>
              </w:rPr>
              <w:t>xperts</w:t>
            </w:r>
          </w:p>
        </w:tc>
        <w:tc>
          <w:tcPr>
            <w:tcW w:w="1140" w:type="dxa"/>
            <w:vAlign w:val="center"/>
          </w:tcPr>
          <w:p w:rsidR="006B4685" w:rsidRDefault="006B4685">
            <w:pPr>
              <w:spacing w:before="60" w:after="60"/>
              <w:jc w:val="right"/>
              <w:rPr>
                <w:noProof/>
                <w:sz w:val="20"/>
                <w:szCs w:val="20"/>
              </w:rPr>
            </w:pPr>
            <w:r>
              <w:rPr>
                <w:b/>
                <w:bCs/>
                <w:noProof/>
                <w:color w:val="000000"/>
                <w:sz w:val="16"/>
                <w:szCs w:val="16"/>
                <w:lang w:val="en-IE" w:eastAsia="en-IE"/>
              </w:rPr>
              <w:t>0</w:t>
            </w:r>
          </w:p>
        </w:tc>
        <w:tc>
          <w:tcPr>
            <w:tcW w:w="1141" w:type="dxa"/>
            <w:vAlign w:val="center"/>
          </w:tcPr>
          <w:p w:rsidR="006B4685" w:rsidRDefault="006B4685">
            <w:pPr>
              <w:spacing w:before="60" w:after="60"/>
              <w:jc w:val="right"/>
              <w:rPr>
                <w:noProof/>
                <w:sz w:val="20"/>
                <w:szCs w:val="20"/>
              </w:rPr>
            </w:pPr>
            <w:r>
              <w:rPr>
                <w:b/>
                <w:bCs/>
                <w:noProof/>
                <w:color w:val="000000"/>
                <w:sz w:val="16"/>
                <w:szCs w:val="16"/>
                <w:lang w:val="en-IE" w:eastAsia="en-IE"/>
              </w:rPr>
              <w:t>0</w:t>
            </w:r>
          </w:p>
        </w:tc>
        <w:tc>
          <w:tcPr>
            <w:tcW w:w="1141" w:type="dxa"/>
            <w:vAlign w:val="center"/>
          </w:tcPr>
          <w:p w:rsidR="006B4685" w:rsidRDefault="006B4685">
            <w:pPr>
              <w:spacing w:before="60" w:after="60"/>
              <w:jc w:val="right"/>
              <w:rPr>
                <w:noProof/>
                <w:sz w:val="20"/>
                <w:szCs w:val="20"/>
              </w:rPr>
            </w:pPr>
            <w:r>
              <w:rPr>
                <w:b/>
                <w:bCs/>
                <w:noProof/>
                <w:color w:val="000000"/>
                <w:sz w:val="16"/>
                <w:szCs w:val="16"/>
                <w:lang w:val="en-IE" w:eastAsia="en-IE"/>
              </w:rPr>
              <w:t>0</w:t>
            </w:r>
          </w:p>
        </w:tc>
        <w:tc>
          <w:tcPr>
            <w:tcW w:w="1141" w:type="dxa"/>
            <w:vAlign w:val="center"/>
          </w:tcPr>
          <w:p w:rsidR="006B4685" w:rsidRDefault="006B4685">
            <w:pPr>
              <w:spacing w:before="60" w:after="60"/>
              <w:jc w:val="right"/>
              <w:rPr>
                <w:noProof/>
                <w:sz w:val="20"/>
                <w:szCs w:val="20"/>
              </w:rPr>
            </w:pPr>
            <w:r>
              <w:rPr>
                <w:b/>
                <w:bCs/>
                <w:noProof/>
                <w:color w:val="000000"/>
                <w:sz w:val="16"/>
                <w:szCs w:val="16"/>
                <w:lang w:val="en-IE" w:eastAsia="en-IE"/>
              </w:rPr>
              <w:t>0</w:t>
            </w:r>
          </w:p>
        </w:tc>
        <w:tc>
          <w:tcPr>
            <w:tcW w:w="1276" w:type="dxa"/>
            <w:vAlign w:val="center"/>
          </w:tcPr>
          <w:p w:rsidR="006B4685" w:rsidRPr="00070628" w:rsidRDefault="006B4685">
            <w:pPr>
              <w:spacing w:before="60" w:after="60"/>
              <w:jc w:val="center"/>
              <w:rPr>
                <w:b/>
                <w:bCs/>
                <w:noProof/>
                <w:sz w:val="20"/>
                <w:szCs w:val="20"/>
              </w:rPr>
            </w:pPr>
            <w:r>
              <w:rPr>
                <w:b/>
                <w:bCs/>
                <w:noProof/>
                <w:sz w:val="20"/>
                <w:szCs w:val="20"/>
              </w:rPr>
              <w:t>-</w:t>
            </w:r>
          </w:p>
        </w:tc>
      </w:tr>
      <w:tr w:rsidR="00110044">
        <w:trPr>
          <w:cantSplit/>
          <w:trHeight w:val="700"/>
        </w:trPr>
        <w:tc>
          <w:tcPr>
            <w:tcW w:w="3659" w:type="dxa"/>
            <w:vAlign w:val="center"/>
          </w:tcPr>
          <w:p w:rsidR="006B4685" w:rsidRDefault="006B4685">
            <w:pPr>
              <w:spacing w:before="60" w:after="60"/>
              <w:jc w:val="left"/>
              <w:rPr>
                <w:b/>
                <w:bCs/>
                <w:noProof/>
                <w:sz w:val="20"/>
              </w:rPr>
            </w:pPr>
            <w:r>
              <w:rPr>
                <w:b/>
                <w:bCs/>
                <w:noProof/>
                <w:sz w:val="20"/>
              </w:rPr>
              <w:t>Total staff</w:t>
            </w:r>
          </w:p>
        </w:tc>
        <w:tc>
          <w:tcPr>
            <w:tcW w:w="1140" w:type="dxa"/>
            <w:vAlign w:val="center"/>
          </w:tcPr>
          <w:p w:rsidR="006B4685" w:rsidRDefault="006B4685">
            <w:pPr>
              <w:spacing w:before="60" w:after="60"/>
              <w:jc w:val="right"/>
              <w:rPr>
                <w:noProof/>
                <w:sz w:val="20"/>
              </w:rPr>
            </w:pPr>
            <w:r w:rsidRPr="00066A1C">
              <w:rPr>
                <w:b/>
                <w:bCs/>
                <w:noProof/>
                <w:color w:val="000000"/>
                <w:sz w:val="16"/>
                <w:szCs w:val="16"/>
                <w:lang w:val="en-IE" w:eastAsia="en-IE"/>
              </w:rPr>
              <w:t>0</w:t>
            </w:r>
          </w:p>
        </w:tc>
        <w:tc>
          <w:tcPr>
            <w:tcW w:w="1141" w:type="dxa"/>
            <w:vAlign w:val="center"/>
          </w:tcPr>
          <w:p w:rsidR="006B4685" w:rsidRDefault="006B4685">
            <w:pPr>
              <w:spacing w:before="60" w:after="60"/>
              <w:jc w:val="right"/>
              <w:rPr>
                <w:noProof/>
                <w:sz w:val="20"/>
              </w:rPr>
            </w:pPr>
            <w:r w:rsidRPr="00066A1C">
              <w:rPr>
                <w:b/>
                <w:bCs/>
                <w:noProof/>
                <w:color w:val="000000"/>
                <w:sz w:val="16"/>
                <w:szCs w:val="16"/>
                <w:lang w:val="en-IE" w:eastAsia="en-IE"/>
              </w:rPr>
              <w:t>0</w:t>
            </w:r>
          </w:p>
        </w:tc>
        <w:tc>
          <w:tcPr>
            <w:tcW w:w="1141" w:type="dxa"/>
            <w:vAlign w:val="center"/>
          </w:tcPr>
          <w:p w:rsidR="006B4685" w:rsidRDefault="006B4685">
            <w:pPr>
              <w:spacing w:before="60" w:after="60"/>
              <w:jc w:val="right"/>
              <w:rPr>
                <w:noProof/>
                <w:sz w:val="20"/>
              </w:rPr>
            </w:pPr>
            <w:r w:rsidRPr="00066A1C">
              <w:rPr>
                <w:b/>
                <w:bCs/>
                <w:noProof/>
                <w:color w:val="000000"/>
                <w:sz w:val="16"/>
                <w:szCs w:val="16"/>
                <w:lang w:val="en-IE" w:eastAsia="en-IE"/>
              </w:rPr>
              <w:t>0</w:t>
            </w:r>
          </w:p>
        </w:tc>
        <w:tc>
          <w:tcPr>
            <w:tcW w:w="1141" w:type="dxa"/>
            <w:vAlign w:val="center"/>
          </w:tcPr>
          <w:p w:rsidR="006B4685" w:rsidRDefault="006B4685">
            <w:pPr>
              <w:spacing w:before="60" w:after="60"/>
              <w:jc w:val="right"/>
              <w:rPr>
                <w:noProof/>
                <w:sz w:val="20"/>
              </w:rPr>
            </w:pPr>
            <w:r>
              <w:rPr>
                <w:b/>
                <w:bCs/>
                <w:noProof/>
                <w:color w:val="000000"/>
                <w:sz w:val="16"/>
                <w:szCs w:val="16"/>
                <w:lang w:val="en-IE" w:eastAsia="en-IE"/>
              </w:rPr>
              <w:t>(1)</w:t>
            </w:r>
          </w:p>
        </w:tc>
        <w:tc>
          <w:tcPr>
            <w:tcW w:w="1276" w:type="dxa"/>
            <w:vAlign w:val="center"/>
          </w:tcPr>
          <w:p w:rsidR="006B4685" w:rsidRPr="00070628" w:rsidRDefault="006B4685">
            <w:pPr>
              <w:spacing w:before="60" w:after="60"/>
              <w:jc w:val="center"/>
              <w:rPr>
                <w:b/>
                <w:bCs/>
                <w:noProof/>
                <w:sz w:val="20"/>
                <w:szCs w:val="20"/>
              </w:rPr>
            </w:pPr>
            <w:r>
              <w:rPr>
                <w:b/>
                <w:bCs/>
                <w:noProof/>
                <w:sz w:val="20"/>
                <w:szCs w:val="20"/>
              </w:rPr>
              <w:t>-</w:t>
            </w:r>
          </w:p>
        </w:tc>
      </w:tr>
      <w:tr w:rsidR="00110044">
        <w:trPr>
          <w:cantSplit/>
          <w:trHeight w:val="700"/>
        </w:trPr>
        <w:tc>
          <w:tcPr>
            <w:tcW w:w="3659" w:type="dxa"/>
            <w:vAlign w:val="center"/>
          </w:tcPr>
          <w:p w:rsidR="006B4685" w:rsidRPr="00070628" w:rsidRDefault="006B4685">
            <w:pPr>
              <w:spacing w:before="60" w:after="60"/>
              <w:jc w:val="left"/>
              <w:rPr>
                <w:noProof/>
                <w:sz w:val="20"/>
              </w:rPr>
            </w:pPr>
            <w:r>
              <w:rPr>
                <w:noProof/>
                <w:sz w:val="20"/>
              </w:rPr>
              <w:t xml:space="preserve">Appropriations covered by the </w:t>
            </w:r>
            <w:r w:rsidRPr="00070628">
              <w:rPr>
                <w:noProof/>
                <w:sz w:val="20"/>
              </w:rPr>
              <w:t xml:space="preserve">EU </w:t>
            </w:r>
            <w:r>
              <w:rPr>
                <w:noProof/>
                <w:sz w:val="20"/>
              </w:rPr>
              <w:t>b</w:t>
            </w:r>
            <w:r w:rsidRPr="00070628">
              <w:rPr>
                <w:noProof/>
                <w:sz w:val="20"/>
              </w:rPr>
              <w:t>udget</w:t>
            </w:r>
          </w:p>
        </w:tc>
        <w:tc>
          <w:tcPr>
            <w:tcW w:w="1140" w:type="dxa"/>
            <w:vAlign w:val="center"/>
          </w:tcPr>
          <w:p w:rsidR="006B4685" w:rsidRPr="0094063F" w:rsidRDefault="006B4685">
            <w:pPr>
              <w:spacing w:before="60" w:after="60"/>
              <w:jc w:val="right"/>
              <w:rPr>
                <w:noProof/>
                <w:sz w:val="20"/>
              </w:rPr>
            </w:pPr>
            <w:r w:rsidRPr="0094063F">
              <w:rPr>
                <w:noProof/>
                <w:sz w:val="20"/>
                <w:szCs w:val="20"/>
              </w:rPr>
              <w:t>0.000</w:t>
            </w:r>
          </w:p>
        </w:tc>
        <w:tc>
          <w:tcPr>
            <w:tcW w:w="1141" w:type="dxa"/>
            <w:vAlign w:val="center"/>
          </w:tcPr>
          <w:p w:rsidR="006B4685" w:rsidRPr="0094063F" w:rsidRDefault="006B4685">
            <w:pPr>
              <w:spacing w:before="60" w:after="60"/>
              <w:jc w:val="right"/>
              <w:rPr>
                <w:noProof/>
                <w:sz w:val="20"/>
              </w:rPr>
            </w:pPr>
            <w:r w:rsidRPr="0094063F">
              <w:rPr>
                <w:noProof/>
                <w:sz w:val="20"/>
                <w:szCs w:val="20"/>
              </w:rPr>
              <w:t>0.000</w:t>
            </w:r>
          </w:p>
        </w:tc>
        <w:tc>
          <w:tcPr>
            <w:tcW w:w="1141" w:type="dxa"/>
            <w:vAlign w:val="center"/>
          </w:tcPr>
          <w:p w:rsidR="006B4685" w:rsidRPr="0094063F" w:rsidRDefault="006B4685">
            <w:pPr>
              <w:spacing w:before="60" w:after="60"/>
              <w:jc w:val="right"/>
              <w:rPr>
                <w:noProof/>
                <w:sz w:val="20"/>
              </w:rPr>
            </w:pPr>
            <w:r w:rsidRPr="0094063F">
              <w:rPr>
                <w:noProof/>
                <w:sz w:val="20"/>
                <w:szCs w:val="20"/>
              </w:rPr>
              <w:t>0.000</w:t>
            </w:r>
          </w:p>
        </w:tc>
        <w:tc>
          <w:tcPr>
            <w:tcW w:w="1141" w:type="dxa"/>
            <w:vAlign w:val="center"/>
          </w:tcPr>
          <w:p w:rsidR="006B4685" w:rsidRPr="0041310F" w:rsidRDefault="006B4685">
            <w:pPr>
              <w:spacing w:before="60" w:after="60"/>
              <w:jc w:val="right"/>
              <w:rPr>
                <w:noProof/>
                <w:sz w:val="20"/>
              </w:rPr>
            </w:pPr>
            <w:r w:rsidRPr="0041310F">
              <w:rPr>
                <w:noProof/>
                <w:sz w:val="20"/>
              </w:rPr>
              <w:t>(0.0</w:t>
            </w:r>
            <w:r>
              <w:rPr>
                <w:noProof/>
                <w:sz w:val="20"/>
              </w:rPr>
              <w:t>88</w:t>
            </w:r>
            <w:r w:rsidRPr="0041310F">
              <w:rPr>
                <w:noProof/>
                <w:sz w:val="20"/>
              </w:rPr>
              <w:t>)</w:t>
            </w:r>
          </w:p>
        </w:tc>
        <w:tc>
          <w:tcPr>
            <w:tcW w:w="1276" w:type="dxa"/>
            <w:vAlign w:val="center"/>
          </w:tcPr>
          <w:p w:rsidR="006B4685" w:rsidRPr="00070628" w:rsidRDefault="006B4685">
            <w:pPr>
              <w:spacing w:before="60" w:after="60"/>
              <w:jc w:val="right"/>
              <w:rPr>
                <w:b/>
                <w:bCs/>
                <w:noProof/>
                <w:sz w:val="20"/>
                <w:szCs w:val="20"/>
              </w:rPr>
            </w:pPr>
            <w:r>
              <w:rPr>
                <w:b/>
                <w:bCs/>
                <w:noProof/>
                <w:sz w:val="20"/>
              </w:rPr>
              <w:t>(</w:t>
            </w:r>
            <w:r w:rsidRPr="00D45D3D">
              <w:rPr>
                <w:b/>
                <w:bCs/>
                <w:noProof/>
                <w:sz w:val="20"/>
              </w:rPr>
              <w:t>0.</w:t>
            </w:r>
            <w:r>
              <w:rPr>
                <w:b/>
                <w:bCs/>
                <w:noProof/>
                <w:sz w:val="20"/>
              </w:rPr>
              <w:t>088)</w:t>
            </w:r>
          </w:p>
        </w:tc>
      </w:tr>
      <w:tr w:rsidR="00110044">
        <w:trPr>
          <w:cantSplit/>
          <w:trHeight w:val="700"/>
        </w:trPr>
        <w:tc>
          <w:tcPr>
            <w:tcW w:w="3659" w:type="dxa"/>
            <w:vAlign w:val="center"/>
          </w:tcPr>
          <w:p w:rsidR="006B4685" w:rsidRDefault="006B4685">
            <w:pPr>
              <w:spacing w:before="60" w:after="60"/>
              <w:jc w:val="left"/>
              <w:rPr>
                <w:noProof/>
                <w:sz w:val="20"/>
              </w:rPr>
            </w:pPr>
            <w:r w:rsidRPr="00070628">
              <w:rPr>
                <w:noProof/>
                <w:sz w:val="20"/>
              </w:rPr>
              <w:t>Appropriations covered by fees</w:t>
            </w:r>
            <w:r>
              <w:rPr>
                <w:noProof/>
                <w:sz w:val="20"/>
              </w:rPr>
              <w:t xml:space="preserve"> </w:t>
            </w:r>
          </w:p>
          <w:p w:rsidR="006B4685" w:rsidRPr="00070628" w:rsidRDefault="006B4685">
            <w:pPr>
              <w:spacing w:before="60" w:after="60"/>
              <w:jc w:val="left"/>
              <w:rPr>
                <w:noProof/>
                <w:sz w:val="20"/>
              </w:rPr>
            </w:pPr>
            <w:r>
              <w:rPr>
                <w:noProof/>
                <w:sz w:val="20"/>
              </w:rPr>
              <w:t>(if applicable)</w:t>
            </w:r>
          </w:p>
        </w:tc>
        <w:tc>
          <w:tcPr>
            <w:tcW w:w="1140" w:type="dxa"/>
            <w:vAlign w:val="center"/>
          </w:tcPr>
          <w:p w:rsidR="006B4685" w:rsidRPr="0094063F" w:rsidRDefault="006B4685">
            <w:pPr>
              <w:spacing w:before="60" w:after="60"/>
              <w:jc w:val="right"/>
              <w:rPr>
                <w:noProof/>
                <w:sz w:val="20"/>
              </w:rPr>
            </w:pPr>
            <w:r w:rsidRPr="0094063F">
              <w:rPr>
                <w:noProof/>
                <w:sz w:val="20"/>
                <w:szCs w:val="20"/>
              </w:rPr>
              <w:t>0.000</w:t>
            </w:r>
          </w:p>
        </w:tc>
        <w:tc>
          <w:tcPr>
            <w:tcW w:w="1141" w:type="dxa"/>
            <w:vAlign w:val="center"/>
          </w:tcPr>
          <w:p w:rsidR="006B4685" w:rsidRPr="0094063F" w:rsidRDefault="006B4685">
            <w:pPr>
              <w:spacing w:before="60" w:after="60"/>
              <w:jc w:val="right"/>
              <w:rPr>
                <w:noProof/>
                <w:sz w:val="20"/>
              </w:rPr>
            </w:pPr>
            <w:r w:rsidRPr="0094063F">
              <w:rPr>
                <w:noProof/>
                <w:sz w:val="20"/>
                <w:szCs w:val="20"/>
              </w:rPr>
              <w:t>0.000</w:t>
            </w:r>
          </w:p>
        </w:tc>
        <w:tc>
          <w:tcPr>
            <w:tcW w:w="1141" w:type="dxa"/>
            <w:vAlign w:val="center"/>
          </w:tcPr>
          <w:p w:rsidR="006B4685" w:rsidRPr="0094063F" w:rsidRDefault="006B4685">
            <w:pPr>
              <w:spacing w:before="60" w:after="60"/>
              <w:jc w:val="right"/>
              <w:rPr>
                <w:noProof/>
                <w:sz w:val="20"/>
              </w:rPr>
            </w:pPr>
            <w:r w:rsidRPr="0094063F">
              <w:rPr>
                <w:noProof/>
                <w:sz w:val="20"/>
                <w:szCs w:val="20"/>
              </w:rPr>
              <w:t>0.000</w:t>
            </w:r>
          </w:p>
        </w:tc>
        <w:tc>
          <w:tcPr>
            <w:tcW w:w="1141" w:type="dxa"/>
            <w:vAlign w:val="center"/>
          </w:tcPr>
          <w:p w:rsidR="006B4685" w:rsidRPr="0094063F" w:rsidRDefault="006B4685">
            <w:pPr>
              <w:spacing w:before="60" w:after="60"/>
              <w:jc w:val="right"/>
              <w:rPr>
                <w:noProof/>
                <w:sz w:val="20"/>
              </w:rPr>
            </w:pPr>
            <w:r w:rsidRPr="0094063F">
              <w:rPr>
                <w:noProof/>
                <w:sz w:val="20"/>
                <w:szCs w:val="20"/>
              </w:rPr>
              <w:t>0.000</w:t>
            </w:r>
          </w:p>
        </w:tc>
        <w:tc>
          <w:tcPr>
            <w:tcW w:w="1276" w:type="dxa"/>
            <w:vAlign w:val="center"/>
          </w:tcPr>
          <w:p w:rsidR="006B4685" w:rsidRPr="00070628" w:rsidRDefault="006B4685">
            <w:pPr>
              <w:spacing w:before="60" w:after="60"/>
              <w:jc w:val="right"/>
              <w:rPr>
                <w:b/>
                <w:bCs/>
                <w:noProof/>
                <w:sz w:val="20"/>
                <w:szCs w:val="20"/>
              </w:rPr>
            </w:pPr>
            <w:r w:rsidRPr="1B2547E8">
              <w:rPr>
                <w:b/>
                <w:bCs/>
                <w:noProof/>
                <w:sz w:val="20"/>
                <w:szCs w:val="20"/>
              </w:rPr>
              <w:t>0.000</w:t>
            </w:r>
          </w:p>
        </w:tc>
      </w:tr>
      <w:tr w:rsidR="00110044">
        <w:trPr>
          <w:cantSplit/>
          <w:trHeight w:val="700"/>
        </w:trPr>
        <w:tc>
          <w:tcPr>
            <w:tcW w:w="3659" w:type="dxa"/>
            <w:vAlign w:val="center"/>
          </w:tcPr>
          <w:p w:rsidR="006B4685" w:rsidRDefault="006B4685">
            <w:pPr>
              <w:spacing w:before="60" w:after="60"/>
              <w:jc w:val="left"/>
              <w:rPr>
                <w:noProof/>
                <w:sz w:val="20"/>
              </w:rPr>
            </w:pPr>
            <w:r w:rsidRPr="00070628">
              <w:rPr>
                <w:noProof/>
                <w:sz w:val="20"/>
              </w:rPr>
              <w:t xml:space="preserve">Appropriations co-financed </w:t>
            </w:r>
          </w:p>
          <w:p w:rsidR="006B4685" w:rsidRPr="00070628" w:rsidRDefault="006B4685">
            <w:pPr>
              <w:spacing w:before="60" w:after="60"/>
              <w:jc w:val="left"/>
              <w:rPr>
                <w:noProof/>
                <w:sz w:val="20"/>
              </w:rPr>
            </w:pPr>
            <w:r w:rsidRPr="00070628">
              <w:rPr>
                <w:noProof/>
                <w:sz w:val="20"/>
              </w:rPr>
              <w:t>(if applicable)</w:t>
            </w:r>
          </w:p>
        </w:tc>
        <w:tc>
          <w:tcPr>
            <w:tcW w:w="1140" w:type="dxa"/>
            <w:vAlign w:val="center"/>
          </w:tcPr>
          <w:p w:rsidR="006B4685" w:rsidRPr="0094063F" w:rsidRDefault="006B4685">
            <w:pPr>
              <w:spacing w:before="60" w:after="60"/>
              <w:jc w:val="right"/>
              <w:rPr>
                <w:noProof/>
                <w:sz w:val="20"/>
              </w:rPr>
            </w:pPr>
            <w:r w:rsidRPr="0094063F">
              <w:rPr>
                <w:noProof/>
                <w:sz w:val="20"/>
                <w:szCs w:val="20"/>
              </w:rPr>
              <w:t>0.000</w:t>
            </w:r>
          </w:p>
        </w:tc>
        <w:tc>
          <w:tcPr>
            <w:tcW w:w="1141" w:type="dxa"/>
            <w:vAlign w:val="center"/>
          </w:tcPr>
          <w:p w:rsidR="006B4685" w:rsidRPr="0094063F" w:rsidRDefault="006B4685">
            <w:pPr>
              <w:spacing w:before="60" w:after="60"/>
              <w:jc w:val="right"/>
              <w:rPr>
                <w:noProof/>
                <w:sz w:val="20"/>
              </w:rPr>
            </w:pPr>
            <w:r w:rsidRPr="0094063F">
              <w:rPr>
                <w:noProof/>
                <w:sz w:val="20"/>
                <w:szCs w:val="20"/>
              </w:rPr>
              <w:t>0.000</w:t>
            </w:r>
          </w:p>
        </w:tc>
        <w:tc>
          <w:tcPr>
            <w:tcW w:w="1141" w:type="dxa"/>
            <w:vAlign w:val="center"/>
          </w:tcPr>
          <w:p w:rsidR="006B4685" w:rsidRPr="0094063F" w:rsidRDefault="006B4685">
            <w:pPr>
              <w:spacing w:before="60" w:after="60"/>
              <w:jc w:val="right"/>
              <w:rPr>
                <w:noProof/>
                <w:sz w:val="20"/>
              </w:rPr>
            </w:pPr>
            <w:r w:rsidRPr="0094063F">
              <w:rPr>
                <w:noProof/>
                <w:sz w:val="20"/>
                <w:szCs w:val="20"/>
              </w:rPr>
              <w:t>0.000</w:t>
            </w:r>
          </w:p>
        </w:tc>
        <w:tc>
          <w:tcPr>
            <w:tcW w:w="1141" w:type="dxa"/>
            <w:vAlign w:val="center"/>
          </w:tcPr>
          <w:p w:rsidR="006B4685" w:rsidRPr="0041310F" w:rsidRDefault="006B4685">
            <w:pPr>
              <w:spacing w:before="60" w:after="60"/>
              <w:jc w:val="right"/>
              <w:rPr>
                <w:noProof/>
                <w:sz w:val="20"/>
              </w:rPr>
            </w:pPr>
            <w:r w:rsidRPr="0041310F">
              <w:rPr>
                <w:noProof/>
                <w:sz w:val="20"/>
              </w:rPr>
              <w:t>(0.131)</w:t>
            </w:r>
          </w:p>
        </w:tc>
        <w:tc>
          <w:tcPr>
            <w:tcW w:w="1276" w:type="dxa"/>
            <w:vAlign w:val="center"/>
          </w:tcPr>
          <w:p w:rsidR="006B4685" w:rsidRPr="00070628" w:rsidRDefault="006B4685">
            <w:pPr>
              <w:spacing w:before="60" w:after="60"/>
              <w:jc w:val="right"/>
              <w:rPr>
                <w:b/>
                <w:bCs/>
                <w:noProof/>
                <w:sz w:val="20"/>
                <w:szCs w:val="20"/>
              </w:rPr>
            </w:pPr>
            <w:r>
              <w:rPr>
                <w:b/>
                <w:bCs/>
                <w:noProof/>
                <w:sz w:val="20"/>
              </w:rPr>
              <w:t>(</w:t>
            </w:r>
            <w:r w:rsidRPr="00D45D3D">
              <w:rPr>
                <w:b/>
                <w:bCs/>
                <w:noProof/>
                <w:sz w:val="20"/>
              </w:rPr>
              <w:t>0.</w:t>
            </w:r>
            <w:r>
              <w:rPr>
                <w:b/>
                <w:bCs/>
                <w:noProof/>
                <w:sz w:val="20"/>
              </w:rPr>
              <w:t>131)</w:t>
            </w:r>
          </w:p>
        </w:tc>
      </w:tr>
      <w:tr w:rsidR="00110044">
        <w:trPr>
          <w:cantSplit/>
          <w:trHeight w:val="700"/>
        </w:trPr>
        <w:tc>
          <w:tcPr>
            <w:tcW w:w="3659" w:type="dxa"/>
            <w:vAlign w:val="center"/>
          </w:tcPr>
          <w:p w:rsidR="006B4685" w:rsidRPr="003F4D71" w:rsidRDefault="006B4685">
            <w:pPr>
              <w:spacing w:before="60" w:after="60"/>
              <w:jc w:val="left"/>
              <w:rPr>
                <w:b/>
                <w:bCs/>
                <w:noProof/>
                <w:sz w:val="20"/>
              </w:rPr>
            </w:pPr>
            <w:r>
              <w:rPr>
                <w:b/>
                <w:bCs/>
                <w:noProof/>
                <w:sz w:val="20"/>
              </w:rPr>
              <w:t xml:space="preserve">TOTAL </w:t>
            </w:r>
            <w:r w:rsidRPr="003F4D71">
              <w:rPr>
                <w:b/>
                <w:bCs/>
                <w:noProof/>
                <w:sz w:val="20"/>
              </w:rPr>
              <w:t>appropriations</w:t>
            </w:r>
          </w:p>
        </w:tc>
        <w:tc>
          <w:tcPr>
            <w:tcW w:w="1140" w:type="dxa"/>
            <w:vAlign w:val="center"/>
          </w:tcPr>
          <w:p w:rsidR="006B4685" w:rsidRPr="00070628" w:rsidRDefault="006B4685">
            <w:pPr>
              <w:spacing w:before="60" w:after="60"/>
              <w:jc w:val="right"/>
              <w:rPr>
                <w:b/>
                <w:bCs/>
                <w:noProof/>
                <w:sz w:val="20"/>
              </w:rPr>
            </w:pPr>
            <w:r>
              <w:rPr>
                <w:b/>
                <w:bCs/>
                <w:noProof/>
                <w:sz w:val="20"/>
              </w:rPr>
              <w:t>0.000</w:t>
            </w:r>
          </w:p>
        </w:tc>
        <w:tc>
          <w:tcPr>
            <w:tcW w:w="1141" w:type="dxa"/>
            <w:vAlign w:val="center"/>
          </w:tcPr>
          <w:p w:rsidR="006B4685" w:rsidRPr="00070628" w:rsidRDefault="006B4685">
            <w:pPr>
              <w:spacing w:before="60" w:after="60"/>
              <w:jc w:val="right"/>
              <w:rPr>
                <w:b/>
                <w:bCs/>
                <w:noProof/>
                <w:sz w:val="20"/>
              </w:rPr>
            </w:pPr>
            <w:r w:rsidRPr="00D45D3D">
              <w:rPr>
                <w:b/>
                <w:bCs/>
                <w:noProof/>
                <w:sz w:val="20"/>
              </w:rPr>
              <w:t>0.000</w:t>
            </w:r>
          </w:p>
        </w:tc>
        <w:tc>
          <w:tcPr>
            <w:tcW w:w="1141" w:type="dxa"/>
            <w:vAlign w:val="center"/>
          </w:tcPr>
          <w:p w:rsidR="006B4685" w:rsidRPr="00070628" w:rsidRDefault="006B4685">
            <w:pPr>
              <w:spacing w:before="60" w:after="60"/>
              <w:jc w:val="right"/>
              <w:rPr>
                <w:b/>
                <w:bCs/>
                <w:noProof/>
                <w:sz w:val="20"/>
              </w:rPr>
            </w:pPr>
            <w:r w:rsidRPr="00D45D3D">
              <w:rPr>
                <w:b/>
                <w:bCs/>
                <w:noProof/>
                <w:sz w:val="20"/>
              </w:rPr>
              <w:t>0.000</w:t>
            </w:r>
          </w:p>
        </w:tc>
        <w:tc>
          <w:tcPr>
            <w:tcW w:w="1141" w:type="dxa"/>
            <w:vAlign w:val="center"/>
          </w:tcPr>
          <w:p w:rsidR="006B4685" w:rsidRPr="00070628" w:rsidRDefault="006B4685">
            <w:pPr>
              <w:spacing w:before="60" w:after="60"/>
              <w:jc w:val="right"/>
              <w:rPr>
                <w:b/>
                <w:bCs/>
                <w:noProof/>
                <w:sz w:val="20"/>
              </w:rPr>
            </w:pPr>
            <w:r>
              <w:rPr>
                <w:b/>
                <w:bCs/>
                <w:noProof/>
                <w:sz w:val="20"/>
              </w:rPr>
              <w:t>(</w:t>
            </w:r>
            <w:r w:rsidRPr="00D45D3D">
              <w:rPr>
                <w:b/>
                <w:bCs/>
                <w:noProof/>
                <w:sz w:val="20"/>
              </w:rPr>
              <w:t>0.</w:t>
            </w:r>
            <w:r>
              <w:rPr>
                <w:b/>
                <w:bCs/>
                <w:noProof/>
                <w:sz w:val="20"/>
              </w:rPr>
              <w:t>219)</w:t>
            </w:r>
          </w:p>
        </w:tc>
        <w:tc>
          <w:tcPr>
            <w:tcW w:w="1276" w:type="dxa"/>
            <w:vAlign w:val="center"/>
          </w:tcPr>
          <w:p w:rsidR="006B4685" w:rsidRPr="00070628" w:rsidRDefault="006B4685">
            <w:pPr>
              <w:spacing w:before="60" w:after="60"/>
              <w:jc w:val="right"/>
              <w:rPr>
                <w:b/>
                <w:bCs/>
                <w:noProof/>
                <w:sz w:val="20"/>
              </w:rPr>
            </w:pPr>
            <w:r>
              <w:rPr>
                <w:b/>
                <w:bCs/>
                <w:noProof/>
                <w:sz w:val="20"/>
              </w:rPr>
              <w:t>(0.219)</w:t>
            </w:r>
          </w:p>
        </w:tc>
      </w:tr>
    </w:tbl>
    <w:p w:rsidR="006B4685" w:rsidRDefault="006B4685" w:rsidP="006B4685">
      <w:pPr>
        <w:pStyle w:val="ManualHeading2"/>
        <w:ind w:left="0" w:firstLine="0"/>
        <w:rPr>
          <w:bCs/>
          <w:noProof/>
          <w:szCs w:val="24"/>
        </w:rPr>
      </w:pPr>
      <w:r>
        <w:rPr>
          <w:noProof/>
        </w:rPr>
        <w:br w:type="page"/>
      </w:r>
      <w:bookmarkStart w:id="168" w:name="_Toc514938059"/>
      <w:bookmarkStart w:id="169" w:name="_Toc520485057"/>
      <w:bookmarkStart w:id="170" w:name="_Toc160804602"/>
      <w:bookmarkStart w:id="171" w:name="_Toc198557791"/>
      <w:r w:rsidRPr="0021790A">
        <w:rPr>
          <w:noProof/>
        </w:rPr>
        <w:t>3.3.</w:t>
      </w:r>
      <w:r w:rsidRPr="0021790A">
        <w:rPr>
          <w:noProof/>
        </w:rPr>
        <w:tab/>
      </w:r>
      <w:r>
        <w:rPr>
          <w:noProof/>
        </w:rPr>
        <w:t>Estimated impact on revenue</w:t>
      </w:r>
      <w:bookmarkEnd w:id="168"/>
      <w:bookmarkEnd w:id="169"/>
      <w:bookmarkEnd w:id="170"/>
      <w:r>
        <w:rPr>
          <w:noProof/>
        </w:rPr>
        <w:t xml:space="preserve"> </w:t>
      </w:r>
      <w:bookmarkEnd w:id="171"/>
    </w:p>
    <w:p w:rsidR="006B4685" w:rsidRDefault="006B4685" w:rsidP="006B4685">
      <w:pPr>
        <w:pStyle w:val="ListDash1"/>
        <w:rPr>
          <w:noProof/>
        </w:rPr>
      </w:pPr>
      <w:r>
        <w:rPr>
          <w:rFonts w:ascii="Wingdings" w:eastAsia="Wingdings" w:hAnsi="Wingdings" w:cs="Wingdings"/>
          <w:noProof/>
        </w:rPr>
        <w:t></w:t>
      </w:r>
      <w:r>
        <w:rPr>
          <w:noProof/>
        </w:rPr>
        <w:tab/>
        <w:t>The proposal/initiative has no financial impact on revenue.</w:t>
      </w:r>
    </w:p>
    <w:p w:rsidR="006B4685" w:rsidRDefault="006B4685" w:rsidP="006B4685">
      <w:pPr>
        <w:pStyle w:val="ListDash1"/>
        <w:rPr>
          <w:noProof/>
        </w:rPr>
      </w:pPr>
      <w:r>
        <w:rPr>
          <w:rFonts w:ascii="Wingdings" w:eastAsia="Wingdings" w:hAnsi="Wingdings" w:cs="Wingdings"/>
          <w:noProof/>
        </w:rPr>
        <w:t></w:t>
      </w:r>
      <w:r>
        <w:rPr>
          <w:noProof/>
        </w:rPr>
        <w:tab/>
        <w:t>The proposal/initiative has the following financial impact:</w:t>
      </w:r>
    </w:p>
    <w:p w:rsidR="006B4685" w:rsidRDefault="006B4685" w:rsidP="006B4685">
      <w:pPr>
        <w:pStyle w:val="ListNumberLevel3"/>
        <w:tabs>
          <w:tab w:val="clear" w:pos="2126"/>
          <w:tab w:val="num" w:pos="1843"/>
        </w:tabs>
        <w:rPr>
          <w:noProof/>
        </w:rPr>
      </w:pPr>
      <w:r>
        <w:rPr>
          <w:rFonts w:ascii="Wingdings" w:eastAsia="Wingdings" w:hAnsi="Wingdings" w:cs="Wingdings"/>
          <w:noProof/>
        </w:rPr>
        <w:t></w:t>
      </w:r>
      <w:r>
        <w:rPr>
          <w:noProof/>
        </w:rPr>
        <w:tab/>
        <w:t xml:space="preserve">on own resources </w:t>
      </w:r>
    </w:p>
    <w:p w:rsidR="006B4685" w:rsidRDefault="006B4685" w:rsidP="006B4685">
      <w:pPr>
        <w:pStyle w:val="ListNumberLevel3"/>
        <w:tabs>
          <w:tab w:val="clear" w:pos="2126"/>
          <w:tab w:val="num" w:pos="1843"/>
        </w:tabs>
        <w:rPr>
          <w:noProof/>
        </w:rPr>
      </w:pPr>
      <w:r>
        <w:rPr>
          <w:rFonts w:ascii="Wingdings" w:eastAsia="Wingdings" w:hAnsi="Wingdings" w:cs="Wingdings"/>
          <w:noProof/>
        </w:rPr>
        <w:t></w:t>
      </w:r>
      <w:r>
        <w:rPr>
          <w:noProof/>
        </w:rPr>
        <w:tab/>
        <w:t>on other revenue</w:t>
      </w:r>
    </w:p>
    <w:p w:rsidR="006B4685" w:rsidRDefault="006B4685" w:rsidP="006B4685">
      <w:pPr>
        <w:pStyle w:val="ListNumberLevel3"/>
        <w:tabs>
          <w:tab w:val="clear" w:pos="2126"/>
          <w:tab w:val="num" w:pos="1843"/>
        </w:tabs>
        <w:rPr>
          <w:noProof/>
        </w:rPr>
      </w:pPr>
      <w:r w:rsidRPr="0047065F">
        <w:rPr>
          <w:rFonts w:ascii="Wingdings" w:eastAsia="Wingdings" w:hAnsi="Wingdings" w:cs="Wingdings"/>
          <w:noProof/>
        </w:rPr>
        <w:t></w:t>
      </w:r>
      <w:r>
        <w:rPr>
          <w:noProof/>
        </w:rPr>
        <w:tab/>
      </w:r>
      <w:r w:rsidRPr="009B753E">
        <w:rPr>
          <w:noProof/>
        </w:rPr>
        <w:t>please indicate, if the revenue is assigned to expenditure lines</w:t>
      </w:r>
    </w:p>
    <w:p w:rsidR="006B4685" w:rsidRPr="0047065F" w:rsidRDefault="006B4685" w:rsidP="006B4685">
      <w:pPr>
        <w:ind w:left="4320"/>
        <w:jc w:val="right"/>
        <w:rPr>
          <w:i/>
          <w:noProof/>
          <w:sz w:val="20"/>
          <w:szCs w:val="20"/>
          <w:lang w:val="en-IE"/>
        </w:rPr>
      </w:pPr>
      <w:r w:rsidRPr="0047065F">
        <w:rPr>
          <w:noProof/>
          <w:sz w:val="20"/>
          <w:szCs w:val="20"/>
          <w:lang w:val="en-IE"/>
        </w:rPr>
        <w:t xml:space="preserve">     EUR million (to three decimal places)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3"/>
        <w:gridCol w:w="1614"/>
        <w:gridCol w:w="1692"/>
        <w:gridCol w:w="1044"/>
        <w:gridCol w:w="1035"/>
        <w:gridCol w:w="1261"/>
      </w:tblGrid>
      <w:tr w:rsidR="006B4685" w:rsidRPr="003A769F">
        <w:trPr>
          <w:trHeight w:val="388"/>
        </w:trPr>
        <w:tc>
          <w:tcPr>
            <w:tcW w:w="1422" w:type="pct"/>
            <w:vMerge w:val="restart"/>
            <w:vAlign w:val="center"/>
          </w:tcPr>
          <w:p w:rsidR="006B4685" w:rsidRDefault="006B4685">
            <w:pPr>
              <w:spacing w:before="40" w:after="40"/>
              <w:rPr>
                <w:noProof/>
                <w:sz w:val="18"/>
              </w:rPr>
            </w:pPr>
            <w:r>
              <w:rPr>
                <w:noProof/>
                <w:sz w:val="18"/>
              </w:rPr>
              <w:t>Budget revenue line:</w:t>
            </w:r>
          </w:p>
        </w:tc>
        <w:tc>
          <w:tcPr>
            <w:tcW w:w="868" w:type="pct"/>
            <w:vMerge w:val="restart"/>
            <w:vAlign w:val="center"/>
          </w:tcPr>
          <w:p w:rsidR="006B4685" w:rsidRPr="003A769F" w:rsidRDefault="006B4685">
            <w:pPr>
              <w:jc w:val="center"/>
              <w:rPr>
                <w:noProof/>
                <w:sz w:val="18"/>
                <w:lang w:val="en-IE"/>
              </w:rPr>
            </w:pPr>
            <w:r w:rsidRPr="003A769F">
              <w:rPr>
                <w:noProof/>
                <w:sz w:val="18"/>
                <w:lang w:val="en-IE"/>
              </w:rPr>
              <w:t>Appropriations available for the current financial year</w:t>
            </w:r>
          </w:p>
        </w:tc>
        <w:tc>
          <w:tcPr>
            <w:tcW w:w="2709" w:type="pct"/>
            <w:gridSpan w:val="4"/>
            <w:vAlign w:val="center"/>
          </w:tcPr>
          <w:p w:rsidR="006B4685" w:rsidRPr="003A769F" w:rsidRDefault="006B4685">
            <w:pPr>
              <w:jc w:val="center"/>
              <w:rPr>
                <w:noProof/>
                <w:sz w:val="18"/>
                <w:lang w:val="en-IE"/>
              </w:rPr>
            </w:pPr>
            <w:r w:rsidRPr="003A769F">
              <w:rPr>
                <w:noProof/>
                <w:sz w:val="18"/>
                <w:lang w:val="en-IE"/>
              </w:rPr>
              <w:t>Impact of the proposal/initiative</w:t>
            </w:r>
            <w:r>
              <w:rPr>
                <w:rStyle w:val="FootnoteReference"/>
                <w:noProof/>
                <w:sz w:val="18"/>
              </w:rPr>
              <w:footnoteReference w:id="45"/>
            </w:r>
          </w:p>
        </w:tc>
      </w:tr>
      <w:tr w:rsidR="006B4685" w:rsidRPr="003A769F">
        <w:trPr>
          <w:trHeight w:val="388"/>
        </w:trPr>
        <w:tc>
          <w:tcPr>
            <w:tcW w:w="1422" w:type="pct"/>
            <w:vMerge/>
          </w:tcPr>
          <w:p w:rsidR="006B4685" w:rsidRPr="003A769F" w:rsidRDefault="006B4685">
            <w:pPr>
              <w:spacing w:before="40" w:after="40"/>
              <w:rPr>
                <w:noProof/>
                <w:sz w:val="18"/>
                <w:lang w:val="en-IE"/>
              </w:rPr>
            </w:pPr>
          </w:p>
        </w:tc>
        <w:tc>
          <w:tcPr>
            <w:tcW w:w="868" w:type="pct"/>
            <w:vMerge/>
          </w:tcPr>
          <w:p w:rsidR="006B4685" w:rsidRPr="003A769F" w:rsidRDefault="006B4685">
            <w:pPr>
              <w:spacing w:beforeLines="40" w:before="96" w:afterLines="40" w:after="96"/>
              <w:rPr>
                <w:i/>
                <w:noProof/>
                <w:sz w:val="18"/>
                <w:lang w:val="en-IE"/>
              </w:rPr>
            </w:pPr>
          </w:p>
        </w:tc>
        <w:tc>
          <w:tcPr>
            <w:tcW w:w="911" w:type="pct"/>
            <w:vAlign w:val="center"/>
          </w:tcPr>
          <w:p w:rsidR="006B4685" w:rsidRDefault="006B4685">
            <w:pPr>
              <w:jc w:val="center"/>
              <w:rPr>
                <w:noProof/>
                <w:sz w:val="18"/>
              </w:rPr>
            </w:pPr>
            <w:r>
              <w:rPr>
                <w:noProof/>
                <w:sz w:val="18"/>
              </w:rPr>
              <w:t xml:space="preserve">Year </w:t>
            </w:r>
            <w:r>
              <w:rPr>
                <w:b/>
                <w:noProof/>
                <w:sz w:val="18"/>
              </w:rPr>
              <w:t>2024</w:t>
            </w:r>
          </w:p>
        </w:tc>
        <w:tc>
          <w:tcPr>
            <w:tcW w:w="562" w:type="pct"/>
            <w:vAlign w:val="center"/>
          </w:tcPr>
          <w:p w:rsidR="006B4685" w:rsidRDefault="006B4685">
            <w:pPr>
              <w:jc w:val="center"/>
              <w:rPr>
                <w:noProof/>
                <w:sz w:val="18"/>
              </w:rPr>
            </w:pPr>
            <w:r>
              <w:rPr>
                <w:noProof/>
                <w:sz w:val="18"/>
              </w:rPr>
              <w:t xml:space="preserve">Year </w:t>
            </w:r>
            <w:r>
              <w:rPr>
                <w:b/>
                <w:noProof/>
                <w:sz w:val="18"/>
              </w:rPr>
              <w:t>2025</w:t>
            </w:r>
          </w:p>
        </w:tc>
        <w:tc>
          <w:tcPr>
            <w:tcW w:w="557" w:type="pct"/>
            <w:vAlign w:val="center"/>
          </w:tcPr>
          <w:p w:rsidR="006B4685" w:rsidRDefault="006B4685">
            <w:pPr>
              <w:jc w:val="center"/>
              <w:rPr>
                <w:noProof/>
                <w:sz w:val="18"/>
              </w:rPr>
            </w:pPr>
            <w:r>
              <w:rPr>
                <w:noProof/>
                <w:sz w:val="18"/>
              </w:rPr>
              <w:t xml:space="preserve">Year </w:t>
            </w:r>
            <w:r>
              <w:rPr>
                <w:b/>
                <w:noProof/>
                <w:sz w:val="18"/>
              </w:rPr>
              <w:t>2026</w:t>
            </w:r>
          </w:p>
        </w:tc>
        <w:tc>
          <w:tcPr>
            <w:tcW w:w="677" w:type="pct"/>
            <w:vAlign w:val="center"/>
          </w:tcPr>
          <w:p w:rsidR="006B4685" w:rsidRDefault="006B4685">
            <w:pPr>
              <w:jc w:val="center"/>
              <w:rPr>
                <w:noProof/>
                <w:sz w:val="18"/>
              </w:rPr>
            </w:pPr>
            <w:r>
              <w:rPr>
                <w:noProof/>
                <w:sz w:val="18"/>
              </w:rPr>
              <w:t xml:space="preserve">Year </w:t>
            </w:r>
            <w:r>
              <w:rPr>
                <w:b/>
                <w:noProof/>
                <w:sz w:val="18"/>
              </w:rPr>
              <w:t>2027</w:t>
            </w:r>
          </w:p>
        </w:tc>
      </w:tr>
      <w:tr w:rsidR="006B4685">
        <w:trPr>
          <w:trHeight w:val="388"/>
        </w:trPr>
        <w:tc>
          <w:tcPr>
            <w:tcW w:w="1422" w:type="pct"/>
            <w:vAlign w:val="center"/>
          </w:tcPr>
          <w:p w:rsidR="006B4685" w:rsidRDefault="006B4685">
            <w:pPr>
              <w:spacing w:before="40" w:after="40"/>
              <w:rPr>
                <w:noProof/>
                <w:sz w:val="18"/>
              </w:rPr>
            </w:pPr>
            <w:r>
              <w:rPr>
                <w:noProof/>
                <w:sz w:val="18"/>
              </w:rPr>
              <w:t>Article ………….</w:t>
            </w:r>
          </w:p>
        </w:tc>
        <w:tc>
          <w:tcPr>
            <w:tcW w:w="868" w:type="pct"/>
          </w:tcPr>
          <w:p w:rsidR="006B4685" w:rsidRDefault="006B4685">
            <w:pPr>
              <w:spacing w:beforeLines="40" w:before="96" w:afterLines="40" w:after="96"/>
              <w:jc w:val="center"/>
              <w:rPr>
                <w:i/>
                <w:noProof/>
                <w:sz w:val="18"/>
              </w:rPr>
            </w:pPr>
          </w:p>
        </w:tc>
        <w:tc>
          <w:tcPr>
            <w:tcW w:w="911" w:type="pct"/>
          </w:tcPr>
          <w:p w:rsidR="006B4685" w:rsidRDefault="006B4685">
            <w:pPr>
              <w:spacing w:beforeLines="40" w:before="96" w:afterLines="40" w:after="96"/>
              <w:jc w:val="center"/>
              <w:rPr>
                <w:noProof/>
                <w:sz w:val="18"/>
              </w:rPr>
            </w:pPr>
          </w:p>
        </w:tc>
        <w:tc>
          <w:tcPr>
            <w:tcW w:w="562" w:type="pct"/>
          </w:tcPr>
          <w:p w:rsidR="006B4685" w:rsidRDefault="006B4685">
            <w:pPr>
              <w:spacing w:beforeLines="40" w:before="96" w:afterLines="40" w:after="96"/>
              <w:jc w:val="center"/>
              <w:rPr>
                <w:noProof/>
                <w:sz w:val="18"/>
              </w:rPr>
            </w:pPr>
          </w:p>
        </w:tc>
        <w:tc>
          <w:tcPr>
            <w:tcW w:w="557" w:type="pct"/>
          </w:tcPr>
          <w:p w:rsidR="006B4685" w:rsidRDefault="006B4685">
            <w:pPr>
              <w:spacing w:beforeLines="40" w:before="96" w:afterLines="40" w:after="96"/>
              <w:jc w:val="center"/>
              <w:rPr>
                <w:noProof/>
                <w:sz w:val="18"/>
              </w:rPr>
            </w:pPr>
          </w:p>
        </w:tc>
        <w:tc>
          <w:tcPr>
            <w:tcW w:w="677" w:type="pct"/>
          </w:tcPr>
          <w:p w:rsidR="006B4685" w:rsidRDefault="006B4685">
            <w:pPr>
              <w:spacing w:beforeLines="40" w:before="96" w:afterLines="40" w:after="96"/>
              <w:jc w:val="center"/>
              <w:rPr>
                <w:noProof/>
                <w:sz w:val="18"/>
              </w:rPr>
            </w:pPr>
          </w:p>
        </w:tc>
      </w:tr>
    </w:tbl>
    <w:p w:rsidR="006B4685" w:rsidRPr="0047065F" w:rsidRDefault="006B4685" w:rsidP="006B4685">
      <w:pPr>
        <w:pStyle w:val="Text1"/>
        <w:rPr>
          <w:noProof/>
          <w:szCs w:val="24"/>
        </w:rPr>
      </w:pPr>
      <w:r w:rsidRPr="0047065F">
        <w:rPr>
          <w:noProof/>
          <w:szCs w:val="24"/>
        </w:rPr>
        <w:t>For assigned revenue, specify the budget expenditure line(s) affected.</w:t>
      </w:r>
    </w:p>
    <w:p w:rsidR="006B4685" w:rsidRDefault="006B4685" w:rsidP="006B4685">
      <w:pPr>
        <w:pStyle w:val="Text1"/>
        <w:pBdr>
          <w:top w:val="single" w:sz="4" w:space="1" w:color="auto"/>
          <w:left w:val="single" w:sz="4" w:space="4" w:color="auto"/>
          <w:bottom w:val="single" w:sz="4" w:space="1" w:color="auto"/>
          <w:right w:val="single" w:sz="4" w:space="4" w:color="auto"/>
        </w:pBdr>
        <w:rPr>
          <w:noProof/>
        </w:rPr>
      </w:pPr>
    </w:p>
    <w:p w:rsidR="006B4685" w:rsidRPr="0047065F" w:rsidRDefault="006B4685" w:rsidP="006B4685">
      <w:pPr>
        <w:pStyle w:val="Text1"/>
        <w:rPr>
          <w:noProof/>
          <w:szCs w:val="24"/>
        </w:rPr>
      </w:pPr>
      <w:r w:rsidRPr="0047065F">
        <w:rPr>
          <w:noProof/>
          <w:szCs w:val="24"/>
        </w:rPr>
        <w:t>Other remarks (e.g. method/formula used for calculating the impact on revenue or any other information).</w:t>
      </w:r>
    </w:p>
    <w:p w:rsidR="006B4685" w:rsidRDefault="006B4685" w:rsidP="006B4685">
      <w:pPr>
        <w:pStyle w:val="Text1"/>
        <w:pBdr>
          <w:top w:val="single" w:sz="4" w:space="1" w:color="auto"/>
          <w:left w:val="single" w:sz="4" w:space="4" w:color="auto"/>
          <w:bottom w:val="single" w:sz="4" w:space="1" w:color="auto"/>
          <w:right w:val="single" w:sz="4" w:space="4" w:color="auto"/>
        </w:pBdr>
        <w:rPr>
          <w:noProof/>
        </w:rPr>
      </w:pPr>
    </w:p>
    <w:p w:rsidR="006B4685" w:rsidRPr="00657433" w:rsidRDefault="006B4685" w:rsidP="006B4685">
      <w:pPr>
        <w:pStyle w:val="ManualHeading1"/>
        <w:spacing w:line="259" w:lineRule="auto"/>
        <w:rPr>
          <w:noProof/>
        </w:rPr>
      </w:pPr>
      <w:bookmarkStart w:id="172" w:name="_Toc198557792"/>
      <w:r>
        <w:rPr>
          <w:noProof/>
        </w:rPr>
        <w:t>4.</w:t>
      </w:r>
      <w:r>
        <w:rPr>
          <w:noProof/>
        </w:rPr>
        <w:tab/>
        <w:t>Digital dimensions</w:t>
      </w:r>
      <w:bookmarkEnd w:id="172"/>
    </w:p>
    <w:p w:rsidR="00FF5FCC" w:rsidRDefault="000D228A" w:rsidP="006B4685">
      <w:pPr>
        <w:pStyle w:val="ManualHeading2"/>
        <w:rPr>
          <w:noProof/>
        </w:rPr>
      </w:pPr>
      <w:r w:rsidRPr="00453524">
        <w:rPr>
          <w:noProof/>
        </w:rPr>
        <w:t xml:space="preserve">The proposed amendments to </w:t>
      </w:r>
      <w:r w:rsidRPr="00FF5FCC">
        <w:rPr>
          <w:noProof/>
        </w:rPr>
        <w:t>Regulation (EU) 2017/2402</w:t>
      </w:r>
      <w:r w:rsidRPr="00453524">
        <w:rPr>
          <w:noProof/>
        </w:rPr>
        <w:t xml:space="preserve"> do not substantially modify the digital infrastructure and processes that support the implementation of the Regulation. Consequently, the proposal is considered of no digital relevance.</w:t>
      </w:r>
      <w:bookmarkStart w:id="173" w:name="_Toc167220302"/>
      <w:bookmarkStart w:id="174" w:name="_Toc167265072"/>
      <w:bookmarkStart w:id="175" w:name="_Toc198557793"/>
    </w:p>
    <w:p w:rsidR="006B4685" w:rsidRPr="008774EA" w:rsidRDefault="006B4685" w:rsidP="006B4685">
      <w:pPr>
        <w:pStyle w:val="ManualHeading2"/>
        <w:rPr>
          <w:noProof/>
        </w:rPr>
      </w:pPr>
      <w:r>
        <w:rPr>
          <w:noProof/>
        </w:rPr>
        <w:t>4.1.</w:t>
      </w:r>
      <w:r>
        <w:rPr>
          <w:noProof/>
        </w:rPr>
        <w:tab/>
        <w:t>Requirements of digital relevance</w:t>
      </w:r>
      <w:bookmarkEnd w:id="173"/>
      <w:bookmarkEnd w:id="174"/>
      <w:bookmarkEnd w:id="175"/>
    </w:p>
    <w:tbl>
      <w:tblPr>
        <w:tblStyle w:val="TableGrid"/>
        <w:tblW w:w="9072" w:type="dxa"/>
        <w:tblInd w:w="-5" w:type="dxa"/>
        <w:tblLayout w:type="fixed"/>
        <w:tblLook w:val="06A0" w:firstRow="1" w:lastRow="0" w:firstColumn="1" w:lastColumn="0" w:noHBand="1" w:noVBand="1"/>
      </w:tblPr>
      <w:tblGrid>
        <w:gridCol w:w="9072"/>
      </w:tblGrid>
      <w:tr w:rsidR="006B4685">
        <w:trPr>
          <w:trHeight w:val="300"/>
        </w:trPr>
        <w:tc>
          <w:tcPr>
            <w:tcW w:w="9072" w:type="dxa"/>
          </w:tcPr>
          <w:p w:rsidR="006B4685" w:rsidRPr="0041310F" w:rsidRDefault="006B4685">
            <w:pPr>
              <w:spacing w:line="259" w:lineRule="auto"/>
              <w:rPr>
                <w:noProof/>
              </w:rPr>
            </w:pPr>
            <w:r w:rsidRPr="00186012">
              <w:rPr>
                <w:noProof/>
              </w:rPr>
              <w:t>Not applicable</w:t>
            </w:r>
          </w:p>
        </w:tc>
      </w:tr>
    </w:tbl>
    <w:p w:rsidR="006B4685" w:rsidRPr="00902D52" w:rsidRDefault="006B4685" w:rsidP="006B4685">
      <w:pPr>
        <w:pStyle w:val="ManualHeading2"/>
        <w:rPr>
          <w:noProof/>
        </w:rPr>
      </w:pPr>
      <w:bookmarkStart w:id="176" w:name="_Toc167220303"/>
      <w:bookmarkStart w:id="177" w:name="_Toc167265073"/>
      <w:bookmarkStart w:id="178" w:name="_Toc198557794"/>
      <w:r>
        <w:rPr>
          <w:noProof/>
        </w:rPr>
        <w:t>4.2.</w:t>
      </w:r>
      <w:r>
        <w:rPr>
          <w:noProof/>
        </w:rPr>
        <w:tab/>
        <w:t>Data</w:t>
      </w:r>
      <w:bookmarkEnd w:id="176"/>
      <w:bookmarkEnd w:id="177"/>
      <w:bookmarkEnd w:id="178"/>
    </w:p>
    <w:tbl>
      <w:tblPr>
        <w:tblStyle w:val="TableGrid"/>
        <w:tblW w:w="0" w:type="auto"/>
        <w:tblLook w:val="04A0" w:firstRow="1" w:lastRow="0" w:firstColumn="1" w:lastColumn="0" w:noHBand="0" w:noVBand="1"/>
      </w:tblPr>
      <w:tblGrid>
        <w:gridCol w:w="9063"/>
      </w:tblGrid>
      <w:tr w:rsidR="006B4685">
        <w:tc>
          <w:tcPr>
            <w:tcW w:w="9063" w:type="dxa"/>
          </w:tcPr>
          <w:p w:rsidR="006B4685" w:rsidRPr="0041310F" w:rsidRDefault="006B4685">
            <w:pPr>
              <w:rPr>
                <w:noProof/>
                <w:color w:val="008000"/>
              </w:rPr>
            </w:pPr>
            <w:r w:rsidRPr="00186012">
              <w:rPr>
                <w:noProof/>
              </w:rPr>
              <w:t>Not applicable</w:t>
            </w:r>
          </w:p>
        </w:tc>
      </w:tr>
    </w:tbl>
    <w:p w:rsidR="006B4685" w:rsidRPr="009347D1" w:rsidRDefault="006B4685" w:rsidP="006B4685">
      <w:pPr>
        <w:pStyle w:val="ManualHeading2"/>
        <w:rPr>
          <w:noProof/>
        </w:rPr>
      </w:pPr>
      <w:bookmarkStart w:id="179" w:name="_Toc167220305"/>
      <w:bookmarkStart w:id="180" w:name="_Toc167265074"/>
      <w:bookmarkStart w:id="181" w:name="_Toc198557795"/>
      <w:r>
        <w:rPr>
          <w:noProof/>
        </w:rPr>
        <w:t>4.3.</w:t>
      </w:r>
      <w:r>
        <w:rPr>
          <w:noProof/>
        </w:rPr>
        <w:tab/>
        <w:t>Digital solutions</w:t>
      </w:r>
      <w:bookmarkEnd w:id="179"/>
      <w:bookmarkEnd w:id="180"/>
      <w:bookmarkEnd w:id="181"/>
    </w:p>
    <w:tbl>
      <w:tblPr>
        <w:tblStyle w:val="TableGrid"/>
        <w:tblpPr w:leftFromText="141" w:rightFromText="141" w:vertAnchor="text" w:horzAnchor="margin" w:tblpY="2"/>
        <w:tblW w:w="9067" w:type="dxa"/>
        <w:tblLook w:val="04A0" w:firstRow="1" w:lastRow="0" w:firstColumn="1" w:lastColumn="0" w:noHBand="0" w:noVBand="1"/>
      </w:tblPr>
      <w:tblGrid>
        <w:gridCol w:w="9067"/>
      </w:tblGrid>
      <w:tr w:rsidR="006B4685">
        <w:tc>
          <w:tcPr>
            <w:tcW w:w="9067" w:type="dxa"/>
          </w:tcPr>
          <w:p w:rsidR="006B4685" w:rsidRPr="001B7467" w:rsidRDefault="006B4685">
            <w:pPr>
              <w:spacing w:line="259" w:lineRule="auto"/>
              <w:rPr>
                <w:noProof/>
              </w:rPr>
            </w:pPr>
            <w:r w:rsidRPr="00186012">
              <w:rPr>
                <w:noProof/>
              </w:rPr>
              <w:t>Not applicable</w:t>
            </w:r>
          </w:p>
        </w:tc>
      </w:tr>
    </w:tbl>
    <w:p w:rsidR="006B4685" w:rsidRPr="00423A43" w:rsidRDefault="006B4685" w:rsidP="006B4685">
      <w:pPr>
        <w:pStyle w:val="ManualHeading2"/>
        <w:rPr>
          <w:noProof/>
        </w:rPr>
      </w:pPr>
      <w:bookmarkStart w:id="182" w:name="_Toc167220304"/>
      <w:bookmarkStart w:id="183" w:name="_Toc167265075"/>
      <w:bookmarkStart w:id="184" w:name="_Toc198557796"/>
      <w:r w:rsidRPr="00423A43">
        <w:rPr>
          <w:noProof/>
        </w:rPr>
        <w:t>4.4.</w:t>
      </w:r>
      <w:r>
        <w:rPr>
          <w:noProof/>
        </w:rPr>
        <w:tab/>
      </w:r>
      <w:r w:rsidRPr="00423A43">
        <w:rPr>
          <w:noProof/>
        </w:rPr>
        <w:t>Interoperability assessment</w:t>
      </w:r>
      <w:bookmarkEnd w:id="182"/>
      <w:bookmarkEnd w:id="183"/>
      <w:bookmarkEnd w:id="184"/>
    </w:p>
    <w:tbl>
      <w:tblPr>
        <w:tblStyle w:val="TableGrid"/>
        <w:tblpPr w:leftFromText="141" w:rightFromText="141" w:vertAnchor="text" w:horzAnchor="margin" w:tblpY="36"/>
        <w:tblW w:w="9067" w:type="dxa"/>
        <w:tblLayout w:type="fixed"/>
        <w:tblLook w:val="06A0" w:firstRow="1" w:lastRow="0" w:firstColumn="1" w:lastColumn="0" w:noHBand="1" w:noVBand="1"/>
      </w:tblPr>
      <w:tblGrid>
        <w:gridCol w:w="9067"/>
      </w:tblGrid>
      <w:tr w:rsidR="006B4685">
        <w:trPr>
          <w:trHeight w:val="300"/>
        </w:trPr>
        <w:tc>
          <w:tcPr>
            <w:tcW w:w="9067" w:type="dxa"/>
          </w:tcPr>
          <w:p w:rsidR="006B4685" w:rsidRPr="00EA72C1" w:rsidRDefault="006B4685">
            <w:pPr>
              <w:rPr>
                <w:i/>
                <w:iCs/>
                <w:noProof/>
                <w:color w:val="215868" w:themeColor="accent5" w:themeShade="80"/>
              </w:rPr>
            </w:pPr>
            <w:r w:rsidRPr="00FC78D7">
              <w:rPr>
                <w:noProof/>
              </w:rPr>
              <w:t>Not applicable</w:t>
            </w:r>
          </w:p>
        </w:tc>
      </w:tr>
    </w:tbl>
    <w:p w:rsidR="006B4685" w:rsidRPr="001B7467" w:rsidRDefault="006B4685" w:rsidP="006B4685">
      <w:pPr>
        <w:pStyle w:val="ManualHeading2"/>
        <w:rPr>
          <w:noProof/>
        </w:rPr>
      </w:pPr>
      <w:bookmarkStart w:id="185" w:name="_Toc167220306"/>
      <w:bookmarkStart w:id="186" w:name="_Toc167265076"/>
      <w:bookmarkStart w:id="187" w:name="_Toc198557797"/>
      <w:r>
        <w:rPr>
          <w:noProof/>
        </w:rPr>
        <w:t>4.5.</w:t>
      </w:r>
      <w:r>
        <w:rPr>
          <w:noProof/>
        </w:rPr>
        <w:tab/>
        <w:t>Measures to support digital</w:t>
      </w:r>
      <w:r w:rsidRPr="001B7467">
        <w:rPr>
          <w:noProof/>
        </w:rPr>
        <w:t xml:space="preserve"> </w:t>
      </w:r>
      <w:r>
        <w:rPr>
          <w:noProof/>
        </w:rPr>
        <w:t>i</w:t>
      </w:r>
      <w:r w:rsidRPr="001B7467">
        <w:rPr>
          <w:noProof/>
        </w:rPr>
        <w:t>mplementation</w:t>
      </w:r>
      <w:bookmarkEnd w:id="185"/>
      <w:bookmarkEnd w:id="186"/>
      <w:bookmarkEnd w:id="187"/>
    </w:p>
    <w:tbl>
      <w:tblPr>
        <w:tblStyle w:val="TableGrid"/>
        <w:tblpPr w:leftFromText="141" w:rightFromText="141" w:vertAnchor="text" w:horzAnchor="margin" w:tblpY="49"/>
        <w:tblW w:w="9067" w:type="dxa"/>
        <w:tblLook w:val="04A0" w:firstRow="1" w:lastRow="0" w:firstColumn="1" w:lastColumn="0" w:noHBand="0" w:noVBand="1"/>
      </w:tblPr>
      <w:tblGrid>
        <w:gridCol w:w="9067"/>
      </w:tblGrid>
      <w:tr w:rsidR="006B4685">
        <w:tc>
          <w:tcPr>
            <w:tcW w:w="9067" w:type="dxa"/>
          </w:tcPr>
          <w:p w:rsidR="006B4685" w:rsidRPr="0041310F" w:rsidRDefault="006B4685">
            <w:pPr>
              <w:rPr>
                <w:noProof/>
                <w:color w:val="0000FF"/>
              </w:rPr>
            </w:pPr>
            <w:r w:rsidRPr="00186012">
              <w:rPr>
                <w:noProof/>
              </w:rPr>
              <w:t>Not applicable</w:t>
            </w:r>
          </w:p>
        </w:tc>
      </w:tr>
    </w:tbl>
    <w:p w:rsidR="006B4685" w:rsidRPr="00605EF1" w:rsidRDefault="006B4685" w:rsidP="006B4685">
      <w:pPr>
        <w:rPr>
          <w:noProof/>
          <w:lang w:val="en-IE"/>
        </w:rPr>
      </w:pPr>
    </w:p>
    <w:p w:rsidR="00783B30" w:rsidRPr="00F57AC8" w:rsidRDefault="00783B30" w:rsidP="00F57AC8">
      <w:pPr>
        <w:pStyle w:val="Text1"/>
        <w:rPr>
          <w:noProof/>
        </w:rPr>
      </w:pPr>
    </w:p>
    <w:sectPr w:rsidR="00783B30" w:rsidRPr="00F57AC8" w:rsidSect="001B1F0B">
      <w:headerReference w:type="default" r:id="rId25"/>
      <w:footerReference w:type="default" r:id="rId2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751" w:rsidRDefault="00860751" w:rsidP="00D761DA">
      <w:pPr>
        <w:spacing w:before="0" w:after="0"/>
      </w:pPr>
      <w:r>
        <w:separator/>
      </w:r>
    </w:p>
  </w:endnote>
  <w:endnote w:type="continuationSeparator" w:id="0">
    <w:p w:rsidR="00860751" w:rsidRDefault="00860751" w:rsidP="00D761DA">
      <w:pPr>
        <w:spacing w:before="0" w:after="0"/>
      </w:pPr>
      <w:r>
        <w:continuationSeparator/>
      </w:r>
    </w:p>
  </w:endnote>
  <w:endnote w:type="continuationNotice" w:id="1">
    <w:p w:rsidR="00860751" w:rsidRDefault="0086075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EUAlbertina">
    <w:altName w:val="Cambria"/>
    <w:charset w:val="00"/>
    <w:family w:val="auto"/>
    <w:pitch w:val="variable"/>
    <w:sig w:usb0="800002EF" w:usb1="1000E0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F0B" w:rsidRPr="001B1F0B" w:rsidRDefault="001B1F0B" w:rsidP="001B1F0B">
    <w:pPr>
      <w:pStyle w:val="Footer"/>
      <w:rPr>
        <w:rFonts w:ascii="Arial" w:hAnsi="Arial" w:cs="Arial"/>
        <w:b/>
        <w:sz w:val="48"/>
      </w:rPr>
    </w:pPr>
    <w:r w:rsidRPr="001B1F0B">
      <w:rPr>
        <w:rFonts w:ascii="Arial" w:hAnsi="Arial" w:cs="Arial"/>
        <w:b/>
        <w:sz w:val="48"/>
      </w:rPr>
      <w:t>EN</w:t>
    </w:r>
    <w:r w:rsidRPr="001B1F0B">
      <w:rPr>
        <w:rFonts w:ascii="Arial" w:hAnsi="Arial" w:cs="Arial"/>
        <w:b/>
        <w:sz w:val="48"/>
      </w:rPr>
      <w:tab/>
    </w:r>
    <w:r w:rsidRPr="001B1F0B">
      <w:rPr>
        <w:rFonts w:ascii="Arial" w:hAnsi="Arial" w:cs="Arial"/>
        <w:b/>
        <w:sz w:val="48"/>
      </w:rPr>
      <w:tab/>
    </w:r>
    <w:r w:rsidRPr="001B1F0B">
      <w:tab/>
    </w:r>
    <w:r w:rsidRPr="001B1F0B">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F0B" w:rsidRPr="001B1F0B" w:rsidRDefault="001B1F0B" w:rsidP="001B1F0B">
    <w:pPr>
      <w:pStyle w:val="Footer"/>
      <w:rPr>
        <w:rFonts w:ascii="Arial" w:hAnsi="Arial" w:cs="Arial"/>
        <w:b/>
        <w:sz w:val="48"/>
      </w:rPr>
    </w:pPr>
    <w:r w:rsidRPr="001B1F0B">
      <w:rPr>
        <w:rFonts w:ascii="Arial" w:hAnsi="Arial" w:cs="Arial"/>
        <w:b/>
        <w:sz w:val="48"/>
      </w:rPr>
      <w:t>EN</w:t>
    </w:r>
    <w:r w:rsidRPr="001B1F0B">
      <w:rPr>
        <w:rFonts w:ascii="Arial" w:hAnsi="Arial" w:cs="Arial"/>
        <w:b/>
        <w:sz w:val="48"/>
      </w:rPr>
      <w:tab/>
    </w:r>
    <w:r w:rsidRPr="001B1F0B">
      <w:rPr>
        <w:rFonts w:ascii="Arial" w:hAnsi="Arial" w:cs="Arial"/>
        <w:b/>
        <w:sz w:val="48"/>
      </w:rPr>
      <w:tab/>
    </w:r>
    <w:r w:rsidRPr="001B1F0B">
      <w:tab/>
    </w:r>
    <w:r w:rsidRPr="001B1F0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F0B" w:rsidRDefault="001B1F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F0B" w:rsidRPr="001B1F0B" w:rsidRDefault="001B1F0B" w:rsidP="001B1F0B">
    <w:pPr>
      <w:pStyle w:val="Footer"/>
      <w:rPr>
        <w:rFonts w:ascii="Arial" w:hAnsi="Arial" w:cs="Arial"/>
        <w:b/>
        <w:sz w:val="48"/>
      </w:rPr>
    </w:pPr>
    <w:r w:rsidRPr="001B1F0B">
      <w:rPr>
        <w:rFonts w:ascii="Arial" w:hAnsi="Arial" w:cs="Arial"/>
        <w:b/>
        <w:sz w:val="48"/>
      </w:rPr>
      <w:t>EN</w:t>
    </w:r>
    <w:r w:rsidRPr="001B1F0B">
      <w:rPr>
        <w:rFonts w:ascii="Arial" w:hAnsi="Arial" w:cs="Arial"/>
        <w:b/>
        <w:sz w:val="48"/>
      </w:rPr>
      <w:tab/>
    </w:r>
    <w:r>
      <w:fldChar w:fldCharType="begin"/>
    </w:r>
    <w:r>
      <w:instrText xml:space="preserve"> PAGE  \* MERGEFORMAT </w:instrText>
    </w:r>
    <w:r>
      <w:fldChar w:fldCharType="separate"/>
    </w:r>
    <w:r w:rsidR="001E6185">
      <w:rPr>
        <w:noProof/>
      </w:rPr>
      <w:t>19</w:t>
    </w:r>
    <w:r>
      <w:fldChar w:fldCharType="end"/>
    </w:r>
    <w:r>
      <w:tab/>
    </w:r>
    <w:r w:rsidRPr="001B1F0B">
      <w:tab/>
    </w:r>
    <w:r w:rsidRPr="001B1F0B">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F0B" w:rsidRDefault="001B1F0B" w:rsidP="001B1F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F0B" w:rsidRPr="001B1F0B" w:rsidRDefault="001B1F0B" w:rsidP="001B1F0B">
    <w:pPr>
      <w:pStyle w:val="FooterLandscape"/>
      <w:rPr>
        <w:rFonts w:ascii="Arial" w:hAnsi="Arial" w:cs="Arial"/>
        <w:b/>
        <w:sz w:val="48"/>
      </w:rPr>
    </w:pPr>
    <w:r w:rsidRPr="001B1F0B">
      <w:rPr>
        <w:rFonts w:ascii="Arial" w:hAnsi="Arial" w:cs="Arial"/>
        <w:b/>
        <w:sz w:val="48"/>
      </w:rPr>
      <w:t>EN</w:t>
    </w:r>
    <w:r w:rsidRPr="001B1F0B">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B1F0B">
      <w:tab/>
    </w:r>
    <w:r w:rsidRPr="001B1F0B">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F0B" w:rsidRPr="001B1F0B" w:rsidRDefault="001B1F0B" w:rsidP="001B1F0B">
    <w:pPr>
      <w:pStyle w:val="Footer"/>
      <w:rPr>
        <w:rFonts w:ascii="Arial" w:hAnsi="Arial" w:cs="Arial"/>
        <w:b/>
        <w:sz w:val="48"/>
      </w:rPr>
    </w:pPr>
    <w:r w:rsidRPr="001B1F0B">
      <w:rPr>
        <w:rFonts w:ascii="Arial" w:hAnsi="Arial" w:cs="Arial"/>
        <w:b/>
        <w:sz w:val="48"/>
      </w:rPr>
      <w:t>EN</w:t>
    </w:r>
    <w:r w:rsidRPr="001B1F0B">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B1F0B">
      <w:tab/>
    </w:r>
    <w:r w:rsidRPr="001B1F0B">
      <w:rPr>
        <w:rFonts w:ascii="Arial" w:hAnsi="Arial" w:cs="Arial"/>
        <w:b/>
        <w:sz w:val="48"/>
      </w:rPr>
      <w:t>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751" w:rsidRDefault="00860751" w:rsidP="00D761DA">
      <w:pPr>
        <w:spacing w:before="0" w:after="0"/>
      </w:pPr>
      <w:r>
        <w:separator/>
      </w:r>
    </w:p>
  </w:footnote>
  <w:footnote w:type="continuationSeparator" w:id="0">
    <w:p w:rsidR="00860751" w:rsidRDefault="00860751" w:rsidP="00D761DA">
      <w:pPr>
        <w:spacing w:before="0" w:after="0"/>
      </w:pPr>
      <w:r>
        <w:continuationSeparator/>
      </w:r>
    </w:p>
  </w:footnote>
  <w:footnote w:type="continuationNotice" w:id="1">
    <w:p w:rsidR="00860751" w:rsidRDefault="00860751">
      <w:pPr>
        <w:spacing w:before="0" w:after="0"/>
      </w:pPr>
    </w:p>
  </w:footnote>
  <w:footnote w:id="2">
    <w:p w:rsidR="00722A42" w:rsidRDefault="00722A42">
      <w:pPr>
        <w:pStyle w:val="FootnoteText"/>
      </w:pPr>
      <w:r>
        <w:rPr>
          <w:rStyle w:val="FootnoteReference"/>
        </w:rPr>
        <w:footnoteRef/>
      </w:r>
      <w:r>
        <w:tab/>
      </w:r>
      <w:r w:rsidRPr="00ED14D8">
        <w:t>Letta, E. (2024). Much more than a market - Speed, Security, Solidarity. Empowering the Single Market to deliver a sustainable future and prosperity for all EU Citizens.</w:t>
      </w:r>
    </w:p>
  </w:footnote>
  <w:footnote w:id="3">
    <w:p w:rsidR="00722A42" w:rsidRDefault="00722A42">
      <w:pPr>
        <w:pStyle w:val="FootnoteText"/>
      </w:pPr>
      <w:r>
        <w:rPr>
          <w:rStyle w:val="FootnoteReference"/>
        </w:rPr>
        <w:footnoteRef/>
      </w:r>
      <w:r>
        <w:tab/>
        <w:t>Draghi, M. (2024). The Future of European Competitiveness—A Competitiveness Strategy for Europe. </w:t>
      </w:r>
    </w:p>
  </w:footnote>
  <w:footnote w:id="4">
    <w:p w:rsidR="00722A42" w:rsidRDefault="00722A42">
      <w:pPr>
        <w:pStyle w:val="FootnoteText"/>
      </w:pPr>
      <w:r>
        <w:rPr>
          <w:rStyle w:val="FootnoteReference"/>
        </w:rPr>
        <w:footnoteRef/>
      </w:r>
      <w:r>
        <w:tab/>
      </w:r>
      <w:hyperlink r:id="rId1" w:history="1">
        <w:r w:rsidRPr="00B15497">
          <w:rPr>
            <w:rStyle w:val="Hyperlink"/>
            <w:lang w:val="en-IE"/>
          </w:rPr>
          <w:t>European Council conclusions of April 2024</w:t>
        </w:r>
      </w:hyperlink>
      <w:r>
        <w:rPr>
          <w:lang w:val="en-IE"/>
        </w:rPr>
        <w:t>.</w:t>
      </w:r>
    </w:p>
  </w:footnote>
  <w:footnote w:id="5">
    <w:p w:rsidR="00F83315" w:rsidRDefault="00F83315">
      <w:pPr>
        <w:pStyle w:val="FootnoteText"/>
      </w:pPr>
      <w:r>
        <w:rPr>
          <w:rStyle w:val="FootnoteReference"/>
        </w:rPr>
        <w:footnoteRef/>
      </w:r>
      <w:r>
        <w:tab/>
      </w:r>
      <w:r>
        <w:rPr>
          <w:rStyle w:val="Hyperlink"/>
          <w:lang w:val="en-IE"/>
        </w:rPr>
        <w:t>European Council conclusions of March 2025.</w:t>
      </w:r>
    </w:p>
  </w:footnote>
  <w:footnote w:id="6">
    <w:p w:rsidR="00722A42" w:rsidRDefault="00722A42">
      <w:pPr>
        <w:pStyle w:val="FootnoteText"/>
      </w:pPr>
      <w:r>
        <w:rPr>
          <w:rStyle w:val="FootnoteReference"/>
        </w:rPr>
        <w:footnoteRef/>
      </w:r>
      <w:r>
        <w:tab/>
        <w:t xml:space="preserve">Feedback on call for evidence on review of the Securitisation Framework, 19 February 2025 – 26 March 2025, </w:t>
      </w:r>
      <w:hyperlink r:id="rId2" w:history="1">
        <w:r w:rsidRPr="00C94561">
          <w:rPr>
            <w:rStyle w:val="Hyperlink"/>
          </w:rPr>
          <w:t>europa.eu</w:t>
        </w:r>
      </w:hyperlink>
      <w:r>
        <w:t xml:space="preserve">; feedback on 2024 targeted consultation on the functioning of the EU securitisation framework, 9 October – 4 December 2024, </w:t>
      </w:r>
      <w:hyperlink r:id="rId3" w:history="1">
        <w:r w:rsidRPr="001E17FB">
          <w:rPr>
            <w:rStyle w:val="Hyperlink"/>
          </w:rPr>
          <w:t>finance.ec.europa.eu</w:t>
        </w:r>
      </w:hyperlink>
      <w:r>
        <w:t>.</w:t>
      </w:r>
    </w:p>
  </w:footnote>
  <w:footnote w:id="7">
    <w:p w:rsidR="00E00CE0" w:rsidRDefault="00E00CE0" w:rsidP="00E00CE0">
      <w:pPr>
        <w:pStyle w:val="FootnoteText"/>
      </w:pPr>
      <w:r>
        <w:rPr>
          <w:rStyle w:val="FootnoteReference"/>
        </w:rPr>
        <w:footnoteRef/>
      </w:r>
      <w:r>
        <w:tab/>
      </w:r>
      <w:r w:rsidRPr="00B72F84">
        <w:t>https://finance.ec.europa.eu/document/download/13085856-09c8-4040-918e-890a1ed7dbf2_en?filename=250319-communication-savings-investmlents-union_en.pdf</w:t>
      </w:r>
    </w:p>
  </w:footnote>
  <w:footnote w:id="8">
    <w:p w:rsidR="001D7D21" w:rsidRDefault="001D7D21" w:rsidP="001D7D21">
      <w:pPr>
        <w:pStyle w:val="FootnoteText"/>
      </w:pPr>
      <w:r>
        <w:rPr>
          <w:rStyle w:val="FootnoteReference"/>
        </w:rPr>
        <w:footnoteRef/>
      </w:r>
      <w:r>
        <w:tab/>
      </w:r>
      <w:r w:rsidRPr="00A50EBF">
        <w:t>Regulation (EU) 2017/2402 of the European Parliament and of the Council of 12 December 2017 laying down a general framework for securitisation and creating a specific framework for simple, transparent and standardised securitisation, and amending Directives 2009/65/EC, 2009/138/EC and 2011/61/EU and Regulations (EC) No 1060/2009 and (EU) No 648/2012, OJ L 347, 28.12.2017, p. 35, ELI: </w:t>
      </w:r>
      <w:hyperlink r:id="rId4" w:tooltip="Gives access to this document through its ELI URI." w:history="1">
        <w:r w:rsidRPr="00A50EBF">
          <w:rPr>
            <w:rStyle w:val="Hyperlink"/>
          </w:rPr>
          <w:t>http://data.europa.eu/eli/reg/2017/2402/oj</w:t>
        </w:r>
      </w:hyperlink>
      <w:r w:rsidRPr="00A50EBF">
        <w:t>).</w:t>
      </w:r>
    </w:p>
  </w:footnote>
  <w:footnote w:id="9">
    <w:p w:rsidR="001D7D21" w:rsidRDefault="001D7D21" w:rsidP="001D7D21">
      <w:pPr>
        <w:pStyle w:val="FootnoteText"/>
      </w:pPr>
      <w:r>
        <w:rPr>
          <w:rStyle w:val="FootnoteReference"/>
        </w:rPr>
        <w:footnoteRef/>
      </w:r>
      <w:r>
        <w:tab/>
      </w:r>
      <w:r w:rsidRPr="00CC5C95">
        <w:t xml:space="preserve">Regulation (EU) No 575/2013 of the European Parliament and of the Council of 26 June 2013 on prudential requirements for credit institutions and investment </w:t>
      </w:r>
      <w:r w:rsidRPr="00A50EBF">
        <w:t>firms and amending Regulation (EU) No 648/2012, OJ L 176, 27.6.2013, p. 1, ELI: </w:t>
      </w:r>
      <w:hyperlink r:id="rId5" w:tooltip="Gives access to this document through its ELI URI." w:history="1">
        <w:r w:rsidRPr="00A50EBF">
          <w:rPr>
            <w:rStyle w:val="Hyperlink"/>
          </w:rPr>
          <w:t>http://data.europa.eu/eli/reg/2013/575/oj</w:t>
        </w:r>
      </w:hyperlink>
      <w:r w:rsidRPr="00A50EBF">
        <w:t>).</w:t>
      </w:r>
    </w:p>
  </w:footnote>
  <w:footnote w:id="10">
    <w:p w:rsidR="001D7D21" w:rsidRDefault="001D7D21" w:rsidP="001D7D21">
      <w:pPr>
        <w:pStyle w:val="FootnoteText"/>
      </w:pPr>
      <w:r>
        <w:rPr>
          <w:rStyle w:val="FootnoteReference"/>
        </w:rPr>
        <w:footnoteRef/>
      </w:r>
      <w:r>
        <w:tab/>
      </w:r>
      <w:r w:rsidRPr="00C71E6F">
        <w:t xml:space="preserve">Commission Delegated Regulation (EU) 2015/61 of 10 October 2014 to supplement Regulation (EU) No 575/2013 of the European Parliament and the Council with regard to liquidity coverage requirement for Credit Institutions </w:t>
      </w:r>
      <w:r w:rsidRPr="00A50EBF">
        <w:t>OJ L 11, 17.1.2015, p. 1, ELI: </w:t>
      </w:r>
      <w:hyperlink r:id="rId6" w:history="1">
        <w:r w:rsidRPr="00A50EBF">
          <w:rPr>
            <w:rStyle w:val="Hyperlink"/>
          </w:rPr>
          <w:t>http://data.europa.eu/eli/reg_del/2015/61/oj</w:t>
        </w:r>
      </w:hyperlink>
      <w:r w:rsidRPr="00A50EBF">
        <w:t>).)</w:t>
      </w:r>
      <w:r w:rsidRPr="00C71E6F">
        <w:t>)</w:t>
      </w:r>
    </w:p>
  </w:footnote>
  <w:footnote w:id="11">
    <w:p w:rsidR="001D7D21" w:rsidRDefault="001D7D21" w:rsidP="001D7D21">
      <w:pPr>
        <w:pStyle w:val="FootnoteText"/>
      </w:pPr>
      <w:r>
        <w:rPr>
          <w:rStyle w:val="FootnoteReference"/>
        </w:rPr>
        <w:footnoteRef/>
      </w:r>
      <w:r>
        <w:tab/>
      </w:r>
      <w:r w:rsidRPr="00CA7EC7">
        <w:rPr>
          <w:lang w:val="en-IE"/>
        </w:rPr>
        <w:t>Commission Delegated Regulation (EU) 2015/35 of 10 October 2014 supplementing Directive 2009/138/EC of the European Parliament and of the Council on the taking-up and pursuit of the business of Insurance and Reinsurance (Solvency II) (</w:t>
      </w:r>
      <w:r w:rsidRPr="00A50EBF">
        <w:t>OJ L 12, 17/01/2015, p. 1, ELI: </w:t>
      </w:r>
      <w:hyperlink r:id="rId7" w:history="1">
        <w:r w:rsidRPr="00A50EBF">
          <w:rPr>
            <w:rStyle w:val="Hyperlink"/>
          </w:rPr>
          <w:t>http://data.europa.eu/eli/reg_del/2015/35/oj</w:t>
        </w:r>
      </w:hyperlink>
      <w:r>
        <w:t>)</w:t>
      </w:r>
    </w:p>
  </w:footnote>
  <w:footnote w:id="12">
    <w:p w:rsidR="008C77F9" w:rsidRDefault="008C77F9">
      <w:pPr>
        <w:pStyle w:val="FootnoteText"/>
      </w:pPr>
      <w:r>
        <w:rPr>
          <w:rStyle w:val="FootnoteReference"/>
        </w:rPr>
        <w:footnoteRef/>
      </w:r>
      <w:r>
        <w:tab/>
      </w:r>
      <w:r w:rsidR="00E423C7" w:rsidRPr="00A50EBF">
        <w:t>Directive 2011/61/EU of the European Parliament and of the Council of 8 June 2011 on Alternative Investment Fund Managers and amending Directives 2003/41/EC and 2009/65/EC and Regulations (EC) No 1060/2009 and (EU) No 1095/2010, OJ L 174, 1.7.2011, p. 1, ELI: </w:t>
      </w:r>
      <w:hyperlink r:id="rId8" w:tooltip="Gives access to this document through its ELI URI." w:history="1">
        <w:r w:rsidR="00E423C7" w:rsidRPr="00A50EBF">
          <w:rPr>
            <w:rStyle w:val="Hyperlink"/>
          </w:rPr>
          <w:t>http://data.europa.eu/eli/dir/2011/61/oj</w:t>
        </w:r>
      </w:hyperlink>
      <w:r w:rsidR="00E423C7" w:rsidRPr="00A50EBF">
        <w:t>).</w:t>
      </w:r>
    </w:p>
  </w:footnote>
  <w:footnote w:id="13">
    <w:p w:rsidR="009E3DD4" w:rsidRDefault="009E3DD4">
      <w:pPr>
        <w:pStyle w:val="FootnoteText"/>
      </w:pPr>
      <w:r>
        <w:rPr>
          <w:rStyle w:val="FootnoteReference"/>
        </w:rPr>
        <w:footnoteRef/>
      </w:r>
      <w:r>
        <w:tab/>
      </w:r>
      <w:r w:rsidR="00761D13" w:rsidRPr="00A50EBF">
        <w:t>Directive 2009/65/EC of the European Parliament and of the Council of 13 July 2009 on the coordination of laws, regulations and administrative provisions relating to undertakings for collective investment in transferable securities (UCITS) (recast), OJ L 302, 17.11.2009, p. 32, ELI: http://data.europa.eu/eli/dir/2009/65/oj).</w:t>
      </w:r>
    </w:p>
  </w:footnote>
  <w:footnote w:id="14">
    <w:p w:rsidR="00A019A5" w:rsidRPr="00A019A5" w:rsidRDefault="00A019A5">
      <w:pPr>
        <w:pStyle w:val="FootnoteText"/>
      </w:pPr>
      <w:r w:rsidRPr="00186012">
        <w:rPr>
          <w:rStyle w:val="FootnoteReference"/>
        </w:rPr>
        <w:footnoteRef/>
      </w:r>
      <w:r w:rsidR="00186012">
        <w:tab/>
      </w:r>
      <w:r w:rsidR="550D0AC2">
        <w:t>T</w:t>
      </w:r>
      <w:r w:rsidR="550D0AC2" w:rsidRPr="00A019A5">
        <w:t>he</w:t>
      </w:r>
      <w:r w:rsidR="550D0AC2">
        <w:t xml:space="preserve"> targeted c</w:t>
      </w:r>
      <w:r w:rsidR="550D0AC2" w:rsidRPr="00A019A5">
        <w:t xml:space="preserve">hanges </w:t>
      </w:r>
      <w:r w:rsidR="550D0AC2">
        <w:t>to supervision aim</w:t>
      </w:r>
      <w:r w:rsidR="550D0AC2" w:rsidRPr="00A019A5">
        <w:t xml:space="preserve"> </w:t>
      </w:r>
      <w:r w:rsidR="550D0AC2">
        <w:t>to enhance</w:t>
      </w:r>
      <w:r w:rsidR="550D0AC2" w:rsidRPr="00A019A5">
        <w:t xml:space="preserve"> the effective functioning of supervision under the existing framework. Th</w:t>
      </w:r>
      <w:r w:rsidR="550D0AC2">
        <w:t>o</w:t>
      </w:r>
      <w:r w:rsidR="550D0AC2" w:rsidRPr="00A019A5">
        <w:t xml:space="preserve">se adjustments aim to support more consistent supervisory practices and facilitate cross-border securitisation activity within the Union. By </w:t>
      </w:r>
      <w:r w:rsidR="550D0AC2">
        <w:t>clarifying certain aspects</w:t>
      </w:r>
      <w:r w:rsidR="550D0AC2" w:rsidRPr="00A019A5">
        <w:t xml:space="preserve"> and ensuring clearer delineation of responsibilities, the proposed amendments are expected to foster greater supervisory convergence without imposing significant new obligations on stakeholders</w:t>
      </w:r>
    </w:p>
  </w:footnote>
  <w:footnote w:id="15">
    <w:p w:rsidR="00232E47" w:rsidRDefault="00232E47">
      <w:pPr>
        <w:pStyle w:val="FootnoteText"/>
      </w:pPr>
      <w:r>
        <w:rPr>
          <w:rStyle w:val="FootnoteReference"/>
        </w:rPr>
        <w:footnoteRef/>
      </w:r>
      <w:r>
        <w:tab/>
        <w:t xml:space="preserve">Available at </w:t>
      </w:r>
      <w:r w:rsidRPr="00A875C4">
        <w:t>https://finance.ec.europa.eu/regulation-and-supervision/consultations-0/targeted-consultation-functioning-eu-securitisation-framework-2024_en</w:t>
      </w:r>
    </w:p>
  </w:footnote>
  <w:footnote w:id="16">
    <w:p w:rsidR="00232E47" w:rsidRDefault="00232E47">
      <w:pPr>
        <w:pStyle w:val="FootnoteText"/>
      </w:pPr>
      <w:r>
        <w:rPr>
          <w:rStyle w:val="FootnoteReference"/>
        </w:rPr>
        <w:footnoteRef/>
      </w:r>
      <w:r>
        <w:tab/>
      </w:r>
      <w:hyperlink r:id="rId9" w:history="1">
        <w:r w:rsidRPr="00190292">
          <w:rPr>
            <w:rStyle w:val="Hyperlink"/>
          </w:rPr>
          <w:t>Securities and markets - review of the Securitisation Framework (europa.eu)</w:t>
        </w:r>
      </w:hyperlink>
    </w:p>
  </w:footnote>
  <w:footnote w:id="17">
    <w:p w:rsidR="00232E47" w:rsidRDefault="00232E47">
      <w:pPr>
        <w:pStyle w:val="FootnoteText"/>
      </w:pPr>
      <w:r>
        <w:rPr>
          <w:rStyle w:val="FootnoteReference"/>
        </w:rPr>
        <w:footnoteRef/>
      </w:r>
      <w:r>
        <w:tab/>
      </w:r>
      <w:r w:rsidRPr="00190292">
        <w:t xml:space="preserve">One respondent made two separate (substantively similar) contributions; another respondent submitted three separate contributions. Therefore, </w:t>
      </w:r>
      <w:r>
        <w:t xml:space="preserve">37 </w:t>
      </w:r>
      <w:r w:rsidRPr="00190292">
        <w:t xml:space="preserve">contributions </w:t>
      </w:r>
      <w:r>
        <w:t xml:space="preserve">were </w:t>
      </w:r>
      <w:r w:rsidRPr="00190292">
        <w:t>received, from 3</w:t>
      </w:r>
      <w:r>
        <w:t>4</w:t>
      </w:r>
      <w:r w:rsidRPr="00190292">
        <w:t xml:space="preserve"> individual respondents.</w:t>
      </w:r>
    </w:p>
  </w:footnote>
  <w:footnote w:id="18">
    <w:p w:rsidR="00232E47" w:rsidRDefault="00232E47">
      <w:pPr>
        <w:pStyle w:val="FootnoteText"/>
      </w:pPr>
      <w:r>
        <w:rPr>
          <w:rStyle w:val="FootnoteReference"/>
        </w:rPr>
        <w:footnoteRef/>
      </w:r>
      <w:r>
        <w:tab/>
      </w:r>
      <w:r w:rsidRPr="00190292">
        <w:t>The respondents that had already replied to the targeted consultation represented:</w:t>
      </w:r>
      <w:r>
        <w:t xml:space="preserve"> 7</w:t>
      </w:r>
      <w:r w:rsidRPr="00190292">
        <w:t xml:space="preserve"> compan</w:t>
      </w:r>
      <w:r>
        <w:t>ies</w:t>
      </w:r>
      <w:r w:rsidRPr="00190292">
        <w:t>/business</w:t>
      </w:r>
      <w:r>
        <w:t>es</w:t>
      </w:r>
      <w:r w:rsidRPr="00190292">
        <w:t xml:space="preserve">, </w:t>
      </w:r>
      <w:r>
        <w:t>15</w:t>
      </w:r>
      <w:r w:rsidRPr="00190292">
        <w:t xml:space="preserve"> business association</w:t>
      </w:r>
      <w:r>
        <w:t>s</w:t>
      </w:r>
      <w:r w:rsidRPr="00190292">
        <w:t xml:space="preserve">, </w:t>
      </w:r>
      <w:r>
        <w:t>2</w:t>
      </w:r>
      <w:r w:rsidRPr="00190292">
        <w:t xml:space="preserve"> non-governmental organisation</w:t>
      </w:r>
      <w:r>
        <w:t>s</w:t>
      </w:r>
      <w:r w:rsidRPr="00190292">
        <w:t xml:space="preserve"> (NGO</w:t>
      </w:r>
      <w:r>
        <w:t>s</w:t>
      </w:r>
      <w:r w:rsidRPr="00190292">
        <w:t xml:space="preserve">), </w:t>
      </w:r>
      <w:r>
        <w:t>2 such respondents identified as “other</w:t>
      </w:r>
    </w:p>
  </w:footnote>
  <w:footnote w:id="19">
    <w:p w:rsidR="00541091" w:rsidRPr="00AB04C8" w:rsidRDefault="00541091" w:rsidP="00541091">
      <w:pPr>
        <w:pStyle w:val="FootnoteText"/>
      </w:pPr>
      <w:r>
        <w:rPr>
          <w:rStyle w:val="FootnoteReference"/>
        </w:rPr>
        <w:footnoteRef/>
      </w:r>
      <w:r w:rsidR="00270997">
        <w:tab/>
      </w:r>
      <w:hyperlink r:id="rId10" w:history="1">
        <w:r w:rsidRPr="00435CB2">
          <w:rPr>
            <w:rStyle w:val="Hyperlink"/>
          </w:rPr>
          <w:t>https://www.eiopa.europa.eu/system/files/2021-05/jc-2021-31-jc-report-on-the-implementation-and-functioning-of-the-securitisation-regulation.pdf</w:t>
        </w:r>
      </w:hyperlink>
    </w:p>
  </w:footnote>
  <w:footnote w:id="20">
    <w:p w:rsidR="0054282F" w:rsidRPr="00A50EBF" w:rsidRDefault="0054282F" w:rsidP="0054282F">
      <w:pPr>
        <w:pStyle w:val="FootnoteText"/>
        <w:ind w:left="567" w:hanging="567"/>
      </w:pPr>
      <w:r w:rsidRPr="00186012">
        <w:rPr>
          <w:rStyle w:val="FootnoteReference"/>
        </w:rPr>
        <w:footnoteRef/>
      </w:r>
      <w:r w:rsidR="00186012">
        <w:tab/>
      </w:r>
      <w:r w:rsidRPr="00A50EBF">
        <w:t>Regulation (EU) 2017/2402 of the European Parliament and of the Council of 12 December 2017 laying down a general framework for securitisation and creating a specific framework for simple, transparent and standardised securitisation, and amending Directives 2009/65/EC, 2009/138/EC and 2011/61/EU and Regulations (EC) No 1060/2009 and (EU) No 648/2012 (OJ L 347, 28.12.2017, p. 35, ELI:  http://data.europa.eu/eli/reg/2017/2402/oj).</w:t>
      </w:r>
    </w:p>
  </w:footnote>
  <w:footnote w:id="21">
    <w:p w:rsidR="0054282F" w:rsidRPr="00A50EBF" w:rsidRDefault="0054282F" w:rsidP="0054282F">
      <w:pPr>
        <w:pStyle w:val="FootnoteText"/>
        <w:ind w:left="567" w:hanging="567"/>
      </w:pPr>
      <w:r w:rsidRPr="00A50EBF">
        <w:rPr>
          <w:rStyle w:val="FootnoteReference"/>
        </w:rPr>
        <w:footnoteRef/>
      </w:r>
      <w:r w:rsidRPr="00A50EBF">
        <w:tab/>
        <w:t>Regulation (EU) No 575/2013 of the European Parliament and of the Council of 26 June 2013 on prudential requirements for credit institutions and amending Regulation (EU) No 648/201 (OJ L 176, 27.6.2013, p. 1, ELI: http://data.europa.eu/eli/reg/2013/575/oj).</w:t>
      </w:r>
    </w:p>
  </w:footnote>
  <w:footnote w:id="22">
    <w:p w:rsidR="0054282F" w:rsidRPr="00A50EBF" w:rsidRDefault="0054282F" w:rsidP="0054282F">
      <w:pPr>
        <w:pStyle w:val="FootnoteText"/>
        <w:ind w:left="567" w:hanging="567"/>
      </w:pPr>
      <w:r w:rsidRPr="00A50EBF">
        <w:rPr>
          <w:rStyle w:val="FootnoteReference"/>
        </w:rPr>
        <w:footnoteRef/>
      </w:r>
      <w:r w:rsidRPr="00A50EBF">
        <w:tab/>
        <w:t>Commission Delegated Regulation (EU) 2015/61 of 10 October 2014 to supplement Regulation (EU) No 575/2013 of the European Parliament and the Council with regard to liquidity coverage requirement for Credit Institutions (OJ L 11, 17.1.2015, p. 1, ELI: </w:t>
      </w:r>
      <w:hyperlink r:id="rId11" w:tooltip="Gives access to this document through its ELI URI." w:history="1">
        <w:r w:rsidRPr="00A50EBF">
          <w:rPr>
            <w:rStyle w:val="Hyperlink"/>
          </w:rPr>
          <w:t>http://data.europa.eu/eli/reg_del/2015/61/oj</w:t>
        </w:r>
      </w:hyperlink>
      <w:r w:rsidRPr="00A50EBF">
        <w:t>).</w:t>
      </w:r>
    </w:p>
  </w:footnote>
  <w:footnote w:id="23">
    <w:p w:rsidR="00CD464D" w:rsidRDefault="00CD464D" w:rsidP="00CD464D">
      <w:pPr>
        <w:pStyle w:val="FootnoteText"/>
        <w:ind w:left="567" w:hanging="567"/>
      </w:pPr>
      <w:r>
        <w:rPr>
          <w:rStyle w:val="FootnoteReference"/>
        </w:rPr>
        <w:footnoteRef/>
      </w:r>
      <w:r>
        <w:rPr>
          <w:rStyle w:val="FootnoteReference"/>
        </w:rPr>
        <w:tab/>
      </w:r>
      <w:r>
        <w:t>Regulation (EU) 2015/1017 of the European Parliament and of the Council of 25 June 2015 on the European Fund for Strategic Investments, the European Investment Advisory Hub and the European Investment Project Portal and amending Regulations (EU) No 1291/2013 and (EU) No 1316/2013 — the European Fund for Strategic Investments (OJ L 169, 1.7.2015, p. 1).</w:t>
      </w:r>
    </w:p>
  </w:footnote>
  <w:footnote w:id="24">
    <w:p w:rsidR="0054282F" w:rsidRPr="00A50EBF" w:rsidRDefault="0054282F" w:rsidP="0054282F">
      <w:pPr>
        <w:pStyle w:val="FootnoteText"/>
        <w:ind w:left="567" w:hanging="567"/>
      </w:pPr>
      <w:r w:rsidRPr="00A50EBF">
        <w:rPr>
          <w:rStyle w:val="FootnoteReference"/>
        </w:rPr>
        <w:footnoteRef/>
      </w:r>
      <w:r w:rsidRPr="00A50EBF">
        <w:tab/>
        <w:t>Commission Delegated Regulation (EU) 2020/1224 of 16 October 2019 supplementing Regulation (EU) 2017/2402 of the European Parliament and of the Council with regard to regulatory technical standards specifying the information and the details of a securitisation to be made available by the originator, sponsor and SSPE and Commission Implementing Regulation (EU) 2020/1225 of 29 October 2019 laying down implementing technical standards with regard to the format and standardised templates for making available the information and details of a securitisation by the originator, sponsor and SSPE (OJ L 289, 3.9.2020, p. 1, ELI: http://data.europa.eu/eli/reg_del/2020/1224/oj).</w:t>
      </w:r>
    </w:p>
  </w:footnote>
  <w:footnote w:id="25">
    <w:p w:rsidR="0054282F" w:rsidRPr="00A50EBF" w:rsidRDefault="0054282F" w:rsidP="0054282F">
      <w:pPr>
        <w:pStyle w:val="FootnoteText"/>
        <w:ind w:left="567" w:hanging="567"/>
      </w:pPr>
      <w:r w:rsidRPr="00A50EBF">
        <w:rPr>
          <w:rStyle w:val="FootnoteReference"/>
        </w:rPr>
        <w:footnoteRef/>
      </w:r>
      <w:r w:rsidRPr="00A50EBF">
        <w:tab/>
      </w:r>
      <w:r w:rsidR="3C04938E" w:rsidRPr="00A50EBF">
        <w:t>Council Regulation (EU) No 1024/2013 of 15 October 2013 conferring specific tasks on the European Central Bank concerning policies relating to the prudential supervision of credit institutions (OJ L 287, 29.10.2013, p. 63, ELI: http://data.europa.eu/eli/reg/2013/1024/oj).</w:t>
      </w:r>
    </w:p>
  </w:footnote>
  <w:footnote w:id="26">
    <w:p w:rsidR="0054282F" w:rsidRPr="00A50EBF" w:rsidRDefault="0054282F" w:rsidP="0054282F">
      <w:pPr>
        <w:pStyle w:val="FootnoteText"/>
        <w:ind w:left="567" w:hanging="567"/>
      </w:pPr>
      <w:r w:rsidRPr="00186012">
        <w:rPr>
          <w:rStyle w:val="FootnoteReference"/>
        </w:rPr>
        <w:footnoteRef/>
      </w:r>
      <w:r w:rsidR="00186012">
        <w:tab/>
      </w:r>
      <w:r w:rsidRPr="00A50EBF">
        <w:t>Regulation (EU) No 1093/2010 of the European Parliament and of the Council of 24 November 2010 establishing a European Supervisory Authority (European Banking Authority), amending Decision No 716/2009/EC and repealing Commission Decision 2009/78/EC (OJ L 331, 15.12.2010, p. 12, ELI: http://data.europa.eu/eli/reg/2010/1093/oj).</w:t>
      </w:r>
    </w:p>
  </w:footnote>
  <w:footnote w:id="27">
    <w:p w:rsidR="0033698D" w:rsidRDefault="0033698D" w:rsidP="0033698D">
      <w:pPr>
        <w:pStyle w:val="FootnoteText"/>
        <w:ind w:left="567" w:hanging="567"/>
      </w:pPr>
      <w:r>
        <w:rPr>
          <w:rStyle w:val="FootnoteReference"/>
        </w:rPr>
        <w:footnoteRef/>
      </w:r>
      <w:r>
        <w:tab/>
        <w:t>Regulation (EU) No 1094/2010 of the European Parliament and of the Council of 24 November 2010 establishing a European Supervisory Authority (European Insurance and Occupational Pensions Authority), amending Decision No 716/2009/EC and repealing Commission Decision 2009/79/EC (OJ L 331, 15.12.2010, p. 48)</w:t>
      </w:r>
    </w:p>
  </w:footnote>
  <w:footnote w:id="28">
    <w:p w:rsidR="00355EE4" w:rsidRDefault="00355EE4" w:rsidP="00355EE4">
      <w:pPr>
        <w:pStyle w:val="FootnoteText"/>
        <w:ind w:left="567" w:hanging="567"/>
      </w:pPr>
      <w:r>
        <w:rPr>
          <w:rStyle w:val="FootnoteReference"/>
        </w:rPr>
        <w:footnoteRef/>
      </w:r>
      <w:r>
        <w:tab/>
        <w:t>Regulation (EU) No 1095/2010 of the European Parliament and of the Council of 24 November 2010 establishing a European Supervisory Authority (European Securities and Markets Authority), amending Decision No 716/2009/EC and repealing Commission Decision 2009/77/EC (OJ L 331, 15.12.2010, p. 84)</w:t>
      </w:r>
    </w:p>
  </w:footnote>
  <w:footnote w:id="29">
    <w:p w:rsidR="0054282F" w:rsidRPr="00A50EBF" w:rsidRDefault="0054282F" w:rsidP="0054282F">
      <w:pPr>
        <w:pStyle w:val="FootnoteText"/>
        <w:ind w:left="567" w:hanging="567"/>
      </w:pPr>
      <w:r w:rsidRPr="00A50EBF">
        <w:rPr>
          <w:rStyle w:val="FootnoteReference"/>
        </w:rPr>
        <w:footnoteRef/>
      </w:r>
      <w:r w:rsidRPr="00A50EBF">
        <w:tab/>
        <w:t>Regulation (EU) 2021/557 of the European Parliament and of the Council of 31 March 2021 amending Regulation (EU) 2017/2402 laying down a general framework for securitisation and creating a specific framework for simple, transparent and standardised securitisation to help the recovery from the COVID-19 crisis (OJ L 116, 6.4.2021, p. 1, ELI: http://data.europa.eu/eli/reg/2021/557/oj).</w:t>
      </w:r>
    </w:p>
  </w:footnote>
  <w:footnote w:id="30">
    <w:p w:rsidR="006D3699" w:rsidRPr="006D3699" w:rsidRDefault="006D3699">
      <w:pPr>
        <w:pStyle w:val="FootnoteText"/>
        <w:rPr>
          <w:lang w:val="en-IE"/>
        </w:rPr>
      </w:pPr>
      <w:r>
        <w:rPr>
          <w:rStyle w:val="FootnoteReference"/>
        </w:rPr>
        <w:footnoteRef/>
      </w:r>
      <w:r>
        <w:rPr>
          <w:lang w:val="en-IE"/>
        </w:rPr>
        <w:tab/>
      </w:r>
      <w:r w:rsidRPr="00C117B5">
        <w:t>Regulation (EU) 2017/1129 of the European Parliament and of the Council of 14 June 2017 on the prospectus to be published when securities are offered to the public or admitted to trading on a regulated market, and repealing Directive 2003/71/EC (OJ L 168, 30.6.2017, p. 12, ELI: </w:t>
      </w:r>
      <w:hyperlink r:id="rId12" w:tooltip="Gives access to this document through its ELI URI." w:history="1">
        <w:r w:rsidRPr="00C117B5">
          <w:rPr>
            <w:rStyle w:val="Hyperlink"/>
          </w:rPr>
          <w:t>http://data.europa.eu/eli/reg/2017/1129/oj</w:t>
        </w:r>
      </w:hyperlink>
      <w:r w:rsidRPr="00C117B5">
        <w:t>).</w:t>
      </w:r>
    </w:p>
  </w:footnote>
  <w:footnote w:id="31">
    <w:p w:rsidR="006E551C" w:rsidRPr="006E551C" w:rsidRDefault="006E551C">
      <w:pPr>
        <w:pStyle w:val="FootnoteText"/>
        <w:rPr>
          <w:lang w:val="en-IE"/>
        </w:rPr>
      </w:pPr>
      <w:r>
        <w:rPr>
          <w:rStyle w:val="FootnoteReference"/>
        </w:rPr>
        <w:footnoteRef/>
      </w:r>
      <w:r>
        <w:rPr>
          <w:lang w:val="en-IE"/>
        </w:rPr>
        <w:tab/>
      </w:r>
      <w:r w:rsidRPr="00B557EB">
        <w:t xml:space="preserve">Directive 2014/65/EU of the European Parliament and of the Council of 15 May 2014 on markets in financial instruments and amending Directive 2002/92/EC and Directive 2011/61/EU (recast) </w:t>
      </w:r>
      <w:r>
        <w:t>(</w:t>
      </w:r>
      <w:r w:rsidRPr="00B557EB">
        <w:t>OJ L 173, 12.6.2014, p. 349</w:t>
      </w:r>
      <w:r>
        <w:t xml:space="preserve">, </w:t>
      </w:r>
      <w:r w:rsidRPr="00A536D2">
        <w:rPr>
          <w:lang w:val="en"/>
        </w:rPr>
        <w:t>ELI: </w:t>
      </w:r>
      <w:hyperlink r:id="rId13" w:tooltip="Gives access to this document through its ELI URI." w:history="1">
        <w:r w:rsidRPr="00A536D2">
          <w:rPr>
            <w:rStyle w:val="Hyperlink"/>
            <w:lang w:val="en"/>
          </w:rPr>
          <w:t>http://data.europa.eu/eli/dir/2014/65/oj</w:t>
        </w:r>
      </w:hyperlink>
      <w:r>
        <w:t>).’;</w:t>
      </w:r>
    </w:p>
  </w:footnote>
  <w:footnote w:id="32">
    <w:p w:rsidR="00403423" w:rsidRPr="00403423" w:rsidRDefault="00403423">
      <w:pPr>
        <w:pStyle w:val="FootnoteText"/>
        <w:rPr>
          <w:lang w:val="en-IE"/>
        </w:rPr>
      </w:pPr>
      <w:r>
        <w:rPr>
          <w:rStyle w:val="FootnoteReference"/>
        </w:rPr>
        <w:footnoteRef/>
      </w:r>
      <w:r>
        <w:rPr>
          <w:lang w:val="en-IE"/>
        </w:rPr>
        <w:tab/>
      </w:r>
      <w:r w:rsidRPr="008060A5">
        <w:t>Directive 2014/59/EU of the European Parliament and of the Council of 15 May 2014 establishing a framework for the recovery and resolution of credit institutions and investment firms and amending Council Directive 82/891/EEC, and Directives 2001/24/EC, 2002/47/EC, 2004/25/EC, 2005/56/EC, 2007/36/EC, 2011/35/EU, 2012/30/EU and 2013/36/EU, and Regulations (EU) No 1093/2010 and (EU) No 648/2012, of the European Parliament and of the Council (OJ L 173, 12.6.2014, p. 190</w:t>
      </w:r>
      <w:r>
        <w:t xml:space="preserve">, </w:t>
      </w:r>
      <w:r w:rsidRPr="008060A5">
        <w:t>ELI: </w:t>
      </w:r>
      <w:hyperlink r:id="rId14" w:tooltip="Gives access to this document through its ELI URI." w:history="1">
        <w:r w:rsidRPr="008060A5">
          <w:rPr>
            <w:rStyle w:val="Hyperlink"/>
          </w:rPr>
          <w:t>http://data.europa.eu/eli/dir/2014/59/oj</w:t>
        </w:r>
      </w:hyperlink>
      <w:r w:rsidRPr="008060A5">
        <w:t>).</w:t>
      </w:r>
    </w:p>
  </w:footnote>
  <w:footnote w:id="33">
    <w:p w:rsidR="00403423" w:rsidRPr="00403423" w:rsidRDefault="00403423">
      <w:pPr>
        <w:pStyle w:val="FootnoteText"/>
        <w:rPr>
          <w:lang w:val="en-IE"/>
        </w:rPr>
      </w:pPr>
      <w:r>
        <w:rPr>
          <w:rStyle w:val="FootnoteReference"/>
        </w:rPr>
        <w:footnoteRef/>
      </w:r>
      <w:r>
        <w:rPr>
          <w:lang w:val="en-IE"/>
        </w:rPr>
        <w:tab/>
      </w:r>
      <w:r>
        <w:t xml:space="preserve">Regulation (EU) No 806/2014 of the European Parliament and of the Council of 15 July 2014 establishing uniform rules and a uniform procedure for the resolution of credit institutions and certain investment firms in the framework of a Single Resolution Mechanism and a Single Resolution Fund and amending Regulation (EU) No 1093/2010 (OJ L 225, 30.7.2014, p. 1, </w:t>
      </w:r>
      <w:r w:rsidRPr="000A3640">
        <w:t>ELI: </w:t>
      </w:r>
      <w:hyperlink r:id="rId15" w:tooltip="Gives access to this document through its ELI URI." w:history="1">
        <w:r w:rsidRPr="000A3640">
          <w:rPr>
            <w:rStyle w:val="Hyperlink"/>
          </w:rPr>
          <w:t>http://data.europa.eu/eli/reg/2014/806/oj</w:t>
        </w:r>
      </w:hyperlink>
      <w:r>
        <w:t>).</w:t>
      </w:r>
    </w:p>
  </w:footnote>
  <w:footnote w:id="34">
    <w:p w:rsidR="006B4685" w:rsidRDefault="006B4685" w:rsidP="006B4685">
      <w:pPr>
        <w:pStyle w:val="FootnoteText"/>
      </w:pPr>
      <w:r w:rsidRPr="008D45ED">
        <w:rPr>
          <w:rStyle w:val="FootnoteReference"/>
        </w:rPr>
        <w:footnoteRef/>
      </w:r>
      <w:r>
        <w:tab/>
        <w:t>As referred to in Article 58(2), point (a) or (b) of the Financial Regulation.</w:t>
      </w:r>
    </w:p>
  </w:footnote>
  <w:footnote w:id="35">
    <w:p w:rsidR="006B4685" w:rsidRDefault="006B4685" w:rsidP="006B4685">
      <w:pPr>
        <w:pStyle w:val="FootnoteText"/>
        <w:jc w:val="left"/>
        <w:rPr>
          <w:szCs w:val="24"/>
        </w:rPr>
      </w:pPr>
      <w:r>
        <w:rPr>
          <w:rStyle w:val="FootnoteReference"/>
        </w:rPr>
        <w:footnoteRef/>
      </w:r>
      <w:r>
        <w:tab/>
        <w:t xml:space="preserve">Details of budget implementation methods and references to the Financial Regulation may be found on the BUDGpedia site: </w:t>
      </w:r>
      <w:hyperlink r:id="rId16" w:history="1">
        <w:r w:rsidRPr="00974254">
          <w:rPr>
            <w:rStyle w:val="Hyperlink"/>
          </w:rPr>
          <w:t>https://myintracomm.ec.europa.eu/corp/budget/financial-rules/budget-implementation/Pages/implementation-methods.aspx</w:t>
        </w:r>
      </w:hyperlink>
      <w:r>
        <w:rPr>
          <w:rStyle w:val="Hyperlink"/>
        </w:rPr>
        <w:t>.</w:t>
      </w:r>
    </w:p>
  </w:footnote>
  <w:footnote w:id="36">
    <w:p w:rsidR="006B4685" w:rsidRDefault="006B4685" w:rsidP="006B4685">
      <w:pPr>
        <w:pStyle w:val="FootnoteText"/>
        <w:rPr>
          <w:szCs w:val="24"/>
        </w:rPr>
      </w:pPr>
      <w:r>
        <w:rPr>
          <w:rStyle w:val="FootnoteReference"/>
        </w:rPr>
        <w:footnoteRef/>
      </w:r>
      <w:r>
        <w:tab/>
        <w:t>Diff. = Differentiated appropriations / Non-diff. = Non-differentiated appropriations.</w:t>
      </w:r>
    </w:p>
  </w:footnote>
  <w:footnote w:id="37">
    <w:p w:rsidR="006B4685" w:rsidRDefault="006B4685" w:rsidP="006B4685">
      <w:pPr>
        <w:pStyle w:val="FootnoteText"/>
        <w:rPr>
          <w:szCs w:val="24"/>
        </w:rPr>
      </w:pPr>
      <w:r>
        <w:rPr>
          <w:rStyle w:val="FootnoteReference"/>
        </w:rPr>
        <w:footnoteRef/>
      </w:r>
      <w:r>
        <w:tab/>
        <w:t xml:space="preserve">EFTA: European Free Trade Association. </w:t>
      </w:r>
    </w:p>
  </w:footnote>
  <w:footnote w:id="38">
    <w:p w:rsidR="006B4685" w:rsidRDefault="006B4685" w:rsidP="006B4685">
      <w:pPr>
        <w:pStyle w:val="FootnoteText"/>
        <w:rPr>
          <w:szCs w:val="24"/>
        </w:rPr>
      </w:pPr>
      <w:r>
        <w:rPr>
          <w:rStyle w:val="FootnoteReference"/>
        </w:rPr>
        <w:footnoteRef/>
      </w:r>
      <w:r>
        <w:tab/>
        <w:t>Candidate countries and, where applicable, potential candidates from the Western Balkans.</w:t>
      </w:r>
    </w:p>
  </w:footnote>
  <w:footnote w:id="39">
    <w:p w:rsidR="006B4685" w:rsidRPr="00C2043F" w:rsidRDefault="006B4685" w:rsidP="006B4685">
      <w:pPr>
        <w:pStyle w:val="FootnoteText"/>
      </w:pPr>
      <w:r w:rsidRPr="008D45ED">
        <w:rPr>
          <w:rStyle w:val="FootnoteReference"/>
        </w:rPr>
        <w:footnoteRef/>
      </w:r>
      <w:r>
        <w:tab/>
      </w:r>
      <w:r w:rsidRPr="007974DD">
        <w:rPr>
          <w:sz w:val="18"/>
          <w:szCs w:val="18"/>
        </w:rPr>
        <w:t>Technical and/or administrative assistance and expenditure in support of the implementation of EU programmes and/or actions (former ‘BA’ lines), indirect research, direct research.</w:t>
      </w:r>
    </w:p>
  </w:footnote>
  <w:footnote w:id="40">
    <w:p w:rsidR="006B4685" w:rsidRPr="001004A6" w:rsidRDefault="006B4685" w:rsidP="006B4685">
      <w:pPr>
        <w:pStyle w:val="FootnoteText"/>
      </w:pPr>
      <w:r w:rsidRPr="008D45ED">
        <w:rPr>
          <w:rStyle w:val="FootnoteReference"/>
        </w:rPr>
        <w:footnoteRef/>
      </w:r>
      <w:r>
        <w:tab/>
      </w:r>
      <w:r w:rsidRPr="003F0F80">
        <w:rPr>
          <w:color w:val="374151"/>
          <w:sz w:val="18"/>
          <w:szCs w:val="18"/>
        </w:rPr>
        <w:t>The necessary appropriations should be determined using the annual average cost figures available on the appropriate BUDGpedia webpage</w:t>
      </w:r>
      <w:r>
        <w:rPr>
          <w:rFonts w:ascii="Segoe UI" w:hAnsi="Segoe UI" w:cs="Segoe UI"/>
          <w:color w:val="374151"/>
        </w:rPr>
        <w:t>.</w:t>
      </w:r>
    </w:p>
  </w:footnote>
  <w:footnote w:id="41">
    <w:p w:rsidR="006B4685" w:rsidRPr="00C2043F" w:rsidRDefault="006B4685" w:rsidP="006B4685">
      <w:pPr>
        <w:pStyle w:val="FootnoteText"/>
      </w:pPr>
      <w:r w:rsidRPr="008D45ED">
        <w:rPr>
          <w:rStyle w:val="FootnoteReference"/>
        </w:rPr>
        <w:footnoteRef/>
      </w:r>
      <w:r>
        <w:tab/>
      </w:r>
      <w:r w:rsidRPr="007974DD">
        <w:rPr>
          <w:sz w:val="18"/>
          <w:szCs w:val="18"/>
        </w:rPr>
        <w:t>Technical and/or administrative assistance and expenditure in support of the implementation of EU programmes and/or actions (former ‘BA’ lines), indirect research, direct research.</w:t>
      </w:r>
    </w:p>
  </w:footnote>
  <w:footnote w:id="42">
    <w:p w:rsidR="006B4685" w:rsidRDefault="006B4685" w:rsidP="006B4685">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43">
    <w:p w:rsidR="006B4685" w:rsidRDefault="006B4685" w:rsidP="006B4685">
      <w:pPr>
        <w:pStyle w:val="FootnoteText"/>
        <w:rPr>
          <w:szCs w:val="24"/>
        </w:rPr>
      </w:pPr>
      <w:r>
        <w:rPr>
          <w:rStyle w:val="FootnoteReference"/>
        </w:rPr>
        <w:footnoteRef/>
      </w:r>
      <w:r>
        <w:tab/>
        <w:t xml:space="preserve">As described in Section 1.3.2. ‘Specific objective(s)’ </w:t>
      </w:r>
    </w:p>
  </w:footnote>
  <w:footnote w:id="44">
    <w:p w:rsidR="006B4685" w:rsidRPr="00F94A0A" w:rsidRDefault="006B4685" w:rsidP="006B4685">
      <w:pPr>
        <w:pStyle w:val="FootnoteText"/>
        <w:rPr>
          <w:lang w:val="en-IE"/>
        </w:rPr>
      </w:pPr>
      <w:r w:rsidRPr="008D45ED">
        <w:rPr>
          <w:rStyle w:val="FootnoteReference"/>
        </w:rPr>
        <w:footnoteRef/>
      </w:r>
      <w:r>
        <w:tab/>
      </w:r>
      <w:r>
        <w:rPr>
          <w:lang w:val="en-IE"/>
        </w:rPr>
        <w:t>Please specify below the table how many FTEs within the number indicated are already assigned to the management of the action and/or can be redeployed within your DG and what are your net needs.</w:t>
      </w:r>
    </w:p>
  </w:footnote>
  <w:footnote w:id="45">
    <w:p w:rsidR="006B4685" w:rsidRDefault="006B4685" w:rsidP="006B4685">
      <w:pPr>
        <w:pStyle w:val="FootnoteText"/>
        <w:rPr>
          <w:szCs w:val="24"/>
        </w:rPr>
      </w:pPr>
      <w:r>
        <w:rPr>
          <w:rStyle w:val="FootnoteReference"/>
        </w:rPr>
        <w:footnoteRef/>
      </w:r>
      <w:r>
        <w:tab/>
        <w:t xml:space="preserve">As regards traditional own resources (customs duties, sugar levies), the amounts indicated must be net amounts, i.e. gross amounts after deduction of </w:t>
      </w:r>
      <w:r w:rsidRPr="009B753E">
        <w:t>20</w:t>
      </w:r>
      <w:r>
        <w:t> % for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F0B" w:rsidRDefault="001B1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F0B" w:rsidRDefault="001B1F0B" w:rsidP="001B1F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F0B" w:rsidRPr="001B1F0B" w:rsidRDefault="001B1F0B" w:rsidP="001B1F0B">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F0B" w:rsidRPr="001B1F0B" w:rsidRDefault="001B1F0B" w:rsidP="001B1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06D43588"/>
    <w:name w:val="Considérant"/>
    <w:lvl w:ilvl="0">
      <w:start w:val="1"/>
      <w:numFmt w:val="decimal"/>
      <w:lvlRestart w:val="0"/>
      <w:pStyle w:val="Considrant"/>
      <w:lvlText w:val="(%1)"/>
      <w:lvlJc w:val="left"/>
      <w:pPr>
        <w:tabs>
          <w:tab w:val="num" w:pos="709"/>
        </w:tabs>
        <w:ind w:left="709" w:hanging="709"/>
      </w:pPr>
      <w:rPr>
        <w:i w:val="0"/>
        <w:iCs w:val="0"/>
        <w:lang w:val="en-GB"/>
      </w:rPr>
    </w:lvl>
  </w:abstractNum>
  <w:num w:numId="1">
    <w:abstractNumId w:val="0"/>
  </w:num>
  <w:num w:numId="2">
    <w:abstractNumId w:val="20"/>
  </w:num>
  <w:num w:numId="3">
    <w:abstractNumId w:val="8"/>
  </w:num>
  <w:num w:numId="4">
    <w:abstractNumId w:val="17"/>
  </w:num>
  <w:num w:numId="5">
    <w:abstractNumId w:val="16"/>
  </w:num>
  <w:num w:numId="6">
    <w:abstractNumId w:val="27"/>
  </w:num>
  <w:num w:numId="7">
    <w:abstractNumId w:val="24"/>
  </w:num>
  <w:num w:numId="8">
    <w:abstractNumId w:val="28"/>
  </w:num>
  <w:num w:numId="9">
    <w:abstractNumId w:val="29"/>
  </w:num>
  <w:num w:numId="10">
    <w:abstractNumId w:val="1"/>
  </w:num>
  <w:num w:numId="11">
    <w:abstractNumId w:val="10"/>
  </w:num>
  <w:num w:numId="12">
    <w:abstractNumId w:val="2"/>
  </w:num>
  <w:num w:numId="13">
    <w:abstractNumId w:val="11"/>
  </w:num>
  <w:num w:numId="14">
    <w:abstractNumId w:val="9"/>
  </w:num>
  <w:num w:numId="15">
    <w:abstractNumId w:val="18"/>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num>
  <w:num w:numId="21">
    <w:abstractNumId w:val="23"/>
  </w:num>
  <w:num w:numId="22">
    <w:abstractNumId w:val="12"/>
  </w:num>
  <w:num w:numId="23">
    <w:abstractNumId w:val="26"/>
  </w:num>
  <w:num w:numId="24">
    <w:abstractNumId w:val="6"/>
  </w:num>
  <w:num w:numId="25">
    <w:abstractNumId w:val="13"/>
  </w:num>
  <w:num w:numId="26">
    <w:abstractNumId w:val="14"/>
  </w:num>
  <w:num w:numId="27">
    <w:abstractNumId w:val="4"/>
  </w:num>
  <w:num w:numId="28">
    <w:abstractNumId w:val="25"/>
  </w:num>
  <w:num w:numId="29">
    <w:abstractNumId w:val="3"/>
  </w:num>
  <w:num w:numId="30">
    <w:abstractNumId w:val="15"/>
  </w:num>
  <w:num w:numId="31">
    <w:abstractNumId w:val="21"/>
  </w:num>
  <w:num w:numId="32">
    <w:abstractNumId w:val="22"/>
  </w:num>
  <w:num w:numId="33">
    <w:abstractNumId w:val="5"/>
  </w:num>
  <w:num w:numId="34">
    <w:abstractNumId w:val="19"/>
  </w:num>
  <w:num w:numId="35">
    <w:abstractNumId w:val="30"/>
  </w:num>
  <w:num w:numId="36">
    <w:abstractNumId w:val="23"/>
  </w:num>
  <w:num w:numId="37">
    <w:abstractNumId w:val="12"/>
  </w:num>
  <w:num w:numId="38">
    <w:abstractNumId w:val="26"/>
  </w:num>
  <w:num w:numId="39">
    <w:abstractNumId w:val="6"/>
  </w:num>
  <w:num w:numId="40">
    <w:abstractNumId w:val="13"/>
  </w:num>
  <w:num w:numId="41">
    <w:abstractNumId w:val="14"/>
  </w:num>
  <w:num w:numId="42">
    <w:abstractNumId w:val="4"/>
  </w:num>
  <w:num w:numId="43">
    <w:abstractNumId w:val="25"/>
  </w:num>
  <w:num w:numId="44">
    <w:abstractNumId w:val="3"/>
  </w:num>
  <w:num w:numId="45">
    <w:abstractNumId w:val="15"/>
  </w:num>
  <w:num w:numId="46">
    <w:abstractNumId w:val="21"/>
  </w:num>
  <w:num w:numId="47">
    <w:abstractNumId w:val="22"/>
  </w:num>
  <w:num w:numId="48">
    <w:abstractNumId w:val="5"/>
  </w:num>
  <w:num w:numId="49">
    <w:abstractNumId w:val="19"/>
  </w:num>
  <w:num w:numId="50">
    <w:abstractNumId w:val="30"/>
  </w:num>
  <w:num w:numId="51">
    <w:abstractNumId w:val="15"/>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5-06-10 13:08:3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lt;UNUSED&gt;"/>
    <w:docVar w:name="LW_COVERPAGE_EXISTS" w:val="True"/>
    <w:docVar w:name="LW_COVERPAGE_GUID" w:val="5DA4BF42-0183-4363-9DDF-C59FAE6E1934"/>
    <w:docVar w:name="LW_COVERPAGE_TYPE" w:val="1"/>
    <w:docVar w:name="LW_CreatedUtc" w:val="2025-03-24T17:12:44.4829806Z"/>
    <w:docVar w:name="LW_CROSSREFERENCE" w:val="{SEC(2025) 825 final} - {SWD(2025) 826 final} - {SWD(2026) 825 final}"/>
    <w:docVar w:name="LW_DocType" w:val="COM"/>
    <w:docVar w:name="LW_EMISSION" w:val="17.6.2025"/>
    <w:docVar w:name="LW_EMISSION_ISODATE" w:val="2025-06-17"/>
    <w:docVar w:name="LW_EMISSION_LOCATION" w:val="STR"/>
    <w:docVar w:name="LW_EMISSION_PREFIX" w:val="Strasbourg,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826"/>
    <w:docVar w:name="LW_REF.II.NEW.CP_YEAR" w:val="2025"/>
    <w:docVar w:name="LW_REF.INST.NEW" w:val="COM"/>
    <w:docVar w:name="LW_REF.INST.NEW_ADOPTED" w:val="final"/>
    <w:docVar w:name="LW_REF.INST.NEW_TEXT" w:val="(2025) 82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2017/2402 of the European Parliament and of the Council of 12 December 2017 laying down a general framework for securitisation and creating a specific framework for simple, transparent and standardised securitisation"/>
    <w:docVar w:name="LW_TYPE.DOC.CP" w:val="REGULATION OF THE EUROPEAN PARLIAMENT AND OF THE COUNCIL"/>
    <w:docVar w:name="LwApiVersions" w:val="LW4CoDe 1.24.5.0; LW 9.0, Build 20240221"/>
  </w:docVars>
  <w:rsids>
    <w:rsidRoot w:val="00D761DA"/>
    <w:rsid w:val="0000004B"/>
    <w:rsid w:val="0000008A"/>
    <w:rsid w:val="000001FC"/>
    <w:rsid w:val="00000219"/>
    <w:rsid w:val="0000021E"/>
    <w:rsid w:val="000003A9"/>
    <w:rsid w:val="000006B2"/>
    <w:rsid w:val="00000899"/>
    <w:rsid w:val="00000902"/>
    <w:rsid w:val="00000B7A"/>
    <w:rsid w:val="00000C23"/>
    <w:rsid w:val="00000E5D"/>
    <w:rsid w:val="00000F3A"/>
    <w:rsid w:val="00000F79"/>
    <w:rsid w:val="00001063"/>
    <w:rsid w:val="0000159B"/>
    <w:rsid w:val="00001730"/>
    <w:rsid w:val="000017FC"/>
    <w:rsid w:val="00001817"/>
    <w:rsid w:val="00001968"/>
    <w:rsid w:val="00001A83"/>
    <w:rsid w:val="00001AA7"/>
    <w:rsid w:val="00001DDD"/>
    <w:rsid w:val="00001E15"/>
    <w:rsid w:val="00001E42"/>
    <w:rsid w:val="00002250"/>
    <w:rsid w:val="00002329"/>
    <w:rsid w:val="0000281E"/>
    <w:rsid w:val="00002835"/>
    <w:rsid w:val="00002A1C"/>
    <w:rsid w:val="00002AA8"/>
    <w:rsid w:val="00002BB5"/>
    <w:rsid w:val="00002F4B"/>
    <w:rsid w:val="000031D3"/>
    <w:rsid w:val="00003201"/>
    <w:rsid w:val="000034EF"/>
    <w:rsid w:val="00003572"/>
    <w:rsid w:val="00003637"/>
    <w:rsid w:val="00003665"/>
    <w:rsid w:val="00003672"/>
    <w:rsid w:val="000036A4"/>
    <w:rsid w:val="0000381A"/>
    <w:rsid w:val="00003995"/>
    <w:rsid w:val="00003BA8"/>
    <w:rsid w:val="00003BF8"/>
    <w:rsid w:val="00003D2C"/>
    <w:rsid w:val="00003EBC"/>
    <w:rsid w:val="00004073"/>
    <w:rsid w:val="00004224"/>
    <w:rsid w:val="00004472"/>
    <w:rsid w:val="000044C7"/>
    <w:rsid w:val="00004740"/>
    <w:rsid w:val="00004817"/>
    <w:rsid w:val="000048CA"/>
    <w:rsid w:val="00004B26"/>
    <w:rsid w:val="00004DC2"/>
    <w:rsid w:val="00004E5E"/>
    <w:rsid w:val="00004E95"/>
    <w:rsid w:val="00004F03"/>
    <w:rsid w:val="00004FD1"/>
    <w:rsid w:val="0000507C"/>
    <w:rsid w:val="0000517E"/>
    <w:rsid w:val="000052A5"/>
    <w:rsid w:val="000054DF"/>
    <w:rsid w:val="00005614"/>
    <w:rsid w:val="000056D8"/>
    <w:rsid w:val="000059EF"/>
    <w:rsid w:val="0000648B"/>
    <w:rsid w:val="00006618"/>
    <w:rsid w:val="000066CF"/>
    <w:rsid w:val="000066F0"/>
    <w:rsid w:val="00006AD4"/>
    <w:rsid w:val="00006C5F"/>
    <w:rsid w:val="00006E14"/>
    <w:rsid w:val="00006EF7"/>
    <w:rsid w:val="00006EF8"/>
    <w:rsid w:val="000073E9"/>
    <w:rsid w:val="000074B2"/>
    <w:rsid w:val="000078EB"/>
    <w:rsid w:val="00007DB6"/>
    <w:rsid w:val="00007ECC"/>
    <w:rsid w:val="00007F03"/>
    <w:rsid w:val="0000A973"/>
    <w:rsid w:val="000102AF"/>
    <w:rsid w:val="00010387"/>
    <w:rsid w:val="00010451"/>
    <w:rsid w:val="000106E4"/>
    <w:rsid w:val="00010773"/>
    <w:rsid w:val="00010842"/>
    <w:rsid w:val="00010862"/>
    <w:rsid w:val="00010A2A"/>
    <w:rsid w:val="00010A72"/>
    <w:rsid w:val="00010A7C"/>
    <w:rsid w:val="00010A96"/>
    <w:rsid w:val="00010B08"/>
    <w:rsid w:val="00010D47"/>
    <w:rsid w:val="00010ECC"/>
    <w:rsid w:val="00010ECF"/>
    <w:rsid w:val="00010FDE"/>
    <w:rsid w:val="000113D9"/>
    <w:rsid w:val="0001151E"/>
    <w:rsid w:val="000115CC"/>
    <w:rsid w:val="00011734"/>
    <w:rsid w:val="00011896"/>
    <w:rsid w:val="00011984"/>
    <w:rsid w:val="00011D10"/>
    <w:rsid w:val="00011DC5"/>
    <w:rsid w:val="00012384"/>
    <w:rsid w:val="00012596"/>
    <w:rsid w:val="0001269C"/>
    <w:rsid w:val="00012941"/>
    <w:rsid w:val="00012B84"/>
    <w:rsid w:val="00012C09"/>
    <w:rsid w:val="00012D65"/>
    <w:rsid w:val="000130E2"/>
    <w:rsid w:val="000134E0"/>
    <w:rsid w:val="00013519"/>
    <w:rsid w:val="0001362B"/>
    <w:rsid w:val="00013708"/>
    <w:rsid w:val="00013839"/>
    <w:rsid w:val="00013AD2"/>
    <w:rsid w:val="00013E20"/>
    <w:rsid w:val="00013FB6"/>
    <w:rsid w:val="00014053"/>
    <w:rsid w:val="0001406A"/>
    <w:rsid w:val="0001409F"/>
    <w:rsid w:val="000141A6"/>
    <w:rsid w:val="000142A6"/>
    <w:rsid w:val="00014314"/>
    <w:rsid w:val="0001450A"/>
    <w:rsid w:val="00014537"/>
    <w:rsid w:val="00014591"/>
    <w:rsid w:val="000145AD"/>
    <w:rsid w:val="000148DB"/>
    <w:rsid w:val="00014933"/>
    <w:rsid w:val="00014B77"/>
    <w:rsid w:val="00014BB8"/>
    <w:rsid w:val="00014D2D"/>
    <w:rsid w:val="00014E6F"/>
    <w:rsid w:val="0001505E"/>
    <w:rsid w:val="00015229"/>
    <w:rsid w:val="000152CD"/>
    <w:rsid w:val="000152E3"/>
    <w:rsid w:val="0001532B"/>
    <w:rsid w:val="0001543B"/>
    <w:rsid w:val="0001562C"/>
    <w:rsid w:val="00015795"/>
    <w:rsid w:val="00015961"/>
    <w:rsid w:val="00015DBC"/>
    <w:rsid w:val="00015F6E"/>
    <w:rsid w:val="0001605A"/>
    <w:rsid w:val="000160D0"/>
    <w:rsid w:val="00016189"/>
    <w:rsid w:val="00016190"/>
    <w:rsid w:val="000161E2"/>
    <w:rsid w:val="000162E8"/>
    <w:rsid w:val="0001652C"/>
    <w:rsid w:val="000165FB"/>
    <w:rsid w:val="0001718B"/>
    <w:rsid w:val="000174D3"/>
    <w:rsid w:val="00017759"/>
    <w:rsid w:val="00017D13"/>
    <w:rsid w:val="000200E3"/>
    <w:rsid w:val="0002013B"/>
    <w:rsid w:val="000202A4"/>
    <w:rsid w:val="000202BB"/>
    <w:rsid w:val="000204F7"/>
    <w:rsid w:val="0002055A"/>
    <w:rsid w:val="0002061D"/>
    <w:rsid w:val="000206D8"/>
    <w:rsid w:val="000209A8"/>
    <w:rsid w:val="00020D70"/>
    <w:rsid w:val="0002106D"/>
    <w:rsid w:val="000210DD"/>
    <w:rsid w:val="000212C3"/>
    <w:rsid w:val="0002132D"/>
    <w:rsid w:val="00021499"/>
    <w:rsid w:val="00021570"/>
    <w:rsid w:val="0002159A"/>
    <w:rsid w:val="000216DD"/>
    <w:rsid w:val="0002172A"/>
    <w:rsid w:val="000218C1"/>
    <w:rsid w:val="00021A07"/>
    <w:rsid w:val="00021A61"/>
    <w:rsid w:val="00021A7C"/>
    <w:rsid w:val="00021AC6"/>
    <w:rsid w:val="00021BAF"/>
    <w:rsid w:val="00021BC0"/>
    <w:rsid w:val="00021BCD"/>
    <w:rsid w:val="00021BE4"/>
    <w:rsid w:val="00021E27"/>
    <w:rsid w:val="00021E7C"/>
    <w:rsid w:val="00021EFD"/>
    <w:rsid w:val="000220D9"/>
    <w:rsid w:val="000221B6"/>
    <w:rsid w:val="00022203"/>
    <w:rsid w:val="0002286E"/>
    <w:rsid w:val="000228B7"/>
    <w:rsid w:val="00022CDB"/>
    <w:rsid w:val="00022D0D"/>
    <w:rsid w:val="00022D19"/>
    <w:rsid w:val="00022E96"/>
    <w:rsid w:val="00022F1D"/>
    <w:rsid w:val="00022FC2"/>
    <w:rsid w:val="00023274"/>
    <w:rsid w:val="00023361"/>
    <w:rsid w:val="00023407"/>
    <w:rsid w:val="000234D7"/>
    <w:rsid w:val="00023806"/>
    <w:rsid w:val="000238DE"/>
    <w:rsid w:val="00023B27"/>
    <w:rsid w:val="00023C2C"/>
    <w:rsid w:val="00023C5F"/>
    <w:rsid w:val="00023C8D"/>
    <w:rsid w:val="00023D4B"/>
    <w:rsid w:val="000240D2"/>
    <w:rsid w:val="00024196"/>
    <w:rsid w:val="000243E2"/>
    <w:rsid w:val="0002488A"/>
    <w:rsid w:val="000248B8"/>
    <w:rsid w:val="000248C7"/>
    <w:rsid w:val="00024D24"/>
    <w:rsid w:val="00024E5E"/>
    <w:rsid w:val="00024F11"/>
    <w:rsid w:val="00024F40"/>
    <w:rsid w:val="000252C4"/>
    <w:rsid w:val="000254BF"/>
    <w:rsid w:val="000255E7"/>
    <w:rsid w:val="0002576D"/>
    <w:rsid w:val="000258ED"/>
    <w:rsid w:val="00025922"/>
    <w:rsid w:val="00025948"/>
    <w:rsid w:val="00025A41"/>
    <w:rsid w:val="00025B1F"/>
    <w:rsid w:val="00025F05"/>
    <w:rsid w:val="00025F6F"/>
    <w:rsid w:val="00025FD4"/>
    <w:rsid w:val="000260C4"/>
    <w:rsid w:val="0002616A"/>
    <w:rsid w:val="000261AC"/>
    <w:rsid w:val="00026457"/>
    <w:rsid w:val="00026554"/>
    <w:rsid w:val="0002662F"/>
    <w:rsid w:val="00026856"/>
    <w:rsid w:val="00026904"/>
    <w:rsid w:val="00026B28"/>
    <w:rsid w:val="00026C33"/>
    <w:rsid w:val="00026CC1"/>
    <w:rsid w:val="00026E2D"/>
    <w:rsid w:val="00026E63"/>
    <w:rsid w:val="00027186"/>
    <w:rsid w:val="0002725E"/>
    <w:rsid w:val="00027371"/>
    <w:rsid w:val="000275B1"/>
    <w:rsid w:val="000276DC"/>
    <w:rsid w:val="00027838"/>
    <w:rsid w:val="00027A02"/>
    <w:rsid w:val="00027CD6"/>
    <w:rsid w:val="00027D8B"/>
    <w:rsid w:val="00027F1F"/>
    <w:rsid w:val="00027FBB"/>
    <w:rsid w:val="0003014F"/>
    <w:rsid w:val="00030208"/>
    <w:rsid w:val="000302D2"/>
    <w:rsid w:val="00030659"/>
    <w:rsid w:val="00030720"/>
    <w:rsid w:val="00030785"/>
    <w:rsid w:val="000307B1"/>
    <w:rsid w:val="00030928"/>
    <w:rsid w:val="00030C9B"/>
    <w:rsid w:val="00030D7D"/>
    <w:rsid w:val="00030FC3"/>
    <w:rsid w:val="00031098"/>
    <w:rsid w:val="000310B4"/>
    <w:rsid w:val="000310EA"/>
    <w:rsid w:val="0003142A"/>
    <w:rsid w:val="000314C1"/>
    <w:rsid w:val="00031735"/>
    <w:rsid w:val="000317F8"/>
    <w:rsid w:val="00031996"/>
    <w:rsid w:val="00031ADC"/>
    <w:rsid w:val="00031B11"/>
    <w:rsid w:val="00031E28"/>
    <w:rsid w:val="00032080"/>
    <w:rsid w:val="00032495"/>
    <w:rsid w:val="0003253D"/>
    <w:rsid w:val="0003270D"/>
    <w:rsid w:val="0003295E"/>
    <w:rsid w:val="00032A32"/>
    <w:rsid w:val="00032B87"/>
    <w:rsid w:val="00032B9A"/>
    <w:rsid w:val="00032C33"/>
    <w:rsid w:val="00032EFF"/>
    <w:rsid w:val="00032FD9"/>
    <w:rsid w:val="00033067"/>
    <w:rsid w:val="0003318D"/>
    <w:rsid w:val="0003320C"/>
    <w:rsid w:val="00033242"/>
    <w:rsid w:val="000333EB"/>
    <w:rsid w:val="000335F0"/>
    <w:rsid w:val="00033607"/>
    <w:rsid w:val="00033749"/>
    <w:rsid w:val="00033784"/>
    <w:rsid w:val="00033866"/>
    <w:rsid w:val="000339E7"/>
    <w:rsid w:val="00033A4C"/>
    <w:rsid w:val="00033B5C"/>
    <w:rsid w:val="00033EC0"/>
    <w:rsid w:val="00033FCE"/>
    <w:rsid w:val="00034201"/>
    <w:rsid w:val="0003428E"/>
    <w:rsid w:val="000343C2"/>
    <w:rsid w:val="000344FD"/>
    <w:rsid w:val="000346B9"/>
    <w:rsid w:val="0003486A"/>
    <w:rsid w:val="00034A3D"/>
    <w:rsid w:val="00034A7B"/>
    <w:rsid w:val="00034B33"/>
    <w:rsid w:val="00034BFE"/>
    <w:rsid w:val="00034CE6"/>
    <w:rsid w:val="00034F8F"/>
    <w:rsid w:val="00035223"/>
    <w:rsid w:val="00035244"/>
    <w:rsid w:val="00035580"/>
    <w:rsid w:val="00035806"/>
    <w:rsid w:val="000359D9"/>
    <w:rsid w:val="00035A07"/>
    <w:rsid w:val="00035CAD"/>
    <w:rsid w:val="00035F29"/>
    <w:rsid w:val="00036313"/>
    <w:rsid w:val="0003655E"/>
    <w:rsid w:val="0003664A"/>
    <w:rsid w:val="000366E8"/>
    <w:rsid w:val="000368B2"/>
    <w:rsid w:val="0003695E"/>
    <w:rsid w:val="00036BF2"/>
    <w:rsid w:val="00036C03"/>
    <w:rsid w:val="00036C84"/>
    <w:rsid w:val="00036EBE"/>
    <w:rsid w:val="00036F39"/>
    <w:rsid w:val="00036F43"/>
    <w:rsid w:val="00036FCE"/>
    <w:rsid w:val="00037071"/>
    <w:rsid w:val="000370C3"/>
    <w:rsid w:val="00037308"/>
    <w:rsid w:val="0003734D"/>
    <w:rsid w:val="000375F1"/>
    <w:rsid w:val="0003779F"/>
    <w:rsid w:val="00037899"/>
    <w:rsid w:val="00037C51"/>
    <w:rsid w:val="00037DB2"/>
    <w:rsid w:val="00037EBC"/>
    <w:rsid w:val="00037FC7"/>
    <w:rsid w:val="00040081"/>
    <w:rsid w:val="00040129"/>
    <w:rsid w:val="000401C8"/>
    <w:rsid w:val="0004048E"/>
    <w:rsid w:val="00040580"/>
    <w:rsid w:val="000405D5"/>
    <w:rsid w:val="0004074C"/>
    <w:rsid w:val="00040846"/>
    <w:rsid w:val="00040933"/>
    <w:rsid w:val="00040A62"/>
    <w:rsid w:val="00040B0A"/>
    <w:rsid w:val="00040B15"/>
    <w:rsid w:val="00040DF3"/>
    <w:rsid w:val="00040E39"/>
    <w:rsid w:val="00040FD2"/>
    <w:rsid w:val="0004103E"/>
    <w:rsid w:val="00041076"/>
    <w:rsid w:val="000412CA"/>
    <w:rsid w:val="0004130B"/>
    <w:rsid w:val="00041315"/>
    <w:rsid w:val="000413B1"/>
    <w:rsid w:val="0004175F"/>
    <w:rsid w:val="00041798"/>
    <w:rsid w:val="000417D2"/>
    <w:rsid w:val="000418BF"/>
    <w:rsid w:val="00041A08"/>
    <w:rsid w:val="00041A25"/>
    <w:rsid w:val="00041B12"/>
    <w:rsid w:val="00041C20"/>
    <w:rsid w:val="00041D4F"/>
    <w:rsid w:val="00041E1F"/>
    <w:rsid w:val="00041F36"/>
    <w:rsid w:val="00042091"/>
    <w:rsid w:val="0004223B"/>
    <w:rsid w:val="000424DB"/>
    <w:rsid w:val="000425AB"/>
    <w:rsid w:val="000425D1"/>
    <w:rsid w:val="00042611"/>
    <w:rsid w:val="0004283F"/>
    <w:rsid w:val="00042ADC"/>
    <w:rsid w:val="00042AF9"/>
    <w:rsid w:val="00042B24"/>
    <w:rsid w:val="00043068"/>
    <w:rsid w:val="000430BE"/>
    <w:rsid w:val="0004342E"/>
    <w:rsid w:val="000437A6"/>
    <w:rsid w:val="00043B9E"/>
    <w:rsid w:val="00043BC9"/>
    <w:rsid w:val="00043C51"/>
    <w:rsid w:val="00043E27"/>
    <w:rsid w:val="00043F9D"/>
    <w:rsid w:val="00043FDF"/>
    <w:rsid w:val="0004403D"/>
    <w:rsid w:val="000440D5"/>
    <w:rsid w:val="000440DE"/>
    <w:rsid w:val="000441AC"/>
    <w:rsid w:val="000441BF"/>
    <w:rsid w:val="00044209"/>
    <w:rsid w:val="000442AE"/>
    <w:rsid w:val="00044589"/>
    <w:rsid w:val="00044681"/>
    <w:rsid w:val="00044749"/>
    <w:rsid w:val="000449A0"/>
    <w:rsid w:val="00044C0F"/>
    <w:rsid w:val="00044F9B"/>
    <w:rsid w:val="0004525D"/>
    <w:rsid w:val="0004552C"/>
    <w:rsid w:val="0004554A"/>
    <w:rsid w:val="00045846"/>
    <w:rsid w:val="00045D63"/>
    <w:rsid w:val="00045E9E"/>
    <w:rsid w:val="00045EE4"/>
    <w:rsid w:val="00046074"/>
    <w:rsid w:val="0004610B"/>
    <w:rsid w:val="0004612C"/>
    <w:rsid w:val="00046684"/>
    <w:rsid w:val="000468B8"/>
    <w:rsid w:val="00046A63"/>
    <w:rsid w:val="00046A64"/>
    <w:rsid w:val="00046AB8"/>
    <w:rsid w:val="00046B42"/>
    <w:rsid w:val="00046C43"/>
    <w:rsid w:val="00046D22"/>
    <w:rsid w:val="00046E0F"/>
    <w:rsid w:val="00046E96"/>
    <w:rsid w:val="00046EEC"/>
    <w:rsid w:val="0004701D"/>
    <w:rsid w:val="000471B4"/>
    <w:rsid w:val="00047244"/>
    <w:rsid w:val="00047327"/>
    <w:rsid w:val="00047421"/>
    <w:rsid w:val="0004755C"/>
    <w:rsid w:val="0004756E"/>
    <w:rsid w:val="0004759F"/>
    <w:rsid w:val="00047681"/>
    <w:rsid w:val="000477C0"/>
    <w:rsid w:val="00047DE0"/>
    <w:rsid w:val="00047E13"/>
    <w:rsid w:val="00047E52"/>
    <w:rsid w:val="00047F06"/>
    <w:rsid w:val="00047F22"/>
    <w:rsid w:val="00050165"/>
    <w:rsid w:val="00050510"/>
    <w:rsid w:val="0005067D"/>
    <w:rsid w:val="000506F5"/>
    <w:rsid w:val="00050774"/>
    <w:rsid w:val="00050907"/>
    <w:rsid w:val="00050A88"/>
    <w:rsid w:val="00050BD7"/>
    <w:rsid w:val="0005102C"/>
    <w:rsid w:val="00051729"/>
    <w:rsid w:val="00051802"/>
    <w:rsid w:val="000519C2"/>
    <w:rsid w:val="00051B1F"/>
    <w:rsid w:val="00051D32"/>
    <w:rsid w:val="00052142"/>
    <w:rsid w:val="00052260"/>
    <w:rsid w:val="000522D7"/>
    <w:rsid w:val="00052544"/>
    <w:rsid w:val="000526E0"/>
    <w:rsid w:val="000527BD"/>
    <w:rsid w:val="00052856"/>
    <w:rsid w:val="00052C5D"/>
    <w:rsid w:val="00052C73"/>
    <w:rsid w:val="00052C9E"/>
    <w:rsid w:val="00053069"/>
    <w:rsid w:val="000530D0"/>
    <w:rsid w:val="00053159"/>
    <w:rsid w:val="00053287"/>
    <w:rsid w:val="000533B0"/>
    <w:rsid w:val="00053646"/>
    <w:rsid w:val="0005371E"/>
    <w:rsid w:val="00053806"/>
    <w:rsid w:val="000538A1"/>
    <w:rsid w:val="00053A3D"/>
    <w:rsid w:val="00053A75"/>
    <w:rsid w:val="00053B41"/>
    <w:rsid w:val="00053B52"/>
    <w:rsid w:val="00053B98"/>
    <w:rsid w:val="00053C52"/>
    <w:rsid w:val="00053C63"/>
    <w:rsid w:val="00053DF9"/>
    <w:rsid w:val="00053F3B"/>
    <w:rsid w:val="000543BA"/>
    <w:rsid w:val="0005443B"/>
    <w:rsid w:val="00054446"/>
    <w:rsid w:val="00054714"/>
    <w:rsid w:val="0005475E"/>
    <w:rsid w:val="000549A6"/>
    <w:rsid w:val="00054B5E"/>
    <w:rsid w:val="00054D1B"/>
    <w:rsid w:val="00054FAB"/>
    <w:rsid w:val="000551C1"/>
    <w:rsid w:val="00055209"/>
    <w:rsid w:val="00055282"/>
    <w:rsid w:val="0005535C"/>
    <w:rsid w:val="000553EE"/>
    <w:rsid w:val="00055445"/>
    <w:rsid w:val="00055496"/>
    <w:rsid w:val="000555EC"/>
    <w:rsid w:val="0005567F"/>
    <w:rsid w:val="000558E5"/>
    <w:rsid w:val="00055BC0"/>
    <w:rsid w:val="00055C5D"/>
    <w:rsid w:val="00055CDA"/>
    <w:rsid w:val="00055EA0"/>
    <w:rsid w:val="0005605A"/>
    <w:rsid w:val="00056089"/>
    <w:rsid w:val="0005639B"/>
    <w:rsid w:val="00056413"/>
    <w:rsid w:val="0005686F"/>
    <w:rsid w:val="000569ED"/>
    <w:rsid w:val="00056BAD"/>
    <w:rsid w:val="00056BDA"/>
    <w:rsid w:val="00056D06"/>
    <w:rsid w:val="00056D43"/>
    <w:rsid w:val="00056D52"/>
    <w:rsid w:val="00056ECC"/>
    <w:rsid w:val="00056F62"/>
    <w:rsid w:val="00057074"/>
    <w:rsid w:val="0005708C"/>
    <w:rsid w:val="000572A4"/>
    <w:rsid w:val="000573B6"/>
    <w:rsid w:val="000577F1"/>
    <w:rsid w:val="00057883"/>
    <w:rsid w:val="00057A3D"/>
    <w:rsid w:val="00057CB0"/>
    <w:rsid w:val="00057D8D"/>
    <w:rsid w:val="00057DD3"/>
    <w:rsid w:val="00057FBF"/>
    <w:rsid w:val="000605B4"/>
    <w:rsid w:val="000605CE"/>
    <w:rsid w:val="000608CE"/>
    <w:rsid w:val="000609F2"/>
    <w:rsid w:val="00060A4C"/>
    <w:rsid w:val="00060B5C"/>
    <w:rsid w:val="00060F07"/>
    <w:rsid w:val="00060FF2"/>
    <w:rsid w:val="0006130B"/>
    <w:rsid w:val="00061445"/>
    <w:rsid w:val="000619D8"/>
    <w:rsid w:val="00061AFF"/>
    <w:rsid w:val="00061D78"/>
    <w:rsid w:val="000621E0"/>
    <w:rsid w:val="000623EE"/>
    <w:rsid w:val="000624E0"/>
    <w:rsid w:val="00062524"/>
    <w:rsid w:val="000625B3"/>
    <w:rsid w:val="00062601"/>
    <w:rsid w:val="00062605"/>
    <w:rsid w:val="0006272D"/>
    <w:rsid w:val="0006288B"/>
    <w:rsid w:val="00062B45"/>
    <w:rsid w:val="00062BFB"/>
    <w:rsid w:val="00062C79"/>
    <w:rsid w:val="00062E68"/>
    <w:rsid w:val="00062FD1"/>
    <w:rsid w:val="0006307E"/>
    <w:rsid w:val="000632BD"/>
    <w:rsid w:val="000633F0"/>
    <w:rsid w:val="00063500"/>
    <w:rsid w:val="000636A8"/>
    <w:rsid w:val="000637F1"/>
    <w:rsid w:val="000637F5"/>
    <w:rsid w:val="00063928"/>
    <w:rsid w:val="00063A8F"/>
    <w:rsid w:val="00064011"/>
    <w:rsid w:val="000641CF"/>
    <w:rsid w:val="00064628"/>
    <w:rsid w:val="0006467C"/>
    <w:rsid w:val="0006487C"/>
    <w:rsid w:val="00064965"/>
    <w:rsid w:val="000649E7"/>
    <w:rsid w:val="00064A7E"/>
    <w:rsid w:val="00064ADA"/>
    <w:rsid w:val="00064B29"/>
    <w:rsid w:val="00064BAD"/>
    <w:rsid w:val="00064D96"/>
    <w:rsid w:val="00064E3F"/>
    <w:rsid w:val="0006561A"/>
    <w:rsid w:val="00065881"/>
    <w:rsid w:val="00065898"/>
    <w:rsid w:val="00065B11"/>
    <w:rsid w:val="00065BFF"/>
    <w:rsid w:val="00065CF3"/>
    <w:rsid w:val="00065D0A"/>
    <w:rsid w:val="00065D5E"/>
    <w:rsid w:val="00065F91"/>
    <w:rsid w:val="00066140"/>
    <w:rsid w:val="0006630C"/>
    <w:rsid w:val="0006630E"/>
    <w:rsid w:val="00066568"/>
    <w:rsid w:val="0006666B"/>
    <w:rsid w:val="0006680A"/>
    <w:rsid w:val="000668C2"/>
    <w:rsid w:val="00066955"/>
    <w:rsid w:val="0006698A"/>
    <w:rsid w:val="00066991"/>
    <w:rsid w:val="00066AEB"/>
    <w:rsid w:val="00066AED"/>
    <w:rsid w:val="00066C30"/>
    <w:rsid w:val="00066C44"/>
    <w:rsid w:val="00066CF0"/>
    <w:rsid w:val="00066EF8"/>
    <w:rsid w:val="000671EA"/>
    <w:rsid w:val="0006731E"/>
    <w:rsid w:val="00067511"/>
    <w:rsid w:val="000679A4"/>
    <w:rsid w:val="000679AD"/>
    <w:rsid w:val="000679B9"/>
    <w:rsid w:val="00067C0A"/>
    <w:rsid w:val="00067C1B"/>
    <w:rsid w:val="00067DA7"/>
    <w:rsid w:val="00067DA9"/>
    <w:rsid w:val="00067E0C"/>
    <w:rsid w:val="00067F4B"/>
    <w:rsid w:val="00067F54"/>
    <w:rsid w:val="000700F8"/>
    <w:rsid w:val="00070344"/>
    <w:rsid w:val="0007035F"/>
    <w:rsid w:val="000705AC"/>
    <w:rsid w:val="0007074D"/>
    <w:rsid w:val="00070753"/>
    <w:rsid w:val="00070820"/>
    <w:rsid w:val="00070874"/>
    <w:rsid w:val="000709A8"/>
    <w:rsid w:val="000709BC"/>
    <w:rsid w:val="00070A5D"/>
    <w:rsid w:val="00070B70"/>
    <w:rsid w:val="00070BBF"/>
    <w:rsid w:val="00070C13"/>
    <w:rsid w:val="00070C15"/>
    <w:rsid w:val="00070C8D"/>
    <w:rsid w:val="00070D9B"/>
    <w:rsid w:val="00070F92"/>
    <w:rsid w:val="0007108F"/>
    <w:rsid w:val="000710A6"/>
    <w:rsid w:val="0007149D"/>
    <w:rsid w:val="000714F5"/>
    <w:rsid w:val="0007157D"/>
    <w:rsid w:val="00071677"/>
    <w:rsid w:val="00071884"/>
    <w:rsid w:val="000718EC"/>
    <w:rsid w:val="00071964"/>
    <w:rsid w:val="00071AC2"/>
    <w:rsid w:val="00071AD8"/>
    <w:rsid w:val="0007210E"/>
    <w:rsid w:val="00072138"/>
    <w:rsid w:val="000721B8"/>
    <w:rsid w:val="00072524"/>
    <w:rsid w:val="0007260E"/>
    <w:rsid w:val="0007262B"/>
    <w:rsid w:val="00072911"/>
    <w:rsid w:val="00072CA5"/>
    <w:rsid w:val="0007311A"/>
    <w:rsid w:val="000731EA"/>
    <w:rsid w:val="00073214"/>
    <w:rsid w:val="000733F4"/>
    <w:rsid w:val="00073420"/>
    <w:rsid w:val="00073492"/>
    <w:rsid w:val="000735E8"/>
    <w:rsid w:val="00073795"/>
    <w:rsid w:val="000739B4"/>
    <w:rsid w:val="00073ECF"/>
    <w:rsid w:val="00073FC0"/>
    <w:rsid w:val="000740CB"/>
    <w:rsid w:val="0007418E"/>
    <w:rsid w:val="000741E2"/>
    <w:rsid w:val="00074228"/>
    <w:rsid w:val="000745E9"/>
    <w:rsid w:val="00074709"/>
    <w:rsid w:val="00074837"/>
    <w:rsid w:val="00074A29"/>
    <w:rsid w:val="00074DE0"/>
    <w:rsid w:val="00074ED9"/>
    <w:rsid w:val="00074F88"/>
    <w:rsid w:val="00074FAD"/>
    <w:rsid w:val="000757CA"/>
    <w:rsid w:val="0007599C"/>
    <w:rsid w:val="00075AB3"/>
    <w:rsid w:val="00075AE0"/>
    <w:rsid w:val="00075E3B"/>
    <w:rsid w:val="00075E40"/>
    <w:rsid w:val="00075EE1"/>
    <w:rsid w:val="0007600C"/>
    <w:rsid w:val="000761CF"/>
    <w:rsid w:val="000762BD"/>
    <w:rsid w:val="00076617"/>
    <w:rsid w:val="00076788"/>
    <w:rsid w:val="0007689E"/>
    <w:rsid w:val="00076CBE"/>
    <w:rsid w:val="00076EEE"/>
    <w:rsid w:val="00076F23"/>
    <w:rsid w:val="00076FDC"/>
    <w:rsid w:val="0007703A"/>
    <w:rsid w:val="00077133"/>
    <w:rsid w:val="00077517"/>
    <w:rsid w:val="0007779E"/>
    <w:rsid w:val="00077A60"/>
    <w:rsid w:val="00077D63"/>
    <w:rsid w:val="00077F94"/>
    <w:rsid w:val="0008016B"/>
    <w:rsid w:val="000802F9"/>
    <w:rsid w:val="000803D5"/>
    <w:rsid w:val="000805BA"/>
    <w:rsid w:val="00080950"/>
    <w:rsid w:val="00080A5B"/>
    <w:rsid w:val="00080A77"/>
    <w:rsid w:val="00080ABD"/>
    <w:rsid w:val="00080B06"/>
    <w:rsid w:val="00080E93"/>
    <w:rsid w:val="00080F28"/>
    <w:rsid w:val="000810A3"/>
    <w:rsid w:val="000814FB"/>
    <w:rsid w:val="0008159A"/>
    <w:rsid w:val="000815AC"/>
    <w:rsid w:val="00081A5B"/>
    <w:rsid w:val="00081D63"/>
    <w:rsid w:val="00081DE7"/>
    <w:rsid w:val="00081DF6"/>
    <w:rsid w:val="00081ED7"/>
    <w:rsid w:val="00081FDD"/>
    <w:rsid w:val="000820C1"/>
    <w:rsid w:val="000820F6"/>
    <w:rsid w:val="0008217F"/>
    <w:rsid w:val="000821A1"/>
    <w:rsid w:val="000822F5"/>
    <w:rsid w:val="00082428"/>
    <w:rsid w:val="000825E6"/>
    <w:rsid w:val="00082703"/>
    <w:rsid w:val="00082796"/>
    <w:rsid w:val="0008284F"/>
    <w:rsid w:val="0008290D"/>
    <w:rsid w:val="00082F2F"/>
    <w:rsid w:val="00082F8F"/>
    <w:rsid w:val="0008306F"/>
    <w:rsid w:val="000830D9"/>
    <w:rsid w:val="00083178"/>
    <w:rsid w:val="00083306"/>
    <w:rsid w:val="00083426"/>
    <w:rsid w:val="00083553"/>
    <w:rsid w:val="0008361C"/>
    <w:rsid w:val="000837CE"/>
    <w:rsid w:val="0008391A"/>
    <w:rsid w:val="000839DB"/>
    <w:rsid w:val="00083AD4"/>
    <w:rsid w:val="00083CBF"/>
    <w:rsid w:val="00083D9C"/>
    <w:rsid w:val="00083E81"/>
    <w:rsid w:val="00083FA1"/>
    <w:rsid w:val="00084097"/>
    <w:rsid w:val="0008421E"/>
    <w:rsid w:val="00084465"/>
    <w:rsid w:val="0008450F"/>
    <w:rsid w:val="000846BD"/>
    <w:rsid w:val="00084823"/>
    <w:rsid w:val="000849FF"/>
    <w:rsid w:val="00084B64"/>
    <w:rsid w:val="00084B73"/>
    <w:rsid w:val="00084D96"/>
    <w:rsid w:val="00084ED8"/>
    <w:rsid w:val="00084F3A"/>
    <w:rsid w:val="0008509A"/>
    <w:rsid w:val="00085228"/>
    <w:rsid w:val="0008522E"/>
    <w:rsid w:val="0008523C"/>
    <w:rsid w:val="000852BB"/>
    <w:rsid w:val="00085487"/>
    <w:rsid w:val="0008555A"/>
    <w:rsid w:val="00085B5E"/>
    <w:rsid w:val="00085CF9"/>
    <w:rsid w:val="00085D12"/>
    <w:rsid w:val="00085E1B"/>
    <w:rsid w:val="00085E9A"/>
    <w:rsid w:val="00086046"/>
    <w:rsid w:val="000860A0"/>
    <w:rsid w:val="000861DB"/>
    <w:rsid w:val="000862B0"/>
    <w:rsid w:val="00086674"/>
    <w:rsid w:val="0008675B"/>
    <w:rsid w:val="00086782"/>
    <w:rsid w:val="0008691C"/>
    <w:rsid w:val="00086920"/>
    <w:rsid w:val="00086C12"/>
    <w:rsid w:val="00086D87"/>
    <w:rsid w:val="00086F91"/>
    <w:rsid w:val="00087074"/>
    <w:rsid w:val="0008708C"/>
    <w:rsid w:val="0008709F"/>
    <w:rsid w:val="00087170"/>
    <w:rsid w:val="00087378"/>
    <w:rsid w:val="000875A9"/>
    <w:rsid w:val="00087779"/>
    <w:rsid w:val="00087B47"/>
    <w:rsid w:val="00087B86"/>
    <w:rsid w:val="00087C32"/>
    <w:rsid w:val="00087EA4"/>
    <w:rsid w:val="00087F16"/>
    <w:rsid w:val="00087F35"/>
    <w:rsid w:val="00087FC8"/>
    <w:rsid w:val="000900EA"/>
    <w:rsid w:val="000902F4"/>
    <w:rsid w:val="00090348"/>
    <w:rsid w:val="000908A0"/>
    <w:rsid w:val="000909D1"/>
    <w:rsid w:val="000912F2"/>
    <w:rsid w:val="00091317"/>
    <w:rsid w:val="000915E6"/>
    <w:rsid w:val="000918C6"/>
    <w:rsid w:val="00091EA3"/>
    <w:rsid w:val="00091F7C"/>
    <w:rsid w:val="000921A8"/>
    <w:rsid w:val="000922C1"/>
    <w:rsid w:val="00092499"/>
    <w:rsid w:val="00092548"/>
    <w:rsid w:val="000925CD"/>
    <w:rsid w:val="0009264D"/>
    <w:rsid w:val="000926C8"/>
    <w:rsid w:val="0009271E"/>
    <w:rsid w:val="000929BE"/>
    <w:rsid w:val="000929F3"/>
    <w:rsid w:val="00092A7C"/>
    <w:rsid w:val="00092ACA"/>
    <w:rsid w:val="00092C20"/>
    <w:rsid w:val="00092CB1"/>
    <w:rsid w:val="00092F39"/>
    <w:rsid w:val="00093023"/>
    <w:rsid w:val="000931A2"/>
    <w:rsid w:val="0009321E"/>
    <w:rsid w:val="00093287"/>
    <w:rsid w:val="00093324"/>
    <w:rsid w:val="000933A2"/>
    <w:rsid w:val="00093493"/>
    <w:rsid w:val="00093698"/>
    <w:rsid w:val="0009371D"/>
    <w:rsid w:val="00093926"/>
    <w:rsid w:val="0009392D"/>
    <w:rsid w:val="000939D0"/>
    <w:rsid w:val="00093C22"/>
    <w:rsid w:val="00093C9B"/>
    <w:rsid w:val="00093D43"/>
    <w:rsid w:val="00093DEF"/>
    <w:rsid w:val="0009427A"/>
    <w:rsid w:val="0009442C"/>
    <w:rsid w:val="00094543"/>
    <w:rsid w:val="0009454C"/>
    <w:rsid w:val="00094690"/>
    <w:rsid w:val="00094771"/>
    <w:rsid w:val="000947F6"/>
    <w:rsid w:val="000948C3"/>
    <w:rsid w:val="000948FA"/>
    <w:rsid w:val="0009496B"/>
    <w:rsid w:val="00094A2E"/>
    <w:rsid w:val="00094A7A"/>
    <w:rsid w:val="00094AA1"/>
    <w:rsid w:val="00094BA0"/>
    <w:rsid w:val="00094E26"/>
    <w:rsid w:val="00095198"/>
    <w:rsid w:val="00095199"/>
    <w:rsid w:val="000952A9"/>
    <w:rsid w:val="000952C2"/>
    <w:rsid w:val="000953D2"/>
    <w:rsid w:val="000953ED"/>
    <w:rsid w:val="0009552B"/>
    <w:rsid w:val="000955BF"/>
    <w:rsid w:val="0009582A"/>
    <w:rsid w:val="000958C4"/>
    <w:rsid w:val="00095A4B"/>
    <w:rsid w:val="00095A58"/>
    <w:rsid w:val="00095AE5"/>
    <w:rsid w:val="00095F2F"/>
    <w:rsid w:val="0009615D"/>
    <w:rsid w:val="00096266"/>
    <w:rsid w:val="000962C5"/>
    <w:rsid w:val="00096702"/>
    <w:rsid w:val="00096785"/>
    <w:rsid w:val="00096920"/>
    <w:rsid w:val="00096943"/>
    <w:rsid w:val="00096A4B"/>
    <w:rsid w:val="00096A91"/>
    <w:rsid w:val="00096E3D"/>
    <w:rsid w:val="00096F3B"/>
    <w:rsid w:val="00097067"/>
    <w:rsid w:val="000970C5"/>
    <w:rsid w:val="000971F1"/>
    <w:rsid w:val="000974AE"/>
    <w:rsid w:val="00097C1D"/>
    <w:rsid w:val="00097C57"/>
    <w:rsid w:val="00097EC8"/>
    <w:rsid w:val="000A009F"/>
    <w:rsid w:val="000A014A"/>
    <w:rsid w:val="000A02E3"/>
    <w:rsid w:val="000A04BB"/>
    <w:rsid w:val="000A04FD"/>
    <w:rsid w:val="000A0806"/>
    <w:rsid w:val="000A0836"/>
    <w:rsid w:val="000A08E8"/>
    <w:rsid w:val="000A09D9"/>
    <w:rsid w:val="000A09EF"/>
    <w:rsid w:val="000A0B24"/>
    <w:rsid w:val="000A0C84"/>
    <w:rsid w:val="000A0F14"/>
    <w:rsid w:val="000A12C2"/>
    <w:rsid w:val="000A13E7"/>
    <w:rsid w:val="000A170C"/>
    <w:rsid w:val="000A1B2F"/>
    <w:rsid w:val="000A1B94"/>
    <w:rsid w:val="000A1E44"/>
    <w:rsid w:val="000A1EC2"/>
    <w:rsid w:val="000A1F2B"/>
    <w:rsid w:val="000A1FA5"/>
    <w:rsid w:val="000A2295"/>
    <w:rsid w:val="000A242C"/>
    <w:rsid w:val="000A2484"/>
    <w:rsid w:val="000A251A"/>
    <w:rsid w:val="000A284E"/>
    <w:rsid w:val="000A2DB5"/>
    <w:rsid w:val="000A2E40"/>
    <w:rsid w:val="000A305F"/>
    <w:rsid w:val="000A368A"/>
    <w:rsid w:val="000A3715"/>
    <w:rsid w:val="000A37A2"/>
    <w:rsid w:val="000A37CF"/>
    <w:rsid w:val="000A398B"/>
    <w:rsid w:val="000A3A4F"/>
    <w:rsid w:val="000A3B41"/>
    <w:rsid w:val="000A3C6A"/>
    <w:rsid w:val="000A3D0E"/>
    <w:rsid w:val="000A3E56"/>
    <w:rsid w:val="000A3E73"/>
    <w:rsid w:val="000A3EEA"/>
    <w:rsid w:val="000A47FA"/>
    <w:rsid w:val="000A4B37"/>
    <w:rsid w:val="000A4C60"/>
    <w:rsid w:val="000A4FAB"/>
    <w:rsid w:val="000A5024"/>
    <w:rsid w:val="000A51F4"/>
    <w:rsid w:val="000A567B"/>
    <w:rsid w:val="000A57EA"/>
    <w:rsid w:val="000A5846"/>
    <w:rsid w:val="000A589A"/>
    <w:rsid w:val="000A59F8"/>
    <w:rsid w:val="000A59FD"/>
    <w:rsid w:val="000A5AEA"/>
    <w:rsid w:val="000A5C8D"/>
    <w:rsid w:val="000A5CA2"/>
    <w:rsid w:val="000A6161"/>
    <w:rsid w:val="000A6170"/>
    <w:rsid w:val="000A63C8"/>
    <w:rsid w:val="000A6746"/>
    <w:rsid w:val="000A67DA"/>
    <w:rsid w:val="000A69AE"/>
    <w:rsid w:val="000A69C2"/>
    <w:rsid w:val="000A6B3A"/>
    <w:rsid w:val="000A6BBD"/>
    <w:rsid w:val="000A6C58"/>
    <w:rsid w:val="000A6D34"/>
    <w:rsid w:val="000A7452"/>
    <w:rsid w:val="000A74E7"/>
    <w:rsid w:val="000A74FA"/>
    <w:rsid w:val="000A762A"/>
    <w:rsid w:val="000A7984"/>
    <w:rsid w:val="000A79D4"/>
    <w:rsid w:val="000A7A1D"/>
    <w:rsid w:val="000A7A45"/>
    <w:rsid w:val="000A7D68"/>
    <w:rsid w:val="000A7DA0"/>
    <w:rsid w:val="000A7ECB"/>
    <w:rsid w:val="000A7FD5"/>
    <w:rsid w:val="000B0013"/>
    <w:rsid w:val="000B0155"/>
    <w:rsid w:val="000B0169"/>
    <w:rsid w:val="000B01D1"/>
    <w:rsid w:val="000B0233"/>
    <w:rsid w:val="000B0257"/>
    <w:rsid w:val="000B0388"/>
    <w:rsid w:val="000B064A"/>
    <w:rsid w:val="000B08C0"/>
    <w:rsid w:val="000B0A36"/>
    <w:rsid w:val="000B0AB3"/>
    <w:rsid w:val="000B0BED"/>
    <w:rsid w:val="000B0D14"/>
    <w:rsid w:val="000B0D17"/>
    <w:rsid w:val="000B1177"/>
    <w:rsid w:val="000B1255"/>
    <w:rsid w:val="000B13DA"/>
    <w:rsid w:val="000B1527"/>
    <w:rsid w:val="000B188A"/>
    <w:rsid w:val="000B1A10"/>
    <w:rsid w:val="000B1ACE"/>
    <w:rsid w:val="000B1B24"/>
    <w:rsid w:val="000B1C62"/>
    <w:rsid w:val="000B1CE4"/>
    <w:rsid w:val="000B1E2E"/>
    <w:rsid w:val="000B21BF"/>
    <w:rsid w:val="000B2264"/>
    <w:rsid w:val="000B24FF"/>
    <w:rsid w:val="000B27AF"/>
    <w:rsid w:val="000B297A"/>
    <w:rsid w:val="000B29AA"/>
    <w:rsid w:val="000B2A02"/>
    <w:rsid w:val="000B2A21"/>
    <w:rsid w:val="000B2B71"/>
    <w:rsid w:val="000B2C4D"/>
    <w:rsid w:val="000B2D55"/>
    <w:rsid w:val="000B3132"/>
    <w:rsid w:val="000B31CD"/>
    <w:rsid w:val="000B327F"/>
    <w:rsid w:val="000B3298"/>
    <w:rsid w:val="000B339B"/>
    <w:rsid w:val="000B3591"/>
    <w:rsid w:val="000B3593"/>
    <w:rsid w:val="000B37DF"/>
    <w:rsid w:val="000B3B31"/>
    <w:rsid w:val="000B3C67"/>
    <w:rsid w:val="000B3F27"/>
    <w:rsid w:val="000B4079"/>
    <w:rsid w:val="000B408F"/>
    <w:rsid w:val="000B44A5"/>
    <w:rsid w:val="000B4599"/>
    <w:rsid w:val="000B4764"/>
    <w:rsid w:val="000B4924"/>
    <w:rsid w:val="000B4CDE"/>
    <w:rsid w:val="000B4DC6"/>
    <w:rsid w:val="000B50E4"/>
    <w:rsid w:val="000B52DD"/>
    <w:rsid w:val="000B58C7"/>
    <w:rsid w:val="000B596F"/>
    <w:rsid w:val="000B59EC"/>
    <w:rsid w:val="000B5A74"/>
    <w:rsid w:val="000B5B39"/>
    <w:rsid w:val="000B5D11"/>
    <w:rsid w:val="000B5EE3"/>
    <w:rsid w:val="000B6046"/>
    <w:rsid w:val="000B6648"/>
    <w:rsid w:val="000B667F"/>
    <w:rsid w:val="000B67F3"/>
    <w:rsid w:val="000B6871"/>
    <w:rsid w:val="000B68BA"/>
    <w:rsid w:val="000B6A79"/>
    <w:rsid w:val="000B6AEA"/>
    <w:rsid w:val="000B6C1C"/>
    <w:rsid w:val="000B6CFB"/>
    <w:rsid w:val="000B6CFE"/>
    <w:rsid w:val="000B6E20"/>
    <w:rsid w:val="000B6E27"/>
    <w:rsid w:val="000B6EDD"/>
    <w:rsid w:val="000B6EDF"/>
    <w:rsid w:val="000B71E8"/>
    <w:rsid w:val="000B71ED"/>
    <w:rsid w:val="000B7205"/>
    <w:rsid w:val="000B7275"/>
    <w:rsid w:val="000B7329"/>
    <w:rsid w:val="000B7414"/>
    <w:rsid w:val="000B743A"/>
    <w:rsid w:val="000B7487"/>
    <w:rsid w:val="000B7503"/>
    <w:rsid w:val="000B75EF"/>
    <w:rsid w:val="000B77DF"/>
    <w:rsid w:val="000B789E"/>
    <w:rsid w:val="000B79C0"/>
    <w:rsid w:val="000B7BFC"/>
    <w:rsid w:val="000B7C4A"/>
    <w:rsid w:val="000B7F1C"/>
    <w:rsid w:val="000C0253"/>
    <w:rsid w:val="000C0257"/>
    <w:rsid w:val="000C0391"/>
    <w:rsid w:val="000C0699"/>
    <w:rsid w:val="000C06DA"/>
    <w:rsid w:val="000C0799"/>
    <w:rsid w:val="000C0ABB"/>
    <w:rsid w:val="000C0B6B"/>
    <w:rsid w:val="000C0F12"/>
    <w:rsid w:val="000C124C"/>
    <w:rsid w:val="000C1378"/>
    <w:rsid w:val="000C15A2"/>
    <w:rsid w:val="000C1854"/>
    <w:rsid w:val="000C19E0"/>
    <w:rsid w:val="000C1E03"/>
    <w:rsid w:val="000C2255"/>
    <w:rsid w:val="000C22A3"/>
    <w:rsid w:val="000C23EC"/>
    <w:rsid w:val="000C267C"/>
    <w:rsid w:val="000C2767"/>
    <w:rsid w:val="000C2948"/>
    <w:rsid w:val="000C2B19"/>
    <w:rsid w:val="000C2BA9"/>
    <w:rsid w:val="000C2CB4"/>
    <w:rsid w:val="000C2E2B"/>
    <w:rsid w:val="000C2E41"/>
    <w:rsid w:val="000C2E77"/>
    <w:rsid w:val="000C3636"/>
    <w:rsid w:val="000C3672"/>
    <w:rsid w:val="000C3902"/>
    <w:rsid w:val="000C3B94"/>
    <w:rsid w:val="000C3BF7"/>
    <w:rsid w:val="000C3C1F"/>
    <w:rsid w:val="000C3D03"/>
    <w:rsid w:val="000C40E6"/>
    <w:rsid w:val="000C4181"/>
    <w:rsid w:val="000C441D"/>
    <w:rsid w:val="000C459B"/>
    <w:rsid w:val="000C4698"/>
    <w:rsid w:val="000C4759"/>
    <w:rsid w:val="000C47E8"/>
    <w:rsid w:val="000C4969"/>
    <w:rsid w:val="000C49BB"/>
    <w:rsid w:val="000C4B44"/>
    <w:rsid w:val="000C4BEC"/>
    <w:rsid w:val="000C4C43"/>
    <w:rsid w:val="000C4E84"/>
    <w:rsid w:val="000C4ECC"/>
    <w:rsid w:val="000C4F01"/>
    <w:rsid w:val="000C4F63"/>
    <w:rsid w:val="000C4FAB"/>
    <w:rsid w:val="000C4FCB"/>
    <w:rsid w:val="000C50B1"/>
    <w:rsid w:val="000C50E3"/>
    <w:rsid w:val="000C52C9"/>
    <w:rsid w:val="000C57D8"/>
    <w:rsid w:val="000C57F8"/>
    <w:rsid w:val="000C58DA"/>
    <w:rsid w:val="000C5950"/>
    <w:rsid w:val="000C5992"/>
    <w:rsid w:val="000C5AD2"/>
    <w:rsid w:val="000C5D8D"/>
    <w:rsid w:val="000C5D96"/>
    <w:rsid w:val="000C5DB9"/>
    <w:rsid w:val="000C668D"/>
    <w:rsid w:val="000C6897"/>
    <w:rsid w:val="000C68DA"/>
    <w:rsid w:val="000C696A"/>
    <w:rsid w:val="000C69F4"/>
    <w:rsid w:val="000C6A69"/>
    <w:rsid w:val="000C6B24"/>
    <w:rsid w:val="000C6B3E"/>
    <w:rsid w:val="000C6B8B"/>
    <w:rsid w:val="000C6C72"/>
    <w:rsid w:val="000C6CAD"/>
    <w:rsid w:val="000C6D90"/>
    <w:rsid w:val="000C763F"/>
    <w:rsid w:val="000C76A5"/>
    <w:rsid w:val="000C7811"/>
    <w:rsid w:val="000C783A"/>
    <w:rsid w:val="000C78E0"/>
    <w:rsid w:val="000C7BA6"/>
    <w:rsid w:val="000C7C1F"/>
    <w:rsid w:val="000C7DF8"/>
    <w:rsid w:val="000D0129"/>
    <w:rsid w:val="000D033B"/>
    <w:rsid w:val="000D0360"/>
    <w:rsid w:val="000D0402"/>
    <w:rsid w:val="000D04C0"/>
    <w:rsid w:val="000D04F4"/>
    <w:rsid w:val="000D0593"/>
    <w:rsid w:val="000D07F9"/>
    <w:rsid w:val="000D0C00"/>
    <w:rsid w:val="000D0C73"/>
    <w:rsid w:val="000D0C74"/>
    <w:rsid w:val="000D0CB4"/>
    <w:rsid w:val="000D0D68"/>
    <w:rsid w:val="000D0E7B"/>
    <w:rsid w:val="000D1122"/>
    <w:rsid w:val="000D1162"/>
    <w:rsid w:val="000D15B7"/>
    <w:rsid w:val="000D15DA"/>
    <w:rsid w:val="000D1861"/>
    <w:rsid w:val="000D1A72"/>
    <w:rsid w:val="000D1C13"/>
    <w:rsid w:val="000D1D35"/>
    <w:rsid w:val="000D1E09"/>
    <w:rsid w:val="000D2093"/>
    <w:rsid w:val="000D2162"/>
    <w:rsid w:val="000D2277"/>
    <w:rsid w:val="000D228A"/>
    <w:rsid w:val="000D2368"/>
    <w:rsid w:val="000D2411"/>
    <w:rsid w:val="000D2577"/>
    <w:rsid w:val="000D2A43"/>
    <w:rsid w:val="000D2BF9"/>
    <w:rsid w:val="000D2CD2"/>
    <w:rsid w:val="000D2D11"/>
    <w:rsid w:val="000D2D6D"/>
    <w:rsid w:val="000D2E47"/>
    <w:rsid w:val="000D2E75"/>
    <w:rsid w:val="000D2E7B"/>
    <w:rsid w:val="000D304A"/>
    <w:rsid w:val="000D30D0"/>
    <w:rsid w:val="000D30D3"/>
    <w:rsid w:val="000D3106"/>
    <w:rsid w:val="000D311F"/>
    <w:rsid w:val="000D331F"/>
    <w:rsid w:val="000D355E"/>
    <w:rsid w:val="000D35D9"/>
    <w:rsid w:val="000D3865"/>
    <w:rsid w:val="000D38C7"/>
    <w:rsid w:val="000D3A27"/>
    <w:rsid w:val="000D3C92"/>
    <w:rsid w:val="000D4015"/>
    <w:rsid w:val="000D41B7"/>
    <w:rsid w:val="000D43F9"/>
    <w:rsid w:val="000D43FD"/>
    <w:rsid w:val="000D46A7"/>
    <w:rsid w:val="000D4719"/>
    <w:rsid w:val="000D47D4"/>
    <w:rsid w:val="000D487B"/>
    <w:rsid w:val="000D48BA"/>
    <w:rsid w:val="000D49EA"/>
    <w:rsid w:val="000D4A07"/>
    <w:rsid w:val="000D4A9B"/>
    <w:rsid w:val="000D4BBA"/>
    <w:rsid w:val="000D4CF9"/>
    <w:rsid w:val="000D5024"/>
    <w:rsid w:val="000D5185"/>
    <w:rsid w:val="000D5785"/>
    <w:rsid w:val="000D58D3"/>
    <w:rsid w:val="000D5A4E"/>
    <w:rsid w:val="000D5A5D"/>
    <w:rsid w:val="000D5CBF"/>
    <w:rsid w:val="000D5D84"/>
    <w:rsid w:val="000D5DB3"/>
    <w:rsid w:val="000D5F03"/>
    <w:rsid w:val="000D5F17"/>
    <w:rsid w:val="000D6096"/>
    <w:rsid w:val="000D633B"/>
    <w:rsid w:val="000D661C"/>
    <w:rsid w:val="000D6665"/>
    <w:rsid w:val="000D67B1"/>
    <w:rsid w:val="000D681B"/>
    <w:rsid w:val="000D696F"/>
    <w:rsid w:val="000D6A31"/>
    <w:rsid w:val="000D6C32"/>
    <w:rsid w:val="000D6DF1"/>
    <w:rsid w:val="000D6E92"/>
    <w:rsid w:val="000D6F82"/>
    <w:rsid w:val="000D6FC3"/>
    <w:rsid w:val="000D7238"/>
    <w:rsid w:val="000D7476"/>
    <w:rsid w:val="000D764D"/>
    <w:rsid w:val="000D76DB"/>
    <w:rsid w:val="000D788B"/>
    <w:rsid w:val="000D7B64"/>
    <w:rsid w:val="000D7B6B"/>
    <w:rsid w:val="000D7CC7"/>
    <w:rsid w:val="000E006C"/>
    <w:rsid w:val="000E03D1"/>
    <w:rsid w:val="000E0790"/>
    <w:rsid w:val="000E0838"/>
    <w:rsid w:val="000E0A75"/>
    <w:rsid w:val="000E0B42"/>
    <w:rsid w:val="000E0E30"/>
    <w:rsid w:val="000E0ED1"/>
    <w:rsid w:val="000E1054"/>
    <w:rsid w:val="000E10DC"/>
    <w:rsid w:val="000E1319"/>
    <w:rsid w:val="000E141C"/>
    <w:rsid w:val="000E14EF"/>
    <w:rsid w:val="000E1D47"/>
    <w:rsid w:val="000E2023"/>
    <w:rsid w:val="000E2029"/>
    <w:rsid w:val="000E20E8"/>
    <w:rsid w:val="000E20F8"/>
    <w:rsid w:val="000E2172"/>
    <w:rsid w:val="000E2581"/>
    <w:rsid w:val="000E2740"/>
    <w:rsid w:val="000E289A"/>
    <w:rsid w:val="000E2A0B"/>
    <w:rsid w:val="000E2A94"/>
    <w:rsid w:val="000E2D3D"/>
    <w:rsid w:val="000E2D46"/>
    <w:rsid w:val="000E2D73"/>
    <w:rsid w:val="000E2DE1"/>
    <w:rsid w:val="000E2F18"/>
    <w:rsid w:val="000E327B"/>
    <w:rsid w:val="000E329A"/>
    <w:rsid w:val="000E3BC3"/>
    <w:rsid w:val="000E3C26"/>
    <w:rsid w:val="000E3F29"/>
    <w:rsid w:val="000E3F67"/>
    <w:rsid w:val="000E3F87"/>
    <w:rsid w:val="000E460E"/>
    <w:rsid w:val="000E493F"/>
    <w:rsid w:val="000E4976"/>
    <w:rsid w:val="000E4A7B"/>
    <w:rsid w:val="000E4D9F"/>
    <w:rsid w:val="000E4E38"/>
    <w:rsid w:val="000E4E72"/>
    <w:rsid w:val="000E4EB5"/>
    <w:rsid w:val="000E4F28"/>
    <w:rsid w:val="000E507E"/>
    <w:rsid w:val="000E5099"/>
    <w:rsid w:val="000E50C4"/>
    <w:rsid w:val="000E510D"/>
    <w:rsid w:val="000E53A2"/>
    <w:rsid w:val="000E548F"/>
    <w:rsid w:val="000E5921"/>
    <w:rsid w:val="000E592C"/>
    <w:rsid w:val="000E5A87"/>
    <w:rsid w:val="000E5C21"/>
    <w:rsid w:val="000E5DB9"/>
    <w:rsid w:val="000E5DE3"/>
    <w:rsid w:val="000E5F9D"/>
    <w:rsid w:val="000E602E"/>
    <w:rsid w:val="000E635E"/>
    <w:rsid w:val="000E638B"/>
    <w:rsid w:val="000E691F"/>
    <w:rsid w:val="000E6920"/>
    <w:rsid w:val="000E6B33"/>
    <w:rsid w:val="000E6C75"/>
    <w:rsid w:val="000E6E9F"/>
    <w:rsid w:val="000E7048"/>
    <w:rsid w:val="000E70B4"/>
    <w:rsid w:val="000E71F0"/>
    <w:rsid w:val="000E76E7"/>
    <w:rsid w:val="000E7902"/>
    <w:rsid w:val="000E7A0F"/>
    <w:rsid w:val="000E7B6B"/>
    <w:rsid w:val="000E7E77"/>
    <w:rsid w:val="000E7EF0"/>
    <w:rsid w:val="000E7FB2"/>
    <w:rsid w:val="000F019C"/>
    <w:rsid w:val="000F03E2"/>
    <w:rsid w:val="000F076E"/>
    <w:rsid w:val="000F0788"/>
    <w:rsid w:val="000F07BF"/>
    <w:rsid w:val="000F07F2"/>
    <w:rsid w:val="000F0935"/>
    <w:rsid w:val="000F093F"/>
    <w:rsid w:val="000F09E0"/>
    <w:rsid w:val="000F0ACD"/>
    <w:rsid w:val="000F0ADB"/>
    <w:rsid w:val="000F0B3C"/>
    <w:rsid w:val="000F0E19"/>
    <w:rsid w:val="000F0EFE"/>
    <w:rsid w:val="000F0F36"/>
    <w:rsid w:val="000F0F91"/>
    <w:rsid w:val="000F1076"/>
    <w:rsid w:val="000F125C"/>
    <w:rsid w:val="000F13EC"/>
    <w:rsid w:val="000F1427"/>
    <w:rsid w:val="000F1502"/>
    <w:rsid w:val="000F15A3"/>
    <w:rsid w:val="000F15C2"/>
    <w:rsid w:val="000F174C"/>
    <w:rsid w:val="000F17E2"/>
    <w:rsid w:val="000F188C"/>
    <w:rsid w:val="000F1979"/>
    <w:rsid w:val="000F19E7"/>
    <w:rsid w:val="000F1A78"/>
    <w:rsid w:val="000F1AC4"/>
    <w:rsid w:val="000F1ADC"/>
    <w:rsid w:val="000F1B7F"/>
    <w:rsid w:val="000F1ED6"/>
    <w:rsid w:val="000F1F97"/>
    <w:rsid w:val="000F251E"/>
    <w:rsid w:val="000F2A5E"/>
    <w:rsid w:val="000F2B78"/>
    <w:rsid w:val="000F2C5D"/>
    <w:rsid w:val="000F2D77"/>
    <w:rsid w:val="000F3128"/>
    <w:rsid w:val="000F3189"/>
    <w:rsid w:val="000F3202"/>
    <w:rsid w:val="000F3582"/>
    <w:rsid w:val="000F35C3"/>
    <w:rsid w:val="000F36A9"/>
    <w:rsid w:val="000F377A"/>
    <w:rsid w:val="000F37D2"/>
    <w:rsid w:val="000F384C"/>
    <w:rsid w:val="000F3864"/>
    <w:rsid w:val="000F3967"/>
    <w:rsid w:val="000F3B13"/>
    <w:rsid w:val="000F3BDF"/>
    <w:rsid w:val="000F3CDE"/>
    <w:rsid w:val="000F3EE6"/>
    <w:rsid w:val="000F40A8"/>
    <w:rsid w:val="000F40AD"/>
    <w:rsid w:val="000F41B4"/>
    <w:rsid w:val="000F424A"/>
    <w:rsid w:val="000F44C7"/>
    <w:rsid w:val="000F44DE"/>
    <w:rsid w:val="000F4577"/>
    <w:rsid w:val="000F46F1"/>
    <w:rsid w:val="000F476C"/>
    <w:rsid w:val="000F4A80"/>
    <w:rsid w:val="000F4AAC"/>
    <w:rsid w:val="000F4AB5"/>
    <w:rsid w:val="000F4D18"/>
    <w:rsid w:val="000F4E62"/>
    <w:rsid w:val="000F5155"/>
    <w:rsid w:val="000F51D2"/>
    <w:rsid w:val="000F5216"/>
    <w:rsid w:val="000F5541"/>
    <w:rsid w:val="000F5AC3"/>
    <w:rsid w:val="000F5D37"/>
    <w:rsid w:val="000F5DBB"/>
    <w:rsid w:val="000F5DFD"/>
    <w:rsid w:val="000F5F76"/>
    <w:rsid w:val="000F60C4"/>
    <w:rsid w:val="000F6221"/>
    <w:rsid w:val="000F6245"/>
    <w:rsid w:val="000F633E"/>
    <w:rsid w:val="000F694B"/>
    <w:rsid w:val="000F6A60"/>
    <w:rsid w:val="000F6B11"/>
    <w:rsid w:val="000F6C7D"/>
    <w:rsid w:val="000F6E35"/>
    <w:rsid w:val="000F6E4F"/>
    <w:rsid w:val="000F7243"/>
    <w:rsid w:val="000F7709"/>
    <w:rsid w:val="000F77E6"/>
    <w:rsid w:val="000F794C"/>
    <w:rsid w:val="000F7A2D"/>
    <w:rsid w:val="000F7A49"/>
    <w:rsid w:val="000F7AAD"/>
    <w:rsid w:val="000F7AF5"/>
    <w:rsid w:val="000F7C9D"/>
    <w:rsid w:val="000F7CBE"/>
    <w:rsid w:val="000F7D22"/>
    <w:rsid w:val="000F7DA9"/>
    <w:rsid w:val="0010004E"/>
    <w:rsid w:val="00100056"/>
    <w:rsid w:val="001002C7"/>
    <w:rsid w:val="001005A8"/>
    <w:rsid w:val="00100681"/>
    <w:rsid w:val="001006CF"/>
    <w:rsid w:val="00100A3F"/>
    <w:rsid w:val="00100CD4"/>
    <w:rsid w:val="00100DA7"/>
    <w:rsid w:val="00100FE7"/>
    <w:rsid w:val="001010E1"/>
    <w:rsid w:val="00101148"/>
    <w:rsid w:val="001011FA"/>
    <w:rsid w:val="001012F8"/>
    <w:rsid w:val="00101516"/>
    <w:rsid w:val="001016CF"/>
    <w:rsid w:val="001016F6"/>
    <w:rsid w:val="001017F8"/>
    <w:rsid w:val="00101A66"/>
    <w:rsid w:val="00101AA3"/>
    <w:rsid w:val="00101ADD"/>
    <w:rsid w:val="00101B2C"/>
    <w:rsid w:val="00101BC9"/>
    <w:rsid w:val="00101BD9"/>
    <w:rsid w:val="00101C99"/>
    <w:rsid w:val="00101D22"/>
    <w:rsid w:val="00101E94"/>
    <w:rsid w:val="00101EE1"/>
    <w:rsid w:val="00101F40"/>
    <w:rsid w:val="00101F8B"/>
    <w:rsid w:val="00102117"/>
    <w:rsid w:val="00102200"/>
    <w:rsid w:val="00102275"/>
    <w:rsid w:val="001022C2"/>
    <w:rsid w:val="0010265F"/>
    <w:rsid w:val="001027C6"/>
    <w:rsid w:val="0010291B"/>
    <w:rsid w:val="00102939"/>
    <w:rsid w:val="001029D8"/>
    <w:rsid w:val="00102B61"/>
    <w:rsid w:val="00102BB3"/>
    <w:rsid w:val="00102BD0"/>
    <w:rsid w:val="00102C2C"/>
    <w:rsid w:val="00102EDB"/>
    <w:rsid w:val="00103156"/>
    <w:rsid w:val="00103170"/>
    <w:rsid w:val="001031A3"/>
    <w:rsid w:val="001035CE"/>
    <w:rsid w:val="00103663"/>
    <w:rsid w:val="00103751"/>
    <w:rsid w:val="00103A65"/>
    <w:rsid w:val="00103B5E"/>
    <w:rsid w:val="00103B85"/>
    <w:rsid w:val="00103BAD"/>
    <w:rsid w:val="00103DE1"/>
    <w:rsid w:val="00103E5D"/>
    <w:rsid w:val="00103EF8"/>
    <w:rsid w:val="00103F0B"/>
    <w:rsid w:val="00103F48"/>
    <w:rsid w:val="00103FE4"/>
    <w:rsid w:val="0010408E"/>
    <w:rsid w:val="00104129"/>
    <w:rsid w:val="0010420F"/>
    <w:rsid w:val="0010431C"/>
    <w:rsid w:val="00104339"/>
    <w:rsid w:val="00104545"/>
    <w:rsid w:val="001047C3"/>
    <w:rsid w:val="0010484B"/>
    <w:rsid w:val="00104A8E"/>
    <w:rsid w:val="00104B14"/>
    <w:rsid w:val="00104BCF"/>
    <w:rsid w:val="00104C4F"/>
    <w:rsid w:val="00104D17"/>
    <w:rsid w:val="00104EB3"/>
    <w:rsid w:val="00104F64"/>
    <w:rsid w:val="001050DE"/>
    <w:rsid w:val="001051B9"/>
    <w:rsid w:val="001051C3"/>
    <w:rsid w:val="00105337"/>
    <w:rsid w:val="0010545F"/>
    <w:rsid w:val="00105621"/>
    <w:rsid w:val="001056A0"/>
    <w:rsid w:val="001057AD"/>
    <w:rsid w:val="00105B92"/>
    <w:rsid w:val="00105BAA"/>
    <w:rsid w:val="00105C1B"/>
    <w:rsid w:val="00105DEE"/>
    <w:rsid w:val="00105F68"/>
    <w:rsid w:val="001063DE"/>
    <w:rsid w:val="001065F5"/>
    <w:rsid w:val="00106946"/>
    <w:rsid w:val="00106AF2"/>
    <w:rsid w:val="00106B58"/>
    <w:rsid w:val="00106B86"/>
    <w:rsid w:val="00106E44"/>
    <w:rsid w:val="00106EF9"/>
    <w:rsid w:val="00106FD6"/>
    <w:rsid w:val="001071CC"/>
    <w:rsid w:val="0010746E"/>
    <w:rsid w:val="00107495"/>
    <w:rsid w:val="00107931"/>
    <w:rsid w:val="00107BD3"/>
    <w:rsid w:val="00107DEE"/>
    <w:rsid w:val="00110044"/>
    <w:rsid w:val="00110094"/>
    <w:rsid w:val="0011016D"/>
    <w:rsid w:val="00110246"/>
    <w:rsid w:val="0011024D"/>
    <w:rsid w:val="001102C9"/>
    <w:rsid w:val="001102DE"/>
    <w:rsid w:val="0011035E"/>
    <w:rsid w:val="00110419"/>
    <w:rsid w:val="001105FB"/>
    <w:rsid w:val="00110726"/>
    <w:rsid w:val="001107CD"/>
    <w:rsid w:val="00110877"/>
    <w:rsid w:val="001109C4"/>
    <w:rsid w:val="00110CFC"/>
    <w:rsid w:val="00110E68"/>
    <w:rsid w:val="001110AB"/>
    <w:rsid w:val="00111972"/>
    <w:rsid w:val="00111BD2"/>
    <w:rsid w:val="00111C3B"/>
    <w:rsid w:val="00111CBA"/>
    <w:rsid w:val="00111D6F"/>
    <w:rsid w:val="0011206E"/>
    <w:rsid w:val="001125AE"/>
    <w:rsid w:val="001127A1"/>
    <w:rsid w:val="00112B5E"/>
    <w:rsid w:val="00112B94"/>
    <w:rsid w:val="00112D03"/>
    <w:rsid w:val="00112F95"/>
    <w:rsid w:val="00113113"/>
    <w:rsid w:val="0011319A"/>
    <w:rsid w:val="00113386"/>
    <w:rsid w:val="001133DE"/>
    <w:rsid w:val="0011367A"/>
    <w:rsid w:val="00113712"/>
    <w:rsid w:val="00113868"/>
    <w:rsid w:val="00113B41"/>
    <w:rsid w:val="00113B50"/>
    <w:rsid w:val="00113B95"/>
    <w:rsid w:val="00113C03"/>
    <w:rsid w:val="00113C05"/>
    <w:rsid w:val="00113F11"/>
    <w:rsid w:val="00113F1C"/>
    <w:rsid w:val="00113FC7"/>
    <w:rsid w:val="00114112"/>
    <w:rsid w:val="0011426C"/>
    <w:rsid w:val="00114C75"/>
    <w:rsid w:val="00114D21"/>
    <w:rsid w:val="00114DD2"/>
    <w:rsid w:val="00115038"/>
    <w:rsid w:val="001151DF"/>
    <w:rsid w:val="00115431"/>
    <w:rsid w:val="00115472"/>
    <w:rsid w:val="001154CD"/>
    <w:rsid w:val="001154EB"/>
    <w:rsid w:val="0011551A"/>
    <w:rsid w:val="001156C2"/>
    <w:rsid w:val="0011572E"/>
    <w:rsid w:val="0011591E"/>
    <w:rsid w:val="00115979"/>
    <w:rsid w:val="001159CA"/>
    <w:rsid w:val="001159D4"/>
    <w:rsid w:val="00115B9C"/>
    <w:rsid w:val="00115C95"/>
    <w:rsid w:val="00115D8B"/>
    <w:rsid w:val="00115F7F"/>
    <w:rsid w:val="00115FB4"/>
    <w:rsid w:val="00115FFD"/>
    <w:rsid w:val="0011604F"/>
    <w:rsid w:val="00116511"/>
    <w:rsid w:val="0011651D"/>
    <w:rsid w:val="0011667A"/>
    <w:rsid w:val="001167B8"/>
    <w:rsid w:val="00116876"/>
    <w:rsid w:val="00116D9E"/>
    <w:rsid w:val="00116DA4"/>
    <w:rsid w:val="00116FC0"/>
    <w:rsid w:val="00116FF3"/>
    <w:rsid w:val="001171E7"/>
    <w:rsid w:val="0011720C"/>
    <w:rsid w:val="00117327"/>
    <w:rsid w:val="001173A8"/>
    <w:rsid w:val="0011741B"/>
    <w:rsid w:val="0011755D"/>
    <w:rsid w:val="0011769A"/>
    <w:rsid w:val="00117760"/>
    <w:rsid w:val="00117949"/>
    <w:rsid w:val="0011795D"/>
    <w:rsid w:val="0011796E"/>
    <w:rsid w:val="00117A77"/>
    <w:rsid w:val="00117ACB"/>
    <w:rsid w:val="00117E42"/>
    <w:rsid w:val="00117E8B"/>
    <w:rsid w:val="00117F5C"/>
    <w:rsid w:val="0012020A"/>
    <w:rsid w:val="00120440"/>
    <w:rsid w:val="001208C3"/>
    <w:rsid w:val="001209E1"/>
    <w:rsid w:val="00120BE8"/>
    <w:rsid w:val="00120C43"/>
    <w:rsid w:val="00120CC2"/>
    <w:rsid w:val="00121042"/>
    <w:rsid w:val="001210B5"/>
    <w:rsid w:val="001211A3"/>
    <w:rsid w:val="001213F9"/>
    <w:rsid w:val="00121790"/>
    <w:rsid w:val="001219E0"/>
    <w:rsid w:val="00121A1E"/>
    <w:rsid w:val="00121CF2"/>
    <w:rsid w:val="00121D55"/>
    <w:rsid w:val="00121DB5"/>
    <w:rsid w:val="0012203B"/>
    <w:rsid w:val="0012213C"/>
    <w:rsid w:val="001221CA"/>
    <w:rsid w:val="0012220A"/>
    <w:rsid w:val="00122485"/>
    <w:rsid w:val="0012261B"/>
    <w:rsid w:val="001229A3"/>
    <w:rsid w:val="00122C0A"/>
    <w:rsid w:val="00122F24"/>
    <w:rsid w:val="00123094"/>
    <w:rsid w:val="001230FA"/>
    <w:rsid w:val="001231DC"/>
    <w:rsid w:val="001233FD"/>
    <w:rsid w:val="001237A9"/>
    <w:rsid w:val="001238EF"/>
    <w:rsid w:val="00123900"/>
    <w:rsid w:val="00123A0B"/>
    <w:rsid w:val="00123AEE"/>
    <w:rsid w:val="00123B13"/>
    <w:rsid w:val="00123B90"/>
    <w:rsid w:val="00123C02"/>
    <w:rsid w:val="00123C66"/>
    <w:rsid w:val="00123D7C"/>
    <w:rsid w:val="00123F93"/>
    <w:rsid w:val="00123FB1"/>
    <w:rsid w:val="00124095"/>
    <w:rsid w:val="001247FB"/>
    <w:rsid w:val="00124839"/>
    <w:rsid w:val="00124A91"/>
    <w:rsid w:val="00124A99"/>
    <w:rsid w:val="00124BF6"/>
    <w:rsid w:val="00124D95"/>
    <w:rsid w:val="00124E62"/>
    <w:rsid w:val="0012500C"/>
    <w:rsid w:val="001253F8"/>
    <w:rsid w:val="001256AE"/>
    <w:rsid w:val="00125781"/>
    <w:rsid w:val="0012583E"/>
    <w:rsid w:val="00125852"/>
    <w:rsid w:val="00125906"/>
    <w:rsid w:val="0012593F"/>
    <w:rsid w:val="00125A8F"/>
    <w:rsid w:val="00125B4C"/>
    <w:rsid w:val="00125D39"/>
    <w:rsid w:val="00125DFE"/>
    <w:rsid w:val="00125EB6"/>
    <w:rsid w:val="00125EFE"/>
    <w:rsid w:val="00125FA7"/>
    <w:rsid w:val="001262A7"/>
    <w:rsid w:val="00126309"/>
    <w:rsid w:val="0012634F"/>
    <w:rsid w:val="0012644C"/>
    <w:rsid w:val="001264B5"/>
    <w:rsid w:val="001268DE"/>
    <w:rsid w:val="00126B3D"/>
    <w:rsid w:val="00126F3F"/>
    <w:rsid w:val="0012706E"/>
    <w:rsid w:val="00127168"/>
    <w:rsid w:val="0012723C"/>
    <w:rsid w:val="001272CF"/>
    <w:rsid w:val="00127489"/>
    <w:rsid w:val="0012775D"/>
    <w:rsid w:val="0012788E"/>
    <w:rsid w:val="0012791D"/>
    <w:rsid w:val="00127FD2"/>
    <w:rsid w:val="00127FE5"/>
    <w:rsid w:val="001300E9"/>
    <w:rsid w:val="0013030D"/>
    <w:rsid w:val="00130347"/>
    <w:rsid w:val="0013042A"/>
    <w:rsid w:val="0013065D"/>
    <w:rsid w:val="00130A5A"/>
    <w:rsid w:val="00130B15"/>
    <w:rsid w:val="00130B5B"/>
    <w:rsid w:val="00130C01"/>
    <w:rsid w:val="00130DB5"/>
    <w:rsid w:val="00130E9E"/>
    <w:rsid w:val="00130F32"/>
    <w:rsid w:val="00131153"/>
    <w:rsid w:val="001316C1"/>
    <w:rsid w:val="00131C87"/>
    <w:rsid w:val="001323BF"/>
    <w:rsid w:val="0013242D"/>
    <w:rsid w:val="00132530"/>
    <w:rsid w:val="00132536"/>
    <w:rsid w:val="0013282A"/>
    <w:rsid w:val="001329DC"/>
    <w:rsid w:val="00132C0A"/>
    <w:rsid w:val="00132D54"/>
    <w:rsid w:val="00132E65"/>
    <w:rsid w:val="00133560"/>
    <w:rsid w:val="001335A7"/>
    <w:rsid w:val="001336CF"/>
    <w:rsid w:val="00133720"/>
    <w:rsid w:val="00133788"/>
    <w:rsid w:val="001337FC"/>
    <w:rsid w:val="00133966"/>
    <w:rsid w:val="00133A36"/>
    <w:rsid w:val="00133AD8"/>
    <w:rsid w:val="00133B48"/>
    <w:rsid w:val="00133C1C"/>
    <w:rsid w:val="00133D4E"/>
    <w:rsid w:val="00133E57"/>
    <w:rsid w:val="00134163"/>
    <w:rsid w:val="001341BA"/>
    <w:rsid w:val="001343FC"/>
    <w:rsid w:val="0013449C"/>
    <w:rsid w:val="001344CF"/>
    <w:rsid w:val="00134928"/>
    <w:rsid w:val="00134B27"/>
    <w:rsid w:val="00134E5F"/>
    <w:rsid w:val="00134ED4"/>
    <w:rsid w:val="00134EDE"/>
    <w:rsid w:val="00134F73"/>
    <w:rsid w:val="00134FBE"/>
    <w:rsid w:val="00135004"/>
    <w:rsid w:val="0013525B"/>
    <w:rsid w:val="001353E2"/>
    <w:rsid w:val="001356A5"/>
    <w:rsid w:val="001357B0"/>
    <w:rsid w:val="001358D9"/>
    <w:rsid w:val="00135A7B"/>
    <w:rsid w:val="00135DC6"/>
    <w:rsid w:val="00135EE3"/>
    <w:rsid w:val="00136201"/>
    <w:rsid w:val="00136723"/>
    <w:rsid w:val="001367C3"/>
    <w:rsid w:val="001368A8"/>
    <w:rsid w:val="001369FB"/>
    <w:rsid w:val="00136A5D"/>
    <w:rsid w:val="00136BDB"/>
    <w:rsid w:val="00136D81"/>
    <w:rsid w:val="00136EF5"/>
    <w:rsid w:val="00137081"/>
    <w:rsid w:val="00137277"/>
    <w:rsid w:val="00137466"/>
    <w:rsid w:val="001374E2"/>
    <w:rsid w:val="00137553"/>
    <w:rsid w:val="00137898"/>
    <w:rsid w:val="001378F0"/>
    <w:rsid w:val="00137A30"/>
    <w:rsid w:val="00137B78"/>
    <w:rsid w:val="00137C70"/>
    <w:rsid w:val="00137D8F"/>
    <w:rsid w:val="00137F90"/>
    <w:rsid w:val="0014013D"/>
    <w:rsid w:val="00140358"/>
    <w:rsid w:val="00140500"/>
    <w:rsid w:val="001405C7"/>
    <w:rsid w:val="00140624"/>
    <w:rsid w:val="0014091E"/>
    <w:rsid w:val="00140AE4"/>
    <w:rsid w:val="00140B2D"/>
    <w:rsid w:val="00140BD7"/>
    <w:rsid w:val="00140C2C"/>
    <w:rsid w:val="001410B0"/>
    <w:rsid w:val="001410F3"/>
    <w:rsid w:val="0014110F"/>
    <w:rsid w:val="001411D3"/>
    <w:rsid w:val="001414A4"/>
    <w:rsid w:val="001414B9"/>
    <w:rsid w:val="00141533"/>
    <w:rsid w:val="00141972"/>
    <w:rsid w:val="00141DAD"/>
    <w:rsid w:val="00141ED6"/>
    <w:rsid w:val="00142231"/>
    <w:rsid w:val="00142292"/>
    <w:rsid w:val="001422FE"/>
    <w:rsid w:val="00142583"/>
    <w:rsid w:val="001427CB"/>
    <w:rsid w:val="001428B8"/>
    <w:rsid w:val="001428BD"/>
    <w:rsid w:val="00142AA7"/>
    <w:rsid w:val="00142AF9"/>
    <w:rsid w:val="00142F00"/>
    <w:rsid w:val="00142F5A"/>
    <w:rsid w:val="00142F90"/>
    <w:rsid w:val="0014301F"/>
    <w:rsid w:val="00143048"/>
    <w:rsid w:val="00143174"/>
    <w:rsid w:val="00143243"/>
    <w:rsid w:val="0014324F"/>
    <w:rsid w:val="0014351C"/>
    <w:rsid w:val="001436E4"/>
    <w:rsid w:val="001437E6"/>
    <w:rsid w:val="00143965"/>
    <w:rsid w:val="00143980"/>
    <w:rsid w:val="001439A8"/>
    <w:rsid w:val="001439F1"/>
    <w:rsid w:val="00143AC2"/>
    <w:rsid w:val="00143B05"/>
    <w:rsid w:val="00143B94"/>
    <w:rsid w:val="00143D63"/>
    <w:rsid w:val="00143D79"/>
    <w:rsid w:val="00143D82"/>
    <w:rsid w:val="00143E90"/>
    <w:rsid w:val="00143F45"/>
    <w:rsid w:val="00144013"/>
    <w:rsid w:val="0014412C"/>
    <w:rsid w:val="001448E8"/>
    <w:rsid w:val="001449EF"/>
    <w:rsid w:val="00144B92"/>
    <w:rsid w:val="00144B9C"/>
    <w:rsid w:val="00144E4C"/>
    <w:rsid w:val="00144E8E"/>
    <w:rsid w:val="00144F85"/>
    <w:rsid w:val="00144FF5"/>
    <w:rsid w:val="00145251"/>
    <w:rsid w:val="00145309"/>
    <w:rsid w:val="00145464"/>
    <w:rsid w:val="00145597"/>
    <w:rsid w:val="00145879"/>
    <w:rsid w:val="001459CC"/>
    <w:rsid w:val="00145C81"/>
    <w:rsid w:val="00145ECD"/>
    <w:rsid w:val="00145EF2"/>
    <w:rsid w:val="00145FAC"/>
    <w:rsid w:val="0014604F"/>
    <w:rsid w:val="001461CF"/>
    <w:rsid w:val="001462EA"/>
    <w:rsid w:val="00146397"/>
    <w:rsid w:val="0014639F"/>
    <w:rsid w:val="00146F7D"/>
    <w:rsid w:val="001470CC"/>
    <w:rsid w:val="0014713F"/>
    <w:rsid w:val="00147181"/>
    <w:rsid w:val="001472EC"/>
    <w:rsid w:val="00147485"/>
    <w:rsid w:val="0014768D"/>
    <w:rsid w:val="001476CC"/>
    <w:rsid w:val="001477AD"/>
    <w:rsid w:val="00147C00"/>
    <w:rsid w:val="00147C8D"/>
    <w:rsid w:val="00147CC7"/>
    <w:rsid w:val="0015006E"/>
    <w:rsid w:val="0015014A"/>
    <w:rsid w:val="00150565"/>
    <w:rsid w:val="0015073B"/>
    <w:rsid w:val="00150B99"/>
    <w:rsid w:val="00150C4D"/>
    <w:rsid w:val="00150DEF"/>
    <w:rsid w:val="001511AD"/>
    <w:rsid w:val="0015121F"/>
    <w:rsid w:val="00151260"/>
    <w:rsid w:val="001514BD"/>
    <w:rsid w:val="001514DB"/>
    <w:rsid w:val="001514E2"/>
    <w:rsid w:val="001517CC"/>
    <w:rsid w:val="00151877"/>
    <w:rsid w:val="001519FD"/>
    <w:rsid w:val="00151A7C"/>
    <w:rsid w:val="00151CFB"/>
    <w:rsid w:val="00151DF9"/>
    <w:rsid w:val="00152257"/>
    <w:rsid w:val="00152489"/>
    <w:rsid w:val="001524E3"/>
    <w:rsid w:val="00152581"/>
    <w:rsid w:val="001525E8"/>
    <w:rsid w:val="001527D0"/>
    <w:rsid w:val="00152A60"/>
    <w:rsid w:val="00152AE1"/>
    <w:rsid w:val="00152CF6"/>
    <w:rsid w:val="0015315E"/>
    <w:rsid w:val="001531E8"/>
    <w:rsid w:val="001532B3"/>
    <w:rsid w:val="001533F2"/>
    <w:rsid w:val="00153462"/>
    <w:rsid w:val="001536C4"/>
    <w:rsid w:val="0015370D"/>
    <w:rsid w:val="001537AC"/>
    <w:rsid w:val="001539CA"/>
    <w:rsid w:val="00153AAA"/>
    <w:rsid w:val="00153B44"/>
    <w:rsid w:val="00153E82"/>
    <w:rsid w:val="00153F7F"/>
    <w:rsid w:val="001541D8"/>
    <w:rsid w:val="00154335"/>
    <w:rsid w:val="00154427"/>
    <w:rsid w:val="00154446"/>
    <w:rsid w:val="00154719"/>
    <w:rsid w:val="00154744"/>
    <w:rsid w:val="00154885"/>
    <w:rsid w:val="0015498F"/>
    <w:rsid w:val="001549B3"/>
    <w:rsid w:val="00154FC3"/>
    <w:rsid w:val="00155019"/>
    <w:rsid w:val="001552AD"/>
    <w:rsid w:val="00155308"/>
    <w:rsid w:val="00155444"/>
    <w:rsid w:val="00155E68"/>
    <w:rsid w:val="001562A6"/>
    <w:rsid w:val="00156317"/>
    <w:rsid w:val="0015632B"/>
    <w:rsid w:val="0015653A"/>
    <w:rsid w:val="00156571"/>
    <w:rsid w:val="001565D1"/>
    <w:rsid w:val="00156B06"/>
    <w:rsid w:val="00156C1C"/>
    <w:rsid w:val="00156D25"/>
    <w:rsid w:val="00156D4F"/>
    <w:rsid w:val="00156DD1"/>
    <w:rsid w:val="00156ED5"/>
    <w:rsid w:val="00156F6E"/>
    <w:rsid w:val="00156FEA"/>
    <w:rsid w:val="0015742B"/>
    <w:rsid w:val="0015745B"/>
    <w:rsid w:val="001574F9"/>
    <w:rsid w:val="00157891"/>
    <w:rsid w:val="001579D6"/>
    <w:rsid w:val="00157B92"/>
    <w:rsid w:val="00157D70"/>
    <w:rsid w:val="00157E14"/>
    <w:rsid w:val="00157F5E"/>
    <w:rsid w:val="00160067"/>
    <w:rsid w:val="001601D7"/>
    <w:rsid w:val="001603A0"/>
    <w:rsid w:val="00160519"/>
    <w:rsid w:val="00160611"/>
    <w:rsid w:val="001607D5"/>
    <w:rsid w:val="0016089D"/>
    <w:rsid w:val="001608D5"/>
    <w:rsid w:val="001608E2"/>
    <w:rsid w:val="00160F87"/>
    <w:rsid w:val="00160FF6"/>
    <w:rsid w:val="001611DF"/>
    <w:rsid w:val="00161467"/>
    <w:rsid w:val="001616D6"/>
    <w:rsid w:val="0016192A"/>
    <w:rsid w:val="00161ACE"/>
    <w:rsid w:val="00161ADD"/>
    <w:rsid w:val="00161C23"/>
    <w:rsid w:val="00161C60"/>
    <w:rsid w:val="00161D36"/>
    <w:rsid w:val="00161EDC"/>
    <w:rsid w:val="00161F9D"/>
    <w:rsid w:val="00161FDC"/>
    <w:rsid w:val="00162027"/>
    <w:rsid w:val="00162075"/>
    <w:rsid w:val="001620D7"/>
    <w:rsid w:val="0016225A"/>
    <w:rsid w:val="00162282"/>
    <w:rsid w:val="00162361"/>
    <w:rsid w:val="00162573"/>
    <w:rsid w:val="00162769"/>
    <w:rsid w:val="0016292A"/>
    <w:rsid w:val="00162DF2"/>
    <w:rsid w:val="00162FC7"/>
    <w:rsid w:val="001632ED"/>
    <w:rsid w:val="001635DD"/>
    <w:rsid w:val="00163B94"/>
    <w:rsid w:val="00163EA0"/>
    <w:rsid w:val="0016431B"/>
    <w:rsid w:val="001643CF"/>
    <w:rsid w:val="0016449E"/>
    <w:rsid w:val="001644CB"/>
    <w:rsid w:val="001644D7"/>
    <w:rsid w:val="00164593"/>
    <w:rsid w:val="00164594"/>
    <w:rsid w:val="001645F4"/>
    <w:rsid w:val="001646EB"/>
    <w:rsid w:val="001647E1"/>
    <w:rsid w:val="001648EF"/>
    <w:rsid w:val="00164A52"/>
    <w:rsid w:val="00164C76"/>
    <w:rsid w:val="00164C8D"/>
    <w:rsid w:val="0016513E"/>
    <w:rsid w:val="0016514A"/>
    <w:rsid w:val="00165170"/>
    <w:rsid w:val="0016530F"/>
    <w:rsid w:val="001653C3"/>
    <w:rsid w:val="0016574C"/>
    <w:rsid w:val="00165764"/>
    <w:rsid w:val="0016586F"/>
    <w:rsid w:val="00165890"/>
    <w:rsid w:val="00165A96"/>
    <w:rsid w:val="00165A99"/>
    <w:rsid w:val="00166018"/>
    <w:rsid w:val="00166023"/>
    <w:rsid w:val="0016602A"/>
    <w:rsid w:val="0016610E"/>
    <w:rsid w:val="0016614F"/>
    <w:rsid w:val="001661FF"/>
    <w:rsid w:val="00166234"/>
    <w:rsid w:val="00166355"/>
    <w:rsid w:val="001663E6"/>
    <w:rsid w:val="001664A0"/>
    <w:rsid w:val="001667E3"/>
    <w:rsid w:val="00166926"/>
    <w:rsid w:val="00166972"/>
    <w:rsid w:val="00166A57"/>
    <w:rsid w:val="00166B79"/>
    <w:rsid w:val="00166C04"/>
    <w:rsid w:val="00166D2B"/>
    <w:rsid w:val="00167045"/>
    <w:rsid w:val="00167078"/>
    <w:rsid w:val="0016715F"/>
    <w:rsid w:val="001673CB"/>
    <w:rsid w:val="00167460"/>
    <w:rsid w:val="001674DD"/>
    <w:rsid w:val="00167571"/>
    <w:rsid w:val="001675E9"/>
    <w:rsid w:val="0016776F"/>
    <w:rsid w:val="001677DF"/>
    <w:rsid w:val="00167CB4"/>
    <w:rsid w:val="00167DB2"/>
    <w:rsid w:val="00167DB3"/>
    <w:rsid w:val="00167E27"/>
    <w:rsid w:val="00167EE5"/>
    <w:rsid w:val="00167F04"/>
    <w:rsid w:val="0017004A"/>
    <w:rsid w:val="001700AD"/>
    <w:rsid w:val="001702E5"/>
    <w:rsid w:val="0017037F"/>
    <w:rsid w:val="0017056D"/>
    <w:rsid w:val="0017064A"/>
    <w:rsid w:val="001706A2"/>
    <w:rsid w:val="00170883"/>
    <w:rsid w:val="00170943"/>
    <w:rsid w:val="001709E0"/>
    <w:rsid w:val="00170A28"/>
    <w:rsid w:val="00170B2A"/>
    <w:rsid w:val="00170C25"/>
    <w:rsid w:val="00170E4E"/>
    <w:rsid w:val="00170E67"/>
    <w:rsid w:val="00170EE9"/>
    <w:rsid w:val="00170FE0"/>
    <w:rsid w:val="001712FE"/>
    <w:rsid w:val="0017142A"/>
    <w:rsid w:val="00171472"/>
    <w:rsid w:val="001716D7"/>
    <w:rsid w:val="001717F7"/>
    <w:rsid w:val="00171945"/>
    <w:rsid w:val="00171D91"/>
    <w:rsid w:val="00171E35"/>
    <w:rsid w:val="00172001"/>
    <w:rsid w:val="00172011"/>
    <w:rsid w:val="00172141"/>
    <w:rsid w:val="00172194"/>
    <w:rsid w:val="00172494"/>
    <w:rsid w:val="001725C9"/>
    <w:rsid w:val="0017273F"/>
    <w:rsid w:val="00172898"/>
    <w:rsid w:val="001728BE"/>
    <w:rsid w:val="00172A26"/>
    <w:rsid w:val="00172AEE"/>
    <w:rsid w:val="00172B37"/>
    <w:rsid w:val="00172C0A"/>
    <w:rsid w:val="00172E30"/>
    <w:rsid w:val="0017305D"/>
    <w:rsid w:val="001730E5"/>
    <w:rsid w:val="0017314B"/>
    <w:rsid w:val="001732A4"/>
    <w:rsid w:val="001733CB"/>
    <w:rsid w:val="0017342E"/>
    <w:rsid w:val="001735B4"/>
    <w:rsid w:val="001736B5"/>
    <w:rsid w:val="00173714"/>
    <w:rsid w:val="00173793"/>
    <w:rsid w:val="001738B3"/>
    <w:rsid w:val="00173C11"/>
    <w:rsid w:val="00173CE5"/>
    <w:rsid w:val="00173F2F"/>
    <w:rsid w:val="00173FE2"/>
    <w:rsid w:val="001740DA"/>
    <w:rsid w:val="00174381"/>
    <w:rsid w:val="0017464B"/>
    <w:rsid w:val="0017490C"/>
    <w:rsid w:val="0017495F"/>
    <w:rsid w:val="00174A23"/>
    <w:rsid w:val="00174E11"/>
    <w:rsid w:val="00174E79"/>
    <w:rsid w:val="0017523F"/>
    <w:rsid w:val="0017563F"/>
    <w:rsid w:val="0017579A"/>
    <w:rsid w:val="00175B6F"/>
    <w:rsid w:val="00175C41"/>
    <w:rsid w:val="00175CF7"/>
    <w:rsid w:val="00175D64"/>
    <w:rsid w:val="00175DE5"/>
    <w:rsid w:val="00175DE9"/>
    <w:rsid w:val="00175FB4"/>
    <w:rsid w:val="001762B4"/>
    <w:rsid w:val="00176382"/>
    <w:rsid w:val="001763A3"/>
    <w:rsid w:val="001764D5"/>
    <w:rsid w:val="001766C7"/>
    <w:rsid w:val="001769A0"/>
    <w:rsid w:val="00176A8C"/>
    <w:rsid w:val="00176BA1"/>
    <w:rsid w:val="00176BAD"/>
    <w:rsid w:val="0017703F"/>
    <w:rsid w:val="00177232"/>
    <w:rsid w:val="001772CB"/>
    <w:rsid w:val="00177829"/>
    <w:rsid w:val="0017786B"/>
    <w:rsid w:val="00177880"/>
    <w:rsid w:val="001778BF"/>
    <w:rsid w:val="00177A4E"/>
    <w:rsid w:val="00177D02"/>
    <w:rsid w:val="00177DA0"/>
    <w:rsid w:val="00177EC4"/>
    <w:rsid w:val="00177FA5"/>
    <w:rsid w:val="00180016"/>
    <w:rsid w:val="00180560"/>
    <w:rsid w:val="00180652"/>
    <w:rsid w:val="001807A8"/>
    <w:rsid w:val="0018087E"/>
    <w:rsid w:val="00180E0E"/>
    <w:rsid w:val="001812B4"/>
    <w:rsid w:val="001812CD"/>
    <w:rsid w:val="00181403"/>
    <w:rsid w:val="001817CA"/>
    <w:rsid w:val="00181864"/>
    <w:rsid w:val="00181B70"/>
    <w:rsid w:val="00181D7B"/>
    <w:rsid w:val="00181DF3"/>
    <w:rsid w:val="00181E50"/>
    <w:rsid w:val="00181E8D"/>
    <w:rsid w:val="001822EA"/>
    <w:rsid w:val="0018283C"/>
    <w:rsid w:val="0018289B"/>
    <w:rsid w:val="001828B8"/>
    <w:rsid w:val="00182A25"/>
    <w:rsid w:val="00182A8F"/>
    <w:rsid w:val="00182CEA"/>
    <w:rsid w:val="00182CFB"/>
    <w:rsid w:val="00182E16"/>
    <w:rsid w:val="00182EF8"/>
    <w:rsid w:val="00182F00"/>
    <w:rsid w:val="0018301E"/>
    <w:rsid w:val="0018327B"/>
    <w:rsid w:val="0018335A"/>
    <w:rsid w:val="00183449"/>
    <w:rsid w:val="00183557"/>
    <w:rsid w:val="001839CF"/>
    <w:rsid w:val="00183A9E"/>
    <w:rsid w:val="00183B51"/>
    <w:rsid w:val="00183BA9"/>
    <w:rsid w:val="00183D0A"/>
    <w:rsid w:val="00183D2D"/>
    <w:rsid w:val="00183FE1"/>
    <w:rsid w:val="00184123"/>
    <w:rsid w:val="0018412C"/>
    <w:rsid w:val="0018468A"/>
    <w:rsid w:val="001847F4"/>
    <w:rsid w:val="00184811"/>
    <w:rsid w:val="00184B4A"/>
    <w:rsid w:val="00184CD9"/>
    <w:rsid w:val="00184CEA"/>
    <w:rsid w:val="00184D24"/>
    <w:rsid w:val="00184D91"/>
    <w:rsid w:val="00184EA0"/>
    <w:rsid w:val="0018502C"/>
    <w:rsid w:val="001850ED"/>
    <w:rsid w:val="0018510D"/>
    <w:rsid w:val="0018519B"/>
    <w:rsid w:val="00185399"/>
    <w:rsid w:val="00185439"/>
    <w:rsid w:val="00185464"/>
    <w:rsid w:val="00185471"/>
    <w:rsid w:val="001855C3"/>
    <w:rsid w:val="001856DE"/>
    <w:rsid w:val="001859CB"/>
    <w:rsid w:val="00185C0B"/>
    <w:rsid w:val="00185CE3"/>
    <w:rsid w:val="00185D3B"/>
    <w:rsid w:val="00185DD4"/>
    <w:rsid w:val="00186012"/>
    <w:rsid w:val="00186058"/>
    <w:rsid w:val="0018620E"/>
    <w:rsid w:val="0018633B"/>
    <w:rsid w:val="0018640D"/>
    <w:rsid w:val="0018664A"/>
    <w:rsid w:val="001867B5"/>
    <w:rsid w:val="00186A43"/>
    <w:rsid w:val="00186B86"/>
    <w:rsid w:val="00186F4C"/>
    <w:rsid w:val="00186F4E"/>
    <w:rsid w:val="00186F99"/>
    <w:rsid w:val="0018738D"/>
    <w:rsid w:val="0018787B"/>
    <w:rsid w:val="00187942"/>
    <w:rsid w:val="00187A09"/>
    <w:rsid w:val="00187B5D"/>
    <w:rsid w:val="00187B75"/>
    <w:rsid w:val="00187C0B"/>
    <w:rsid w:val="00187C0E"/>
    <w:rsid w:val="00187DDB"/>
    <w:rsid w:val="00187DFD"/>
    <w:rsid w:val="00187E4B"/>
    <w:rsid w:val="001904EE"/>
    <w:rsid w:val="00190729"/>
    <w:rsid w:val="001907C1"/>
    <w:rsid w:val="001908C6"/>
    <w:rsid w:val="00190BE3"/>
    <w:rsid w:val="00190C52"/>
    <w:rsid w:val="00190C7B"/>
    <w:rsid w:val="00190D20"/>
    <w:rsid w:val="00190E96"/>
    <w:rsid w:val="00190F7B"/>
    <w:rsid w:val="001910BA"/>
    <w:rsid w:val="001910E4"/>
    <w:rsid w:val="001911C2"/>
    <w:rsid w:val="0019134A"/>
    <w:rsid w:val="001914B8"/>
    <w:rsid w:val="00191799"/>
    <w:rsid w:val="00191DBD"/>
    <w:rsid w:val="00191E2F"/>
    <w:rsid w:val="00191EE1"/>
    <w:rsid w:val="00191F56"/>
    <w:rsid w:val="001921B6"/>
    <w:rsid w:val="00192405"/>
    <w:rsid w:val="00192422"/>
    <w:rsid w:val="001925BB"/>
    <w:rsid w:val="001926F8"/>
    <w:rsid w:val="00192AB5"/>
    <w:rsid w:val="001930F5"/>
    <w:rsid w:val="0019334F"/>
    <w:rsid w:val="00193729"/>
    <w:rsid w:val="001938BD"/>
    <w:rsid w:val="001939C7"/>
    <w:rsid w:val="001939CE"/>
    <w:rsid w:val="00193CEF"/>
    <w:rsid w:val="00193D5D"/>
    <w:rsid w:val="00193DAE"/>
    <w:rsid w:val="00193E45"/>
    <w:rsid w:val="00193EB9"/>
    <w:rsid w:val="00193F8F"/>
    <w:rsid w:val="00194035"/>
    <w:rsid w:val="0019405A"/>
    <w:rsid w:val="0019421F"/>
    <w:rsid w:val="00194391"/>
    <w:rsid w:val="00194471"/>
    <w:rsid w:val="00194D7B"/>
    <w:rsid w:val="00194F86"/>
    <w:rsid w:val="001951A4"/>
    <w:rsid w:val="0019554B"/>
    <w:rsid w:val="001958B5"/>
    <w:rsid w:val="00195926"/>
    <w:rsid w:val="00196069"/>
    <w:rsid w:val="001960B1"/>
    <w:rsid w:val="001961C5"/>
    <w:rsid w:val="0019636D"/>
    <w:rsid w:val="00196774"/>
    <w:rsid w:val="00196AFC"/>
    <w:rsid w:val="00196B8B"/>
    <w:rsid w:val="00196BCD"/>
    <w:rsid w:val="00196BEF"/>
    <w:rsid w:val="00196D77"/>
    <w:rsid w:val="00196DA6"/>
    <w:rsid w:val="00196DB7"/>
    <w:rsid w:val="0019724D"/>
    <w:rsid w:val="00197277"/>
    <w:rsid w:val="00197504"/>
    <w:rsid w:val="00197613"/>
    <w:rsid w:val="00197650"/>
    <w:rsid w:val="00197694"/>
    <w:rsid w:val="00197BAD"/>
    <w:rsid w:val="00197C48"/>
    <w:rsid w:val="001A0249"/>
    <w:rsid w:val="001A0544"/>
    <w:rsid w:val="001A055E"/>
    <w:rsid w:val="001A05AA"/>
    <w:rsid w:val="001A05EA"/>
    <w:rsid w:val="001A05F3"/>
    <w:rsid w:val="001A07AC"/>
    <w:rsid w:val="001A0834"/>
    <w:rsid w:val="001A0C15"/>
    <w:rsid w:val="001A0DF9"/>
    <w:rsid w:val="001A10FB"/>
    <w:rsid w:val="001A1133"/>
    <w:rsid w:val="001A1523"/>
    <w:rsid w:val="001A17FD"/>
    <w:rsid w:val="001A1C70"/>
    <w:rsid w:val="001A1CF6"/>
    <w:rsid w:val="001A213B"/>
    <w:rsid w:val="001A2393"/>
    <w:rsid w:val="001A27F9"/>
    <w:rsid w:val="001A2829"/>
    <w:rsid w:val="001A291B"/>
    <w:rsid w:val="001A2AAD"/>
    <w:rsid w:val="001A2C66"/>
    <w:rsid w:val="001A2E09"/>
    <w:rsid w:val="001A2E93"/>
    <w:rsid w:val="001A2FD1"/>
    <w:rsid w:val="001A34D1"/>
    <w:rsid w:val="001A367B"/>
    <w:rsid w:val="001A38B1"/>
    <w:rsid w:val="001A38E4"/>
    <w:rsid w:val="001A3999"/>
    <w:rsid w:val="001A3A7E"/>
    <w:rsid w:val="001A3A90"/>
    <w:rsid w:val="001A3B0D"/>
    <w:rsid w:val="001A3B16"/>
    <w:rsid w:val="001A3E52"/>
    <w:rsid w:val="001A3F87"/>
    <w:rsid w:val="001A4151"/>
    <w:rsid w:val="001A4388"/>
    <w:rsid w:val="001A45F0"/>
    <w:rsid w:val="001A48C1"/>
    <w:rsid w:val="001A48C7"/>
    <w:rsid w:val="001A49F1"/>
    <w:rsid w:val="001A4B95"/>
    <w:rsid w:val="001A4FF5"/>
    <w:rsid w:val="001A504C"/>
    <w:rsid w:val="001A5077"/>
    <w:rsid w:val="001A51FB"/>
    <w:rsid w:val="001A522C"/>
    <w:rsid w:val="001A54EF"/>
    <w:rsid w:val="001A5856"/>
    <w:rsid w:val="001A58DF"/>
    <w:rsid w:val="001A5B6E"/>
    <w:rsid w:val="001A61B5"/>
    <w:rsid w:val="001A63D3"/>
    <w:rsid w:val="001A65CE"/>
    <w:rsid w:val="001A6658"/>
    <w:rsid w:val="001A678D"/>
    <w:rsid w:val="001A6DD7"/>
    <w:rsid w:val="001A6E98"/>
    <w:rsid w:val="001A6ECA"/>
    <w:rsid w:val="001A6F6D"/>
    <w:rsid w:val="001A77F8"/>
    <w:rsid w:val="001A7B53"/>
    <w:rsid w:val="001A7FD2"/>
    <w:rsid w:val="001B0205"/>
    <w:rsid w:val="001B0240"/>
    <w:rsid w:val="001B0474"/>
    <w:rsid w:val="001B06D3"/>
    <w:rsid w:val="001B086A"/>
    <w:rsid w:val="001B09A1"/>
    <w:rsid w:val="001B0F59"/>
    <w:rsid w:val="001B0FE4"/>
    <w:rsid w:val="001B1086"/>
    <w:rsid w:val="001B10FF"/>
    <w:rsid w:val="001B116C"/>
    <w:rsid w:val="001B1550"/>
    <w:rsid w:val="001B1605"/>
    <w:rsid w:val="001B163B"/>
    <w:rsid w:val="001B16F6"/>
    <w:rsid w:val="001B1A4F"/>
    <w:rsid w:val="001B1C04"/>
    <w:rsid w:val="001B1E07"/>
    <w:rsid w:val="001B1EAE"/>
    <w:rsid w:val="001B1F0B"/>
    <w:rsid w:val="001B22C3"/>
    <w:rsid w:val="001B238E"/>
    <w:rsid w:val="001B24C2"/>
    <w:rsid w:val="001B24C4"/>
    <w:rsid w:val="001B2506"/>
    <w:rsid w:val="001B2810"/>
    <w:rsid w:val="001B2854"/>
    <w:rsid w:val="001B2A16"/>
    <w:rsid w:val="001B2A1D"/>
    <w:rsid w:val="001B30CC"/>
    <w:rsid w:val="001B315C"/>
    <w:rsid w:val="001B3190"/>
    <w:rsid w:val="001B33C7"/>
    <w:rsid w:val="001B34A5"/>
    <w:rsid w:val="001B3593"/>
    <w:rsid w:val="001B369D"/>
    <w:rsid w:val="001B396F"/>
    <w:rsid w:val="001B3A95"/>
    <w:rsid w:val="001B3C70"/>
    <w:rsid w:val="001B3E72"/>
    <w:rsid w:val="001B3E9A"/>
    <w:rsid w:val="001B41BE"/>
    <w:rsid w:val="001B41F2"/>
    <w:rsid w:val="001B4278"/>
    <w:rsid w:val="001B446C"/>
    <w:rsid w:val="001B45E5"/>
    <w:rsid w:val="001B45E8"/>
    <w:rsid w:val="001B4770"/>
    <w:rsid w:val="001B49C7"/>
    <w:rsid w:val="001B4D89"/>
    <w:rsid w:val="001B4FA5"/>
    <w:rsid w:val="001B5249"/>
    <w:rsid w:val="001B52A5"/>
    <w:rsid w:val="001B52FD"/>
    <w:rsid w:val="001B5455"/>
    <w:rsid w:val="001B54E3"/>
    <w:rsid w:val="001B568B"/>
    <w:rsid w:val="001B5923"/>
    <w:rsid w:val="001B5998"/>
    <w:rsid w:val="001B5AC0"/>
    <w:rsid w:val="001B5BE8"/>
    <w:rsid w:val="001B5DA0"/>
    <w:rsid w:val="001B5DE9"/>
    <w:rsid w:val="001B6201"/>
    <w:rsid w:val="001B6228"/>
    <w:rsid w:val="001B6303"/>
    <w:rsid w:val="001B6392"/>
    <w:rsid w:val="001B66A5"/>
    <w:rsid w:val="001B6790"/>
    <w:rsid w:val="001B67AD"/>
    <w:rsid w:val="001B67E3"/>
    <w:rsid w:val="001B68BD"/>
    <w:rsid w:val="001B69AD"/>
    <w:rsid w:val="001B6AE1"/>
    <w:rsid w:val="001B6BC7"/>
    <w:rsid w:val="001B6C02"/>
    <w:rsid w:val="001B702E"/>
    <w:rsid w:val="001B729E"/>
    <w:rsid w:val="001B7905"/>
    <w:rsid w:val="001B7BA8"/>
    <w:rsid w:val="001B7D83"/>
    <w:rsid w:val="001B7EDD"/>
    <w:rsid w:val="001C0467"/>
    <w:rsid w:val="001C09BD"/>
    <w:rsid w:val="001C0B27"/>
    <w:rsid w:val="001C0B8F"/>
    <w:rsid w:val="001C0B98"/>
    <w:rsid w:val="001C0C16"/>
    <w:rsid w:val="001C0EA2"/>
    <w:rsid w:val="001C11A0"/>
    <w:rsid w:val="001C1889"/>
    <w:rsid w:val="001C18BB"/>
    <w:rsid w:val="001C1A1B"/>
    <w:rsid w:val="001C1B0A"/>
    <w:rsid w:val="001C1B85"/>
    <w:rsid w:val="001C1C05"/>
    <w:rsid w:val="001C1D04"/>
    <w:rsid w:val="001C1F84"/>
    <w:rsid w:val="001C2022"/>
    <w:rsid w:val="001C225E"/>
    <w:rsid w:val="001C22DE"/>
    <w:rsid w:val="001C2641"/>
    <w:rsid w:val="001C28E4"/>
    <w:rsid w:val="001C29BD"/>
    <w:rsid w:val="001C2B90"/>
    <w:rsid w:val="001C2D10"/>
    <w:rsid w:val="001C2D1E"/>
    <w:rsid w:val="001C2E7E"/>
    <w:rsid w:val="001C2E82"/>
    <w:rsid w:val="001C2FAD"/>
    <w:rsid w:val="001C32CD"/>
    <w:rsid w:val="001C3385"/>
    <w:rsid w:val="001C37CF"/>
    <w:rsid w:val="001C3901"/>
    <w:rsid w:val="001C3997"/>
    <w:rsid w:val="001C3CCA"/>
    <w:rsid w:val="001C3ED9"/>
    <w:rsid w:val="001C421D"/>
    <w:rsid w:val="001C435F"/>
    <w:rsid w:val="001C4851"/>
    <w:rsid w:val="001C49C9"/>
    <w:rsid w:val="001C4AC2"/>
    <w:rsid w:val="001C4C56"/>
    <w:rsid w:val="001C4D35"/>
    <w:rsid w:val="001C4D8B"/>
    <w:rsid w:val="001C4DFE"/>
    <w:rsid w:val="001C4EF1"/>
    <w:rsid w:val="001C50F8"/>
    <w:rsid w:val="001C51F1"/>
    <w:rsid w:val="001C53F4"/>
    <w:rsid w:val="001C53FB"/>
    <w:rsid w:val="001C5574"/>
    <w:rsid w:val="001C58F0"/>
    <w:rsid w:val="001C59FF"/>
    <w:rsid w:val="001C5CE3"/>
    <w:rsid w:val="001C5D30"/>
    <w:rsid w:val="001C5E8A"/>
    <w:rsid w:val="001C605F"/>
    <w:rsid w:val="001C6362"/>
    <w:rsid w:val="001C6418"/>
    <w:rsid w:val="001C65E0"/>
    <w:rsid w:val="001C691A"/>
    <w:rsid w:val="001C6B7A"/>
    <w:rsid w:val="001C7164"/>
    <w:rsid w:val="001C736F"/>
    <w:rsid w:val="001C7373"/>
    <w:rsid w:val="001C7624"/>
    <w:rsid w:val="001C766F"/>
    <w:rsid w:val="001C7737"/>
    <w:rsid w:val="001C7930"/>
    <w:rsid w:val="001C79B6"/>
    <w:rsid w:val="001C7A85"/>
    <w:rsid w:val="001C7C56"/>
    <w:rsid w:val="001C7E4C"/>
    <w:rsid w:val="001C7E93"/>
    <w:rsid w:val="001C7EC1"/>
    <w:rsid w:val="001D0202"/>
    <w:rsid w:val="001D03D4"/>
    <w:rsid w:val="001D04A7"/>
    <w:rsid w:val="001D064C"/>
    <w:rsid w:val="001D0732"/>
    <w:rsid w:val="001D07CE"/>
    <w:rsid w:val="001D0952"/>
    <w:rsid w:val="001D0DB2"/>
    <w:rsid w:val="001D0E76"/>
    <w:rsid w:val="001D106C"/>
    <w:rsid w:val="001D1234"/>
    <w:rsid w:val="001D127A"/>
    <w:rsid w:val="001D15C6"/>
    <w:rsid w:val="001D164E"/>
    <w:rsid w:val="001D1991"/>
    <w:rsid w:val="001D1AD4"/>
    <w:rsid w:val="001D1B4E"/>
    <w:rsid w:val="001D1C6A"/>
    <w:rsid w:val="001D1D64"/>
    <w:rsid w:val="001D1E97"/>
    <w:rsid w:val="001D2068"/>
    <w:rsid w:val="001D21EF"/>
    <w:rsid w:val="001D2A38"/>
    <w:rsid w:val="001D2ACB"/>
    <w:rsid w:val="001D2B81"/>
    <w:rsid w:val="001D2D43"/>
    <w:rsid w:val="001D2DB5"/>
    <w:rsid w:val="001D2EC6"/>
    <w:rsid w:val="001D2F93"/>
    <w:rsid w:val="001D3187"/>
    <w:rsid w:val="001D31CA"/>
    <w:rsid w:val="001D31D8"/>
    <w:rsid w:val="001D3426"/>
    <w:rsid w:val="001D3803"/>
    <w:rsid w:val="001D387E"/>
    <w:rsid w:val="001D3896"/>
    <w:rsid w:val="001D3AC4"/>
    <w:rsid w:val="001D3B0B"/>
    <w:rsid w:val="001D3F2E"/>
    <w:rsid w:val="001D3F50"/>
    <w:rsid w:val="001D41C2"/>
    <w:rsid w:val="001D43B3"/>
    <w:rsid w:val="001D4763"/>
    <w:rsid w:val="001D476B"/>
    <w:rsid w:val="001D48C6"/>
    <w:rsid w:val="001D48C8"/>
    <w:rsid w:val="001D48CD"/>
    <w:rsid w:val="001D4909"/>
    <w:rsid w:val="001D494E"/>
    <w:rsid w:val="001D49F4"/>
    <w:rsid w:val="001D4CC8"/>
    <w:rsid w:val="001D4F59"/>
    <w:rsid w:val="001D51C7"/>
    <w:rsid w:val="001D5284"/>
    <w:rsid w:val="001D5366"/>
    <w:rsid w:val="001D5B70"/>
    <w:rsid w:val="001D5C46"/>
    <w:rsid w:val="001D5C4F"/>
    <w:rsid w:val="001D5D7E"/>
    <w:rsid w:val="001D5DCC"/>
    <w:rsid w:val="001D6986"/>
    <w:rsid w:val="001D6C28"/>
    <w:rsid w:val="001D6CAD"/>
    <w:rsid w:val="001D6DAD"/>
    <w:rsid w:val="001D6E18"/>
    <w:rsid w:val="001D701A"/>
    <w:rsid w:val="001D70B3"/>
    <w:rsid w:val="001D719C"/>
    <w:rsid w:val="001D71DA"/>
    <w:rsid w:val="001D71E7"/>
    <w:rsid w:val="001D74F9"/>
    <w:rsid w:val="001D7534"/>
    <w:rsid w:val="001D7547"/>
    <w:rsid w:val="001D772D"/>
    <w:rsid w:val="001D7757"/>
    <w:rsid w:val="001D78B3"/>
    <w:rsid w:val="001D797C"/>
    <w:rsid w:val="001D7D21"/>
    <w:rsid w:val="001D7D6D"/>
    <w:rsid w:val="001E0138"/>
    <w:rsid w:val="001E02F5"/>
    <w:rsid w:val="001E038A"/>
    <w:rsid w:val="001E0599"/>
    <w:rsid w:val="001E0740"/>
    <w:rsid w:val="001E0836"/>
    <w:rsid w:val="001E0916"/>
    <w:rsid w:val="001E0A71"/>
    <w:rsid w:val="001E0AED"/>
    <w:rsid w:val="001E0B52"/>
    <w:rsid w:val="001E0E05"/>
    <w:rsid w:val="001E11B3"/>
    <w:rsid w:val="001E147E"/>
    <w:rsid w:val="001E14CF"/>
    <w:rsid w:val="001E16CD"/>
    <w:rsid w:val="001E16F4"/>
    <w:rsid w:val="001E178D"/>
    <w:rsid w:val="001E17FB"/>
    <w:rsid w:val="001E18DE"/>
    <w:rsid w:val="001E1CA5"/>
    <w:rsid w:val="001E1D4D"/>
    <w:rsid w:val="001E1F35"/>
    <w:rsid w:val="001E21B3"/>
    <w:rsid w:val="001E2337"/>
    <w:rsid w:val="001E2484"/>
    <w:rsid w:val="001E262D"/>
    <w:rsid w:val="001E2635"/>
    <w:rsid w:val="001E26B1"/>
    <w:rsid w:val="001E27F2"/>
    <w:rsid w:val="001E29B5"/>
    <w:rsid w:val="001E2C16"/>
    <w:rsid w:val="001E2C6B"/>
    <w:rsid w:val="001E2CDB"/>
    <w:rsid w:val="001E2D06"/>
    <w:rsid w:val="001E2DA1"/>
    <w:rsid w:val="001E2DF6"/>
    <w:rsid w:val="001E30E3"/>
    <w:rsid w:val="001E32C0"/>
    <w:rsid w:val="001E3613"/>
    <w:rsid w:val="001E3DE0"/>
    <w:rsid w:val="001E3E1A"/>
    <w:rsid w:val="001E3F59"/>
    <w:rsid w:val="001E415E"/>
    <w:rsid w:val="001E41CF"/>
    <w:rsid w:val="001E457C"/>
    <w:rsid w:val="001E48B6"/>
    <w:rsid w:val="001E48FC"/>
    <w:rsid w:val="001E4A34"/>
    <w:rsid w:val="001E4A89"/>
    <w:rsid w:val="001E4AAF"/>
    <w:rsid w:val="001E4DC4"/>
    <w:rsid w:val="001E4FD9"/>
    <w:rsid w:val="001E5019"/>
    <w:rsid w:val="001E54B2"/>
    <w:rsid w:val="001E55C7"/>
    <w:rsid w:val="001E571C"/>
    <w:rsid w:val="001E574B"/>
    <w:rsid w:val="001E5812"/>
    <w:rsid w:val="001E58A3"/>
    <w:rsid w:val="001E5C31"/>
    <w:rsid w:val="001E5CAF"/>
    <w:rsid w:val="001E5D37"/>
    <w:rsid w:val="001E5EFE"/>
    <w:rsid w:val="001E5F97"/>
    <w:rsid w:val="001E5FB7"/>
    <w:rsid w:val="001E611A"/>
    <w:rsid w:val="001E6125"/>
    <w:rsid w:val="001E6185"/>
    <w:rsid w:val="001E635C"/>
    <w:rsid w:val="001E6488"/>
    <w:rsid w:val="001E67E1"/>
    <w:rsid w:val="001E6968"/>
    <w:rsid w:val="001E698F"/>
    <w:rsid w:val="001E6CA9"/>
    <w:rsid w:val="001E6F06"/>
    <w:rsid w:val="001E7135"/>
    <w:rsid w:val="001E72B2"/>
    <w:rsid w:val="001E74A0"/>
    <w:rsid w:val="001E7502"/>
    <w:rsid w:val="001E77FB"/>
    <w:rsid w:val="001E7862"/>
    <w:rsid w:val="001E7B4C"/>
    <w:rsid w:val="001E7BF7"/>
    <w:rsid w:val="001E7DF9"/>
    <w:rsid w:val="001F0019"/>
    <w:rsid w:val="001F018F"/>
    <w:rsid w:val="001F02D8"/>
    <w:rsid w:val="001F03ED"/>
    <w:rsid w:val="001F048B"/>
    <w:rsid w:val="001F04D4"/>
    <w:rsid w:val="001F0564"/>
    <w:rsid w:val="001F057D"/>
    <w:rsid w:val="001F0696"/>
    <w:rsid w:val="001F0734"/>
    <w:rsid w:val="001F0874"/>
    <w:rsid w:val="001F09C2"/>
    <w:rsid w:val="001F0C33"/>
    <w:rsid w:val="001F0DE5"/>
    <w:rsid w:val="001F0F61"/>
    <w:rsid w:val="001F0F96"/>
    <w:rsid w:val="001F119B"/>
    <w:rsid w:val="001F126D"/>
    <w:rsid w:val="001F12E5"/>
    <w:rsid w:val="001F14FC"/>
    <w:rsid w:val="001F1688"/>
    <w:rsid w:val="001F18A7"/>
    <w:rsid w:val="001F18AF"/>
    <w:rsid w:val="001F191C"/>
    <w:rsid w:val="001F196C"/>
    <w:rsid w:val="001F1B07"/>
    <w:rsid w:val="001F1B86"/>
    <w:rsid w:val="001F1C6D"/>
    <w:rsid w:val="001F1E90"/>
    <w:rsid w:val="001F200F"/>
    <w:rsid w:val="001F244B"/>
    <w:rsid w:val="001F27B5"/>
    <w:rsid w:val="001F28E3"/>
    <w:rsid w:val="001F2A30"/>
    <w:rsid w:val="001F2B70"/>
    <w:rsid w:val="001F2B7D"/>
    <w:rsid w:val="001F2C68"/>
    <w:rsid w:val="001F2D14"/>
    <w:rsid w:val="001F2D4E"/>
    <w:rsid w:val="001F2DB3"/>
    <w:rsid w:val="001F2E0D"/>
    <w:rsid w:val="001F2EC9"/>
    <w:rsid w:val="001F3248"/>
    <w:rsid w:val="001F358C"/>
    <w:rsid w:val="001F35B4"/>
    <w:rsid w:val="001F3709"/>
    <w:rsid w:val="001F37FC"/>
    <w:rsid w:val="001F3AAE"/>
    <w:rsid w:val="001F3D25"/>
    <w:rsid w:val="001F41E3"/>
    <w:rsid w:val="001F4223"/>
    <w:rsid w:val="001F4413"/>
    <w:rsid w:val="001F448C"/>
    <w:rsid w:val="001F45FB"/>
    <w:rsid w:val="001F464D"/>
    <w:rsid w:val="001F48C7"/>
    <w:rsid w:val="001F4BBD"/>
    <w:rsid w:val="001F4E79"/>
    <w:rsid w:val="001F4E82"/>
    <w:rsid w:val="001F50AB"/>
    <w:rsid w:val="001F5113"/>
    <w:rsid w:val="001F51F6"/>
    <w:rsid w:val="001F52D6"/>
    <w:rsid w:val="001F56D2"/>
    <w:rsid w:val="001F576A"/>
    <w:rsid w:val="001F57FF"/>
    <w:rsid w:val="001F5888"/>
    <w:rsid w:val="001F59F2"/>
    <w:rsid w:val="001F5F65"/>
    <w:rsid w:val="001F5FC1"/>
    <w:rsid w:val="001F61BC"/>
    <w:rsid w:val="001F6228"/>
    <w:rsid w:val="001F6472"/>
    <w:rsid w:val="001F64AF"/>
    <w:rsid w:val="001F67CF"/>
    <w:rsid w:val="001F67D5"/>
    <w:rsid w:val="001F69AB"/>
    <w:rsid w:val="001F6ADC"/>
    <w:rsid w:val="001F6AFC"/>
    <w:rsid w:val="001F6F72"/>
    <w:rsid w:val="001F6FC7"/>
    <w:rsid w:val="001F6FFA"/>
    <w:rsid w:val="001F716C"/>
    <w:rsid w:val="001F71DA"/>
    <w:rsid w:val="001F721B"/>
    <w:rsid w:val="001F73DC"/>
    <w:rsid w:val="001F76CC"/>
    <w:rsid w:val="001F78D7"/>
    <w:rsid w:val="001F79BC"/>
    <w:rsid w:val="001F7AA4"/>
    <w:rsid w:val="001F7BF0"/>
    <w:rsid w:val="0020014D"/>
    <w:rsid w:val="002002F1"/>
    <w:rsid w:val="00200349"/>
    <w:rsid w:val="00200542"/>
    <w:rsid w:val="0020061A"/>
    <w:rsid w:val="002007F9"/>
    <w:rsid w:val="00200972"/>
    <w:rsid w:val="002009FE"/>
    <w:rsid w:val="00200FF1"/>
    <w:rsid w:val="0020128D"/>
    <w:rsid w:val="0020170B"/>
    <w:rsid w:val="00201A8D"/>
    <w:rsid w:val="00201AE5"/>
    <w:rsid w:val="00201CBB"/>
    <w:rsid w:val="00201D0E"/>
    <w:rsid w:val="00201DB5"/>
    <w:rsid w:val="00201EA9"/>
    <w:rsid w:val="00201EC5"/>
    <w:rsid w:val="002021E7"/>
    <w:rsid w:val="002023AA"/>
    <w:rsid w:val="002023DB"/>
    <w:rsid w:val="0020250F"/>
    <w:rsid w:val="002027E2"/>
    <w:rsid w:val="002028A8"/>
    <w:rsid w:val="002028B3"/>
    <w:rsid w:val="00202907"/>
    <w:rsid w:val="00202920"/>
    <w:rsid w:val="00202D2F"/>
    <w:rsid w:val="00202D81"/>
    <w:rsid w:val="00202EF6"/>
    <w:rsid w:val="00203003"/>
    <w:rsid w:val="002039AB"/>
    <w:rsid w:val="00203C79"/>
    <w:rsid w:val="00203D1E"/>
    <w:rsid w:val="00204028"/>
    <w:rsid w:val="00204208"/>
    <w:rsid w:val="0020440C"/>
    <w:rsid w:val="00204435"/>
    <w:rsid w:val="00204458"/>
    <w:rsid w:val="00204518"/>
    <w:rsid w:val="002045BA"/>
    <w:rsid w:val="002047A1"/>
    <w:rsid w:val="00204A3D"/>
    <w:rsid w:val="00204A76"/>
    <w:rsid w:val="00204B53"/>
    <w:rsid w:val="00204C30"/>
    <w:rsid w:val="00204E65"/>
    <w:rsid w:val="00204ECA"/>
    <w:rsid w:val="00205152"/>
    <w:rsid w:val="00205359"/>
    <w:rsid w:val="0020558F"/>
    <w:rsid w:val="002055A0"/>
    <w:rsid w:val="002055FB"/>
    <w:rsid w:val="002056E8"/>
    <w:rsid w:val="002056FA"/>
    <w:rsid w:val="00205825"/>
    <w:rsid w:val="00205830"/>
    <w:rsid w:val="002058B0"/>
    <w:rsid w:val="00205A30"/>
    <w:rsid w:val="00205A62"/>
    <w:rsid w:val="00205D5F"/>
    <w:rsid w:val="00205E54"/>
    <w:rsid w:val="00205FBE"/>
    <w:rsid w:val="0020617E"/>
    <w:rsid w:val="002061AC"/>
    <w:rsid w:val="002061AE"/>
    <w:rsid w:val="002065D8"/>
    <w:rsid w:val="0020697C"/>
    <w:rsid w:val="00206E7C"/>
    <w:rsid w:val="00206F40"/>
    <w:rsid w:val="00206F41"/>
    <w:rsid w:val="00207027"/>
    <w:rsid w:val="002072A6"/>
    <w:rsid w:val="002075CE"/>
    <w:rsid w:val="002075D7"/>
    <w:rsid w:val="002078EF"/>
    <w:rsid w:val="00207D02"/>
    <w:rsid w:val="00207D56"/>
    <w:rsid w:val="00207DFE"/>
    <w:rsid w:val="00207F78"/>
    <w:rsid w:val="00207FCB"/>
    <w:rsid w:val="00210202"/>
    <w:rsid w:val="0021027C"/>
    <w:rsid w:val="00210791"/>
    <w:rsid w:val="0021097E"/>
    <w:rsid w:val="00210CE9"/>
    <w:rsid w:val="00210D34"/>
    <w:rsid w:val="00210D9E"/>
    <w:rsid w:val="00210E72"/>
    <w:rsid w:val="00210FAE"/>
    <w:rsid w:val="0021116D"/>
    <w:rsid w:val="0021125B"/>
    <w:rsid w:val="00211427"/>
    <w:rsid w:val="002114C1"/>
    <w:rsid w:val="00211558"/>
    <w:rsid w:val="0021156F"/>
    <w:rsid w:val="0021185F"/>
    <w:rsid w:val="00211983"/>
    <w:rsid w:val="00212037"/>
    <w:rsid w:val="00212248"/>
    <w:rsid w:val="00212317"/>
    <w:rsid w:val="00212518"/>
    <w:rsid w:val="002126AC"/>
    <w:rsid w:val="002127F0"/>
    <w:rsid w:val="002128BB"/>
    <w:rsid w:val="00212BC4"/>
    <w:rsid w:val="00212DB4"/>
    <w:rsid w:val="00212FAC"/>
    <w:rsid w:val="00212FD0"/>
    <w:rsid w:val="00213237"/>
    <w:rsid w:val="002133A8"/>
    <w:rsid w:val="00213447"/>
    <w:rsid w:val="00213504"/>
    <w:rsid w:val="00213555"/>
    <w:rsid w:val="00213670"/>
    <w:rsid w:val="00213723"/>
    <w:rsid w:val="00213AE5"/>
    <w:rsid w:val="00213AEB"/>
    <w:rsid w:val="00213B01"/>
    <w:rsid w:val="00213B91"/>
    <w:rsid w:val="00213C92"/>
    <w:rsid w:val="00213FB7"/>
    <w:rsid w:val="0021414D"/>
    <w:rsid w:val="002145CF"/>
    <w:rsid w:val="002149B2"/>
    <w:rsid w:val="00214CE0"/>
    <w:rsid w:val="002151BA"/>
    <w:rsid w:val="002153A2"/>
    <w:rsid w:val="002154EE"/>
    <w:rsid w:val="002155C9"/>
    <w:rsid w:val="00215754"/>
    <w:rsid w:val="00215822"/>
    <w:rsid w:val="00215BFF"/>
    <w:rsid w:val="00215CD7"/>
    <w:rsid w:val="00215DDF"/>
    <w:rsid w:val="00215DF5"/>
    <w:rsid w:val="00215F5C"/>
    <w:rsid w:val="00216713"/>
    <w:rsid w:val="00216808"/>
    <w:rsid w:val="00216944"/>
    <w:rsid w:val="00216983"/>
    <w:rsid w:val="002169C4"/>
    <w:rsid w:val="0021705A"/>
    <w:rsid w:val="0021707C"/>
    <w:rsid w:val="00217194"/>
    <w:rsid w:val="0021728E"/>
    <w:rsid w:val="00217351"/>
    <w:rsid w:val="0021767E"/>
    <w:rsid w:val="00217735"/>
    <w:rsid w:val="00217760"/>
    <w:rsid w:val="002177C7"/>
    <w:rsid w:val="00217CC3"/>
    <w:rsid w:val="00220073"/>
    <w:rsid w:val="00220218"/>
    <w:rsid w:val="002206D7"/>
    <w:rsid w:val="00220717"/>
    <w:rsid w:val="002207E0"/>
    <w:rsid w:val="002207E3"/>
    <w:rsid w:val="0022084A"/>
    <w:rsid w:val="00220888"/>
    <w:rsid w:val="002208A8"/>
    <w:rsid w:val="002208EC"/>
    <w:rsid w:val="00220FC2"/>
    <w:rsid w:val="0022113C"/>
    <w:rsid w:val="0022120B"/>
    <w:rsid w:val="0022120E"/>
    <w:rsid w:val="0022134A"/>
    <w:rsid w:val="002213B5"/>
    <w:rsid w:val="0022143F"/>
    <w:rsid w:val="002214B6"/>
    <w:rsid w:val="002214D7"/>
    <w:rsid w:val="002215A3"/>
    <w:rsid w:val="00221625"/>
    <w:rsid w:val="00221836"/>
    <w:rsid w:val="00221847"/>
    <w:rsid w:val="00221988"/>
    <w:rsid w:val="00221B5C"/>
    <w:rsid w:val="00221BFB"/>
    <w:rsid w:val="00221CDB"/>
    <w:rsid w:val="00221E0B"/>
    <w:rsid w:val="00221EB6"/>
    <w:rsid w:val="00221F94"/>
    <w:rsid w:val="002221C1"/>
    <w:rsid w:val="0022244E"/>
    <w:rsid w:val="00222475"/>
    <w:rsid w:val="00222758"/>
    <w:rsid w:val="002228F6"/>
    <w:rsid w:val="0022291F"/>
    <w:rsid w:val="00222C6B"/>
    <w:rsid w:val="00222D87"/>
    <w:rsid w:val="00222E0C"/>
    <w:rsid w:val="002230C2"/>
    <w:rsid w:val="0022310D"/>
    <w:rsid w:val="002235C3"/>
    <w:rsid w:val="00223864"/>
    <w:rsid w:val="00223A03"/>
    <w:rsid w:val="00223D1D"/>
    <w:rsid w:val="00223D22"/>
    <w:rsid w:val="00223EA4"/>
    <w:rsid w:val="00223FAD"/>
    <w:rsid w:val="00223FE9"/>
    <w:rsid w:val="00224274"/>
    <w:rsid w:val="0022429A"/>
    <w:rsid w:val="00224374"/>
    <w:rsid w:val="00224530"/>
    <w:rsid w:val="002247B1"/>
    <w:rsid w:val="002248DA"/>
    <w:rsid w:val="002249B9"/>
    <w:rsid w:val="00224B50"/>
    <w:rsid w:val="00224BB3"/>
    <w:rsid w:val="00224D17"/>
    <w:rsid w:val="00224EDE"/>
    <w:rsid w:val="00224FFE"/>
    <w:rsid w:val="00225007"/>
    <w:rsid w:val="0022523E"/>
    <w:rsid w:val="00225255"/>
    <w:rsid w:val="002252D3"/>
    <w:rsid w:val="00225400"/>
    <w:rsid w:val="00225818"/>
    <w:rsid w:val="002258A0"/>
    <w:rsid w:val="00225AAF"/>
    <w:rsid w:val="00225C57"/>
    <w:rsid w:val="00225CE3"/>
    <w:rsid w:val="00226019"/>
    <w:rsid w:val="002260E3"/>
    <w:rsid w:val="0022636E"/>
    <w:rsid w:val="0022668E"/>
    <w:rsid w:val="00226890"/>
    <w:rsid w:val="002269DB"/>
    <w:rsid w:val="00226CD9"/>
    <w:rsid w:val="00226E92"/>
    <w:rsid w:val="00226F4A"/>
    <w:rsid w:val="00227125"/>
    <w:rsid w:val="0022733E"/>
    <w:rsid w:val="0022754B"/>
    <w:rsid w:val="00227594"/>
    <w:rsid w:val="0022769C"/>
    <w:rsid w:val="00227760"/>
    <w:rsid w:val="002277C5"/>
    <w:rsid w:val="00227834"/>
    <w:rsid w:val="00227D1B"/>
    <w:rsid w:val="00227D5C"/>
    <w:rsid w:val="00227DA8"/>
    <w:rsid w:val="00230135"/>
    <w:rsid w:val="00230440"/>
    <w:rsid w:val="002304C4"/>
    <w:rsid w:val="0023060D"/>
    <w:rsid w:val="0023062C"/>
    <w:rsid w:val="00230960"/>
    <w:rsid w:val="00230970"/>
    <w:rsid w:val="00230B53"/>
    <w:rsid w:val="00230CDF"/>
    <w:rsid w:val="00230D33"/>
    <w:rsid w:val="0023108D"/>
    <w:rsid w:val="002311A6"/>
    <w:rsid w:val="002311CF"/>
    <w:rsid w:val="002319A2"/>
    <w:rsid w:val="00231B88"/>
    <w:rsid w:val="00231F4B"/>
    <w:rsid w:val="00231F9C"/>
    <w:rsid w:val="002320D7"/>
    <w:rsid w:val="00232125"/>
    <w:rsid w:val="002321E5"/>
    <w:rsid w:val="00232222"/>
    <w:rsid w:val="00232249"/>
    <w:rsid w:val="0023235C"/>
    <w:rsid w:val="00232593"/>
    <w:rsid w:val="00232739"/>
    <w:rsid w:val="00232C44"/>
    <w:rsid w:val="00232D9E"/>
    <w:rsid w:val="00232DBF"/>
    <w:rsid w:val="00232DD6"/>
    <w:rsid w:val="00232E47"/>
    <w:rsid w:val="00232E68"/>
    <w:rsid w:val="00232F65"/>
    <w:rsid w:val="00233054"/>
    <w:rsid w:val="00233068"/>
    <w:rsid w:val="00233258"/>
    <w:rsid w:val="0023349A"/>
    <w:rsid w:val="002334EB"/>
    <w:rsid w:val="002335E3"/>
    <w:rsid w:val="00233833"/>
    <w:rsid w:val="002339CB"/>
    <w:rsid w:val="00233A03"/>
    <w:rsid w:val="00233AED"/>
    <w:rsid w:val="00233D68"/>
    <w:rsid w:val="00233DC7"/>
    <w:rsid w:val="00233E21"/>
    <w:rsid w:val="0023406A"/>
    <w:rsid w:val="002340D1"/>
    <w:rsid w:val="002347FA"/>
    <w:rsid w:val="00234B9D"/>
    <w:rsid w:val="00234C76"/>
    <w:rsid w:val="00234D01"/>
    <w:rsid w:val="00234E00"/>
    <w:rsid w:val="00234E5F"/>
    <w:rsid w:val="00234FC6"/>
    <w:rsid w:val="00235091"/>
    <w:rsid w:val="0023511D"/>
    <w:rsid w:val="00235127"/>
    <w:rsid w:val="0023582A"/>
    <w:rsid w:val="0023592A"/>
    <w:rsid w:val="00235BF6"/>
    <w:rsid w:val="002362B8"/>
    <w:rsid w:val="0023631A"/>
    <w:rsid w:val="00236417"/>
    <w:rsid w:val="00236511"/>
    <w:rsid w:val="002368CE"/>
    <w:rsid w:val="00236B92"/>
    <w:rsid w:val="00236C83"/>
    <w:rsid w:val="00236E3A"/>
    <w:rsid w:val="002371F1"/>
    <w:rsid w:val="0023737D"/>
    <w:rsid w:val="002374F4"/>
    <w:rsid w:val="00237549"/>
    <w:rsid w:val="0023778B"/>
    <w:rsid w:val="00237856"/>
    <w:rsid w:val="00237965"/>
    <w:rsid w:val="002379A2"/>
    <w:rsid w:val="00237A4C"/>
    <w:rsid w:val="00237C90"/>
    <w:rsid w:val="00237CD0"/>
    <w:rsid w:val="00237D32"/>
    <w:rsid w:val="00240009"/>
    <w:rsid w:val="002400E7"/>
    <w:rsid w:val="0024034D"/>
    <w:rsid w:val="00240761"/>
    <w:rsid w:val="00240771"/>
    <w:rsid w:val="00240878"/>
    <w:rsid w:val="0024098A"/>
    <w:rsid w:val="00240A00"/>
    <w:rsid w:val="00240A57"/>
    <w:rsid w:val="00240A5E"/>
    <w:rsid w:val="00240D83"/>
    <w:rsid w:val="00240DDD"/>
    <w:rsid w:val="00240F95"/>
    <w:rsid w:val="00241032"/>
    <w:rsid w:val="002410AE"/>
    <w:rsid w:val="00241134"/>
    <w:rsid w:val="00241246"/>
    <w:rsid w:val="002412A4"/>
    <w:rsid w:val="00241347"/>
    <w:rsid w:val="00241361"/>
    <w:rsid w:val="002413D4"/>
    <w:rsid w:val="00241748"/>
    <w:rsid w:val="00241831"/>
    <w:rsid w:val="002418E2"/>
    <w:rsid w:val="00241B89"/>
    <w:rsid w:val="00241BE2"/>
    <w:rsid w:val="0024203A"/>
    <w:rsid w:val="00242421"/>
    <w:rsid w:val="00242783"/>
    <w:rsid w:val="002427DA"/>
    <w:rsid w:val="002428AC"/>
    <w:rsid w:val="002429C8"/>
    <w:rsid w:val="00242ACA"/>
    <w:rsid w:val="00242BA9"/>
    <w:rsid w:val="00242C7B"/>
    <w:rsid w:val="00242E60"/>
    <w:rsid w:val="00242FE8"/>
    <w:rsid w:val="00243407"/>
    <w:rsid w:val="002434B7"/>
    <w:rsid w:val="002435EE"/>
    <w:rsid w:val="002435F8"/>
    <w:rsid w:val="00243616"/>
    <w:rsid w:val="0024369E"/>
    <w:rsid w:val="00243702"/>
    <w:rsid w:val="0024381D"/>
    <w:rsid w:val="00243851"/>
    <w:rsid w:val="00243B29"/>
    <w:rsid w:val="00243C00"/>
    <w:rsid w:val="00243C29"/>
    <w:rsid w:val="00243DA1"/>
    <w:rsid w:val="00244108"/>
    <w:rsid w:val="0024411F"/>
    <w:rsid w:val="0024416B"/>
    <w:rsid w:val="00244294"/>
    <w:rsid w:val="002443C8"/>
    <w:rsid w:val="00244414"/>
    <w:rsid w:val="002444B3"/>
    <w:rsid w:val="00244636"/>
    <w:rsid w:val="002449E8"/>
    <w:rsid w:val="00244B01"/>
    <w:rsid w:val="00244B09"/>
    <w:rsid w:val="00244B55"/>
    <w:rsid w:val="00244C26"/>
    <w:rsid w:val="00244F28"/>
    <w:rsid w:val="00244FDD"/>
    <w:rsid w:val="00245009"/>
    <w:rsid w:val="00245097"/>
    <w:rsid w:val="0024520D"/>
    <w:rsid w:val="002457BB"/>
    <w:rsid w:val="0024582D"/>
    <w:rsid w:val="002458F8"/>
    <w:rsid w:val="00245CE3"/>
    <w:rsid w:val="00245DD2"/>
    <w:rsid w:val="00245F47"/>
    <w:rsid w:val="002460F7"/>
    <w:rsid w:val="00246150"/>
    <w:rsid w:val="0024674F"/>
    <w:rsid w:val="00246762"/>
    <w:rsid w:val="00246774"/>
    <w:rsid w:val="0024684C"/>
    <w:rsid w:val="0024686A"/>
    <w:rsid w:val="00246CF8"/>
    <w:rsid w:val="00246D44"/>
    <w:rsid w:val="00246DC7"/>
    <w:rsid w:val="00246DD7"/>
    <w:rsid w:val="00246E19"/>
    <w:rsid w:val="00246F36"/>
    <w:rsid w:val="0024701A"/>
    <w:rsid w:val="0024704E"/>
    <w:rsid w:val="00247146"/>
    <w:rsid w:val="0024726A"/>
    <w:rsid w:val="0024734B"/>
    <w:rsid w:val="002473AA"/>
    <w:rsid w:val="00247779"/>
    <w:rsid w:val="00247A27"/>
    <w:rsid w:val="00247B7B"/>
    <w:rsid w:val="00247D7C"/>
    <w:rsid w:val="00247E9C"/>
    <w:rsid w:val="00250001"/>
    <w:rsid w:val="0025011E"/>
    <w:rsid w:val="00250144"/>
    <w:rsid w:val="00250220"/>
    <w:rsid w:val="00250448"/>
    <w:rsid w:val="00250996"/>
    <w:rsid w:val="00250B95"/>
    <w:rsid w:val="00250CFA"/>
    <w:rsid w:val="0025129C"/>
    <w:rsid w:val="002513BE"/>
    <w:rsid w:val="00251403"/>
    <w:rsid w:val="0025140D"/>
    <w:rsid w:val="00251582"/>
    <w:rsid w:val="0025166A"/>
    <w:rsid w:val="00251895"/>
    <w:rsid w:val="0025194B"/>
    <w:rsid w:val="00251C60"/>
    <w:rsid w:val="00251CAB"/>
    <w:rsid w:val="00251F64"/>
    <w:rsid w:val="002525D1"/>
    <w:rsid w:val="00252680"/>
    <w:rsid w:val="00252748"/>
    <w:rsid w:val="002528FC"/>
    <w:rsid w:val="00252C70"/>
    <w:rsid w:val="00252C98"/>
    <w:rsid w:val="00252D91"/>
    <w:rsid w:val="002531D2"/>
    <w:rsid w:val="0025333E"/>
    <w:rsid w:val="00253B04"/>
    <w:rsid w:val="00253BC6"/>
    <w:rsid w:val="00253C45"/>
    <w:rsid w:val="00253D1B"/>
    <w:rsid w:val="00253D6B"/>
    <w:rsid w:val="00253F3B"/>
    <w:rsid w:val="00254000"/>
    <w:rsid w:val="0025410F"/>
    <w:rsid w:val="00254394"/>
    <w:rsid w:val="002544AD"/>
    <w:rsid w:val="002546A8"/>
    <w:rsid w:val="002547EA"/>
    <w:rsid w:val="002548DB"/>
    <w:rsid w:val="00254BE5"/>
    <w:rsid w:val="00254D02"/>
    <w:rsid w:val="00254E15"/>
    <w:rsid w:val="00255140"/>
    <w:rsid w:val="002551B9"/>
    <w:rsid w:val="002552E7"/>
    <w:rsid w:val="0025555C"/>
    <w:rsid w:val="0025578A"/>
    <w:rsid w:val="00255B99"/>
    <w:rsid w:val="00255D1E"/>
    <w:rsid w:val="00255DC6"/>
    <w:rsid w:val="00255DE3"/>
    <w:rsid w:val="00255F00"/>
    <w:rsid w:val="00255F74"/>
    <w:rsid w:val="00255FFB"/>
    <w:rsid w:val="0025600B"/>
    <w:rsid w:val="00256097"/>
    <w:rsid w:val="002562D7"/>
    <w:rsid w:val="00256400"/>
    <w:rsid w:val="00256422"/>
    <w:rsid w:val="002565AF"/>
    <w:rsid w:val="002568D8"/>
    <w:rsid w:val="002568E9"/>
    <w:rsid w:val="00256CAD"/>
    <w:rsid w:val="00256E25"/>
    <w:rsid w:val="00256E58"/>
    <w:rsid w:val="002570E9"/>
    <w:rsid w:val="00257316"/>
    <w:rsid w:val="0025736D"/>
    <w:rsid w:val="002577C0"/>
    <w:rsid w:val="00257843"/>
    <w:rsid w:val="002578BD"/>
    <w:rsid w:val="00257DE8"/>
    <w:rsid w:val="002600E4"/>
    <w:rsid w:val="002601BD"/>
    <w:rsid w:val="002602F2"/>
    <w:rsid w:val="00260387"/>
    <w:rsid w:val="002603BA"/>
    <w:rsid w:val="00260445"/>
    <w:rsid w:val="00260482"/>
    <w:rsid w:val="00260497"/>
    <w:rsid w:val="002608DC"/>
    <w:rsid w:val="00260CB6"/>
    <w:rsid w:val="00260CD6"/>
    <w:rsid w:val="00260E1B"/>
    <w:rsid w:val="00261115"/>
    <w:rsid w:val="00261488"/>
    <w:rsid w:val="00261514"/>
    <w:rsid w:val="0026159A"/>
    <w:rsid w:val="002615BC"/>
    <w:rsid w:val="00261902"/>
    <w:rsid w:val="00261926"/>
    <w:rsid w:val="002619A4"/>
    <w:rsid w:val="00261BC7"/>
    <w:rsid w:val="00261CB2"/>
    <w:rsid w:val="00261D89"/>
    <w:rsid w:val="002620E6"/>
    <w:rsid w:val="002622D8"/>
    <w:rsid w:val="00262301"/>
    <w:rsid w:val="002625FD"/>
    <w:rsid w:val="002626FE"/>
    <w:rsid w:val="00262786"/>
    <w:rsid w:val="00262D06"/>
    <w:rsid w:val="00263184"/>
    <w:rsid w:val="00263198"/>
    <w:rsid w:val="002635E2"/>
    <w:rsid w:val="0026388C"/>
    <w:rsid w:val="0026395D"/>
    <w:rsid w:val="00263B30"/>
    <w:rsid w:val="00263B92"/>
    <w:rsid w:val="00263BC0"/>
    <w:rsid w:val="00263D1F"/>
    <w:rsid w:val="00263FF1"/>
    <w:rsid w:val="0026411D"/>
    <w:rsid w:val="0026471D"/>
    <w:rsid w:val="00264BDC"/>
    <w:rsid w:val="00264D2C"/>
    <w:rsid w:val="00264DFF"/>
    <w:rsid w:val="00264F13"/>
    <w:rsid w:val="00265055"/>
    <w:rsid w:val="00265093"/>
    <w:rsid w:val="002650BF"/>
    <w:rsid w:val="002651CE"/>
    <w:rsid w:val="002651ED"/>
    <w:rsid w:val="002652F1"/>
    <w:rsid w:val="00265387"/>
    <w:rsid w:val="002654A0"/>
    <w:rsid w:val="002654DA"/>
    <w:rsid w:val="00265580"/>
    <w:rsid w:val="00265598"/>
    <w:rsid w:val="0026562D"/>
    <w:rsid w:val="00265651"/>
    <w:rsid w:val="00265797"/>
    <w:rsid w:val="0026580A"/>
    <w:rsid w:val="002658CD"/>
    <w:rsid w:val="0026598D"/>
    <w:rsid w:val="002659A6"/>
    <w:rsid w:val="00265B2D"/>
    <w:rsid w:val="00265B35"/>
    <w:rsid w:val="00265CB0"/>
    <w:rsid w:val="00265DA7"/>
    <w:rsid w:val="00265F2F"/>
    <w:rsid w:val="00266013"/>
    <w:rsid w:val="00266027"/>
    <w:rsid w:val="0026624E"/>
    <w:rsid w:val="00266362"/>
    <w:rsid w:val="00266391"/>
    <w:rsid w:val="00266510"/>
    <w:rsid w:val="002665C8"/>
    <w:rsid w:val="002666E7"/>
    <w:rsid w:val="0026678E"/>
    <w:rsid w:val="00266885"/>
    <w:rsid w:val="0026691E"/>
    <w:rsid w:val="0026697D"/>
    <w:rsid w:val="0026698E"/>
    <w:rsid w:val="00266A34"/>
    <w:rsid w:val="00266B40"/>
    <w:rsid w:val="00266BD0"/>
    <w:rsid w:val="00267098"/>
    <w:rsid w:val="002675CA"/>
    <w:rsid w:val="00267635"/>
    <w:rsid w:val="002676EF"/>
    <w:rsid w:val="00267958"/>
    <w:rsid w:val="002679A5"/>
    <w:rsid w:val="002679F0"/>
    <w:rsid w:val="0027003B"/>
    <w:rsid w:val="00270309"/>
    <w:rsid w:val="002705BA"/>
    <w:rsid w:val="0027085D"/>
    <w:rsid w:val="002708E3"/>
    <w:rsid w:val="00270997"/>
    <w:rsid w:val="002709FA"/>
    <w:rsid w:val="00270CDE"/>
    <w:rsid w:val="00270E40"/>
    <w:rsid w:val="002710E3"/>
    <w:rsid w:val="0027125F"/>
    <w:rsid w:val="002712C3"/>
    <w:rsid w:val="002719F1"/>
    <w:rsid w:val="00271DE0"/>
    <w:rsid w:val="00271E0F"/>
    <w:rsid w:val="00271FB5"/>
    <w:rsid w:val="002720D3"/>
    <w:rsid w:val="00272177"/>
    <w:rsid w:val="002721AA"/>
    <w:rsid w:val="0027237F"/>
    <w:rsid w:val="00272450"/>
    <w:rsid w:val="002727A0"/>
    <w:rsid w:val="002729E4"/>
    <w:rsid w:val="00272AA5"/>
    <w:rsid w:val="00272AF0"/>
    <w:rsid w:val="00272CD3"/>
    <w:rsid w:val="00272D9D"/>
    <w:rsid w:val="00272EC8"/>
    <w:rsid w:val="00272EFB"/>
    <w:rsid w:val="00273332"/>
    <w:rsid w:val="00273372"/>
    <w:rsid w:val="0027341C"/>
    <w:rsid w:val="0027347E"/>
    <w:rsid w:val="00273534"/>
    <w:rsid w:val="0027360C"/>
    <w:rsid w:val="00273686"/>
    <w:rsid w:val="00273716"/>
    <w:rsid w:val="00273763"/>
    <w:rsid w:val="00273E3F"/>
    <w:rsid w:val="00273F34"/>
    <w:rsid w:val="00273F42"/>
    <w:rsid w:val="00273F9D"/>
    <w:rsid w:val="002742E6"/>
    <w:rsid w:val="002743DF"/>
    <w:rsid w:val="0027461C"/>
    <w:rsid w:val="0027472D"/>
    <w:rsid w:val="0027472F"/>
    <w:rsid w:val="00274C2A"/>
    <w:rsid w:val="00274EE5"/>
    <w:rsid w:val="00274FB6"/>
    <w:rsid w:val="002751CF"/>
    <w:rsid w:val="0027538E"/>
    <w:rsid w:val="00275864"/>
    <w:rsid w:val="00275866"/>
    <w:rsid w:val="00275A48"/>
    <w:rsid w:val="00275AA3"/>
    <w:rsid w:val="00275AF7"/>
    <w:rsid w:val="00275BB4"/>
    <w:rsid w:val="00275C77"/>
    <w:rsid w:val="00275CC8"/>
    <w:rsid w:val="00275CDB"/>
    <w:rsid w:val="00275E6D"/>
    <w:rsid w:val="00275FBF"/>
    <w:rsid w:val="0027627E"/>
    <w:rsid w:val="002763EC"/>
    <w:rsid w:val="002764F3"/>
    <w:rsid w:val="002765EC"/>
    <w:rsid w:val="0027671E"/>
    <w:rsid w:val="00276A02"/>
    <w:rsid w:val="00276D32"/>
    <w:rsid w:val="00276D6A"/>
    <w:rsid w:val="00276DDA"/>
    <w:rsid w:val="00276E32"/>
    <w:rsid w:val="00276EB6"/>
    <w:rsid w:val="0027732B"/>
    <w:rsid w:val="0027753E"/>
    <w:rsid w:val="002775E7"/>
    <w:rsid w:val="002778DF"/>
    <w:rsid w:val="00277A00"/>
    <w:rsid w:val="00277AD7"/>
    <w:rsid w:val="00277BCC"/>
    <w:rsid w:val="00277D0A"/>
    <w:rsid w:val="00277E46"/>
    <w:rsid w:val="00280144"/>
    <w:rsid w:val="00280175"/>
    <w:rsid w:val="00280370"/>
    <w:rsid w:val="002804E9"/>
    <w:rsid w:val="002804F6"/>
    <w:rsid w:val="002805A2"/>
    <w:rsid w:val="002807E4"/>
    <w:rsid w:val="0028085F"/>
    <w:rsid w:val="00280ADA"/>
    <w:rsid w:val="00280B04"/>
    <w:rsid w:val="00280DAB"/>
    <w:rsid w:val="00280EB3"/>
    <w:rsid w:val="002810B5"/>
    <w:rsid w:val="00281231"/>
    <w:rsid w:val="00281295"/>
    <w:rsid w:val="0028146C"/>
    <w:rsid w:val="00281651"/>
    <w:rsid w:val="002816B1"/>
    <w:rsid w:val="00281950"/>
    <w:rsid w:val="00281AAE"/>
    <w:rsid w:val="00281C07"/>
    <w:rsid w:val="00281CDF"/>
    <w:rsid w:val="00281D2C"/>
    <w:rsid w:val="00281F9D"/>
    <w:rsid w:val="002820B3"/>
    <w:rsid w:val="002820C7"/>
    <w:rsid w:val="002822DD"/>
    <w:rsid w:val="002825DD"/>
    <w:rsid w:val="00282666"/>
    <w:rsid w:val="00282685"/>
    <w:rsid w:val="00282A0E"/>
    <w:rsid w:val="00282B79"/>
    <w:rsid w:val="00282DA8"/>
    <w:rsid w:val="00282FAC"/>
    <w:rsid w:val="0028332A"/>
    <w:rsid w:val="002835B6"/>
    <w:rsid w:val="00283979"/>
    <w:rsid w:val="00283D9B"/>
    <w:rsid w:val="00283DA2"/>
    <w:rsid w:val="0028411F"/>
    <w:rsid w:val="002841A6"/>
    <w:rsid w:val="002841E0"/>
    <w:rsid w:val="002846B8"/>
    <w:rsid w:val="002847B1"/>
    <w:rsid w:val="00284903"/>
    <w:rsid w:val="00284995"/>
    <w:rsid w:val="00284C19"/>
    <w:rsid w:val="00284F6E"/>
    <w:rsid w:val="00284FCC"/>
    <w:rsid w:val="00285045"/>
    <w:rsid w:val="002851FA"/>
    <w:rsid w:val="002856CA"/>
    <w:rsid w:val="0028573A"/>
    <w:rsid w:val="002857C8"/>
    <w:rsid w:val="00285AD9"/>
    <w:rsid w:val="00285AF4"/>
    <w:rsid w:val="00285BEE"/>
    <w:rsid w:val="00285CC3"/>
    <w:rsid w:val="00285D88"/>
    <w:rsid w:val="0028614F"/>
    <w:rsid w:val="002861CD"/>
    <w:rsid w:val="00286510"/>
    <w:rsid w:val="0028654D"/>
    <w:rsid w:val="00286782"/>
    <w:rsid w:val="002869DB"/>
    <w:rsid w:val="00286A99"/>
    <w:rsid w:val="00286C28"/>
    <w:rsid w:val="00286C8E"/>
    <w:rsid w:val="00286D88"/>
    <w:rsid w:val="00286F94"/>
    <w:rsid w:val="00286FF6"/>
    <w:rsid w:val="00287210"/>
    <w:rsid w:val="00287333"/>
    <w:rsid w:val="00287495"/>
    <w:rsid w:val="00287502"/>
    <w:rsid w:val="00287505"/>
    <w:rsid w:val="002875BB"/>
    <w:rsid w:val="00287661"/>
    <w:rsid w:val="002876F8"/>
    <w:rsid w:val="00287A74"/>
    <w:rsid w:val="00287CEE"/>
    <w:rsid w:val="00287E23"/>
    <w:rsid w:val="00287E67"/>
    <w:rsid w:val="00287FD4"/>
    <w:rsid w:val="002901A6"/>
    <w:rsid w:val="00290819"/>
    <w:rsid w:val="0029085F"/>
    <w:rsid w:val="00290C0E"/>
    <w:rsid w:val="00290D5B"/>
    <w:rsid w:val="00290F57"/>
    <w:rsid w:val="00291573"/>
    <w:rsid w:val="00291668"/>
    <w:rsid w:val="00291786"/>
    <w:rsid w:val="00291B06"/>
    <w:rsid w:val="00291BEE"/>
    <w:rsid w:val="00291C0C"/>
    <w:rsid w:val="00291CD3"/>
    <w:rsid w:val="00291D52"/>
    <w:rsid w:val="0029202A"/>
    <w:rsid w:val="00292063"/>
    <w:rsid w:val="0029243C"/>
    <w:rsid w:val="002926AD"/>
    <w:rsid w:val="00292741"/>
    <w:rsid w:val="00292782"/>
    <w:rsid w:val="002928F5"/>
    <w:rsid w:val="00292C90"/>
    <w:rsid w:val="00292E41"/>
    <w:rsid w:val="00292FA2"/>
    <w:rsid w:val="00292FE4"/>
    <w:rsid w:val="0029312A"/>
    <w:rsid w:val="002937A0"/>
    <w:rsid w:val="00293893"/>
    <w:rsid w:val="00293BCC"/>
    <w:rsid w:val="00293C90"/>
    <w:rsid w:val="002941DA"/>
    <w:rsid w:val="002942FC"/>
    <w:rsid w:val="00294668"/>
    <w:rsid w:val="002946C8"/>
    <w:rsid w:val="002947BC"/>
    <w:rsid w:val="00294B08"/>
    <w:rsid w:val="00294D81"/>
    <w:rsid w:val="00294DC1"/>
    <w:rsid w:val="00294FB1"/>
    <w:rsid w:val="00295127"/>
    <w:rsid w:val="0029515C"/>
    <w:rsid w:val="00295263"/>
    <w:rsid w:val="002952F7"/>
    <w:rsid w:val="0029533F"/>
    <w:rsid w:val="002954BB"/>
    <w:rsid w:val="002955E0"/>
    <w:rsid w:val="002957A1"/>
    <w:rsid w:val="002957E2"/>
    <w:rsid w:val="002958F7"/>
    <w:rsid w:val="002958FC"/>
    <w:rsid w:val="00295A41"/>
    <w:rsid w:val="00295AC8"/>
    <w:rsid w:val="00295CF8"/>
    <w:rsid w:val="00295FB3"/>
    <w:rsid w:val="00295FC3"/>
    <w:rsid w:val="002960F7"/>
    <w:rsid w:val="002961E2"/>
    <w:rsid w:val="002962C6"/>
    <w:rsid w:val="002963B0"/>
    <w:rsid w:val="002965D4"/>
    <w:rsid w:val="0029661C"/>
    <w:rsid w:val="0029674D"/>
    <w:rsid w:val="00296767"/>
    <w:rsid w:val="00296982"/>
    <w:rsid w:val="00296C4C"/>
    <w:rsid w:val="00296EDC"/>
    <w:rsid w:val="00297121"/>
    <w:rsid w:val="00297350"/>
    <w:rsid w:val="002974B4"/>
    <w:rsid w:val="00297570"/>
    <w:rsid w:val="00297596"/>
    <w:rsid w:val="002975EC"/>
    <w:rsid w:val="00297648"/>
    <w:rsid w:val="00297680"/>
    <w:rsid w:val="00297829"/>
    <w:rsid w:val="0029787E"/>
    <w:rsid w:val="002979ED"/>
    <w:rsid w:val="00297A7E"/>
    <w:rsid w:val="00297ADE"/>
    <w:rsid w:val="00297D3A"/>
    <w:rsid w:val="00297D50"/>
    <w:rsid w:val="00297F45"/>
    <w:rsid w:val="00297F6D"/>
    <w:rsid w:val="002A003A"/>
    <w:rsid w:val="002A01A2"/>
    <w:rsid w:val="002A0220"/>
    <w:rsid w:val="002A028E"/>
    <w:rsid w:val="002A066B"/>
    <w:rsid w:val="002A0A69"/>
    <w:rsid w:val="002A0FAD"/>
    <w:rsid w:val="002A119C"/>
    <w:rsid w:val="002A13FB"/>
    <w:rsid w:val="002A14E6"/>
    <w:rsid w:val="002A192C"/>
    <w:rsid w:val="002A1A3D"/>
    <w:rsid w:val="002A1AE4"/>
    <w:rsid w:val="002A1E97"/>
    <w:rsid w:val="002A1FE1"/>
    <w:rsid w:val="002A20ED"/>
    <w:rsid w:val="002A226E"/>
    <w:rsid w:val="002A2277"/>
    <w:rsid w:val="002A22E2"/>
    <w:rsid w:val="002A23F8"/>
    <w:rsid w:val="002A2476"/>
    <w:rsid w:val="002A24ED"/>
    <w:rsid w:val="002A2885"/>
    <w:rsid w:val="002A2CBA"/>
    <w:rsid w:val="002A2E8E"/>
    <w:rsid w:val="002A2EB4"/>
    <w:rsid w:val="002A2F5E"/>
    <w:rsid w:val="002A3298"/>
    <w:rsid w:val="002A3589"/>
    <w:rsid w:val="002A35AE"/>
    <w:rsid w:val="002A366C"/>
    <w:rsid w:val="002A368B"/>
    <w:rsid w:val="002A3722"/>
    <w:rsid w:val="002A3742"/>
    <w:rsid w:val="002A39BC"/>
    <w:rsid w:val="002A3AB3"/>
    <w:rsid w:val="002A3B52"/>
    <w:rsid w:val="002A3BF2"/>
    <w:rsid w:val="002A3DE9"/>
    <w:rsid w:val="002A3E19"/>
    <w:rsid w:val="002A3E20"/>
    <w:rsid w:val="002A4027"/>
    <w:rsid w:val="002A4053"/>
    <w:rsid w:val="002A44DC"/>
    <w:rsid w:val="002A451B"/>
    <w:rsid w:val="002A4AA8"/>
    <w:rsid w:val="002A4B63"/>
    <w:rsid w:val="002A4D02"/>
    <w:rsid w:val="002A4D1B"/>
    <w:rsid w:val="002A5031"/>
    <w:rsid w:val="002A530A"/>
    <w:rsid w:val="002A54DE"/>
    <w:rsid w:val="002A5621"/>
    <w:rsid w:val="002A573C"/>
    <w:rsid w:val="002A5780"/>
    <w:rsid w:val="002A5856"/>
    <w:rsid w:val="002A5A3B"/>
    <w:rsid w:val="002A5B29"/>
    <w:rsid w:val="002A5C03"/>
    <w:rsid w:val="002A5C38"/>
    <w:rsid w:val="002A5C94"/>
    <w:rsid w:val="002A5D01"/>
    <w:rsid w:val="002A5E25"/>
    <w:rsid w:val="002A60C5"/>
    <w:rsid w:val="002A6116"/>
    <w:rsid w:val="002A6242"/>
    <w:rsid w:val="002A628F"/>
    <w:rsid w:val="002A62C7"/>
    <w:rsid w:val="002A639B"/>
    <w:rsid w:val="002A6825"/>
    <w:rsid w:val="002A682D"/>
    <w:rsid w:val="002A6B55"/>
    <w:rsid w:val="002A6C1F"/>
    <w:rsid w:val="002A6D20"/>
    <w:rsid w:val="002A6D81"/>
    <w:rsid w:val="002A6F88"/>
    <w:rsid w:val="002A717E"/>
    <w:rsid w:val="002A756A"/>
    <w:rsid w:val="002A75B3"/>
    <w:rsid w:val="002A7748"/>
    <w:rsid w:val="002A7772"/>
    <w:rsid w:val="002A7AF7"/>
    <w:rsid w:val="002A7B3C"/>
    <w:rsid w:val="002A7DA0"/>
    <w:rsid w:val="002A7DC1"/>
    <w:rsid w:val="002A7DE0"/>
    <w:rsid w:val="002A7EBD"/>
    <w:rsid w:val="002B005C"/>
    <w:rsid w:val="002B0306"/>
    <w:rsid w:val="002B0308"/>
    <w:rsid w:val="002B032A"/>
    <w:rsid w:val="002B04C3"/>
    <w:rsid w:val="002B04F3"/>
    <w:rsid w:val="002B0748"/>
    <w:rsid w:val="002B0939"/>
    <w:rsid w:val="002B0A32"/>
    <w:rsid w:val="002B0AF6"/>
    <w:rsid w:val="002B0EC5"/>
    <w:rsid w:val="002B1727"/>
    <w:rsid w:val="002B192A"/>
    <w:rsid w:val="002B19BF"/>
    <w:rsid w:val="002B1A9C"/>
    <w:rsid w:val="002B1A9F"/>
    <w:rsid w:val="002B1B0C"/>
    <w:rsid w:val="002B1B0E"/>
    <w:rsid w:val="002B1B39"/>
    <w:rsid w:val="002B1B62"/>
    <w:rsid w:val="002B1D3D"/>
    <w:rsid w:val="002B208A"/>
    <w:rsid w:val="002B2096"/>
    <w:rsid w:val="002B20CA"/>
    <w:rsid w:val="002B21B5"/>
    <w:rsid w:val="002B224D"/>
    <w:rsid w:val="002B2425"/>
    <w:rsid w:val="002B2451"/>
    <w:rsid w:val="002B261B"/>
    <w:rsid w:val="002B2A18"/>
    <w:rsid w:val="002B2A1F"/>
    <w:rsid w:val="002B2E1B"/>
    <w:rsid w:val="002B2E96"/>
    <w:rsid w:val="002B2F06"/>
    <w:rsid w:val="002B2FF1"/>
    <w:rsid w:val="002B30AF"/>
    <w:rsid w:val="002B3136"/>
    <w:rsid w:val="002B313D"/>
    <w:rsid w:val="002B323B"/>
    <w:rsid w:val="002B3268"/>
    <w:rsid w:val="002B33AC"/>
    <w:rsid w:val="002B3418"/>
    <w:rsid w:val="002B34D4"/>
    <w:rsid w:val="002B3573"/>
    <w:rsid w:val="002B35DF"/>
    <w:rsid w:val="002B387F"/>
    <w:rsid w:val="002B38D8"/>
    <w:rsid w:val="002B396D"/>
    <w:rsid w:val="002B39D8"/>
    <w:rsid w:val="002B3A67"/>
    <w:rsid w:val="002B3A92"/>
    <w:rsid w:val="002B3B58"/>
    <w:rsid w:val="002B3CC0"/>
    <w:rsid w:val="002B3DE5"/>
    <w:rsid w:val="002B415C"/>
    <w:rsid w:val="002B42BC"/>
    <w:rsid w:val="002B43F3"/>
    <w:rsid w:val="002B45E5"/>
    <w:rsid w:val="002B48E5"/>
    <w:rsid w:val="002B493F"/>
    <w:rsid w:val="002B4B89"/>
    <w:rsid w:val="002B4CCC"/>
    <w:rsid w:val="002B4EA0"/>
    <w:rsid w:val="002B5298"/>
    <w:rsid w:val="002B53E7"/>
    <w:rsid w:val="002B5402"/>
    <w:rsid w:val="002B57DB"/>
    <w:rsid w:val="002B5940"/>
    <w:rsid w:val="002B5A05"/>
    <w:rsid w:val="002B5B8D"/>
    <w:rsid w:val="002B5C95"/>
    <w:rsid w:val="002B5D90"/>
    <w:rsid w:val="002B5E7A"/>
    <w:rsid w:val="002B5E7F"/>
    <w:rsid w:val="002B6041"/>
    <w:rsid w:val="002B6216"/>
    <w:rsid w:val="002B6223"/>
    <w:rsid w:val="002B6379"/>
    <w:rsid w:val="002B6591"/>
    <w:rsid w:val="002B66D6"/>
    <w:rsid w:val="002B67D6"/>
    <w:rsid w:val="002B6818"/>
    <w:rsid w:val="002B6A20"/>
    <w:rsid w:val="002B6A3B"/>
    <w:rsid w:val="002B6A65"/>
    <w:rsid w:val="002B6B34"/>
    <w:rsid w:val="002B6BD7"/>
    <w:rsid w:val="002B6E25"/>
    <w:rsid w:val="002B6E48"/>
    <w:rsid w:val="002B6F62"/>
    <w:rsid w:val="002B6F63"/>
    <w:rsid w:val="002B6F8E"/>
    <w:rsid w:val="002B70DB"/>
    <w:rsid w:val="002B718C"/>
    <w:rsid w:val="002B7226"/>
    <w:rsid w:val="002B75BF"/>
    <w:rsid w:val="002B75D3"/>
    <w:rsid w:val="002B7823"/>
    <w:rsid w:val="002B7A65"/>
    <w:rsid w:val="002B7C60"/>
    <w:rsid w:val="002B7CD4"/>
    <w:rsid w:val="002B7D9B"/>
    <w:rsid w:val="002B7D9E"/>
    <w:rsid w:val="002B7DAD"/>
    <w:rsid w:val="002C014D"/>
    <w:rsid w:val="002C03D8"/>
    <w:rsid w:val="002C03FC"/>
    <w:rsid w:val="002C042D"/>
    <w:rsid w:val="002C0526"/>
    <w:rsid w:val="002C0733"/>
    <w:rsid w:val="002C0751"/>
    <w:rsid w:val="002C095B"/>
    <w:rsid w:val="002C09AC"/>
    <w:rsid w:val="002C0A38"/>
    <w:rsid w:val="002C0E56"/>
    <w:rsid w:val="002C12FD"/>
    <w:rsid w:val="002C13A0"/>
    <w:rsid w:val="002C14F9"/>
    <w:rsid w:val="002C1513"/>
    <w:rsid w:val="002C1809"/>
    <w:rsid w:val="002C1BB1"/>
    <w:rsid w:val="002C1BDF"/>
    <w:rsid w:val="002C1CA2"/>
    <w:rsid w:val="002C1CE0"/>
    <w:rsid w:val="002C1D71"/>
    <w:rsid w:val="002C208A"/>
    <w:rsid w:val="002C2291"/>
    <w:rsid w:val="002C2847"/>
    <w:rsid w:val="002C28C2"/>
    <w:rsid w:val="002C2B37"/>
    <w:rsid w:val="002C2BF3"/>
    <w:rsid w:val="002C2C31"/>
    <w:rsid w:val="002C2D60"/>
    <w:rsid w:val="002C2F00"/>
    <w:rsid w:val="002C2FF4"/>
    <w:rsid w:val="002C3251"/>
    <w:rsid w:val="002C3320"/>
    <w:rsid w:val="002C336B"/>
    <w:rsid w:val="002C347B"/>
    <w:rsid w:val="002C3581"/>
    <w:rsid w:val="002C3593"/>
    <w:rsid w:val="002C3639"/>
    <w:rsid w:val="002C36D5"/>
    <w:rsid w:val="002C3925"/>
    <w:rsid w:val="002C3A76"/>
    <w:rsid w:val="002C3BCC"/>
    <w:rsid w:val="002C3C4A"/>
    <w:rsid w:val="002C3E3E"/>
    <w:rsid w:val="002C3E5D"/>
    <w:rsid w:val="002C3E82"/>
    <w:rsid w:val="002C3ED9"/>
    <w:rsid w:val="002C4194"/>
    <w:rsid w:val="002C428F"/>
    <w:rsid w:val="002C42D3"/>
    <w:rsid w:val="002C47E7"/>
    <w:rsid w:val="002C491B"/>
    <w:rsid w:val="002C4CCB"/>
    <w:rsid w:val="002C4CE3"/>
    <w:rsid w:val="002C4E8E"/>
    <w:rsid w:val="002C4F33"/>
    <w:rsid w:val="002C505E"/>
    <w:rsid w:val="002C5333"/>
    <w:rsid w:val="002C555C"/>
    <w:rsid w:val="002C55C0"/>
    <w:rsid w:val="002C5646"/>
    <w:rsid w:val="002C567D"/>
    <w:rsid w:val="002C57C2"/>
    <w:rsid w:val="002C5B5C"/>
    <w:rsid w:val="002C5BFD"/>
    <w:rsid w:val="002C5C9D"/>
    <w:rsid w:val="002C5FE3"/>
    <w:rsid w:val="002C617F"/>
    <w:rsid w:val="002C6454"/>
    <w:rsid w:val="002C66C9"/>
    <w:rsid w:val="002C6762"/>
    <w:rsid w:val="002C677A"/>
    <w:rsid w:val="002C684E"/>
    <w:rsid w:val="002C690A"/>
    <w:rsid w:val="002C6A04"/>
    <w:rsid w:val="002C6A58"/>
    <w:rsid w:val="002C6C13"/>
    <w:rsid w:val="002C7226"/>
    <w:rsid w:val="002C724B"/>
    <w:rsid w:val="002C7375"/>
    <w:rsid w:val="002C7448"/>
    <w:rsid w:val="002C768F"/>
    <w:rsid w:val="002C798E"/>
    <w:rsid w:val="002C7A47"/>
    <w:rsid w:val="002C7A83"/>
    <w:rsid w:val="002C7AFF"/>
    <w:rsid w:val="002C7C22"/>
    <w:rsid w:val="002C7D0F"/>
    <w:rsid w:val="002C7DB3"/>
    <w:rsid w:val="002C7DD2"/>
    <w:rsid w:val="002C7E68"/>
    <w:rsid w:val="002D0352"/>
    <w:rsid w:val="002D0490"/>
    <w:rsid w:val="002D065A"/>
    <w:rsid w:val="002D07C6"/>
    <w:rsid w:val="002D08B9"/>
    <w:rsid w:val="002D090D"/>
    <w:rsid w:val="002D0BA3"/>
    <w:rsid w:val="002D0D15"/>
    <w:rsid w:val="002D0DE4"/>
    <w:rsid w:val="002D0E2D"/>
    <w:rsid w:val="002D1032"/>
    <w:rsid w:val="002D111A"/>
    <w:rsid w:val="002D11A0"/>
    <w:rsid w:val="002D1262"/>
    <w:rsid w:val="002D1A85"/>
    <w:rsid w:val="002D1CA4"/>
    <w:rsid w:val="002D1D27"/>
    <w:rsid w:val="002D1F29"/>
    <w:rsid w:val="002D1F7D"/>
    <w:rsid w:val="002D2000"/>
    <w:rsid w:val="002D2303"/>
    <w:rsid w:val="002D234D"/>
    <w:rsid w:val="002D265A"/>
    <w:rsid w:val="002D2723"/>
    <w:rsid w:val="002D28EA"/>
    <w:rsid w:val="002D2B85"/>
    <w:rsid w:val="002D2CF6"/>
    <w:rsid w:val="002D3152"/>
    <w:rsid w:val="002D3280"/>
    <w:rsid w:val="002D335E"/>
    <w:rsid w:val="002D3394"/>
    <w:rsid w:val="002D33C4"/>
    <w:rsid w:val="002D340A"/>
    <w:rsid w:val="002D35B3"/>
    <w:rsid w:val="002D362E"/>
    <w:rsid w:val="002D3747"/>
    <w:rsid w:val="002D374A"/>
    <w:rsid w:val="002D3C0D"/>
    <w:rsid w:val="002D3CC6"/>
    <w:rsid w:val="002D3D08"/>
    <w:rsid w:val="002D3E7F"/>
    <w:rsid w:val="002D3EB3"/>
    <w:rsid w:val="002D3EE7"/>
    <w:rsid w:val="002D40C3"/>
    <w:rsid w:val="002D4266"/>
    <w:rsid w:val="002D465E"/>
    <w:rsid w:val="002D495C"/>
    <w:rsid w:val="002D4B25"/>
    <w:rsid w:val="002D4B4D"/>
    <w:rsid w:val="002D4C4B"/>
    <w:rsid w:val="002D4C66"/>
    <w:rsid w:val="002D4EA0"/>
    <w:rsid w:val="002D4F2B"/>
    <w:rsid w:val="002D517B"/>
    <w:rsid w:val="002D52A1"/>
    <w:rsid w:val="002D52E0"/>
    <w:rsid w:val="002D533B"/>
    <w:rsid w:val="002D5398"/>
    <w:rsid w:val="002D543A"/>
    <w:rsid w:val="002D5564"/>
    <w:rsid w:val="002D5748"/>
    <w:rsid w:val="002D5752"/>
    <w:rsid w:val="002D59C7"/>
    <w:rsid w:val="002D5C7A"/>
    <w:rsid w:val="002D5E92"/>
    <w:rsid w:val="002D6052"/>
    <w:rsid w:val="002D60F4"/>
    <w:rsid w:val="002D620B"/>
    <w:rsid w:val="002D622E"/>
    <w:rsid w:val="002D62E5"/>
    <w:rsid w:val="002D635F"/>
    <w:rsid w:val="002D6995"/>
    <w:rsid w:val="002D6A80"/>
    <w:rsid w:val="002D6A8A"/>
    <w:rsid w:val="002D6B2E"/>
    <w:rsid w:val="002D6B77"/>
    <w:rsid w:val="002D70EE"/>
    <w:rsid w:val="002D7235"/>
    <w:rsid w:val="002D72F9"/>
    <w:rsid w:val="002D7424"/>
    <w:rsid w:val="002D783A"/>
    <w:rsid w:val="002D7BAD"/>
    <w:rsid w:val="002D7C54"/>
    <w:rsid w:val="002D7E69"/>
    <w:rsid w:val="002D7FF7"/>
    <w:rsid w:val="002E020B"/>
    <w:rsid w:val="002E02F9"/>
    <w:rsid w:val="002E0718"/>
    <w:rsid w:val="002E0803"/>
    <w:rsid w:val="002E0874"/>
    <w:rsid w:val="002E09D7"/>
    <w:rsid w:val="002E0AEA"/>
    <w:rsid w:val="002E0B2A"/>
    <w:rsid w:val="002E10A0"/>
    <w:rsid w:val="002E1313"/>
    <w:rsid w:val="002E172E"/>
    <w:rsid w:val="002E1943"/>
    <w:rsid w:val="002E1D96"/>
    <w:rsid w:val="002E1EE5"/>
    <w:rsid w:val="002E1FCA"/>
    <w:rsid w:val="002E2376"/>
    <w:rsid w:val="002E252A"/>
    <w:rsid w:val="002E25A6"/>
    <w:rsid w:val="002E2EEC"/>
    <w:rsid w:val="002E2FDA"/>
    <w:rsid w:val="002E3002"/>
    <w:rsid w:val="002E32F6"/>
    <w:rsid w:val="002E3913"/>
    <w:rsid w:val="002E3926"/>
    <w:rsid w:val="002E39C5"/>
    <w:rsid w:val="002E39F9"/>
    <w:rsid w:val="002E3B45"/>
    <w:rsid w:val="002E3B56"/>
    <w:rsid w:val="002E3DB7"/>
    <w:rsid w:val="002E3F38"/>
    <w:rsid w:val="002E40BB"/>
    <w:rsid w:val="002E40CD"/>
    <w:rsid w:val="002E43E6"/>
    <w:rsid w:val="002E44A8"/>
    <w:rsid w:val="002E45DE"/>
    <w:rsid w:val="002E4605"/>
    <w:rsid w:val="002E4D04"/>
    <w:rsid w:val="002E4EB2"/>
    <w:rsid w:val="002E5067"/>
    <w:rsid w:val="002E50C1"/>
    <w:rsid w:val="002E5537"/>
    <w:rsid w:val="002E5672"/>
    <w:rsid w:val="002E580A"/>
    <w:rsid w:val="002E5A95"/>
    <w:rsid w:val="002E5AB7"/>
    <w:rsid w:val="002E5D54"/>
    <w:rsid w:val="002E5DBC"/>
    <w:rsid w:val="002E5F1E"/>
    <w:rsid w:val="002E608F"/>
    <w:rsid w:val="002E6119"/>
    <w:rsid w:val="002E629B"/>
    <w:rsid w:val="002E62AC"/>
    <w:rsid w:val="002E6745"/>
    <w:rsid w:val="002E6937"/>
    <w:rsid w:val="002E693E"/>
    <w:rsid w:val="002E6A47"/>
    <w:rsid w:val="002E6D6C"/>
    <w:rsid w:val="002E7384"/>
    <w:rsid w:val="002E76CD"/>
    <w:rsid w:val="002E773A"/>
    <w:rsid w:val="002E78EA"/>
    <w:rsid w:val="002E7CAF"/>
    <w:rsid w:val="002E7CFC"/>
    <w:rsid w:val="002E7DDE"/>
    <w:rsid w:val="002E7DE8"/>
    <w:rsid w:val="002E7EA2"/>
    <w:rsid w:val="002F0246"/>
    <w:rsid w:val="002F0365"/>
    <w:rsid w:val="002F0601"/>
    <w:rsid w:val="002F0626"/>
    <w:rsid w:val="002F0657"/>
    <w:rsid w:val="002F09D4"/>
    <w:rsid w:val="002F0AA4"/>
    <w:rsid w:val="002F0C2B"/>
    <w:rsid w:val="002F0D74"/>
    <w:rsid w:val="002F0DD1"/>
    <w:rsid w:val="002F0FEF"/>
    <w:rsid w:val="002F1001"/>
    <w:rsid w:val="002F10A2"/>
    <w:rsid w:val="002F1305"/>
    <w:rsid w:val="002F13C7"/>
    <w:rsid w:val="002F14EF"/>
    <w:rsid w:val="002F172A"/>
    <w:rsid w:val="002F1B43"/>
    <w:rsid w:val="002F1CA5"/>
    <w:rsid w:val="002F1D0E"/>
    <w:rsid w:val="002F1DF3"/>
    <w:rsid w:val="002F1E7C"/>
    <w:rsid w:val="002F1EC3"/>
    <w:rsid w:val="002F236D"/>
    <w:rsid w:val="002F2417"/>
    <w:rsid w:val="002F25B8"/>
    <w:rsid w:val="002F25E1"/>
    <w:rsid w:val="002F2667"/>
    <w:rsid w:val="002F2684"/>
    <w:rsid w:val="002F2856"/>
    <w:rsid w:val="002F2A6F"/>
    <w:rsid w:val="002F2A96"/>
    <w:rsid w:val="002F2AB0"/>
    <w:rsid w:val="002F2D39"/>
    <w:rsid w:val="002F2DB8"/>
    <w:rsid w:val="002F2E07"/>
    <w:rsid w:val="002F2E7E"/>
    <w:rsid w:val="002F32AE"/>
    <w:rsid w:val="002F3489"/>
    <w:rsid w:val="002F34A2"/>
    <w:rsid w:val="002F407F"/>
    <w:rsid w:val="002F4101"/>
    <w:rsid w:val="002F41B7"/>
    <w:rsid w:val="002F4214"/>
    <w:rsid w:val="002F434C"/>
    <w:rsid w:val="002F456A"/>
    <w:rsid w:val="002F486B"/>
    <w:rsid w:val="002F4A94"/>
    <w:rsid w:val="002F4BBE"/>
    <w:rsid w:val="002F4BC3"/>
    <w:rsid w:val="002F4EE3"/>
    <w:rsid w:val="002F5064"/>
    <w:rsid w:val="002F51F5"/>
    <w:rsid w:val="002F5340"/>
    <w:rsid w:val="002F5443"/>
    <w:rsid w:val="002F5548"/>
    <w:rsid w:val="002F56D8"/>
    <w:rsid w:val="002F57BD"/>
    <w:rsid w:val="002F57D6"/>
    <w:rsid w:val="002F5867"/>
    <w:rsid w:val="002F5943"/>
    <w:rsid w:val="002F594F"/>
    <w:rsid w:val="002F5CB3"/>
    <w:rsid w:val="002F5EAD"/>
    <w:rsid w:val="002F60F3"/>
    <w:rsid w:val="002F67E2"/>
    <w:rsid w:val="002F67F5"/>
    <w:rsid w:val="002F6934"/>
    <w:rsid w:val="002F6BA5"/>
    <w:rsid w:val="002F6ED7"/>
    <w:rsid w:val="002F736C"/>
    <w:rsid w:val="002F743D"/>
    <w:rsid w:val="002F76C2"/>
    <w:rsid w:val="002F78EF"/>
    <w:rsid w:val="002F7B61"/>
    <w:rsid w:val="002F7BAC"/>
    <w:rsid w:val="002F7C89"/>
    <w:rsid w:val="002F7DED"/>
    <w:rsid w:val="002F7E71"/>
    <w:rsid w:val="00300096"/>
    <w:rsid w:val="00300145"/>
    <w:rsid w:val="0030014D"/>
    <w:rsid w:val="0030029C"/>
    <w:rsid w:val="0030061B"/>
    <w:rsid w:val="00300EC9"/>
    <w:rsid w:val="00300FCE"/>
    <w:rsid w:val="00300FF7"/>
    <w:rsid w:val="003013AF"/>
    <w:rsid w:val="00301503"/>
    <w:rsid w:val="003018BB"/>
    <w:rsid w:val="003019F7"/>
    <w:rsid w:val="00301A8F"/>
    <w:rsid w:val="00301C83"/>
    <w:rsid w:val="00301CCB"/>
    <w:rsid w:val="00301CF0"/>
    <w:rsid w:val="00301E61"/>
    <w:rsid w:val="003020C2"/>
    <w:rsid w:val="0030231B"/>
    <w:rsid w:val="00302434"/>
    <w:rsid w:val="00302490"/>
    <w:rsid w:val="003024F9"/>
    <w:rsid w:val="0030266A"/>
    <w:rsid w:val="003026C1"/>
    <w:rsid w:val="00302A17"/>
    <w:rsid w:val="00302AAF"/>
    <w:rsid w:val="00302AE0"/>
    <w:rsid w:val="00302BAE"/>
    <w:rsid w:val="00302CEA"/>
    <w:rsid w:val="00302F19"/>
    <w:rsid w:val="00302F4C"/>
    <w:rsid w:val="00303086"/>
    <w:rsid w:val="003032EF"/>
    <w:rsid w:val="00303325"/>
    <w:rsid w:val="003034A1"/>
    <w:rsid w:val="003037EF"/>
    <w:rsid w:val="00303829"/>
    <w:rsid w:val="003038A2"/>
    <w:rsid w:val="003038A6"/>
    <w:rsid w:val="00303A17"/>
    <w:rsid w:val="00303AE0"/>
    <w:rsid w:val="00303F0D"/>
    <w:rsid w:val="00303F8D"/>
    <w:rsid w:val="0030402E"/>
    <w:rsid w:val="00304113"/>
    <w:rsid w:val="0030413E"/>
    <w:rsid w:val="00304523"/>
    <w:rsid w:val="003045B3"/>
    <w:rsid w:val="0030486A"/>
    <w:rsid w:val="00304AE9"/>
    <w:rsid w:val="00304AF2"/>
    <w:rsid w:val="00304C2D"/>
    <w:rsid w:val="00304E03"/>
    <w:rsid w:val="00305334"/>
    <w:rsid w:val="003054B5"/>
    <w:rsid w:val="003055DD"/>
    <w:rsid w:val="003056C5"/>
    <w:rsid w:val="00305897"/>
    <w:rsid w:val="00305A05"/>
    <w:rsid w:val="00305A40"/>
    <w:rsid w:val="00305ACB"/>
    <w:rsid w:val="00305B7B"/>
    <w:rsid w:val="00305BD0"/>
    <w:rsid w:val="00305CCB"/>
    <w:rsid w:val="00305CDF"/>
    <w:rsid w:val="00305D57"/>
    <w:rsid w:val="00305DAB"/>
    <w:rsid w:val="00305DE2"/>
    <w:rsid w:val="00306040"/>
    <w:rsid w:val="00306284"/>
    <w:rsid w:val="0030628A"/>
    <w:rsid w:val="003064AB"/>
    <w:rsid w:val="0030673B"/>
    <w:rsid w:val="0030690B"/>
    <w:rsid w:val="00306B71"/>
    <w:rsid w:val="00306BD4"/>
    <w:rsid w:val="00306CB3"/>
    <w:rsid w:val="00306D76"/>
    <w:rsid w:val="00306EC7"/>
    <w:rsid w:val="00306F27"/>
    <w:rsid w:val="00306F2B"/>
    <w:rsid w:val="00306F5F"/>
    <w:rsid w:val="00306FD4"/>
    <w:rsid w:val="00307165"/>
    <w:rsid w:val="00307494"/>
    <w:rsid w:val="00307514"/>
    <w:rsid w:val="003079CA"/>
    <w:rsid w:val="00307ABB"/>
    <w:rsid w:val="00307AFA"/>
    <w:rsid w:val="00307BA1"/>
    <w:rsid w:val="00307C9D"/>
    <w:rsid w:val="00307F52"/>
    <w:rsid w:val="00310266"/>
    <w:rsid w:val="003102B0"/>
    <w:rsid w:val="0031064D"/>
    <w:rsid w:val="00310694"/>
    <w:rsid w:val="003107C4"/>
    <w:rsid w:val="00310878"/>
    <w:rsid w:val="003108D1"/>
    <w:rsid w:val="0031093A"/>
    <w:rsid w:val="003109FF"/>
    <w:rsid w:val="00310A3C"/>
    <w:rsid w:val="00310C5C"/>
    <w:rsid w:val="00310D87"/>
    <w:rsid w:val="00310DCD"/>
    <w:rsid w:val="00310E10"/>
    <w:rsid w:val="00310F25"/>
    <w:rsid w:val="00310F8F"/>
    <w:rsid w:val="00311040"/>
    <w:rsid w:val="003111EB"/>
    <w:rsid w:val="0031130E"/>
    <w:rsid w:val="0031142F"/>
    <w:rsid w:val="00311805"/>
    <w:rsid w:val="00311A67"/>
    <w:rsid w:val="00311AD9"/>
    <w:rsid w:val="00311D10"/>
    <w:rsid w:val="00312285"/>
    <w:rsid w:val="0031234F"/>
    <w:rsid w:val="003126D2"/>
    <w:rsid w:val="003127C2"/>
    <w:rsid w:val="0031285E"/>
    <w:rsid w:val="0031291C"/>
    <w:rsid w:val="00312AC2"/>
    <w:rsid w:val="00312EE3"/>
    <w:rsid w:val="003131FC"/>
    <w:rsid w:val="00313498"/>
    <w:rsid w:val="00313578"/>
    <w:rsid w:val="0031359B"/>
    <w:rsid w:val="0031374A"/>
    <w:rsid w:val="0031380B"/>
    <w:rsid w:val="003138BE"/>
    <w:rsid w:val="00313AB3"/>
    <w:rsid w:val="00313AEA"/>
    <w:rsid w:val="00313F8A"/>
    <w:rsid w:val="0031403F"/>
    <w:rsid w:val="0031408D"/>
    <w:rsid w:val="003140E9"/>
    <w:rsid w:val="0031414E"/>
    <w:rsid w:val="0031423A"/>
    <w:rsid w:val="003142A7"/>
    <w:rsid w:val="00314460"/>
    <w:rsid w:val="00314549"/>
    <w:rsid w:val="00314907"/>
    <w:rsid w:val="00314AD5"/>
    <w:rsid w:val="00314B3C"/>
    <w:rsid w:val="00314D31"/>
    <w:rsid w:val="00314E53"/>
    <w:rsid w:val="00314F4E"/>
    <w:rsid w:val="00314FCD"/>
    <w:rsid w:val="0031502E"/>
    <w:rsid w:val="003150DE"/>
    <w:rsid w:val="00315223"/>
    <w:rsid w:val="00315365"/>
    <w:rsid w:val="00315741"/>
    <w:rsid w:val="00315833"/>
    <w:rsid w:val="00315842"/>
    <w:rsid w:val="00315880"/>
    <w:rsid w:val="00315977"/>
    <w:rsid w:val="00315C4C"/>
    <w:rsid w:val="00315DB8"/>
    <w:rsid w:val="00315F2D"/>
    <w:rsid w:val="00315FE0"/>
    <w:rsid w:val="00316278"/>
    <w:rsid w:val="00316414"/>
    <w:rsid w:val="00316790"/>
    <w:rsid w:val="00316802"/>
    <w:rsid w:val="003168CE"/>
    <w:rsid w:val="00316930"/>
    <w:rsid w:val="00316983"/>
    <w:rsid w:val="00316C56"/>
    <w:rsid w:val="003170AC"/>
    <w:rsid w:val="003174C2"/>
    <w:rsid w:val="00317509"/>
    <w:rsid w:val="0031754D"/>
    <w:rsid w:val="00317606"/>
    <w:rsid w:val="0031764B"/>
    <w:rsid w:val="00317655"/>
    <w:rsid w:val="00317741"/>
    <w:rsid w:val="00317767"/>
    <w:rsid w:val="00317BC1"/>
    <w:rsid w:val="00317CD4"/>
    <w:rsid w:val="00317D79"/>
    <w:rsid w:val="00317EC6"/>
    <w:rsid w:val="0032011F"/>
    <w:rsid w:val="003202B2"/>
    <w:rsid w:val="003204A0"/>
    <w:rsid w:val="003206D0"/>
    <w:rsid w:val="0032081E"/>
    <w:rsid w:val="00320864"/>
    <w:rsid w:val="003208ED"/>
    <w:rsid w:val="00320D59"/>
    <w:rsid w:val="00320EA2"/>
    <w:rsid w:val="00320EB9"/>
    <w:rsid w:val="00321094"/>
    <w:rsid w:val="00321144"/>
    <w:rsid w:val="003211CB"/>
    <w:rsid w:val="0032128B"/>
    <w:rsid w:val="0032135D"/>
    <w:rsid w:val="003214F6"/>
    <w:rsid w:val="00321521"/>
    <w:rsid w:val="00321634"/>
    <w:rsid w:val="0032167A"/>
    <w:rsid w:val="00321BC8"/>
    <w:rsid w:val="00321CE5"/>
    <w:rsid w:val="00321EDA"/>
    <w:rsid w:val="00321FA4"/>
    <w:rsid w:val="00322128"/>
    <w:rsid w:val="003221D3"/>
    <w:rsid w:val="003226B4"/>
    <w:rsid w:val="00322705"/>
    <w:rsid w:val="0032275F"/>
    <w:rsid w:val="0032288F"/>
    <w:rsid w:val="00322BCA"/>
    <w:rsid w:val="00322C07"/>
    <w:rsid w:val="00323131"/>
    <w:rsid w:val="003233C5"/>
    <w:rsid w:val="0032341B"/>
    <w:rsid w:val="00323772"/>
    <w:rsid w:val="00323956"/>
    <w:rsid w:val="00323D04"/>
    <w:rsid w:val="00323D6A"/>
    <w:rsid w:val="00323E63"/>
    <w:rsid w:val="00323F3B"/>
    <w:rsid w:val="00323F60"/>
    <w:rsid w:val="00324602"/>
    <w:rsid w:val="00324794"/>
    <w:rsid w:val="00324952"/>
    <w:rsid w:val="00324B05"/>
    <w:rsid w:val="00324B3B"/>
    <w:rsid w:val="00324FD7"/>
    <w:rsid w:val="003251ED"/>
    <w:rsid w:val="00325280"/>
    <w:rsid w:val="00325369"/>
    <w:rsid w:val="0032555A"/>
    <w:rsid w:val="0032561A"/>
    <w:rsid w:val="00325A5C"/>
    <w:rsid w:val="00325C3F"/>
    <w:rsid w:val="00325D4D"/>
    <w:rsid w:val="00325F2E"/>
    <w:rsid w:val="003264EC"/>
    <w:rsid w:val="0032668C"/>
    <w:rsid w:val="0032690D"/>
    <w:rsid w:val="00326A3B"/>
    <w:rsid w:val="00326C88"/>
    <w:rsid w:val="00326EC7"/>
    <w:rsid w:val="00327401"/>
    <w:rsid w:val="00327B1C"/>
    <w:rsid w:val="00327B7A"/>
    <w:rsid w:val="003300DC"/>
    <w:rsid w:val="003300F1"/>
    <w:rsid w:val="00330466"/>
    <w:rsid w:val="003305CB"/>
    <w:rsid w:val="0033065B"/>
    <w:rsid w:val="003309EC"/>
    <w:rsid w:val="00330B31"/>
    <w:rsid w:val="00330C95"/>
    <w:rsid w:val="003310E6"/>
    <w:rsid w:val="00331119"/>
    <w:rsid w:val="003315AD"/>
    <w:rsid w:val="00331782"/>
    <w:rsid w:val="0033182A"/>
    <w:rsid w:val="00331831"/>
    <w:rsid w:val="00331B3C"/>
    <w:rsid w:val="00331BF9"/>
    <w:rsid w:val="00331C22"/>
    <w:rsid w:val="00331D7D"/>
    <w:rsid w:val="00331DAD"/>
    <w:rsid w:val="00332059"/>
    <w:rsid w:val="003321C3"/>
    <w:rsid w:val="00332219"/>
    <w:rsid w:val="003323E4"/>
    <w:rsid w:val="0033248E"/>
    <w:rsid w:val="003324B9"/>
    <w:rsid w:val="003324BC"/>
    <w:rsid w:val="00332576"/>
    <w:rsid w:val="00332666"/>
    <w:rsid w:val="00332870"/>
    <w:rsid w:val="00332A6F"/>
    <w:rsid w:val="00332BD6"/>
    <w:rsid w:val="00332D95"/>
    <w:rsid w:val="00332F1C"/>
    <w:rsid w:val="00332FAA"/>
    <w:rsid w:val="00332FDB"/>
    <w:rsid w:val="003331CB"/>
    <w:rsid w:val="0033323F"/>
    <w:rsid w:val="0033344A"/>
    <w:rsid w:val="003335FE"/>
    <w:rsid w:val="003338C8"/>
    <w:rsid w:val="003338E9"/>
    <w:rsid w:val="0033398A"/>
    <w:rsid w:val="003339AE"/>
    <w:rsid w:val="00333A23"/>
    <w:rsid w:val="00333AD9"/>
    <w:rsid w:val="00333BB8"/>
    <w:rsid w:val="00333E22"/>
    <w:rsid w:val="00333E3D"/>
    <w:rsid w:val="00333F5B"/>
    <w:rsid w:val="00334299"/>
    <w:rsid w:val="003342A6"/>
    <w:rsid w:val="00334358"/>
    <w:rsid w:val="0033444A"/>
    <w:rsid w:val="0033447A"/>
    <w:rsid w:val="003344B4"/>
    <w:rsid w:val="00334508"/>
    <w:rsid w:val="0033452A"/>
    <w:rsid w:val="0033466A"/>
    <w:rsid w:val="003349D8"/>
    <w:rsid w:val="003356B5"/>
    <w:rsid w:val="003356F7"/>
    <w:rsid w:val="003357DC"/>
    <w:rsid w:val="00335839"/>
    <w:rsid w:val="00335914"/>
    <w:rsid w:val="00335C45"/>
    <w:rsid w:val="00335E1D"/>
    <w:rsid w:val="00335E69"/>
    <w:rsid w:val="00336033"/>
    <w:rsid w:val="003360A1"/>
    <w:rsid w:val="0033620F"/>
    <w:rsid w:val="00336226"/>
    <w:rsid w:val="0033627F"/>
    <w:rsid w:val="003362D1"/>
    <w:rsid w:val="003362EA"/>
    <w:rsid w:val="003368E0"/>
    <w:rsid w:val="00336921"/>
    <w:rsid w:val="0033698D"/>
    <w:rsid w:val="00336C62"/>
    <w:rsid w:val="00336C91"/>
    <w:rsid w:val="00336CCB"/>
    <w:rsid w:val="00336DA7"/>
    <w:rsid w:val="00336E27"/>
    <w:rsid w:val="00336F2F"/>
    <w:rsid w:val="003370E5"/>
    <w:rsid w:val="00337129"/>
    <w:rsid w:val="00337518"/>
    <w:rsid w:val="003376F7"/>
    <w:rsid w:val="00337832"/>
    <w:rsid w:val="003379B0"/>
    <w:rsid w:val="00337B31"/>
    <w:rsid w:val="00337C4B"/>
    <w:rsid w:val="00337CEA"/>
    <w:rsid w:val="003400FE"/>
    <w:rsid w:val="003401E7"/>
    <w:rsid w:val="0034046A"/>
    <w:rsid w:val="00340A33"/>
    <w:rsid w:val="00340A62"/>
    <w:rsid w:val="00340A8B"/>
    <w:rsid w:val="00340A9C"/>
    <w:rsid w:val="00340AC4"/>
    <w:rsid w:val="00340B31"/>
    <w:rsid w:val="00340C65"/>
    <w:rsid w:val="00340CF4"/>
    <w:rsid w:val="00340D31"/>
    <w:rsid w:val="00341061"/>
    <w:rsid w:val="00341117"/>
    <w:rsid w:val="0034131D"/>
    <w:rsid w:val="003413CF"/>
    <w:rsid w:val="00341465"/>
    <w:rsid w:val="003414C8"/>
    <w:rsid w:val="00341DD1"/>
    <w:rsid w:val="00341DE9"/>
    <w:rsid w:val="00341EDE"/>
    <w:rsid w:val="00341FB5"/>
    <w:rsid w:val="00341FF8"/>
    <w:rsid w:val="00342001"/>
    <w:rsid w:val="00342186"/>
    <w:rsid w:val="00342269"/>
    <w:rsid w:val="003423D8"/>
    <w:rsid w:val="0034251F"/>
    <w:rsid w:val="00342572"/>
    <w:rsid w:val="003426CB"/>
    <w:rsid w:val="00342746"/>
    <w:rsid w:val="003427AE"/>
    <w:rsid w:val="00342837"/>
    <w:rsid w:val="003428BE"/>
    <w:rsid w:val="003429F1"/>
    <w:rsid w:val="00342A8B"/>
    <w:rsid w:val="00342F0F"/>
    <w:rsid w:val="00342F8E"/>
    <w:rsid w:val="00342FF7"/>
    <w:rsid w:val="0034305F"/>
    <w:rsid w:val="003430E6"/>
    <w:rsid w:val="003430FC"/>
    <w:rsid w:val="003431B3"/>
    <w:rsid w:val="003431F5"/>
    <w:rsid w:val="003433C9"/>
    <w:rsid w:val="00343424"/>
    <w:rsid w:val="00343526"/>
    <w:rsid w:val="0034381D"/>
    <w:rsid w:val="003438D3"/>
    <w:rsid w:val="00343978"/>
    <w:rsid w:val="003439C2"/>
    <w:rsid w:val="00343B65"/>
    <w:rsid w:val="00343BDA"/>
    <w:rsid w:val="00343C7B"/>
    <w:rsid w:val="00343E3D"/>
    <w:rsid w:val="00343F96"/>
    <w:rsid w:val="003441BA"/>
    <w:rsid w:val="003442B9"/>
    <w:rsid w:val="0034430D"/>
    <w:rsid w:val="00344498"/>
    <w:rsid w:val="00344567"/>
    <w:rsid w:val="0034476A"/>
    <w:rsid w:val="003449FB"/>
    <w:rsid w:val="00344B82"/>
    <w:rsid w:val="00344FF7"/>
    <w:rsid w:val="003450BC"/>
    <w:rsid w:val="00345205"/>
    <w:rsid w:val="00345266"/>
    <w:rsid w:val="0034541D"/>
    <w:rsid w:val="00345585"/>
    <w:rsid w:val="003457EE"/>
    <w:rsid w:val="00345926"/>
    <w:rsid w:val="00345A7D"/>
    <w:rsid w:val="00345D13"/>
    <w:rsid w:val="00345FE0"/>
    <w:rsid w:val="00346032"/>
    <w:rsid w:val="003461D1"/>
    <w:rsid w:val="003461E5"/>
    <w:rsid w:val="003461E9"/>
    <w:rsid w:val="00346200"/>
    <w:rsid w:val="00346438"/>
    <w:rsid w:val="003468AB"/>
    <w:rsid w:val="00346942"/>
    <w:rsid w:val="0034695B"/>
    <w:rsid w:val="00346B13"/>
    <w:rsid w:val="00346B44"/>
    <w:rsid w:val="00347069"/>
    <w:rsid w:val="003472DA"/>
    <w:rsid w:val="00347396"/>
    <w:rsid w:val="00347470"/>
    <w:rsid w:val="00347A8B"/>
    <w:rsid w:val="00347A9F"/>
    <w:rsid w:val="00347AB2"/>
    <w:rsid w:val="00347BE5"/>
    <w:rsid w:val="00347D25"/>
    <w:rsid w:val="00347DF0"/>
    <w:rsid w:val="00347EB7"/>
    <w:rsid w:val="00347EC0"/>
    <w:rsid w:val="00350128"/>
    <w:rsid w:val="003501E2"/>
    <w:rsid w:val="00350224"/>
    <w:rsid w:val="0035024D"/>
    <w:rsid w:val="00350614"/>
    <w:rsid w:val="003506B6"/>
    <w:rsid w:val="003507F2"/>
    <w:rsid w:val="003509D3"/>
    <w:rsid w:val="003509EB"/>
    <w:rsid w:val="00350C96"/>
    <w:rsid w:val="003511F8"/>
    <w:rsid w:val="003512D7"/>
    <w:rsid w:val="0035131F"/>
    <w:rsid w:val="00351379"/>
    <w:rsid w:val="003513A9"/>
    <w:rsid w:val="00351415"/>
    <w:rsid w:val="0035160B"/>
    <w:rsid w:val="003517D8"/>
    <w:rsid w:val="003518BC"/>
    <w:rsid w:val="00351C94"/>
    <w:rsid w:val="00351CBE"/>
    <w:rsid w:val="00351DD5"/>
    <w:rsid w:val="00351FE4"/>
    <w:rsid w:val="003521B8"/>
    <w:rsid w:val="0035244E"/>
    <w:rsid w:val="00352580"/>
    <w:rsid w:val="00352A6A"/>
    <w:rsid w:val="00352B58"/>
    <w:rsid w:val="00352F89"/>
    <w:rsid w:val="00352FA9"/>
    <w:rsid w:val="00353173"/>
    <w:rsid w:val="0035338B"/>
    <w:rsid w:val="003534C6"/>
    <w:rsid w:val="00353604"/>
    <w:rsid w:val="00353706"/>
    <w:rsid w:val="00353774"/>
    <w:rsid w:val="00353B0F"/>
    <w:rsid w:val="00354277"/>
    <w:rsid w:val="00354291"/>
    <w:rsid w:val="003545E6"/>
    <w:rsid w:val="00354A18"/>
    <w:rsid w:val="00354A2B"/>
    <w:rsid w:val="00354D34"/>
    <w:rsid w:val="00354D82"/>
    <w:rsid w:val="00354FC6"/>
    <w:rsid w:val="003553EE"/>
    <w:rsid w:val="0035574B"/>
    <w:rsid w:val="00355856"/>
    <w:rsid w:val="00355B40"/>
    <w:rsid w:val="00355EE4"/>
    <w:rsid w:val="00355FFF"/>
    <w:rsid w:val="00356228"/>
    <w:rsid w:val="003563DC"/>
    <w:rsid w:val="0035650D"/>
    <w:rsid w:val="00356570"/>
    <w:rsid w:val="003566B5"/>
    <w:rsid w:val="00356855"/>
    <w:rsid w:val="0035687D"/>
    <w:rsid w:val="00356A97"/>
    <w:rsid w:val="00356CEF"/>
    <w:rsid w:val="00356ED3"/>
    <w:rsid w:val="00357153"/>
    <w:rsid w:val="003571B9"/>
    <w:rsid w:val="003571D0"/>
    <w:rsid w:val="0035746B"/>
    <w:rsid w:val="003575C0"/>
    <w:rsid w:val="0035767E"/>
    <w:rsid w:val="0035794D"/>
    <w:rsid w:val="00357A47"/>
    <w:rsid w:val="00357C5C"/>
    <w:rsid w:val="00357E07"/>
    <w:rsid w:val="00360017"/>
    <w:rsid w:val="003603C4"/>
    <w:rsid w:val="00360605"/>
    <w:rsid w:val="003606FC"/>
    <w:rsid w:val="003607BB"/>
    <w:rsid w:val="003608AE"/>
    <w:rsid w:val="00360997"/>
    <w:rsid w:val="00360A54"/>
    <w:rsid w:val="00360E0B"/>
    <w:rsid w:val="003610CA"/>
    <w:rsid w:val="003610E3"/>
    <w:rsid w:val="003610F2"/>
    <w:rsid w:val="003612A0"/>
    <w:rsid w:val="00361331"/>
    <w:rsid w:val="00361674"/>
    <w:rsid w:val="003619EE"/>
    <w:rsid w:val="00361CA8"/>
    <w:rsid w:val="00361CB3"/>
    <w:rsid w:val="00361DDC"/>
    <w:rsid w:val="00361E5E"/>
    <w:rsid w:val="00362095"/>
    <w:rsid w:val="00362421"/>
    <w:rsid w:val="00362493"/>
    <w:rsid w:val="003624DF"/>
    <w:rsid w:val="00362798"/>
    <w:rsid w:val="003627CD"/>
    <w:rsid w:val="0036293D"/>
    <w:rsid w:val="003629D4"/>
    <w:rsid w:val="00362AB6"/>
    <w:rsid w:val="00362BA0"/>
    <w:rsid w:val="00362BF3"/>
    <w:rsid w:val="00362C42"/>
    <w:rsid w:val="00362D00"/>
    <w:rsid w:val="00362D03"/>
    <w:rsid w:val="00362DA1"/>
    <w:rsid w:val="00362FEE"/>
    <w:rsid w:val="00363264"/>
    <w:rsid w:val="00363364"/>
    <w:rsid w:val="003634AC"/>
    <w:rsid w:val="003639C7"/>
    <w:rsid w:val="00363B6B"/>
    <w:rsid w:val="00363E17"/>
    <w:rsid w:val="00363F56"/>
    <w:rsid w:val="0036408E"/>
    <w:rsid w:val="00364178"/>
    <w:rsid w:val="00364294"/>
    <w:rsid w:val="0036436B"/>
    <w:rsid w:val="003643C3"/>
    <w:rsid w:val="0036447B"/>
    <w:rsid w:val="00364562"/>
    <w:rsid w:val="003645D9"/>
    <w:rsid w:val="003646CD"/>
    <w:rsid w:val="0036475F"/>
    <w:rsid w:val="003647B3"/>
    <w:rsid w:val="00364935"/>
    <w:rsid w:val="0036493A"/>
    <w:rsid w:val="00364B47"/>
    <w:rsid w:val="00364D6C"/>
    <w:rsid w:val="00364F55"/>
    <w:rsid w:val="00364F81"/>
    <w:rsid w:val="00365199"/>
    <w:rsid w:val="003652AF"/>
    <w:rsid w:val="003653CB"/>
    <w:rsid w:val="00365452"/>
    <w:rsid w:val="0036556C"/>
    <w:rsid w:val="003656EA"/>
    <w:rsid w:val="00365760"/>
    <w:rsid w:val="00365A3E"/>
    <w:rsid w:val="00365AE1"/>
    <w:rsid w:val="00365C66"/>
    <w:rsid w:val="00365D55"/>
    <w:rsid w:val="00365DC6"/>
    <w:rsid w:val="00365EBF"/>
    <w:rsid w:val="00365F1F"/>
    <w:rsid w:val="00366112"/>
    <w:rsid w:val="0036622D"/>
    <w:rsid w:val="003663D3"/>
    <w:rsid w:val="00366569"/>
    <w:rsid w:val="00366AC8"/>
    <w:rsid w:val="00366CD3"/>
    <w:rsid w:val="00366D9E"/>
    <w:rsid w:val="00366F51"/>
    <w:rsid w:val="0036701A"/>
    <w:rsid w:val="0036754D"/>
    <w:rsid w:val="00367567"/>
    <w:rsid w:val="003675A6"/>
    <w:rsid w:val="00367789"/>
    <w:rsid w:val="00367819"/>
    <w:rsid w:val="00367863"/>
    <w:rsid w:val="00367B04"/>
    <w:rsid w:val="00367D28"/>
    <w:rsid w:val="00367DF2"/>
    <w:rsid w:val="0037009F"/>
    <w:rsid w:val="00370332"/>
    <w:rsid w:val="0037055A"/>
    <w:rsid w:val="00370663"/>
    <w:rsid w:val="00370676"/>
    <w:rsid w:val="00370EAD"/>
    <w:rsid w:val="00370ED7"/>
    <w:rsid w:val="003712AA"/>
    <w:rsid w:val="003715D1"/>
    <w:rsid w:val="00371840"/>
    <w:rsid w:val="00371AD4"/>
    <w:rsid w:val="00371D72"/>
    <w:rsid w:val="00372070"/>
    <w:rsid w:val="00372187"/>
    <w:rsid w:val="00372296"/>
    <w:rsid w:val="00372592"/>
    <w:rsid w:val="00372599"/>
    <w:rsid w:val="003729D5"/>
    <w:rsid w:val="00372ADF"/>
    <w:rsid w:val="00372AF5"/>
    <w:rsid w:val="00372BDE"/>
    <w:rsid w:val="00372C65"/>
    <w:rsid w:val="003734F4"/>
    <w:rsid w:val="003735B1"/>
    <w:rsid w:val="003735C6"/>
    <w:rsid w:val="00373B6B"/>
    <w:rsid w:val="00373EA5"/>
    <w:rsid w:val="003741C3"/>
    <w:rsid w:val="003742F6"/>
    <w:rsid w:val="00374331"/>
    <w:rsid w:val="00374AE2"/>
    <w:rsid w:val="00374E87"/>
    <w:rsid w:val="00374F39"/>
    <w:rsid w:val="00375085"/>
    <w:rsid w:val="003752C4"/>
    <w:rsid w:val="0037562D"/>
    <w:rsid w:val="00375687"/>
    <w:rsid w:val="00375702"/>
    <w:rsid w:val="00375884"/>
    <w:rsid w:val="00375B5D"/>
    <w:rsid w:val="00375C51"/>
    <w:rsid w:val="00375F01"/>
    <w:rsid w:val="00375F47"/>
    <w:rsid w:val="003761AB"/>
    <w:rsid w:val="00376288"/>
    <w:rsid w:val="00376462"/>
    <w:rsid w:val="0037648C"/>
    <w:rsid w:val="003765EF"/>
    <w:rsid w:val="003767C2"/>
    <w:rsid w:val="00376878"/>
    <w:rsid w:val="00376A0E"/>
    <w:rsid w:val="00376D8E"/>
    <w:rsid w:val="00376E69"/>
    <w:rsid w:val="00376F8E"/>
    <w:rsid w:val="003770FF"/>
    <w:rsid w:val="003771AD"/>
    <w:rsid w:val="00377267"/>
    <w:rsid w:val="0037744D"/>
    <w:rsid w:val="00377519"/>
    <w:rsid w:val="0037761C"/>
    <w:rsid w:val="00377A08"/>
    <w:rsid w:val="00377AAB"/>
    <w:rsid w:val="00377CC8"/>
    <w:rsid w:val="00377E1A"/>
    <w:rsid w:val="00377E9B"/>
    <w:rsid w:val="00380109"/>
    <w:rsid w:val="00380149"/>
    <w:rsid w:val="003801B5"/>
    <w:rsid w:val="003802E5"/>
    <w:rsid w:val="00380369"/>
    <w:rsid w:val="0038039E"/>
    <w:rsid w:val="003803A5"/>
    <w:rsid w:val="003804F5"/>
    <w:rsid w:val="003804F7"/>
    <w:rsid w:val="0038055B"/>
    <w:rsid w:val="003808B2"/>
    <w:rsid w:val="0038097D"/>
    <w:rsid w:val="00380BCC"/>
    <w:rsid w:val="00380E2B"/>
    <w:rsid w:val="00380EAF"/>
    <w:rsid w:val="00380F82"/>
    <w:rsid w:val="00381041"/>
    <w:rsid w:val="00381118"/>
    <w:rsid w:val="00381130"/>
    <w:rsid w:val="00381325"/>
    <w:rsid w:val="00381660"/>
    <w:rsid w:val="00381690"/>
    <w:rsid w:val="00381881"/>
    <w:rsid w:val="00381ACF"/>
    <w:rsid w:val="00381AD4"/>
    <w:rsid w:val="00381D11"/>
    <w:rsid w:val="00381D61"/>
    <w:rsid w:val="00381D6B"/>
    <w:rsid w:val="00381E59"/>
    <w:rsid w:val="00381F7C"/>
    <w:rsid w:val="00381FD2"/>
    <w:rsid w:val="00382035"/>
    <w:rsid w:val="00382351"/>
    <w:rsid w:val="00382656"/>
    <w:rsid w:val="00382979"/>
    <w:rsid w:val="00382A8C"/>
    <w:rsid w:val="00382DF7"/>
    <w:rsid w:val="00382E69"/>
    <w:rsid w:val="00383243"/>
    <w:rsid w:val="0038353C"/>
    <w:rsid w:val="0038362A"/>
    <w:rsid w:val="003836FE"/>
    <w:rsid w:val="0038381F"/>
    <w:rsid w:val="0038394A"/>
    <w:rsid w:val="00383B2F"/>
    <w:rsid w:val="00383C0C"/>
    <w:rsid w:val="00383D17"/>
    <w:rsid w:val="00383D69"/>
    <w:rsid w:val="00383DC9"/>
    <w:rsid w:val="00383F9F"/>
    <w:rsid w:val="003844C7"/>
    <w:rsid w:val="003845D7"/>
    <w:rsid w:val="00384867"/>
    <w:rsid w:val="003849BC"/>
    <w:rsid w:val="003849C1"/>
    <w:rsid w:val="00385055"/>
    <w:rsid w:val="00385119"/>
    <w:rsid w:val="003859E4"/>
    <w:rsid w:val="00385E06"/>
    <w:rsid w:val="0038629B"/>
    <w:rsid w:val="00386628"/>
    <w:rsid w:val="003866C7"/>
    <w:rsid w:val="003866D5"/>
    <w:rsid w:val="00386DE0"/>
    <w:rsid w:val="00386DEB"/>
    <w:rsid w:val="003875D7"/>
    <w:rsid w:val="00387812"/>
    <w:rsid w:val="0038785B"/>
    <w:rsid w:val="00387B4E"/>
    <w:rsid w:val="00387B77"/>
    <w:rsid w:val="00387C4F"/>
    <w:rsid w:val="00387F2F"/>
    <w:rsid w:val="00387F57"/>
    <w:rsid w:val="00387F92"/>
    <w:rsid w:val="003902C3"/>
    <w:rsid w:val="003902E2"/>
    <w:rsid w:val="003903DD"/>
    <w:rsid w:val="0039068C"/>
    <w:rsid w:val="00390BC9"/>
    <w:rsid w:val="0039101D"/>
    <w:rsid w:val="00391250"/>
    <w:rsid w:val="00391582"/>
    <w:rsid w:val="00391949"/>
    <w:rsid w:val="00391D06"/>
    <w:rsid w:val="00391EA2"/>
    <w:rsid w:val="00391F67"/>
    <w:rsid w:val="00392372"/>
    <w:rsid w:val="003924D8"/>
    <w:rsid w:val="003924F2"/>
    <w:rsid w:val="0039258E"/>
    <w:rsid w:val="00392BBC"/>
    <w:rsid w:val="00392C4F"/>
    <w:rsid w:val="00392DA6"/>
    <w:rsid w:val="003930A3"/>
    <w:rsid w:val="003931B6"/>
    <w:rsid w:val="003936F5"/>
    <w:rsid w:val="00393B2B"/>
    <w:rsid w:val="00393F20"/>
    <w:rsid w:val="00393F8B"/>
    <w:rsid w:val="003941C6"/>
    <w:rsid w:val="003941DA"/>
    <w:rsid w:val="00394206"/>
    <w:rsid w:val="003943F1"/>
    <w:rsid w:val="003947E1"/>
    <w:rsid w:val="00394803"/>
    <w:rsid w:val="003949EC"/>
    <w:rsid w:val="00394EC9"/>
    <w:rsid w:val="003952E7"/>
    <w:rsid w:val="0039539A"/>
    <w:rsid w:val="003954D1"/>
    <w:rsid w:val="003955D6"/>
    <w:rsid w:val="003955F1"/>
    <w:rsid w:val="003956DD"/>
    <w:rsid w:val="0039578E"/>
    <w:rsid w:val="00395922"/>
    <w:rsid w:val="00395CF4"/>
    <w:rsid w:val="00395D0C"/>
    <w:rsid w:val="003963C8"/>
    <w:rsid w:val="00396526"/>
    <w:rsid w:val="003965ED"/>
    <w:rsid w:val="0039669D"/>
    <w:rsid w:val="003968D8"/>
    <w:rsid w:val="003969B8"/>
    <w:rsid w:val="00396D9E"/>
    <w:rsid w:val="00396FB5"/>
    <w:rsid w:val="0039706A"/>
    <w:rsid w:val="0039722F"/>
    <w:rsid w:val="0039732B"/>
    <w:rsid w:val="003973C0"/>
    <w:rsid w:val="003973E3"/>
    <w:rsid w:val="003973F2"/>
    <w:rsid w:val="003974CC"/>
    <w:rsid w:val="003975BA"/>
    <w:rsid w:val="0039778A"/>
    <w:rsid w:val="00397854"/>
    <w:rsid w:val="00397924"/>
    <w:rsid w:val="00397C4C"/>
    <w:rsid w:val="00397E09"/>
    <w:rsid w:val="00397F5D"/>
    <w:rsid w:val="003A0039"/>
    <w:rsid w:val="003A0222"/>
    <w:rsid w:val="003A0560"/>
    <w:rsid w:val="003A07B9"/>
    <w:rsid w:val="003A0BD4"/>
    <w:rsid w:val="003A0CC3"/>
    <w:rsid w:val="003A0D9E"/>
    <w:rsid w:val="003A0F6D"/>
    <w:rsid w:val="003A102D"/>
    <w:rsid w:val="003A1359"/>
    <w:rsid w:val="003A13CE"/>
    <w:rsid w:val="003A148E"/>
    <w:rsid w:val="003A150C"/>
    <w:rsid w:val="003A1706"/>
    <w:rsid w:val="003A1ACC"/>
    <w:rsid w:val="003A1B3D"/>
    <w:rsid w:val="003A1D58"/>
    <w:rsid w:val="003A1EB2"/>
    <w:rsid w:val="003A211A"/>
    <w:rsid w:val="003A21C6"/>
    <w:rsid w:val="003A2392"/>
    <w:rsid w:val="003A23C4"/>
    <w:rsid w:val="003A259D"/>
    <w:rsid w:val="003A26CA"/>
    <w:rsid w:val="003A27BE"/>
    <w:rsid w:val="003A2866"/>
    <w:rsid w:val="003A28C2"/>
    <w:rsid w:val="003A2945"/>
    <w:rsid w:val="003A2967"/>
    <w:rsid w:val="003A29D4"/>
    <w:rsid w:val="003A2AD6"/>
    <w:rsid w:val="003A2B57"/>
    <w:rsid w:val="003A2C1C"/>
    <w:rsid w:val="003A2D41"/>
    <w:rsid w:val="003A2D8F"/>
    <w:rsid w:val="003A2E74"/>
    <w:rsid w:val="003A2FA8"/>
    <w:rsid w:val="003A312A"/>
    <w:rsid w:val="003A344F"/>
    <w:rsid w:val="003A34B0"/>
    <w:rsid w:val="003A3518"/>
    <w:rsid w:val="003A35A9"/>
    <w:rsid w:val="003A37C6"/>
    <w:rsid w:val="003A3C45"/>
    <w:rsid w:val="003A3CFD"/>
    <w:rsid w:val="003A3D6B"/>
    <w:rsid w:val="003A3FAB"/>
    <w:rsid w:val="003A3FAE"/>
    <w:rsid w:val="003A441D"/>
    <w:rsid w:val="003A4445"/>
    <w:rsid w:val="003A449C"/>
    <w:rsid w:val="003A4515"/>
    <w:rsid w:val="003A492F"/>
    <w:rsid w:val="003A4AF5"/>
    <w:rsid w:val="003A4B7E"/>
    <w:rsid w:val="003A4B8D"/>
    <w:rsid w:val="003A4BBE"/>
    <w:rsid w:val="003A4D73"/>
    <w:rsid w:val="003A4FD2"/>
    <w:rsid w:val="003A502F"/>
    <w:rsid w:val="003A512D"/>
    <w:rsid w:val="003A515D"/>
    <w:rsid w:val="003A52F2"/>
    <w:rsid w:val="003A5402"/>
    <w:rsid w:val="003A5463"/>
    <w:rsid w:val="003A5793"/>
    <w:rsid w:val="003A5D60"/>
    <w:rsid w:val="003A5DFE"/>
    <w:rsid w:val="003A5E71"/>
    <w:rsid w:val="003A6057"/>
    <w:rsid w:val="003A61BF"/>
    <w:rsid w:val="003A6520"/>
    <w:rsid w:val="003A6782"/>
    <w:rsid w:val="003A6B16"/>
    <w:rsid w:val="003A6B3B"/>
    <w:rsid w:val="003A6B8B"/>
    <w:rsid w:val="003A6C13"/>
    <w:rsid w:val="003A6C5F"/>
    <w:rsid w:val="003A6D23"/>
    <w:rsid w:val="003A6EFA"/>
    <w:rsid w:val="003A7056"/>
    <w:rsid w:val="003A70CB"/>
    <w:rsid w:val="003A70EF"/>
    <w:rsid w:val="003A7327"/>
    <w:rsid w:val="003A7556"/>
    <w:rsid w:val="003A7676"/>
    <w:rsid w:val="003A7786"/>
    <w:rsid w:val="003A7835"/>
    <w:rsid w:val="003A7985"/>
    <w:rsid w:val="003A7A5D"/>
    <w:rsid w:val="003B00C1"/>
    <w:rsid w:val="003B012F"/>
    <w:rsid w:val="003B0468"/>
    <w:rsid w:val="003B050E"/>
    <w:rsid w:val="003B05F6"/>
    <w:rsid w:val="003B0A31"/>
    <w:rsid w:val="003B0B18"/>
    <w:rsid w:val="003B0C11"/>
    <w:rsid w:val="003B0CC4"/>
    <w:rsid w:val="003B0DBD"/>
    <w:rsid w:val="003B0DD8"/>
    <w:rsid w:val="003B0DD9"/>
    <w:rsid w:val="003B0E8B"/>
    <w:rsid w:val="003B0ED2"/>
    <w:rsid w:val="003B0F20"/>
    <w:rsid w:val="003B101B"/>
    <w:rsid w:val="003B1024"/>
    <w:rsid w:val="003B109C"/>
    <w:rsid w:val="003B10FA"/>
    <w:rsid w:val="003B1317"/>
    <w:rsid w:val="003B134A"/>
    <w:rsid w:val="003B14CA"/>
    <w:rsid w:val="003B1514"/>
    <w:rsid w:val="003B17A9"/>
    <w:rsid w:val="003B19D4"/>
    <w:rsid w:val="003B1A96"/>
    <w:rsid w:val="003B1B84"/>
    <w:rsid w:val="003B1C73"/>
    <w:rsid w:val="003B1C8D"/>
    <w:rsid w:val="003B1CFB"/>
    <w:rsid w:val="003B2007"/>
    <w:rsid w:val="003B2034"/>
    <w:rsid w:val="003B254A"/>
    <w:rsid w:val="003B25E0"/>
    <w:rsid w:val="003B260B"/>
    <w:rsid w:val="003B2670"/>
    <w:rsid w:val="003B277B"/>
    <w:rsid w:val="003B287E"/>
    <w:rsid w:val="003B2A42"/>
    <w:rsid w:val="003B2B90"/>
    <w:rsid w:val="003B2BFB"/>
    <w:rsid w:val="003B2F11"/>
    <w:rsid w:val="003B2F2A"/>
    <w:rsid w:val="003B3130"/>
    <w:rsid w:val="003B31FD"/>
    <w:rsid w:val="003B3459"/>
    <w:rsid w:val="003B346D"/>
    <w:rsid w:val="003B3509"/>
    <w:rsid w:val="003B3671"/>
    <w:rsid w:val="003B3694"/>
    <w:rsid w:val="003B379E"/>
    <w:rsid w:val="003B37AD"/>
    <w:rsid w:val="003B37C0"/>
    <w:rsid w:val="003B38A4"/>
    <w:rsid w:val="003B39DC"/>
    <w:rsid w:val="003B39E2"/>
    <w:rsid w:val="003B3CB7"/>
    <w:rsid w:val="003B3CF2"/>
    <w:rsid w:val="003B3D20"/>
    <w:rsid w:val="003B3DA7"/>
    <w:rsid w:val="003B3FA2"/>
    <w:rsid w:val="003B3FB2"/>
    <w:rsid w:val="003B4098"/>
    <w:rsid w:val="003B40AF"/>
    <w:rsid w:val="003B4471"/>
    <w:rsid w:val="003B4480"/>
    <w:rsid w:val="003B44E7"/>
    <w:rsid w:val="003B46DC"/>
    <w:rsid w:val="003B4732"/>
    <w:rsid w:val="003B4AE2"/>
    <w:rsid w:val="003B4CCF"/>
    <w:rsid w:val="003B51D9"/>
    <w:rsid w:val="003B52C2"/>
    <w:rsid w:val="003B5398"/>
    <w:rsid w:val="003B54E3"/>
    <w:rsid w:val="003B58F0"/>
    <w:rsid w:val="003B5B3A"/>
    <w:rsid w:val="003B5E2F"/>
    <w:rsid w:val="003B6033"/>
    <w:rsid w:val="003B60B8"/>
    <w:rsid w:val="003B62C5"/>
    <w:rsid w:val="003B6301"/>
    <w:rsid w:val="003B6415"/>
    <w:rsid w:val="003B6460"/>
    <w:rsid w:val="003B64B2"/>
    <w:rsid w:val="003B66DA"/>
    <w:rsid w:val="003B69C8"/>
    <w:rsid w:val="003B69E9"/>
    <w:rsid w:val="003B6AFB"/>
    <w:rsid w:val="003B6C1F"/>
    <w:rsid w:val="003B6DDD"/>
    <w:rsid w:val="003B6E08"/>
    <w:rsid w:val="003B7011"/>
    <w:rsid w:val="003B71CD"/>
    <w:rsid w:val="003B7460"/>
    <w:rsid w:val="003B760E"/>
    <w:rsid w:val="003B77E8"/>
    <w:rsid w:val="003B784A"/>
    <w:rsid w:val="003B78C3"/>
    <w:rsid w:val="003B78E8"/>
    <w:rsid w:val="003B7AA8"/>
    <w:rsid w:val="003B7B38"/>
    <w:rsid w:val="003B7C29"/>
    <w:rsid w:val="003C0006"/>
    <w:rsid w:val="003C037D"/>
    <w:rsid w:val="003C03CB"/>
    <w:rsid w:val="003C05D2"/>
    <w:rsid w:val="003C093F"/>
    <w:rsid w:val="003C0A4C"/>
    <w:rsid w:val="003C0C49"/>
    <w:rsid w:val="003C0C84"/>
    <w:rsid w:val="003C0CB5"/>
    <w:rsid w:val="003C0E91"/>
    <w:rsid w:val="003C0EC1"/>
    <w:rsid w:val="003C0F1A"/>
    <w:rsid w:val="003C0FA0"/>
    <w:rsid w:val="003C1043"/>
    <w:rsid w:val="003C1102"/>
    <w:rsid w:val="003C1156"/>
    <w:rsid w:val="003C1275"/>
    <w:rsid w:val="003C12D3"/>
    <w:rsid w:val="003C1376"/>
    <w:rsid w:val="003C13E3"/>
    <w:rsid w:val="003C149B"/>
    <w:rsid w:val="003C1666"/>
    <w:rsid w:val="003C19E7"/>
    <w:rsid w:val="003C1BAA"/>
    <w:rsid w:val="003C1C0F"/>
    <w:rsid w:val="003C1DBE"/>
    <w:rsid w:val="003C1DF7"/>
    <w:rsid w:val="003C1E02"/>
    <w:rsid w:val="003C1E1F"/>
    <w:rsid w:val="003C1E70"/>
    <w:rsid w:val="003C23FE"/>
    <w:rsid w:val="003C246F"/>
    <w:rsid w:val="003C2475"/>
    <w:rsid w:val="003C24A6"/>
    <w:rsid w:val="003C2878"/>
    <w:rsid w:val="003C29AD"/>
    <w:rsid w:val="003C2B6D"/>
    <w:rsid w:val="003C2CE7"/>
    <w:rsid w:val="003C2FAE"/>
    <w:rsid w:val="003C32BB"/>
    <w:rsid w:val="003C3877"/>
    <w:rsid w:val="003C390B"/>
    <w:rsid w:val="003C39F8"/>
    <w:rsid w:val="003C3FC5"/>
    <w:rsid w:val="003C408A"/>
    <w:rsid w:val="003C40E4"/>
    <w:rsid w:val="003C42E5"/>
    <w:rsid w:val="003C4501"/>
    <w:rsid w:val="003C4890"/>
    <w:rsid w:val="003C4995"/>
    <w:rsid w:val="003C4996"/>
    <w:rsid w:val="003C4CCC"/>
    <w:rsid w:val="003C4D12"/>
    <w:rsid w:val="003C4D7D"/>
    <w:rsid w:val="003C4D81"/>
    <w:rsid w:val="003C50B4"/>
    <w:rsid w:val="003C5111"/>
    <w:rsid w:val="003C53CE"/>
    <w:rsid w:val="003C5539"/>
    <w:rsid w:val="003C567A"/>
    <w:rsid w:val="003C58F9"/>
    <w:rsid w:val="003C6000"/>
    <w:rsid w:val="003C6006"/>
    <w:rsid w:val="003C60E7"/>
    <w:rsid w:val="003C628D"/>
    <w:rsid w:val="003C62B2"/>
    <w:rsid w:val="003C62E8"/>
    <w:rsid w:val="003C62F4"/>
    <w:rsid w:val="003C6335"/>
    <w:rsid w:val="003C6577"/>
    <w:rsid w:val="003C6622"/>
    <w:rsid w:val="003C66A4"/>
    <w:rsid w:val="003C66F3"/>
    <w:rsid w:val="003C66FF"/>
    <w:rsid w:val="003C6772"/>
    <w:rsid w:val="003C6B06"/>
    <w:rsid w:val="003C6D0C"/>
    <w:rsid w:val="003C6F50"/>
    <w:rsid w:val="003C6FF6"/>
    <w:rsid w:val="003C701F"/>
    <w:rsid w:val="003C71B0"/>
    <w:rsid w:val="003C7278"/>
    <w:rsid w:val="003C7351"/>
    <w:rsid w:val="003C7561"/>
    <w:rsid w:val="003C7605"/>
    <w:rsid w:val="003C764D"/>
    <w:rsid w:val="003C775A"/>
    <w:rsid w:val="003C775B"/>
    <w:rsid w:val="003C77A4"/>
    <w:rsid w:val="003C7B94"/>
    <w:rsid w:val="003C7D8A"/>
    <w:rsid w:val="003C7DCE"/>
    <w:rsid w:val="003C7F36"/>
    <w:rsid w:val="003C7F58"/>
    <w:rsid w:val="003C7FEE"/>
    <w:rsid w:val="003D0181"/>
    <w:rsid w:val="003D0268"/>
    <w:rsid w:val="003D02A1"/>
    <w:rsid w:val="003D0367"/>
    <w:rsid w:val="003D044A"/>
    <w:rsid w:val="003D057E"/>
    <w:rsid w:val="003D0846"/>
    <w:rsid w:val="003D093E"/>
    <w:rsid w:val="003D0983"/>
    <w:rsid w:val="003D0B09"/>
    <w:rsid w:val="003D0C06"/>
    <w:rsid w:val="003D0C13"/>
    <w:rsid w:val="003D0EB5"/>
    <w:rsid w:val="003D0F40"/>
    <w:rsid w:val="003D0F49"/>
    <w:rsid w:val="003D0FB5"/>
    <w:rsid w:val="003D0FDC"/>
    <w:rsid w:val="003D12B3"/>
    <w:rsid w:val="003D12D3"/>
    <w:rsid w:val="003D1519"/>
    <w:rsid w:val="003D153E"/>
    <w:rsid w:val="003D19A0"/>
    <w:rsid w:val="003D19D0"/>
    <w:rsid w:val="003D1AF6"/>
    <w:rsid w:val="003D1D45"/>
    <w:rsid w:val="003D1F4F"/>
    <w:rsid w:val="003D2155"/>
    <w:rsid w:val="003D2202"/>
    <w:rsid w:val="003D2287"/>
    <w:rsid w:val="003D2575"/>
    <w:rsid w:val="003D2743"/>
    <w:rsid w:val="003D2798"/>
    <w:rsid w:val="003D27F3"/>
    <w:rsid w:val="003D2ADF"/>
    <w:rsid w:val="003D2C92"/>
    <w:rsid w:val="003D2E88"/>
    <w:rsid w:val="003D2F25"/>
    <w:rsid w:val="003D3276"/>
    <w:rsid w:val="003D32FF"/>
    <w:rsid w:val="003D3390"/>
    <w:rsid w:val="003D3545"/>
    <w:rsid w:val="003D35F7"/>
    <w:rsid w:val="003D3632"/>
    <w:rsid w:val="003D36D3"/>
    <w:rsid w:val="003D389E"/>
    <w:rsid w:val="003D391F"/>
    <w:rsid w:val="003D393E"/>
    <w:rsid w:val="003D3C13"/>
    <w:rsid w:val="003D3DB4"/>
    <w:rsid w:val="003D3EEB"/>
    <w:rsid w:val="003D3F70"/>
    <w:rsid w:val="003D41B2"/>
    <w:rsid w:val="003D41FE"/>
    <w:rsid w:val="003D4399"/>
    <w:rsid w:val="003D43B8"/>
    <w:rsid w:val="003D43C1"/>
    <w:rsid w:val="003D44D0"/>
    <w:rsid w:val="003D45B4"/>
    <w:rsid w:val="003D45DD"/>
    <w:rsid w:val="003D4650"/>
    <w:rsid w:val="003D4660"/>
    <w:rsid w:val="003D4697"/>
    <w:rsid w:val="003D4707"/>
    <w:rsid w:val="003D4846"/>
    <w:rsid w:val="003D48E4"/>
    <w:rsid w:val="003D4901"/>
    <w:rsid w:val="003D4B99"/>
    <w:rsid w:val="003D4CE6"/>
    <w:rsid w:val="003D4CEE"/>
    <w:rsid w:val="003D4FA0"/>
    <w:rsid w:val="003D5053"/>
    <w:rsid w:val="003D50C6"/>
    <w:rsid w:val="003D523D"/>
    <w:rsid w:val="003D537D"/>
    <w:rsid w:val="003D5474"/>
    <w:rsid w:val="003D55A0"/>
    <w:rsid w:val="003D57E8"/>
    <w:rsid w:val="003D5B8E"/>
    <w:rsid w:val="003D5F3F"/>
    <w:rsid w:val="003D5F67"/>
    <w:rsid w:val="003D616E"/>
    <w:rsid w:val="003D6445"/>
    <w:rsid w:val="003D6500"/>
    <w:rsid w:val="003D666E"/>
    <w:rsid w:val="003D66E1"/>
    <w:rsid w:val="003D6A61"/>
    <w:rsid w:val="003D6C7E"/>
    <w:rsid w:val="003D6C9C"/>
    <w:rsid w:val="003D6E98"/>
    <w:rsid w:val="003D6F36"/>
    <w:rsid w:val="003D7024"/>
    <w:rsid w:val="003D70F2"/>
    <w:rsid w:val="003D7250"/>
    <w:rsid w:val="003D748C"/>
    <w:rsid w:val="003D7495"/>
    <w:rsid w:val="003D76FF"/>
    <w:rsid w:val="003D7829"/>
    <w:rsid w:val="003D79C5"/>
    <w:rsid w:val="003D7C53"/>
    <w:rsid w:val="003D7C65"/>
    <w:rsid w:val="003D7D81"/>
    <w:rsid w:val="003D7D84"/>
    <w:rsid w:val="003D7E1E"/>
    <w:rsid w:val="003D7E68"/>
    <w:rsid w:val="003D7E97"/>
    <w:rsid w:val="003D7EBE"/>
    <w:rsid w:val="003D7F93"/>
    <w:rsid w:val="003E0063"/>
    <w:rsid w:val="003E0147"/>
    <w:rsid w:val="003E0347"/>
    <w:rsid w:val="003E0559"/>
    <w:rsid w:val="003E05DA"/>
    <w:rsid w:val="003E0832"/>
    <w:rsid w:val="003E0927"/>
    <w:rsid w:val="003E0A09"/>
    <w:rsid w:val="003E0AA0"/>
    <w:rsid w:val="003E0AC7"/>
    <w:rsid w:val="003E0C11"/>
    <w:rsid w:val="003E0CD8"/>
    <w:rsid w:val="003E0D2C"/>
    <w:rsid w:val="003E0EDA"/>
    <w:rsid w:val="003E1007"/>
    <w:rsid w:val="003E10AA"/>
    <w:rsid w:val="003E12EC"/>
    <w:rsid w:val="003E143A"/>
    <w:rsid w:val="003E1549"/>
    <w:rsid w:val="003E16C9"/>
    <w:rsid w:val="003E1833"/>
    <w:rsid w:val="003E2109"/>
    <w:rsid w:val="003E2254"/>
    <w:rsid w:val="003E2271"/>
    <w:rsid w:val="003E241C"/>
    <w:rsid w:val="003E27A6"/>
    <w:rsid w:val="003E2875"/>
    <w:rsid w:val="003E2900"/>
    <w:rsid w:val="003E29FE"/>
    <w:rsid w:val="003E3104"/>
    <w:rsid w:val="003E3304"/>
    <w:rsid w:val="003E359F"/>
    <w:rsid w:val="003E378E"/>
    <w:rsid w:val="003E3959"/>
    <w:rsid w:val="003E39C6"/>
    <w:rsid w:val="003E3A77"/>
    <w:rsid w:val="003E3B93"/>
    <w:rsid w:val="003E3D78"/>
    <w:rsid w:val="003E3F68"/>
    <w:rsid w:val="003E439D"/>
    <w:rsid w:val="003E4656"/>
    <w:rsid w:val="003E46AB"/>
    <w:rsid w:val="003E48DE"/>
    <w:rsid w:val="003E4B51"/>
    <w:rsid w:val="003E4B5C"/>
    <w:rsid w:val="003E50E9"/>
    <w:rsid w:val="003E51E1"/>
    <w:rsid w:val="003E51EC"/>
    <w:rsid w:val="003E5255"/>
    <w:rsid w:val="003E5346"/>
    <w:rsid w:val="003E53B7"/>
    <w:rsid w:val="003E5667"/>
    <w:rsid w:val="003E58A9"/>
    <w:rsid w:val="003E5B3B"/>
    <w:rsid w:val="003E5C71"/>
    <w:rsid w:val="003E5E83"/>
    <w:rsid w:val="003E5EEB"/>
    <w:rsid w:val="003E5EED"/>
    <w:rsid w:val="003E5F85"/>
    <w:rsid w:val="003E610E"/>
    <w:rsid w:val="003E61DC"/>
    <w:rsid w:val="003E6410"/>
    <w:rsid w:val="003E6520"/>
    <w:rsid w:val="003E6641"/>
    <w:rsid w:val="003E6752"/>
    <w:rsid w:val="003E6AAE"/>
    <w:rsid w:val="003E6BA9"/>
    <w:rsid w:val="003E6DF7"/>
    <w:rsid w:val="003E701F"/>
    <w:rsid w:val="003E727E"/>
    <w:rsid w:val="003E72D1"/>
    <w:rsid w:val="003E736B"/>
    <w:rsid w:val="003E73B4"/>
    <w:rsid w:val="003E74DA"/>
    <w:rsid w:val="003E7544"/>
    <w:rsid w:val="003E7552"/>
    <w:rsid w:val="003E7644"/>
    <w:rsid w:val="003E76DC"/>
    <w:rsid w:val="003E7743"/>
    <w:rsid w:val="003E7B50"/>
    <w:rsid w:val="003E7B67"/>
    <w:rsid w:val="003E7BBC"/>
    <w:rsid w:val="003E7D4D"/>
    <w:rsid w:val="003E7EF3"/>
    <w:rsid w:val="003E7EFF"/>
    <w:rsid w:val="003E7FF5"/>
    <w:rsid w:val="003F0187"/>
    <w:rsid w:val="003F019F"/>
    <w:rsid w:val="003F0263"/>
    <w:rsid w:val="003F069B"/>
    <w:rsid w:val="003F08C4"/>
    <w:rsid w:val="003F0B04"/>
    <w:rsid w:val="003F0C80"/>
    <w:rsid w:val="003F0D11"/>
    <w:rsid w:val="003F11F5"/>
    <w:rsid w:val="003F12B2"/>
    <w:rsid w:val="003F1442"/>
    <w:rsid w:val="003F14A5"/>
    <w:rsid w:val="003F1644"/>
    <w:rsid w:val="003F17B6"/>
    <w:rsid w:val="003F1AAE"/>
    <w:rsid w:val="003F1AF0"/>
    <w:rsid w:val="003F1BA9"/>
    <w:rsid w:val="003F1BF7"/>
    <w:rsid w:val="003F1E21"/>
    <w:rsid w:val="003F1EC2"/>
    <w:rsid w:val="003F1F3E"/>
    <w:rsid w:val="003F2000"/>
    <w:rsid w:val="003F2133"/>
    <w:rsid w:val="003F22CF"/>
    <w:rsid w:val="003F231F"/>
    <w:rsid w:val="003F23DE"/>
    <w:rsid w:val="003F2455"/>
    <w:rsid w:val="003F24A3"/>
    <w:rsid w:val="003F26E7"/>
    <w:rsid w:val="003F2751"/>
    <w:rsid w:val="003F27D1"/>
    <w:rsid w:val="003F288F"/>
    <w:rsid w:val="003F2915"/>
    <w:rsid w:val="003F2965"/>
    <w:rsid w:val="003F29EF"/>
    <w:rsid w:val="003F2EF7"/>
    <w:rsid w:val="003F2F13"/>
    <w:rsid w:val="003F3152"/>
    <w:rsid w:val="003F3153"/>
    <w:rsid w:val="003F3194"/>
    <w:rsid w:val="003F31A8"/>
    <w:rsid w:val="003F326B"/>
    <w:rsid w:val="003F3270"/>
    <w:rsid w:val="003F34E9"/>
    <w:rsid w:val="003F3576"/>
    <w:rsid w:val="003F3858"/>
    <w:rsid w:val="003F3961"/>
    <w:rsid w:val="003F3C83"/>
    <w:rsid w:val="003F3D41"/>
    <w:rsid w:val="003F3DCC"/>
    <w:rsid w:val="003F3E1A"/>
    <w:rsid w:val="003F3E66"/>
    <w:rsid w:val="003F3F85"/>
    <w:rsid w:val="003F3FB2"/>
    <w:rsid w:val="003F416F"/>
    <w:rsid w:val="003F4303"/>
    <w:rsid w:val="003F441E"/>
    <w:rsid w:val="003F4623"/>
    <w:rsid w:val="003F492B"/>
    <w:rsid w:val="003F49BB"/>
    <w:rsid w:val="003F4C0D"/>
    <w:rsid w:val="003F4EC3"/>
    <w:rsid w:val="003F4F8B"/>
    <w:rsid w:val="003F517F"/>
    <w:rsid w:val="003F523F"/>
    <w:rsid w:val="003F540D"/>
    <w:rsid w:val="003F5456"/>
    <w:rsid w:val="003F548E"/>
    <w:rsid w:val="003F5632"/>
    <w:rsid w:val="003F5691"/>
    <w:rsid w:val="003F5863"/>
    <w:rsid w:val="003F5A6B"/>
    <w:rsid w:val="003F5D09"/>
    <w:rsid w:val="003F5D46"/>
    <w:rsid w:val="003F5D81"/>
    <w:rsid w:val="003F5DCB"/>
    <w:rsid w:val="003F5E96"/>
    <w:rsid w:val="003F5ECE"/>
    <w:rsid w:val="003F5F2F"/>
    <w:rsid w:val="003F5F9C"/>
    <w:rsid w:val="003F67D6"/>
    <w:rsid w:val="003F6989"/>
    <w:rsid w:val="003F6A03"/>
    <w:rsid w:val="003F6AF4"/>
    <w:rsid w:val="003F6C14"/>
    <w:rsid w:val="003F6C9A"/>
    <w:rsid w:val="003F6D6F"/>
    <w:rsid w:val="003F6EEE"/>
    <w:rsid w:val="003F6FEE"/>
    <w:rsid w:val="003F7035"/>
    <w:rsid w:val="003F743B"/>
    <w:rsid w:val="003F7442"/>
    <w:rsid w:val="003F77CF"/>
    <w:rsid w:val="003F7855"/>
    <w:rsid w:val="003F7BF7"/>
    <w:rsid w:val="003F7CA5"/>
    <w:rsid w:val="003F7CEB"/>
    <w:rsid w:val="003F7EC3"/>
    <w:rsid w:val="003F7F5D"/>
    <w:rsid w:val="0040058A"/>
    <w:rsid w:val="004005AA"/>
    <w:rsid w:val="004005F6"/>
    <w:rsid w:val="0040073B"/>
    <w:rsid w:val="00400867"/>
    <w:rsid w:val="00400B14"/>
    <w:rsid w:val="00400EE1"/>
    <w:rsid w:val="00401082"/>
    <w:rsid w:val="0040113B"/>
    <w:rsid w:val="00401268"/>
    <w:rsid w:val="0040129C"/>
    <w:rsid w:val="00401345"/>
    <w:rsid w:val="004013F0"/>
    <w:rsid w:val="0040163C"/>
    <w:rsid w:val="0040172B"/>
    <w:rsid w:val="004017CE"/>
    <w:rsid w:val="00401A4D"/>
    <w:rsid w:val="00401A55"/>
    <w:rsid w:val="00401DCC"/>
    <w:rsid w:val="00401E25"/>
    <w:rsid w:val="00401F3A"/>
    <w:rsid w:val="00401F4D"/>
    <w:rsid w:val="004020A8"/>
    <w:rsid w:val="004022E4"/>
    <w:rsid w:val="004029BF"/>
    <w:rsid w:val="004029E3"/>
    <w:rsid w:val="00402B65"/>
    <w:rsid w:val="00402C42"/>
    <w:rsid w:val="00402CFF"/>
    <w:rsid w:val="0040330F"/>
    <w:rsid w:val="004033B2"/>
    <w:rsid w:val="004033E8"/>
    <w:rsid w:val="00403423"/>
    <w:rsid w:val="00403639"/>
    <w:rsid w:val="004036D4"/>
    <w:rsid w:val="0040393A"/>
    <w:rsid w:val="004039EE"/>
    <w:rsid w:val="00403AC4"/>
    <w:rsid w:val="00403ADD"/>
    <w:rsid w:val="00403B5F"/>
    <w:rsid w:val="00403D6C"/>
    <w:rsid w:val="00403E6F"/>
    <w:rsid w:val="00403EB6"/>
    <w:rsid w:val="004041D3"/>
    <w:rsid w:val="0040430A"/>
    <w:rsid w:val="0040444F"/>
    <w:rsid w:val="00404695"/>
    <w:rsid w:val="0040479E"/>
    <w:rsid w:val="00404A08"/>
    <w:rsid w:val="00404A4C"/>
    <w:rsid w:val="00404BCC"/>
    <w:rsid w:val="00404CE8"/>
    <w:rsid w:val="00404DD0"/>
    <w:rsid w:val="00404F3D"/>
    <w:rsid w:val="00404FB1"/>
    <w:rsid w:val="00404FE2"/>
    <w:rsid w:val="00405028"/>
    <w:rsid w:val="0040512A"/>
    <w:rsid w:val="004051DA"/>
    <w:rsid w:val="0040529F"/>
    <w:rsid w:val="00405777"/>
    <w:rsid w:val="00405790"/>
    <w:rsid w:val="004058AF"/>
    <w:rsid w:val="00405CEF"/>
    <w:rsid w:val="00405E01"/>
    <w:rsid w:val="00405E10"/>
    <w:rsid w:val="00405ED0"/>
    <w:rsid w:val="004060E4"/>
    <w:rsid w:val="004063C7"/>
    <w:rsid w:val="00406703"/>
    <w:rsid w:val="0040672A"/>
    <w:rsid w:val="004067DD"/>
    <w:rsid w:val="004067F0"/>
    <w:rsid w:val="00406B16"/>
    <w:rsid w:val="00406BEF"/>
    <w:rsid w:val="00406D36"/>
    <w:rsid w:val="00407015"/>
    <w:rsid w:val="004077A2"/>
    <w:rsid w:val="0040795D"/>
    <w:rsid w:val="004079B7"/>
    <w:rsid w:val="00407D4D"/>
    <w:rsid w:val="00410100"/>
    <w:rsid w:val="004101F1"/>
    <w:rsid w:val="004101FE"/>
    <w:rsid w:val="00410330"/>
    <w:rsid w:val="0041061A"/>
    <w:rsid w:val="00410AD8"/>
    <w:rsid w:val="00410B77"/>
    <w:rsid w:val="00411010"/>
    <w:rsid w:val="00411102"/>
    <w:rsid w:val="004113BA"/>
    <w:rsid w:val="0041182D"/>
    <w:rsid w:val="004119AC"/>
    <w:rsid w:val="00411CEA"/>
    <w:rsid w:val="00411E13"/>
    <w:rsid w:val="00411E24"/>
    <w:rsid w:val="0041241B"/>
    <w:rsid w:val="00412562"/>
    <w:rsid w:val="0041311D"/>
    <w:rsid w:val="00413146"/>
    <w:rsid w:val="004132A8"/>
    <w:rsid w:val="004132B4"/>
    <w:rsid w:val="00413323"/>
    <w:rsid w:val="00413450"/>
    <w:rsid w:val="0041353C"/>
    <w:rsid w:val="00413BEA"/>
    <w:rsid w:val="00413C5B"/>
    <w:rsid w:val="00413E39"/>
    <w:rsid w:val="00414341"/>
    <w:rsid w:val="00414370"/>
    <w:rsid w:val="0041437D"/>
    <w:rsid w:val="004143DF"/>
    <w:rsid w:val="004144B2"/>
    <w:rsid w:val="004144BE"/>
    <w:rsid w:val="00414509"/>
    <w:rsid w:val="00414521"/>
    <w:rsid w:val="004145D0"/>
    <w:rsid w:val="0041463D"/>
    <w:rsid w:val="00414714"/>
    <w:rsid w:val="0041478C"/>
    <w:rsid w:val="00414884"/>
    <w:rsid w:val="004149BC"/>
    <w:rsid w:val="00414A58"/>
    <w:rsid w:val="00414C9F"/>
    <w:rsid w:val="00414D44"/>
    <w:rsid w:val="00414DB3"/>
    <w:rsid w:val="00414E10"/>
    <w:rsid w:val="00414F48"/>
    <w:rsid w:val="00415121"/>
    <w:rsid w:val="0041514F"/>
    <w:rsid w:val="004151C6"/>
    <w:rsid w:val="004152AD"/>
    <w:rsid w:val="00415303"/>
    <w:rsid w:val="004156AE"/>
    <w:rsid w:val="0041584C"/>
    <w:rsid w:val="00415877"/>
    <w:rsid w:val="004158E3"/>
    <w:rsid w:val="00415AAC"/>
    <w:rsid w:val="00415CDB"/>
    <w:rsid w:val="00415D51"/>
    <w:rsid w:val="00415D5E"/>
    <w:rsid w:val="00415DD2"/>
    <w:rsid w:val="004160D8"/>
    <w:rsid w:val="00416220"/>
    <w:rsid w:val="0041653E"/>
    <w:rsid w:val="004165D5"/>
    <w:rsid w:val="0041666A"/>
    <w:rsid w:val="004166F0"/>
    <w:rsid w:val="004167EE"/>
    <w:rsid w:val="0041683A"/>
    <w:rsid w:val="00416AE7"/>
    <w:rsid w:val="00416CAA"/>
    <w:rsid w:val="00416CAB"/>
    <w:rsid w:val="00416D2E"/>
    <w:rsid w:val="00416D53"/>
    <w:rsid w:val="00416E56"/>
    <w:rsid w:val="00416F06"/>
    <w:rsid w:val="0041701A"/>
    <w:rsid w:val="004172C9"/>
    <w:rsid w:val="004172D8"/>
    <w:rsid w:val="004172DD"/>
    <w:rsid w:val="004173CD"/>
    <w:rsid w:val="00417525"/>
    <w:rsid w:val="004178C9"/>
    <w:rsid w:val="00417AD4"/>
    <w:rsid w:val="00417DBC"/>
    <w:rsid w:val="00417F02"/>
    <w:rsid w:val="0042001A"/>
    <w:rsid w:val="0042003B"/>
    <w:rsid w:val="004200E2"/>
    <w:rsid w:val="004201A6"/>
    <w:rsid w:val="004201DC"/>
    <w:rsid w:val="0042031E"/>
    <w:rsid w:val="004203B4"/>
    <w:rsid w:val="004203ED"/>
    <w:rsid w:val="004205BD"/>
    <w:rsid w:val="004206EC"/>
    <w:rsid w:val="0042076D"/>
    <w:rsid w:val="00420778"/>
    <w:rsid w:val="004207E1"/>
    <w:rsid w:val="004207E8"/>
    <w:rsid w:val="004207F3"/>
    <w:rsid w:val="00420876"/>
    <w:rsid w:val="004208F3"/>
    <w:rsid w:val="00420B7A"/>
    <w:rsid w:val="00420BCC"/>
    <w:rsid w:val="00420C37"/>
    <w:rsid w:val="00420DE8"/>
    <w:rsid w:val="00420F1F"/>
    <w:rsid w:val="0042100D"/>
    <w:rsid w:val="004210B2"/>
    <w:rsid w:val="004211BA"/>
    <w:rsid w:val="004213FC"/>
    <w:rsid w:val="004217B2"/>
    <w:rsid w:val="00421A30"/>
    <w:rsid w:val="00421A43"/>
    <w:rsid w:val="00421BD8"/>
    <w:rsid w:val="00421BF1"/>
    <w:rsid w:val="00421E70"/>
    <w:rsid w:val="00421EB3"/>
    <w:rsid w:val="00421FB3"/>
    <w:rsid w:val="004223E7"/>
    <w:rsid w:val="00422552"/>
    <w:rsid w:val="00422675"/>
    <w:rsid w:val="004227C4"/>
    <w:rsid w:val="00422834"/>
    <w:rsid w:val="00422A74"/>
    <w:rsid w:val="00422B74"/>
    <w:rsid w:val="00422BFB"/>
    <w:rsid w:val="00422C13"/>
    <w:rsid w:val="00422C96"/>
    <w:rsid w:val="00422F65"/>
    <w:rsid w:val="0042309D"/>
    <w:rsid w:val="004230AB"/>
    <w:rsid w:val="004232D9"/>
    <w:rsid w:val="00423502"/>
    <w:rsid w:val="00423681"/>
    <w:rsid w:val="00423868"/>
    <w:rsid w:val="004239F1"/>
    <w:rsid w:val="00423A43"/>
    <w:rsid w:val="00423BE6"/>
    <w:rsid w:val="00423C57"/>
    <w:rsid w:val="00423E42"/>
    <w:rsid w:val="00423EB6"/>
    <w:rsid w:val="00424046"/>
    <w:rsid w:val="004240D8"/>
    <w:rsid w:val="0042415D"/>
    <w:rsid w:val="00424ABC"/>
    <w:rsid w:val="00424B63"/>
    <w:rsid w:val="00424B74"/>
    <w:rsid w:val="00424D52"/>
    <w:rsid w:val="00424F0B"/>
    <w:rsid w:val="00424FDB"/>
    <w:rsid w:val="00425170"/>
    <w:rsid w:val="00425400"/>
    <w:rsid w:val="0042554D"/>
    <w:rsid w:val="00425662"/>
    <w:rsid w:val="004256BB"/>
    <w:rsid w:val="00425805"/>
    <w:rsid w:val="00425897"/>
    <w:rsid w:val="00425C10"/>
    <w:rsid w:val="00425F79"/>
    <w:rsid w:val="0042611C"/>
    <w:rsid w:val="0042617E"/>
    <w:rsid w:val="0042628C"/>
    <w:rsid w:val="0042641F"/>
    <w:rsid w:val="0042648E"/>
    <w:rsid w:val="00426569"/>
    <w:rsid w:val="0042667F"/>
    <w:rsid w:val="004267E3"/>
    <w:rsid w:val="0042680F"/>
    <w:rsid w:val="00426969"/>
    <w:rsid w:val="00426A00"/>
    <w:rsid w:val="00426A55"/>
    <w:rsid w:val="00426A8C"/>
    <w:rsid w:val="00426E75"/>
    <w:rsid w:val="00427248"/>
    <w:rsid w:val="0042738E"/>
    <w:rsid w:val="00427567"/>
    <w:rsid w:val="00427904"/>
    <w:rsid w:val="0042799D"/>
    <w:rsid w:val="00427DD9"/>
    <w:rsid w:val="00427EC2"/>
    <w:rsid w:val="00427F3D"/>
    <w:rsid w:val="00427F46"/>
    <w:rsid w:val="00430148"/>
    <w:rsid w:val="004301D6"/>
    <w:rsid w:val="0043037A"/>
    <w:rsid w:val="00430469"/>
    <w:rsid w:val="00430477"/>
    <w:rsid w:val="004304E7"/>
    <w:rsid w:val="004305B4"/>
    <w:rsid w:val="004305BF"/>
    <w:rsid w:val="0043062D"/>
    <w:rsid w:val="00430C14"/>
    <w:rsid w:val="00430C66"/>
    <w:rsid w:val="00430EB6"/>
    <w:rsid w:val="00431147"/>
    <w:rsid w:val="0043146F"/>
    <w:rsid w:val="0043151D"/>
    <w:rsid w:val="00431762"/>
    <w:rsid w:val="0043187A"/>
    <w:rsid w:val="004318E9"/>
    <w:rsid w:val="00431916"/>
    <w:rsid w:val="00431B91"/>
    <w:rsid w:val="00431DA6"/>
    <w:rsid w:val="00431DB8"/>
    <w:rsid w:val="00431E67"/>
    <w:rsid w:val="00431EAF"/>
    <w:rsid w:val="00432081"/>
    <w:rsid w:val="0043208C"/>
    <w:rsid w:val="0043209E"/>
    <w:rsid w:val="00432169"/>
    <w:rsid w:val="0043252A"/>
    <w:rsid w:val="0043268B"/>
    <w:rsid w:val="00432764"/>
    <w:rsid w:val="004327C5"/>
    <w:rsid w:val="004327D2"/>
    <w:rsid w:val="004329B3"/>
    <w:rsid w:val="004329D5"/>
    <w:rsid w:val="00432B26"/>
    <w:rsid w:val="00432FC2"/>
    <w:rsid w:val="00432FC8"/>
    <w:rsid w:val="004332BF"/>
    <w:rsid w:val="00433327"/>
    <w:rsid w:val="0043341E"/>
    <w:rsid w:val="0043344F"/>
    <w:rsid w:val="00433500"/>
    <w:rsid w:val="0043394F"/>
    <w:rsid w:val="004339E1"/>
    <w:rsid w:val="00433D08"/>
    <w:rsid w:val="00433DC4"/>
    <w:rsid w:val="00434065"/>
    <w:rsid w:val="00434185"/>
    <w:rsid w:val="00434315"/>
    <w:rsid w:val="00434531"/>
    <w:rsid w:val="00434633"/>
    <w:rsid w:val="00434707"/>
    <w:rsid w:val="00434A30"/>
    <w:rsid w:val="00434A53"/>
    <w:rsid w:val="00434ACD"/>
    <w:rsid w:val="00434B0F"/>
    <w:rsid w:val="00434E32"/>
    <w:rsid w:val="00434F4A"/>
    <w:rsid w:val="00434F88"/>
    <w:rsid w:val="00435109"/>
    <w:rsid w:val="00435136"/>
    <w:rsid w:val="004352D7"/>
    <w:rsid w:val="004352F9"/>
    <w:rsid w:val="004354F4"/>
    <w:rsid w:val="004355FC"/>
    <w:rsid w:val="004357E2"/>
    <w:rsid w:val="0043598D"/>
    <w:rsid w:val="00435BC1"/>
    <w:rsid w:val="00435C66"/>
    <w:rsid w:val="00435C76"/>
    <w:rsid w:val="00436021"/>
    <w:rsid w:val="004362D4"/>
    <w:rsid w:val="00436438"/>
    <w:rsid w:val="00436679"/>
    <w:rsid w:val="00436AC9"/>
    <w:rsid w:val="00436C01"/>
    <w:rsid w:val="004370D9"/>
    <w:rsid w:val="00437583"/>
    <w:rsid w:val="0043775C"/>
    <w:rsid w:val="00437A33"/>
    <w:rsid w:val="00437AFF"/>
    <w:rsid w:val="00437B59"/>
    <w:rsid w:val="00437D63"/>
    <w:rsid w:val="00437DAD"/>
    <w:rsid w:val="00437F03"/>
    <w:rsid w:val="00440009"/>
    <w:rsid w:val="0044004E"/>
    <w:rsid w:val="0044011B"/>
    <w:rsid w:val="004401F9"/>
    <w:rsid w:val="004402EA"/>
    <w:rsid w:val="004403C0"/>
    <w:rsid w:val="004403F2"/>
    <w:rsid w:val="0044049D"/>
    <w:rsid w:val="004404A2"/>
    <w:rsid w:val="0044060D"/>
    <w:rsid w:val="00440A53"/>
    <w:rsid w:val="00440D9D"/>
    <w:rsid w:val="00441059"/>
    <w:rsid w:val="004413B8"/>
    <w:rsid w:val="004413D8"/>
    <w:rsid w:val="004416D4"/>
    <w:rsid w:val="00441A69"/>
    <w:rsid w:val="004420BE"/>
    <w:rsid w:val="004421AB"/>
    <w:rsid w:val="00442245"/>
    <w:rsid w:val="004422A6"/>
    <w:rsid w:val="00442403"/>
    <w:rsid w:val="0044246C"/>
    <w:rsid w:val="00442556"/>
    <w:rsid w:val="00442A67"/>
    <w:rsid w:val="00442E1F"/>
    <w:rsid w:val="00442F79"/>
    <w:rsid w:val="0044324E"/>
    <w:rsid w:val="0044329E"/>
    <w:rsid w:val="00443468"/>
    <w:rsid w:val="004434AA"/>
    <w:rsid w:val="004436AC"/>
    <w:rsid w:val="004437F9"/>
    <w:rsid w:val="00443871"/>
    <w:rsid w:val="0044393B"/>
    <w:rsid w:val="00443ABE"/>
    <w:rsid w:val="00443E98"/>
    <w:rsid w:val="00443F2E"/>
    <w:rsid w:val="00443F82"/>
    <w:rsid w:val="0044405F"/>
    <w:rsid w:val="004441A3"/>
    <w:rsid w:val="004441FB"/>
    <w:rsid w:val="004446DB"/>
    <w:rsid w:val="004446FE"/>
    <w:rsid w:val="004447F5"/>
    <w:rsid w:val="00444DFE"/>
    <w:rsid w:val="00444E10"/>
    <w:rsid w:val="00444F47"/>
    <w:rsid w:val="004455D5"/>
    <w:rsid w:val="004458A6"/>
    <w:rsid w:val="00445B41"/>
    <w:rsid w:val="00445C21"/>
    <w:rsid w:val="00445DA0"/>
    <w:rsid w:val="00445FDC"/>
    <w:rsid w:val="00446175"/>
    <w:rsid w:val="00446195"/>
    <w:rsid w:val="004468A8"/>
    <w:rsid w:val="00446922"/>
    <w:rsid w:val="00446B46"/>
    <w:rsid w:val="00446CDA"/>
    <w:rsid w:val="00446D29"/>
    <w:rsid w:val="00446D83"/>
    <w:rsid w:val="00446E19"/>
    <w:rsid w:val="00446FC7"/>
    <w:rsid w:val="00447132"/>
    <w:rsid w:val="004472F4"/>
    <w:rsid w:val="004473B5"/>
    <w:rsid w:val="00447872"/>
    <w:rsid w:val="00447959"/>
    <w:rsid w:val="00447A4D"/>
    <w:rsid w:val="00447BAA"/>
    <w:rsid w:val="00447C3D"/>
    <w:rsid w:val="00447C78"/>
    <w:rsid w:val="00447D44"/>
    <w:rsid w:val="00447EB6"/>
    <w:rsid w:val="00447F73"/>
    <w:rsid w:val="00450219"/>
    <w:rsid w:val="00450366"/>
    <w:rsid w:val="00450374"/>
    <w:rsid w:val="00450483"/>
    <w:rsid w:val="00450727"/>
    <w:rsid w:val="0045077F"/>
    <w:rsid w:val="00450811"/>
    <w:rsid w:val="00450C88"/>
    <w:rsid w:val="00450C92"/>
    <w:rsid w:val="00450CB7"/>
    <w:rsid w:val="00450CFD"/>
    <w:rsid w:val="00450EDB"/>
    <w:rsid w:val="00451048"/>
    <w:rsid w:val="00451082"/>
    <w:rsid w:val="00451237"/>
    <w:rsid w:val="00451384"/>
    <w:rsid w:val="00451782"/>
    <w:rsid w:val="00451805"/>
    <w:rsid w:val="00451B24"/>
    <w:rsid w:val="00451CAC"/>
    <w:rsid w:val="00451CF4"/>
    <w:rsid w:val="00452129"/>
    <w:rsid w:val="00452337"/>
    <w:rsid w:val="00452641"/>
    <w:rsid w:val="0045275E"/>
    <w:rsid w:val="00452816"/>
    <w:rsid w:val="0045286F"/>
    <w:rsid w:val="00452AA1"/>
    <w:rsid w:val="00452AE9"/>
    <w:rsid w:val="00452E09"/>
    <w:rsid w:val="00452EEE"/>
    <w:rsid w:val="00452F56"/>
    <w:rsid w:val="00452FA5"/>
    <w:rsid w:val="00452FC4"/>
    <w:rsid w:val="004531E3"/>
    <w:rsid w:val="00453233"/>
    <w:rsid w:val="00453524"/>
    <w:rsid w:val="00453564"/>
    <w:rsid w:val="004537B4"/>
    <w:rsid w:val="004539FD"/>
    <w:rsid w:val="00453B55"/>
    <w:rsid w:val="00453B90"/>
    <w:rsid w:val="00453D42"/>
    <w:rsid w:val="00453EE3"/>
    <w:rsid w:val="00454015"/>
    <w:rsid w:val="00454194"/>
    <w:rsid w:val="004542C5"/>
    <w:rsid w:val="00454C44"/>
    <w:rsid w:val="00454CA6"/>
    <w:rsid w:val="00454F51"/>
    <w:rsid w:val="00454FDF"/>
    <w:rsid w:val="00454FFC"/>
    <w:rsid w:val="0045506C"/>
    <w:rsid w:val="004550D3"/>
    <w:rsid w:val="0045521B"/>
    <w:rsid w:val="00455233"/>
    <w:rsid w:val="00455283"/>
    <w:rsid w:val="004553AE"/>
    <w:rsid w:val="00455594"/>
    <w:rsid w:val="004556BC"/>
    <w:rsid w:val="0045576E"/>
    <w:rsid w:val="00455B57"/>
    <w:rsid w:val="00455C0A"/>
    <w:rsid w:val="00455D19"/>
    <w:rsid w:val="00455D65"/>
    <w:rsid w:val="00455E3C"/>
    <w:rsid w:val="004560A7"/>
    <w:rsid w:val="004560BC"/>
    <w:rsid w:val="0045631C"/>
    <w:rsid w:val="00456C41"/>
    <w:rsid w:val="00456E7D"/>
    <w:rsid w:val="0045732B"/>
    <w:rsid w:val="004573C2"/>
    <w:rsid w:val="0045769E"/>
    <w:rsid w:val="004578FE"/>
    <w:rsid w:val="00457B3E"/>
    <w:rsid w:val="00457BFF"/>
    <w:rsid w:val="004600A9"/>
    <w:rsid w:val="00460238"/>
    <w:rsid w:val="004602B4"/>
    <w:rsid w:val="00460329"/>
    <w:rsid w:val="00460539"/>
    <w:rsid w:val="004606B1"/>
    <w:rsid w:val="004607B4"/>
    <w:rsid w:val="0046089F"/>
    <w:rsid w:val="00460978"/>
    <w:rsid w:val="00460A55"/>
    <w:rsid w:val="00460A81"/>
    <w:rsid w:val="00460ADA"/>
    <w:rsid w:val="00460AFC"/>
    <w:rsid w:val="00460C7A"/>
    <w:rsid w:val="00460E74"/>
    <w:rsid w:val="00460E97"/>
    <w:rsid w:val="00460F9E"/>
    <w:rsid w:val="00461035"/>
    <w:rsid w:val="0046114F"/>
    <w:rsid w:val="004612B9"/>
    <w:rsid w:val="004615A9"/>
    <w:rsid w:val="004615B2"/>
    <w:rsid w:val="0046160E"/>
    <w:rsid w:val="004617A8"/>
    <w:rsid w:val="00461AD6"/>
    <w:rsid w:val="00461AFF"/>
    <w:rsid w:val="00461F87"/>
    <w:rsid w:val="00462167"/>
    <w:rsid w:val="004621B8"/>
    <w:rsid w:val="004621E9"/>
    <w:rsid w:val="00462443"/>
    <w:rsid w:val="0046251D"/>
    <w:rsid w:val="004627A3"/>
    <w:rsid w:val="00462933"/>
    <w:rsid w:val="00462A0F"/>
    <w:rsid w:val="00462A13"/>
    <w:rsid w:val="00462B99"/>
    <w:rsid w:val="00462DA9"/>
    <w:rsid w:val="004630FB"/>
    <w:rsid w:val="0046326C"/>
    <w:rsid w:val="0046349E"/>
    <w:rsid w:val="004634C9"/>
    <w:rsid w:val="0046362A"/>
    <w:rsid w:val="004637E2"/>
    <w:rsid w:val="00463AA4"/>
    <w:rsid w:val="00463E51"/>
    <w:rsid w:val="00463F46"/>
    <w:rsid w:val="00464225"/>
    <w:rsid w:val="004643BC"/>
    <w:rsid w:val="00464458"/>
    <w:rsid w:val="0046456A"/>
    <w:rsid w:val="0046459F"/>
    <w:rsid w:val="0046464F"/>
    <w:rsid w:val="0046487B"/>
    <w:rsid w:val="004649B7"/>
    <w:rsid w:val="00464A1C"/>
    <w:rsid w:val="00464A2E"/>
    <w:rsid w:val="00464AA1"/>
    <w:rsid w:val="00464B04"/>
    <w:rsid w:val="00464D2D"/>
    <w:rsid w:val="00464DE2"/>
    <w:rsid w:val="004653F5"/>
    <w:rsid w:val="004654CE"/>
    <w:rsid w:val="004655F1"/>
    <w:rsid w:val="00465924"/>
    <w:rsid w:val="00465937"/>
    <w:rsid w:val="00465A0F"/>
    <w:rsid w:val="00465A3E"/>
    <w:rsid w:val="00465C3D"/>
    <w:rsid w:val="004660F7"/>
    <w:rsid w:val="004661B2"/>
    <w:rsid w:val="004661D2"/>
    <w:rsid w:val="00466611"/>
    <w:rsid w:val="00466782"/>
    <w:rsid w:val="0046682C"/>
    <w:rsid w:val="00466830"/>
    <w:rsid w:val="00466942"/>
    <w:rsid w:val="00466947"/>
    <w:rsid w:val="00466951"/>
    <w:rsid w:val="00466A60"/>
    <w:rsid w:val="00466EBF"/>
    <w:rsid w:val="00466F6F"/>
    <w:rsid w:val="00466FB3"/>
    <w:rsid w:val="00466FD4"/>
    <w:rsid w:val="00467268"/>
    <w:rsid w:val="00467293"/>
    <w:rsid w:val="004673C8"/>
    <w:rsid w:val="004675C2"/>
    <w:rsid w:val="004676C1"/>
    <w:rsid w:val="0046781D"/>
    <w:rsid w:val="00467AEB"/>
    <w:rsid w:val="00467B3E"/>
    <w:rsid w:val="00467BE8"/>
    <w:rsid w:val="00467D1F"/>
    <w:rsid w:val="00467D33"/>
    <w:rsid w:val="00470365"/>
    <w:rsid w:val="004704E3"/>
    <w:rsid w:val="004705A2"/>
    <w:rsid w:val="004705E2"/>
    <w:rsid w:val="00470686"/>
    <w:rsid w:val="0047070B"/>
    <w:rsid w:val="004709A6"/>
    <w:rsid w:val="004709F4"/>
    <w:rsid w:val="00470A16"/>
    <w:rsid w:val="00470A64"/>
    <w:rsid w:val="00470BA5"/>
    <w:rsid w:val="00470C2E"/>
    <w:rsid w:val="00470C5C"/>
    <w:rsid w:val="00470FE5"/>
    <w:rsid w:val="004711B7"/>
    <w:rsid w:val="00471317"/>
    <w:rsid w:val="004713A0"/>
    <w:rsid w:val="0047158D"/>
    <w:rsid w:val="0047170E"/>
    <w:rsid w:val="0047174B"/>
    <w:rsid w:val="00471B94"/>
    <w:rsid w:val="00471DC9"/>
    <w:rsid w:val="004721EC"/>
    <w:rsid w:val="00472339"/>
    <w:rsid w:val="00472399"/>
    <w:rsid w:val="004724E5"/>
    <w:rsid w:val="004727AB"/>
    <w:rsid w:val="00472A92"/>
    <w:rsid w:val="00472AB2"/>
    <w:rsid w:val="00472B8C"/>
    <w:rsid w:val="00472BD5"/>
    <w:rsid w:val="00472C9D"/>
    <w:rsid w:val="00473049"/>
    <w:rsid w:val="0047312F"/>
    <w:rsid w:val="004733E8"/>
    <w:rsid w:val="004734F2"/>
    <w:rsid w:val="00473556"/>
    <w:rsid w:val="00473735"/>
    <w:rsid w:val="0047391E"/>
    <w:rsid w:val="00473A6B"/>
    <w:rsid w:val="00473A6E"/>
    <w:rsid w:val="00473AFC"/>
    <w:rsid w:val="00473BC8"/>
    <w:rsid w:val="00473F72"/>
    <w:rsid w:val="00473F98"/>
    <w:rsid w:val="004740EE"/>
    <w:rsid w:val="00474191"/>
    <w:rsid w:val="004741F6"/>
    <w:rsid w:val="004742B6"/>
    <w:rsid w:val="004742CA"/>
    <w:rsid w:val="00474339"/>
    <w:rsid w:val="004743BF"/>
    <w:rsid w:val="004743EC"/>
    <w:rsid w:val="00474467"/>
    <w:rsid w:val="00474682"/>
    <w:rsid w:val="00474A22"/>
    <w:rsid w:val="00474CED"/>
    <w:rsid w:val="00474CFA"/>
    <w:rsid w:val="00474DBB"/>
    <w:rsid w:val="00474E5E"/>
    <w:rsid w:val="00474E6B"/>
    <w:rsid w:val="00474F7B"/>
    <w:rsid w:val="0047508A"/>
    <w:rsid w:val="00475207"/>
    <w:rsid w:val="0047536B"/>
    <w:rsid w:val="00475736"/>
    <w:rsid w:val="004758EF"/>
    <w:rsid w:val="00475AEB"/>
    <w:rsid w:val="00475AFB"/>
    <w:rsid w:val="00475B2D"/>
    <w:rsid w:val="00475BFB"/>
    <w:rsid w:val="00475CCC"/>
    <w:rsid w:val="00476161"/>
    <w:rsid w:val="004762BC"/>
    <w:rsid w:val="0047631C"/>
    <w:rsid w:val="004764C5"/>
    <w:rsid w:val="004764CE"/>
    <w:rsid w:val="0047650F"/>
    <w:rsid w:val="004765A3"/>
    <w:rsid w:val="004765D6"/>
    <w:rsid w:val="00476628"/>
    <w:rsid w:val="004766E1"/>
    <w:rsid w:val="004767E7"/>
    <w:rsid w:val="004767FB"/>
    <w:rsid w:val="0047697A"/>
    <w:rsid w:val="00476AC1"/>
    <w:rsid w:val="00476B41"/>
    <w:rsid w:val="00476BDC"/>
    <w:rsid w:val="00476C11"/>
    <w:rsid w:val="00476C99"/>
    <w:rsid w:val="00476D5F"/>
    <w:rsid w:val="00476F2D"/>
    <w:rsid w:val="00477129"/>
    <w:rsid w:val="0047718E"/>
    <w:rsid w:val="00477781"/>
    <w:rsid w:val="004777CE"/>
    <w:rsid w:val="00477A4B"/>
    <w:rsid w:val="00477BC3"/>
    <w:rsid w:val="00477C7A"/>
    <w:rsid w:val="0048010C"/>
    <w:rsid w:val="004802AC"/>
    <w:rsid w:val="00480316"/>
    <w:rsid w:val="0048031F"/>
    <w:rsid w:val="0048054B"/>
    <w:rsid w:val="00480603"/>
    <w:rsid w:val="0048065A"/>
    <w:rsid w:val="00480D4C"/>
    <w:rsid w:val="0048120C"/>
    <w:rsid w:val="00481567"/>
    <w:rsid w:val="0048157A"/>
    <w:rsid w:val="00481675"/>
    <w:rsid w:val="00481851"/>
    <w:rsid w:val="004818B4"/>
    <w:rsid w:val="00481A34"/>
    <w:rsid w:val="00481AC1"/>
    <w:rsid w:val="00481BFC"/>
    <w:rsid w:val="00481D8E"/>
    <w:rsid w:val="004824B7"/>
    <w:rsid w:val="00482612"/>
    <w:rsid w:val="004829D9"/>
    <w:rsid w:val="00482C13"/>
    <w:rsid w:val="00482C6E"/>
    <w:rsid w:val="00482D26"/>
    <w:rsid w:val="00482EEE"/>
    <w:rsid w:val="00483090"/>
    <w:rsid w:val="004833EE"/>
    <w:rsid w:val="004834D6"/>
    <w:rsid w:val="00483727"/>
    <w:rsid w:val="004837BD"/>
    <w:rsid w:val="004837D4"/>
    <w:rsid w:val="00483888"/>
    <w:rsid w:val="0048396A"/>
    <w:rsid w:val="00483BFD"/>
    <w:rsid w:val="00483E75"/>
    <w:rsid w:val="00483FD2"/>
    <w:rsid w:val="004841EA"/>
    <w:rsid w:val="004842BE"/>
    <w:rsid w:val="0048430C"/>
    <w:rsid w:val="004843ED"/>
    <w:rsid w:val="0048456E"/>
    <w:rsid w:val="00484A52"/>
    <w:rsid w:val="00484B79"/>
    <w:rsid w:val="00484BDE"/>
    <w:rsid w:val="00484C6F"/>
    <w:rsid w:val="00484EB6"/>
    <w:rsid w:val="0048510F"/>
    <w:rsid w:val="004853F7"/>
    <w:rsid w:val="00485533"/>
    <w:rsid w:val="0048561A"/>
    <w:rsid w:val="0048579C"/>
    <w:rsid w:val="00485CD6"/>
    <w:rsid w:val="00485DAA"/>
    <w:rsid w:val="00485EB7"/>
    <w:rsid w:val="00486334"/>
    <w:rsid w:val="004866E5"/>
    <w:rsid w:val="00486AB3"/>
    <w:rsid w:val="00486C19"/>
    <w:rsid w:val="00486D3C"/>
    <w:rsid w:val="0048701A"/>
    <w:rsid w:val="00487060"/>
    <w:rsid w:val="0048707F"/>
    <w:rsid w:val="0048714E"/>
    <w:rsid w:val="004872DC"/>
    <w:rsid w:val="004876E4"/>
    <w:rsid w:val="00487704"/>
    <w:rsid w:val="004878C8"/>
    <w:rsid w:val="00487A9C"/>
    <w:rsid w:val="00487F34"/>
    <w:rsid w:val="0049030F"/>
    <w:rsid w:val="00490379"/>
    <w:rsid w:val="00490624"/>
    <w:rsid w:val="0049079F"/>
    <w:rsid w:val="0049094C"/>
    <w:rsid w:val="00490A5C"/>
    <w:rsid w:val="00490AB9"/>
    <w:rsid w:val="00490B5A"/>
    <w:rsid w:val="00490BA7"/>
    <w:rsid w:val="00490CDC"/>
    <w:rsid w:val="00490D21"/>
    <w:rsid w:val="00490F41"/>
    <w:rsid w:val="00491274"/>
    <w:rsid w:val="00491470"/>
    <w:rsid w:val="004916AE"/>
    <w:rsid w:val="00491A97"/>
    <w:rsid w:val="00491BE1"/>
    <w:rsid w:val="00491C44"/>
    <w:rsid w:val="00491CDB"/>
    <w:rsid w:val="00491DC6"/>
    <w:rsid w:val="00492277"/>
    <w:rsid w:val="0049261C"/>
    <w:rsid w:val="00492674"/>
    <w:rsid w:val="00492A43"/>
    <w:rsid w:val="00492A8F"/>
    <w:rsid w:val="00492D95"/>
    <w:rsid w:val="00492DEA"/>
    <w:rsid w:val="00492E58"/>
    <w:rsid w:val="00492FB2"/>
    <w:rsid w:val="0049335E"/>
    <w:rsid w:val="004934CA"/>
    <w:rsid w:val="004935CB"/>
    <w:rsid w:val="004936D2"/>
    <w:rsid w:val="00493798"/>
    <w:rsid w:val="004937EF"/>
    <w:rsid w:val="004937F7"/>
    <w:rsid w:val="0049385D"/>
    <w:rsid w:val="00493A7D"/>
    <w:rsid w:val="00493BD0"/>
    <w:rsid w:val="00493C79"/>
    <w:rsid w:val="00493D36"/>
    <w:rsid w:val="0049406F"/>
    <w:rsid w:val="00494094"/>
    <w:rsid w:val="0049430E"/>
    <w:rsid w:val="004945A2"/>
    <w:rsid w:val="00494623"/>
    <w:rsid w:val="0049465F"/>
    <w:rsid w:val="0049476F"/>
    <w:rsid w:val="004947CB"/>
    <w:rsid w:val="00494869"/>
    <w:rsid w:val="004949D0"/>
    <w:rsid w:val="00494A0B"/>
    <w:rsid w:val="00494A36"/>
    <w:rsid w:val="00494B38"/>
    <w:rsid w:val="00494BE3"/>
    <w:rsid w:val="00494BF1"/>
    <w:rsid w:val="00494CA7"/>
    <w:rsid w:val="00494D92"/>
    <w:rsid w:val="00494E6F"/>
    <w:rsid w:val="00494FB0"/>
    <w:rsid w:val="00495552"/>
    <w:rsid w:val="004957E2"/>
    <w:rsid w:val="00495C2E"/>
    <w:rsid w:val="00495D9D"/>
    <w:rsid w:val="00495EA5"/>
    <w:rsid w:val="00495FDE"/>
    <w:rsid w:val="00496428"/>
    <w:rsid w:val="004966E4"/>
    <w:rsid w:val="00496918"/>
    <w:rsid w:val="00496D81"/>
    <w:rsid w:val="00496F93"/>
    <w:rsid w:val="0049779F"/>
    <w:rsid w:val="00497824"/>
    <w:rsid w:val="00497A97"/>
    <w:rsid w:val="00497CB5"/>
    <w:rsid w:val="00497D95"/>
    <w:rsid w:val="00497DDE"/>
    <w:rsid w:val="00497E63"/>
    <w:rsid w:val="004A0042"/>
    <w:rsid w:val="004A0182"/>
    <w:rsid w:val="004A01E8"/>
    <w:rsid w:val="004A0407"/>
    <w:rsid w:val="004A0568"/>
    <w:rsid w:val="004A05B6"/>
    <w:rsid w:val="004A08F0"/>
    <w:rsid w:val="004A0B5F"/>
    <w:rsid w:val="004A0BAD"/>
    <w:rsid w:val="004A0D50"/>
    <w:rsid w:val="004A0EB1"/>
    <w:rsid w:val="004A0EB4"/>
    <w:rsid w:val="004A0EFA"/>
    <w:rsid w:val="004A0F9B"/>
    <w:rsid w:val="004A107E"/>
    <w:rsid w:val="004A10B3"/>
    <w:rsid w:val="004A13E7"/>
    <w:rsid w:val="004A1547"/>
    <w:rsid w:val="004A1561"/>
    <w:rsid w:val="004A18CF"/>
    <w:rsid w:val="004A1A69"/>
    <w:rsid w:val="004A1DD5"/>
    <w:rsid w:val="004A1DDB"/>
    <w:rsid w:val="004A1E0F"/>
    <w:rsid w:val="004A1F3C"/>
    <w:rsid w:val="004A1FEA"/>
    <w:rsid w:val="004A2102"/>
    <w:rsid w:val="004A21D9"/>
    <w:rsid w:val="004A220F"/>
    <w:rsid w:val="004A226F"/>
    <w:rsid w:val="004A236B"/>
    <w:rsid w:val="004A270E"/>
    <w:rsid w:val="004A2A3C"/>
    <w:rsid w:val="004A2A80"/>
    <w:rsid w:val="004A2B03"/>
    <w:rsid w:val="004A2C93"/>
    <w:rsid w:val="004A2E1E"/>
    <w:rsid w:val="004A2F93"/>
    <w:rsid w:val="004A2FA1"/>
    <w:rsid w:val="004A304F"/>
    <w:rsid w:val="004A305C"/>
    <w:rsid w:val="004A3171"/>
    <w:rsid w:val="004A31D8"/>
    <w:rsid w:val="004A3281"/>
    <w:rsid w:val="004A3458"/>
    <w:rsid w:val="004A36AA"/>
    <w:rsid w:val="004A3950"/>
    <w:rsid w:val="004A3B45"/>
    <w:rsid w:val="004A3B87"/>
    <w:rsid w:val="004A3D5A"/>
    <w:rsid w:val="004A3D88"/>
    <w:rsid w:val="004A3DFD"/>
    <w:rsid w:val="004A40E8"/>
    <w:rsid w:val="004A43B4"/>
    <w:rsid w:val="004A47E8"/>
    <w:rsid w:val="004A4864"/>
    <w:rsid w:val="004A48EE"/>
    <w:rsid w:val="004A4900"/>
    <w:rsid w:val="004A4AD2"/>
    <w:rsid w:val="004A4D50"/>
    <w:rsid w:val="004A4E40"/>
    <w:rsid w:val="004A4F45"/>
    <w:rsid w:val="004A4F46"/>
    <w:rsid w:val="004A50C8"/>
    <w:rsid w:val="004A51BC"/>
    <w:rsid w:val="004A533A"/>
    <w:rsid w:val="004A5453"/>
    <w:rsid w:val="004A545A"/>
    <w:rsid w:val="004A591A"/>
    <w:rsid w:val="004A5A4C"/>
    <w:rsid w:val="004A5C5F"/>
    <w:rsid w:val="004A5E37"/>
    <w:rsid w:val="004A63AB"/>
    <w:rsid w:val="004A6797"/>
    <w:rsid w:val="004A680C"/>
    <w:rsid w:val="004A68A6"/>
    <w:rsid w:val="004A6966"/>
    <w:rsid w:val="004A6A6D"/>
    <w:rsid w:val="004A6AC1"/>
    <w:rsid w:val="004A6E6C"/>
    <w:rsid w:val="004A6EBB"/>
    <w:rsid w:val="004A758F"/>
    <w:rsid w:val="004A7705"/>
    <w:rsid w:val="004A783F"/>
    <w:rsid w:val="004A7871"/>
    <w:rsid w:val="004A7C10"/>
    <w:rsid w:val="004A7F45"/>
    <w:rsid w:val="004B003D"/>
    <w:rsid w:val="004B032D"/>
    <w:rsid w:val="004B03DF"/>
    <w:rsid w:val="004B042D"/>
    <w:rsid w:val="004B06B3"/>
    <w:rsid w:val="004B0757"/>
    <w:rsid w:val="004B0813"/>
    <w:rsid w:val="004B0D70"/>
    <w:rsid w:val="004B0E38"/>
    <w:rsid w:val="004B113D"/>
    <w:rsid w:val="004B11EA"/>
    <w:rsid w:val="004B136E"/>
    <w:rsid w:val="004B1459"/>
    <w:rsid w:val="004B16AB"/>
    <w:rsid w:val="004B17C2"/>
    <w:rsid w:val="004B19DB"/>
    <w:rsid w:val="004B1E69"/>
    <w:rsid w:val="004B1EBF"/>
    <w:rsid w:val="004B1EC5"/>
    <w:rsid w:val="004B1F17"/>
    <w:rsid w:val="004B1F2A"/>
    <w:rsid w:val="004B20CC"/>
    <w:rsid w:val="004B21FD"/>
    <w:rsid w:val="004B23B5"/>
    <w:rsid w:val="004B24A3"/>
    <w:rsid w:val="004B257A"/>
    <w:rsid w:val="004B25FE"/>
    <w:rsid w:val="004B264F"/>
    <w:rsid w:val="004B2716"/>
    <w:rsid w:val="004B27AD"/>
    <w:rsid w:val="004B27EA"/>
    <w:rsid w:val="004B285C"/>
    <w:rsid w:val="004B2AAC"/>
    <w:rsid w:val="004B2B06"/>
    <w:rsid w:val="004B2C19"/>
    <w:rsid w:val="004B301C"/>
    <w:rsid w:val="004B3064"/>
    <w:rsid w:val="004B3241"/>
    <w:rsid w:val="004B33D7"/>
    <w:rsid w:val="004B365B"/>
    <w:rsid w:val="004B3798"/>
    <w:rsid w:val="004B38F9"/>
    <w:rsid w:val="004B39CE"/>
    <w:rsid w:val="004B3BBD"/>
    <w:rsid w:val="004B3CE2"/>
    <w:rsid w:val="004B3F28"/>
    <w:rsid w:val="004B40C0"/>
    <w:rsid w:val="004B40F1"/>
    <w:rsid w:val="004B4198"/>
    <w:rsid w:val="004B4550"/>
    <w:rsid w:val="004B45A0"/>
    <w:rsid w:val="004B45B2"/>
    <w:rsid w:val="004B461D"/>
    <w:rsid w:val="004B46E1"/>
    <w:rsid w:val="004B47DD"/>
    <w:rsid w:val="004B4805"/>
    <w:rsid w:val="004B4867"/>
    <w:rsid w:val="004B49EB"/>
    <w:rsid w:val="004B4C19"/>
    <w:rsid w:val="004B4FE8"/>
    <w:rsid w:val="004B4FF4"/>
    <w:rsid w:val="004B5136"/>
    <w:rsid w:val="004B54CD"/>
    <w:rsid w:val="004B54F6"/>
    <w:rsid w:val="004B56C2"/>
    <w:rsid w:val="004B583C"/>
    <w:rsid w:val="004B584D"/>
    <w:rsid w:val="004B5947"/>
    <w:rsid w:val="004B5A0C"/>
    <w:rsid w:val="004B5AA5"/>
    <w:rsid w:val="004B5D6B"/>
    <w:rsid w:val="004B5DF2"/>
    <w:rsid w:val="004B5F2E"/>
    <w:rsid w:val="004B6292"/>
    <w:rsid w:val="004B6415"/>
    <w:rsid w:val="004B651E"/>
    <w:rsid w:val="004B68C2"/>
    <w:rsid w:val="004B6B23"/>
    <w:rsid w:val="004B6B48"/>
    <w:rsid w:val="004B6D33"/>
    <w:rsid w:val="004B6E5B"/>
    <w:rsid w:val="004B6E98"/>
    <w:rsid w:val="004B6F58"/>
    <w:rsid w:val="004B70A4"/>
    <w:rsid w:val="004B75D2"/>
    <w:rsid w:val="004B75EC"/>
    <w:rsid w:val="004B7600"/>
    <w:rsid w:val="004B787E"/>
    <w:rsid w:val="004B79EF"/>
    <w:rsid w:val="004B7A82"/>
    <w:rsid w:val="004B7ACF"/>
    <w:rsid w:val="004B7B91"/>
    <w:rsid w:val="004B7BDB"/>
    <w:rsid w:val="004B7C1C"/>
    <w:rsid w:val="004B7C4E"/>
    <w:rsid w:val="004B7D16"/>
    <w:rsid w:val="004B7D79"/>
    <w:rsid w:val="004C042A"/>
    <w:rsid w:val="004C0599"/>
    <w:rsid w:val="004C05B6"/>
    <w:rsid w:val="004C0703"/>
    <w:rsid w:val="004C0BD2"/>
    <w:rsid w:val="004C0E81"/>
    <w:rsid w:val="004C1273"/>
    <w:rsid w:val="004C139E"/>
    <w:rsid w:val="004C13C6"/>
    <w:rsid w:val="004C14F5"/>
    <w:rsid w:val="004C1615"/>
    <w:rsid w:val="004C1A4F"/>
    <w:rsid w:val="004C1B80"/>
    <w:rsid w:val="004C1DE2"/>
    <w:rsid w:val="004C1E0A"/>
    <w:rsid w:val="004C1F94"/>
    <w:rsid w:val="004C2001"/>
    <w:rsid w:val="004C21A0"/>
    <w:rsid w:val="004C21C8"/>
    <w:rsid w:val="004C2239"/>
    <w:rsid w:val="004C22B7"/>
    <w:rsid w:val="004C2441"/>
    <w:rsid w:val="004C244D"/>
    <w:rsid w:val="004C2451"/>
    <w:rsid w:val="004C24D8"/>
    <w:rsid w:val="004C2540"/>
    <w:rsid w:val="004C2572"/>
    <w:rsid w:val="004C25C5"/>
    <w:rsid w:val="004C26DB"/>
    <w:rsid w:val="004C27C4"/>
    <w:rsid w:val="004C29DD"/>
    <w:rsid w:val="004C2A9A"/>
    <w:rsid w:val="004C2B17"/>
    <w:rsid w:val="004C2B52"/>
    <w:rsid w:val="004C2C63"/>
    <w:rsid w:val="004C2D63"/>
    <w:rsid w:val="004C31B7"/>
    <w:rsid w:val="004C3259"/>
    <w:rsid w:val="004C32B5"/>
    <w:rsid w:val="004C378A"/>
    <w:rsid w:val="004C39AA"/>
    <w:rsid w:val="004C3AEA"/>
    <w:rsid w:val="004C3BF9"/>
    <w:rsid w:val="004C412A"/>
    <w:rsid w:val="004C434A"/>
    <w:rsid w:val="004C4734"/>
    <w:rsid w:val="004C49EC"/>
    <w:rsid w:val="004C4B6E"/>
    <w:rsid w:val="004C4BD5"/>
    <w:rsid w:val="004C4E92"/>
    <w:rsid w:val="004C4EF5"/>
    <w:rsid w:val="004C507D"/>
    <w:rsid w:val="004C522A"/>
    <w:rsid w:val="004C5639"/>
    <w:rsid w:val="004C567C"/>
    <w:rsid w:val="004C57E2"/>
    <w:rsid w:val="004C5A01"/>
    <w:rsid w:val="004C5C03"/>
    <w:rsid w:val="004C5C13"/>
    <w:rsid w:val="004C5C23"/>
    <w:rsid w:val="004C5E84"/>
    <w:rsid w:val="004C5EAC"/>
    <w:rsid w:val="004C5F2F"/>
    <w:rsid w:val="004C6070"/>
    <w:rsid w:val="004C6159"/>
    <w:rsid w:val="004C62D3"/>
    <w:rsid w:val="004C6312"/>
    <w:rsid w:val="004C63E7"/>
    <w:rsid w:val="004C642F"/>
    <w:rsid w:val="004C64F0"/>
    <w:rsid w:val="004C664F"/>
    <w:rsid w:val="004C67DA"/>
    <w:rsid w:val="004C6996"/>
    <w:rsid w:val="004C6E64"/>
    <w:rsid w:val="004C71AA"/>
    <w:rsid w:val="004C738B"/>
    <w:rsid w:val="004C758D"/>
    <w:rsid w:val="004C75A5"/>
    <w:rsid w:val="004C77D3"/>
    <w:rsid w:val="004C79CB"/>
    <w:rsid w:val="004D0073"/>
    <w:rsid w:val="004D00F1"/>
    <w:rsid w:val="004D0187"/>
    <w:rsid w:val="004D01A9"/>
    <w:rsid w:val="004D029E"/>
    <w:rsid w:val="004D02DE"/>
    <w:rsid w:val="004D0422"/>
    <w:rsid w:val="004D073C"/>
    <w:rsid w:val="004D0A42"/>
    <w:rsid w:val="004D0CDC"/>
    <w:rsid w:val="004D0D06"/>
    <w:rsid w:val="004D0E95"/>
    <w:rsid w:val="004D1189"/>
    <w:rsid w:val="004D1245"/>
    <w:rsid w:val="004D12D0"/>
    <w:rsid w:val="004D1365"/>
    <w:rsid w:val="004D14F9"/>
    <w:rsid w:val="004D15AC"/>
    <w:rsid w:val="004D1742"/>
    <w:rsid w:val="004D1851"/>
    <w:rsid w:val="004D1A07"/>
    <w:rsid w:val="004D1A53"/>
    <w:rsid w:val="004D1C31"/>
    <w:rsid w:val="004D1C98"/>
    <w:rsid w:val="004D1E55"/>
    <w:rsid w:val="004D1EA5"/>
    <w:rsid w:val="004D1EE2"/>
    <w:rsid w:val="004D1FC2"/>
    <w:rsid w:val="004D21A7"/>
    <w:rsid w:val="004D21EF"/>
    <w:rsid w:val="004D230B"/>
    <w:rsid w:val="004D2410"/>
    <w:rsid w:val="004D283E"/>
    <w:rsid w:val="004D2845"/>
    <w:rsid w:val="004D2889"/>
    <w:rsid w:val="004D29A8"/>
    <w:rsid w:val="004D2B23"/>
    <w:rsid w:val="004D2B95"/>
    <w:rsid w:val="004D2C20"/>
    <w:rsid w:val="004D2CBB"/>
    <w:rsid w:val="004D32AC"/>
    <w:rsid w:val="004D3366"/>
    <w:rsid w:val="004D341E"/>
    <w:rsid w:val="004D381D"/>
    <w:rsid w:val="004D39F7"/>
    <w:rsid w:val="004D3CE6"/>
    <w:rsid w:val="004D3E5B"/>
    <w:rsid w:val="004D4091"/>
    <w:rsid w:val="004D413A"/>
    <w:rsid w:val="004D41FA"/>
    <w:rsid w:val="004D4390"/>
    <w:rsid w:val="004D442B"/>
    <w:rsid w:val="004D487E"/>
    <w:rsid w:val="004D4993"/>
    <w:rsid w:val="004D4A49"/>
    <w:rsid w:val="004D4AA1"/>
    <w:rsid w:val="004D4EFD"/>
    <w:rsid w:val="004D50BA"/>
    <w:rsid w:val="004D5100"/>
    <w:rsid w:val="004D51CF"/>
    <w:rsid w:val="004D56A1"/>
    <w:rsid w:val="004D5817"/>
    <w:rsid w:val="004D5A80"/>
    <w:rsid w:val="004D5ACC"/>
    <w:rsid w:val="004D5B67"/>
    <w:rsid w:val="004D5CAA"/>
    <w:rsid w:val="004D5E5B"/>
    <w:rsid w:val="004D5E6E"/>
    <w:rsid w:val="004D606D"/>
    <w:rsid w:val="004D60D2"/>
    <w:rsid w:val="004D629F"/>
    <w:rsid w:val="004D62C9"/>
    <w:rsid w:val="004D644C"/>
    <w:rsid w:val="004D677D"/>
    <w:rsid w:val="004D67A7"/>
    <w:rsid w:val="004D67B4"/>
    <w:rsid w:val="004D69C8"/>
    <w:rsid w:val="004D6B6D"/>
    <w:rsid w:val="004D6B7F"/>
    <w:rsid w:val="004D6D5A"/>
    <w:rsid w:val="004D6DBC"/>
    <w:rsid w:val="004D7278"/>
    <w:rsid w:val="004D7433"/>
    <w:rsid w:val="004D7492"/>
    <w:rsid w:val="004D7610"/>
    <w:rsid w:val="004D77B0"/>
    <w:rsid w:val="004D79D3"/>
    <w:rsid w:val="004D7BB1"/>
    <w:rsid w:val="004D7C3B"/>
    <w:rsid w:val="004D7CD1"/>
    <w:rsid w:val="004D7F3E"/>
    <w:rsid w:val="004D7FE6"/>
    <w:rsid w:val="004E00D4"/>
    <w:rsid w:val="004E0225"/>
    <w:rsid w:val="004E0333"/>
    <w:rsid w:val="004E090F"/>
    <w:rsid w:val="004E0BB7"/>
    <w:rsid w:val="004E0C8C"/>
    <w:rsid w:val="004E0CD3"/>
    <w:rsid w:val="004E0DF5"/>
    <w:rsid w:val="004E10F2"/>
    <w:rsid w:val="004E12E5"/>
    <w:rsid w:val="004E150E"/>
    <w:rsid w:val="004E1972"/>
    <w:rsid w:val="004E197A"/>
    <w:rsid w:val="004E1A88"/>
    <w:rsid w:val="004E1B25"/>
    <w:rsid w:val="004E1CF2"/>
    <w:rsid w:val="004E1D03"/>
    <w:rsid w:val="004E2208"/>
    <w:rsid w:val="004E22F2"/>
    <w:rsid w:val="004E233C"/>
    <w:rsid w:val="004E26EF"/>
    <w:rsid w:val="004E271A"/>
    <w:rsid w:val="004E27A4"/>
    <w:rsid w:val="004E2802"/>
    <w:rsid w:val="004E29C9"/>
    <w:rsid w:val="004E2B37"/>
    <w:rsid w:val="004E2B38"/>
    <w:rsid w:val="004E2F3C"/>
    <w:rsid w:val="004E32F0"/>
    <w:rsid w:val="004E336D"/>
    <w:rsid w:val="004E35E2"/>
    <w:rsid w:val="004E35E3"/>
    <w:rsid w:val="004E36FF"/>
    <w:rsid w:val="004E3774"/>
    <w:rsid w:val="004E384E"/>
    <w:rsid w:val="004E3A1D"/>
    <w:rsid w:val="004E3A89"/>
    <w:rsid w:val="004E3B28"/>
    <w:rsid w:val="004E3DCB"/>
    <w:rsid w:val="004E3E01"/>
    <w:rsid w:val="004E3F64"/>
    <w:rsid w:val="004E3FCF"/>
    <w:rsid w:val="004E3FED"/>
    <w:rsid w:val="004E42A1"/>
    <w:rsid w:val="004E4315"/>
    <w:rsid w:val="004E463B"/>
    <w:rsid w:val="004E4787"/>
    <w:rsid w:val="004E4A4B"/>
    <w:rsid w:val="004E5134"/>
    <w:rsid w:val="004E53D4"/>
    <w:rsid w:val="004E546E"/>
    <w:rsid w:val="004E554B"/>
    <w:rsid w:val="004E55C9"/>
    <w:rsid w:val="004E55F3"/>
    <w:rsid w:val="004E567D"/>
    <w:rsid w:val="004E56DB"/>
    <w:rsid w:val="004E5B1E"/>
    <w:rsid w:val="004E5B33"/>
    <w:rsid w:val="004E5C41"/>
    <w:rsid w:val="004E5D58"/>
    <w:rsid w:val="004E5DB2"/>
    <w:rsid w:val="004E5EB4"/>
    <w:rsid w:val="004E5F84"/>
    <w:rsid w:val="004E615C"/>
    <w:rsid w:val="004E63B5"/>
    <w:rsid w:val="004E6463"/>
    <w:rsid w:val="004E65EE"/>
    <w:rsid w:val="004E663A"/>
    <w:rsid w:val="004E6676"/>
    <w:rsid w:val="004E682A"/>
    <w:rsid w:val="004E68CF"/>
    <w:rsid w:val="004E6BFF"/>
    <w:rsid w:val="004E70BA"/>
    <w:rsid w:val="004E72E7"/>
    <w:rsid w:val="004E7367"/>
    <w:rsid w:val="004E73CB"/>
    <w:rsid w:val="004E7609"/>
    <w:rsid w:val="004E7867"/>
    <w:rsid w:val="004E7928"/>
    <w:rsid w:val="004E7C01"/>
    <w:rsid w:val="004E7EB6"/>
    <w:rsid w:val="004F011A"/>
    <w:rsid w:val="004F0279"/>
    <w:rsid w:val="004F03AF"/>
    <w:rsid w:val="004F05B7"/>
    <w:rsid w:val="004F063C"/>
    <w:rsid w:val="004F0749"/>
    <w:rsid w:val="004F0A11"/>
    <w:rsid w:val="004F0C54"/>
    <w:rsid w:val="004F0DFE"/>
    <w:rsid w:val="004F0E1A"/>
    <w:rsid w:val="004F0F71"/>
    <w:rsid w:val="004F137D"/>
    <w:rsid w:val="004F1527"/>
    <w:rsid w:val="004F1553"/>
    <w:rsid w:val="004F16D7"/>
    <w:rsid w:val="004F170F"/>
    <w:rsid w:val="004F176F"/>
    <w:rsid w:val="004F1950"/>
    <w:rsid w:val="004F1951"/>
    <w:rsid w:val="004F1A82"/>
    <w:rsid w:val="004F1C8E"/>
    <w:rsid w:val="004F1C99"/>
    <w:rsid w:val="004F1DE5"/>
    <w:rsid w:val="004F1E51"/>
    <w:rsid w:val="004F204D"/>
    <w:rsid w:val="004F2340"/>
    <w:rsid w:val="004F247A"/>
    <w:rsid w:val="004F250A"/>
    <w:rsid w:val="004F2537"/>
    <w:rsid w:val="004F29C4"/>
    <w:rsid w:val="004F2D78"/>
    <w:rsid w:val="004F2E0A"/>
    <w:rsid w:val="004F31FE"/>
    <w:rsid w:val="004F3295"/>
    <w:rsid w:val="004F33B9"/>
    <w:rsid w:val="004F3578"/>
    <w:rsid w:val="004F38D8"/>
    <w:rsid w:val="004F3A3A"/>
    <w:rsid w:val="004F3A7B"/>
    <w:rsid w:val="004F3AED"/>
    <w:rsid w:val="004F3F25"/>
    <w:rsid w:val="004F3FED"/>
    <w:rsid w:val="004F423B"/>
    <w:rsid w:val="004F4251"/>
    <w:rsid w:val="004F4364"/>
    <w:rsid w:val="004F437E"/>
    <w:rsid w:val="004F45CB"/>
    <w:rsid w:val="004F45D1"/>
    <w:rsid w:val="004F4634"/>
    <w:rsid w:val="004F4699"/>
    <w:rsid w:val="004F46E4"/>
    <w:rsid w:val="004F4771"/>
    <w:rsid w:val="004F485B"/>
    <w:rsid w:val="004F4CBD"/>
    <w:rsid w:val="004F4E9D"/>
    <w:rsid w:val="004F4F36"/>
    <w:rsid w:val="004F5158"/>
    <w:rsid w:val="004F527C"/>
    <w:rsid w:val="004F52D3"/>
    <w:rsid w:val="004F5325"/>
    <w:rsid w:val="004F53B0"/>
    <w:rsid w:val="004F5788"/>
    <w:rsid w:val="004F5D70"/>
    <w:rsid w:val="004F60E6"/>
    <w:rsid w:val="004F6178"/>
    <w:rsid w:val="004F6220"/>
    <w:rsid w:val="004F6AFF"/>
    <w:rsid w:val="004F6DEC"/>
    <w:rsid w:val="004F70D3"/>
    <w:rsid w:val="004F7296"/>
    <w:rsid w:val="004F7527"/>
    <w:rsid w:val="004F7543"/>
    <w:rsid w:val="004F7548"/>
    <w:rsid w:val="004F7802"/>
    <w:rsid w:val="004F78C0"/>
    <w:rsid w:val="004F7905"/>
    <w:rsid w:val="005001D5"/>
    <w:rsid w:val="00500336"/>
    <w:rsid w:val="00500375"/>
    <w:rsid w:val="005003CB"/>
    <w:rsid w:val="005003CD"/>
    <w:rsid w:val="00500AD9"/>
    <w:rsid w:val="00500B3A"/>
    <w:rsid w:val="00500C2E"/>
    <w:rsid w:val="00500CB9"/>
    <w:rsid w:val="00500EFF"/>
    <w:rsid w:val="0050111D"/>
    <w:rsid w:val="005011C8"/>
    <w:rsid w:val="00501242"/>
    <w:rsid w:val="0050127A"/>
    <w:rsid w:val="0050143B"/>
    <w:rsid w:val="00501870"/>
    <w:rsid w:val="00501936"/>
    <w:rsid w:val="00501EA7"/>
    <w:rsid w:val="00501EC4"/>
    <w:rsid w:val="00501ED3"/>
    <w:rsid w:val="00501F18"/>
    <w:rsid w:val="00501F67"/>
    <w:rsid w:val="0050203C"/>
    <w:rsid w:val="00502080"/>
    <w:rsid w:val="00502266"/>
    <w:rsid w:val="00502287"/>
    <w:rsid w:val="0050261F"/>
    <w:rsid w:val="0050264E"/>
    <w:rsid w:val="00502826"/>
    <w:rsid w:val="00502EF9"/>
    <w:rsid w:val="00502F80"/>
    <w:rsid w:val="00503033"/>
    <w:rsid w:val="0050303A"/>
    <w:rsid w:val="005031C8"/>
    <w:rsid w:val="0050343F"/>
    <w:rsid w:val="00503644"/>
    <w:rsid w:val="00503684"/>
    <w:rsid w:val="005037E8"/>
    <w:rsid w:val="005037EA"/>
    <w:rsid w:val="00503AC3"/>
    <w:rsid w:val="00503B1C"/>
    <w:rsid w:val="00503B40"/>
    <w:rsid w:val="00503EEB"/>
    <w:rsid w:val="00503F0E"/>
    <w:rsid w:val="00504024"/>
    <w:rsid w:val="00504308"/>
    <w:rsid w:val="00504334"/>
    <w:rsid w:val="0050470A"/>
    <w:rsid w:val="005047A4"/>
    <w:rsid w:val="00504AC8"/>
    <w:rsid w:val="00504B95"/>
    <w:rsid w:val="00504BB7"/>
    <w:rsid w:val="00504C77"/>
    <w:rsid w:val="00504FDA"/>
    <w:rsid w:val="00505205"/>
    <w:rsid w:val="00505415"/>
    <w:rsid w:val="00505444"/>
    <w:rsid w:val="0050584C"/>
    <w:rsid w:val="00505881"/>
    <w:rsid w:val="00506191"/>
    <w:rsid w:val="0050654F"/>
    <w:rsid w:val="00506730"/>
    <w:rsid w:val="005068E0"/>
    <w:rsid w:val="00506A44"/>
    <w:rsid w:val="00506CCF"/>
    <w:rsid w:val="00506D12"/>
    <w:rsid w:val="00506F25"/>
    <w:rsid w:val="00506F59"/>
    <w:rsid w:val="0050725E"/>
    <w:rsid w:val="00507434"/>
    <w:rsid w:val="005079D4"/>
    <w:rsid w:val="00507AE7"/>
    <w:rsid w:val="00507B9A"/>
    <w:rsid w:val="00507DE2"/>
    <w:rsid w:val="005100F9"/>
    <w:rsid w:val="00510116"/>
    <w:rsid w:val="0051055C"/>
    <w:rsid w:val="0051078C"/>
    <w:rsid w:val="00510796"/>
    <w:rsid w:val="005107DF"/>
    <w:rsid w:val="00510896"/>
    <w:rsid w:val="00510C0F"/>
    <w:rsid w:val="00510C3C"/>
    <w:rsid w:val="00510D13"/>
    <w:rsid w:val="00510EBE"/>
    <w:rsid w:val="00510EC4"/>
    <w:rsid w:val="00510EFD"/>
    <w:rsid w:val="00510F8A"/>
    <w:rsid w:val="00511440"/>
    <w:rsid w:val="00511627"/>
    <w:rsid w:val="00511A5E"/>
    <w:rsid w:val="00511D55"/>
    <w:rsid w:val="00511D73"/>
    <w:rsid w:val="00511E62"/>
    <w:rsid w:val="00512038"/>
    <w:rsid w:val="0051245D"/>
    <w:rsid w:val="005126CE"/>
    <w:rsid w:val="00512B9C"/>
    <w:rsid w:val="00512CFD"/>
    <w:rsid w:val="00512DA7"/>
    <w:rsid w:val="00512E36"/>
    <w:rsid w:val="00512E39"/>
    <w:rsid w:val="00512E43"/>
    <w:rsid w:val="00512E5F"/>
    <w:rsid w:val="00512EEE"/>
    <w:rsid w:val="0051308C"/>
    <w:rsid w:val="005131CF"/>
    <w:rsid w:val="0051328E"/>
    <w:rsid w:val="005132BA"/>
    <w:rsid w:val="00513441"/>
    <w:rsid w:val="0051347B"/>
    <w:rsid w:val="0051357D"/>
    <w:rsid w:val="005135F3"/>
    <w:rsid w:val="00513694"/>
    <w:rsid w:val="005136FE"/>
    <w:rsid w:val="0051399E"/>
    <w:rsid w:val="00513B0C"/>
    <w:rsid w:val="00513C1D"/>
    <w:rsid w:val="00513CE8"/>
    <w:rsid w:val="00513E1C"/>
    <w:rsid w:val="00513EBA"/>
    <w:rsid w:val="00513EBC"/>
    <w:rsid w:val="00513F5F"/>
    <w:rsid w:val="00513FC7"/>
    <w:rsid w:val="00514037"/>
    <w:rsid w:val="00514149"/>
    <w:rsid w:val="00514234"/>
    <w:rsid w:val="00514287"/>
    <w:rsid w:val="00514554"/>
    <w:rsid w:val="0051470F"/>
    <w:rsid w:val="005149C9"/>
    <w:rsid w:val="00514AEE"/>
    <w:rsid w:val="00514C90"/>
    <w:rsid w:val="00514F34"/>
    <w:rsid w:val="00515000"/>
    <w:rsid w:val="0051505A"/>
    <w:rsid w:val="005150B4"/>
    <w:rsid w:val="0051533F"/>
    <w:rsid w:val="00515422"/>
    <w:rsid w:val="005155E1"/>
    <w:rsid w:val="00515884"/>
    <w:rsid w:val="00515966"/>
    <w:rsid w:val="005159EA"/>
    <w:rsid w:val="00515A01"/>
    <w:rsid w:val="00515EB8"/>
    <w:rsid w:val="00515EF6"/>
    <w:rsid w:val="00515FD2"/>
    <w:rsid w:val="00516105"/>
    <w:rsid w:val="005164B8"/>
    <w:rsid w:val="0051657F"/>
    <w:rsid w:val="0051664E"/>
    <w:rsid w:val="00516691"/>
    <w:rsid w:val="00516A83"/>
    <w:rsid w:val="00516D49"/>
    <w:rsid w:val="00516E71"/>
    <w:rsid w:val="00517155"/>
    <w:rsid w:val="00517385"/>
    <w:rsid w:val="005175DD"/>
    <w:rsid w:val="005179F6"/>
    <w:rsid w:val="00517B76"/>
    <w:rsid w:val="00517BC0"/>
    <w:rsid w:val="00517C7D"/>
    <w:rsid w:val="00517F6F"/>
    <w:rsid w:val="0052002A"/>
    <w:rsid w:val="00520360"/>
    <w:rsid w:val="00520639"/>
    <w:rsid w:val="0052066B"/>
    <w:rsid w:val="00520691"/>
    <w:rsid w:val="00520858"/>
    <w:rsid w:val="00520945"/>
    <w:rsid w:val="00520AA5"/>
    <w:rsid w:val="00520ECD"/>
    <w:rsid w:val="00520F02"/>
    <w:rsid w:val="00521006"/>
    <w:rsid w:val="0052102B"/>
    <w:rsid w:val="00521260"/>
    <w:rsid w:val="0052127E"/>
    <w:rsid w:val="0052144F"/>
    <w:rsid w:val="00521484"/>
    <w:rsid w:val="005214D9"/>
    <w:rsid w:val="0052152F"/>
    <w:rsid w:val="00521615"/>
    <w:rsid w:val="00521776"/>
    <w:rsid w:val="005219D3"/>
    <w:rsid w:val="00521B79"/>
    <w:rsid w:val="00521BCD"/>
    <w:rsid w:val="00521C85"/>
    <w:rsid w:val="00521C97"/>
    <w:rsid w:val="00521DC1"/>
    <w:rsid w:val="00521E37"/>
    <w:rsid w:val="00521E3B"/>
    <w:rsid w:val="00521E69"/>
    <w:rsid w:val="0052238E"/>
    <w:rsid w:val="005225AC"/>
    <w:rsid w:val="005226CD"/>
    <w:rsid w:val="00522A56"/>
    <w:rsid w:val="00522A5E"/>
    <w:rsid w:val="00522AD4"/>
    <w:rsid w:val="00522C32"/>
    <w:rsid w:val="00522C6E"/>
    <w:rsid w:val="00522F94"/>
    <w:rsid w:val="00523268"/>
    <w:rsid w:val="0052341C"/>
    <w:rsid w:val="005235A0"/>
    <w:rsid w:val="00523929"/>
    <w:rsid w:val="00523A1D"/>
    <w:rsid w:val="00523A61"/>
    <w:rsid w:val="00523A6C"/>
    <w:rsid w:val="00523AF9"/>
    <w:rsid w:val="00523B6D"/>
    <w:rsid w:val="00523CC7"/>
    <w:rsid w:val="00523DDB"/>
    <w:rsid w:val="00523F00"/>
    <w:rsid w:val="005241E5"/>
    <w:rsid w:val="005244A4"/>
    <w:rsid w:val="00524643"/>
    <w:rsid w:val="00524707"/>
    <w:rsid w:val="00524977"/>
    <w:rsid w:val="00524A02"/>
    <w:rsid w:val="00524AC4"/>
    <w:rsid w:val="00524E91"/>
    <w:rsid w:val="00524EC2"/>
    <w:rsid w:val="00524ED5"/>
    <w:rsid w:val="00524F08"/>
    <w:rsid w:val="00524F94"/>
    <w:rsid w:val="00525247"/>
    <w:rsid w:val="0052592E"/>
    <w:rsid w:val="005259EA"/>
    <w:rsid w:val="00525A9C"/>
    <w:rsid w:val="00525ACF"/>
    <w:rsid w:val="00525B1A"/>
    <w:rsid w:val="00525B38"/>
    <w:rsid w:val="00525BC8"/>
    <w:rsid w:val="00525C74"/>
    <w:rsid w:val="00525FDF"/>
    <w:rsid w:val="00526055"/>
    <w:rsid w:val="00526215"/>
    <w:rsid w:val="005263BA"/>
    <w:rsid w:val="00526578"/>
    <w:rsid w:val="005265C2"/>
    <w:rsid w:val="0052669C"/>
    <w:rsid w:val="0052685C"/>
    <w:rsid w:val="005269FB"/>
    <w:rsid w:val="00526A5A"/>
    <w:rsid w:val="00526AAC"/>
    <w:rsid w:val="00526AD6"/>
    <w:rsid w:val="00526B3A"/>
    <w:rsid w:val="00527392"/>
    <w:rsid w:val="005274DB"/>
    <w:rsid w:val="0052764E"/>
    <w:rsid w:val="005278A5"/>
    <w:rsid w:val="0052792C"/>
    <w:rsid w:val="005279A2"/>
    <w:rsid w:val="00527DDA"/>
    <w:rsid w:val="00527E9A"/>
    <w:rsid w:val="00530666"/>
    <w:rsid w:val="0053069D"/>
    <w:rsid w:val="00530753"/>
    <w:rsid w:val="0053080A"/>
    <w:rsid w:val="00530D39"/>
    <w:rsid w:val="00530F47"/>
    <w:rsid w:val="0053100A"/>
    <w:rsid w:val="00531060"/>
    <w:rsid w:val="00531301"/>
    <w:rsid w:val="00531343"/>
    <w:rsid w:val="005314E1"/>
    <w:rsid w:val="0053156F"/>
    <w:rsid w:val="00531AD2"/>
    <w:rsid w:val="00531AEA"/>
    <w:rsid w:val="00531CE1"/>
    <w:rsid w:val="0053207A"/>
    <w:rsid w:val="00532322"/>
    <w:rsid w:val="0053232F"/>
    <w:rsid w:val="00532345"/>
    <w:rsid w:val="00532776"/>
    <w:rsid w:val="005327A4"/>
    <w:rsid w:val="00532A63"/>
    <w:rsid w:val="00532BBB"/>
    <w:rsid w:val="00532BE0"/>
    <w:rsid w:val="00533169"/>
    <w:rsid w:val="00533237"/>
    <w:rsid w:val="005333DB"/>
    <w:rsid w:val="005334EF"/>
    <w:rsid w:val="005335FC"/>
    <w:rsid w:val="0053360A"/>
    <w:rsid w:val="005336B5"/>
    <w:rsid w:val="00533901"/>
    <w:rsid w:val="00533DDB"/>
    <w:rsid w:val="00533E87"/>
    <w:rsid w:val="00533F94"/>
    <w:rsid w:val="0053416B"/>
    <w:rsid w:val="005341AB"/>
    <w:rsid w:val="00534499"/>
    <w:rsid w:val="0053496B"/>
    <w:rsid w:val="00534975"/>
    <w:rsid w:val="00534AB7"/>
    <w:rsid w:val="00534B0A"/>
    <w:rsid w:val="00534E96"/>
    <w:rsid w:val="00534EFB"/>
    <w:rsid w:val="00534F45"/>
    <w:rsid w:val="00535029"/>
    <w:rsid w:val="00535239"/>
    <w:rsid w:val="00535452"/>
    <w:rsid w:val="005354EA"/>
    <w:rsid w:val="0053563D"/>
    <w:rsid w:val="0053568D"/>
    <w:rsid w:val="005356E3"/>
    <w:rsid w:val="005358AA"/>
    <w:rsid w:val="005359BF"/>
    <w:rsid w:val="00535AA4"/>
    <w:rsid w:val="00535AAA"/>
    <w:rsid w:val="00535B09"/>
    <w:rsid w:val="00535BB3"/>
    <w:rsid w:val="00535C10"/>
    <w:rsid w:val="00535CD2"/>
    <w:rsid w:val="00535DA7"/>
    <w:rsid w:val="00535DD2"/>
    <w:rsid w:val="00535DD5"/>
    <w:rsid w:val="00535E83"/>
    <w:rsid w:val="005360F1"/>
    <w:rsid w:val="005360F2"/>
    <w:rsid w:val="00536480"/>
    <w:rsid w:val="00536AF4"/>
    <w:rsid w:val="00536B4F"/>
    <w:rsid w:val="00536CE7"/>
    <w:rsid w:val="00536D3C"/>
    <w:rsid w:val="00536EB2"/>
    <w:rsid w:val="00536F01"/>
    <w:rsid w:val="00536F10"/>
    <w:rsid w:val="005375C7"/>
    <w:rsid w:val="005376A3"/>
    <w:rsid w:val="00537A86"/>
    <w:rsid w:val="00537B56"/>
    <w:rsid w:val="00537C13"/>
    <w:rsid w:val="00537CA1"/>
    <w:rsid w:val="00537D1B"/>
    <w:rsid w:val="00537EA4"/>
    <w:rsid w:val="005380B7"/>
    <w:rsid w:val="005400A8"/>
    <w:rsid w:val="0054034F"/>
    <w:rsid w:val="00540370"/>
    <w:rsid w:val="005405F8"/>
    <w:rsid w:val="005406D8"/>
    <w:rsid w:val="0054086A"/>
    <w:rsid w:val="00540980"/>
    <w:rsid w:val="0054098A"/>
    <w:rsid w:val="00540B93"/>
    <w:rsid w:val="00540C3E"/>
    <w:rsid w:val="00540C82"/>
    <w:rsid w:val="00540D97"/>
    <w:rsid w:val="00540E68"/>
    <w:rsid w:val="00541091"/>
    <w:rsid w:val="005410D4"/>
    <w:rsid w:val="00541964"/>
    <w:rsid w:val="00541C14"/>
    <w:rsid w:val="00541CC2"/>
    <w:rsid w:val="00541FBD"/>
    <w:rsid w:val="00542248"/>
    <w:rsid w:val="00542298"/>
    <w:rsid w:val="00542446"/>
    <w:rsid w:val="00542491"/>
    <w:rsid w:val="0054282F"/>
    <w:rsid w:val="00542FC3"/>
    <w:rsid w:val="005430CA"/>
    <w:rsid w:val="0054314C"/>
    <w:rsid w:val="00543231"/>
    <w:rsid w:val="0054325C"/>
    <w:rsid w:val="005433AB"/>
    <w:rsid w:val="00543477"/>
    <w:rsid w:val="00543619"/>
    <w:rsid w:val="00543954"/>
    <w:rsid w:val="00543AD1"/>
    <w:rsid w:val="00543B75"/>
    <w:rsid w:val="00543C5C"/>
    <w:rsid w:val="0054407A"/>
    <w:rsid w:val="005444E9"/>
    <w:rsid w:val="00544758"/>
    <w:rsid w:val="00544785"/>
    <w:rsid w:val="005447FE"/>
    <w:rsid w:val="005448DF"/>
    <w:rsid w:val="0054491B"/>
    <w:rsid w:val="00544A41"/>
    <w:rsid w:val="00544B26"/>
    <w:rsid w:val="00544B76"/>
    <w:rsid w:val="00544F0C"/>
    <w:rsid w:val="00544F0D"/>
    <w:rsid w:val="00545087"/>
    <w:rsid w:val="0054516D"/>
    <w:rsid w:val="005453D2"/>
    <w:rsid w:val="00545426"/>
    <w:rsid w:val="0054552A"/>
    <w:rsid w:val="005457DF"/>
    <w:rsid w:val="00545895"/>
    <w:rsid w:val="00545B6D"/>
    <w:rsid w:val="00545D47"/>
    <w:rsid w:val="00545D90"/>
    <w:rsid w:val="00545DB6"/>
    <w:rsid w:val="00545E19"/>
    <w:rsid w:val="00545F36"/>
    <w:rsid w:val="00545F63"/>
    <w:rsid w:val="00546173"/>
    <w:rsid w:val="005462B7"/>
    <w:rsid w:val="0054632F"/>
    <w:rsid w:val="00546518"/>
    <w:rsid w:val="0054670C"/>
    <w:rsid w:val="00546955"/>
    <w:rsid w:val="00546B46"/>
    <w:rsid w:val="00546C1E"/>
    <w:rsid w:val="00546E04"/>
    <w:rsid w:val="00546E25"/>
    <w:rsid w:val="00546FD4"/>
    <w:rsid w:val="00546FD9"/>
    <w:rsid w:val="005471C3"/>
    <w:rsid w:val="00547358"/>
    <w:rsid w:val="005473B6"/>
    <w:rsid w:val="005478A9"/>
    <w:rsid w:val="00547978"/>
    <w:rsid w:val="00547CAD"/>
    <w:rsid w:val="00547DC9"/>
    <w:rsid w:val="00547F13"/>
    <w:rsid w:val="0055002F"/>
    <w:rsid w:val="0055053F"/>
    <w:rsid w:val="00550B3F"/>
    <w:rsid w:val="00550C97"/>
    <w:rsid w:val="005513E9"/>
    <w:rsid w:val="0055145B"/>
    <w:rsid w:val="00551783"/>
    <w:rsid w:val="005518B9"/>
    <w:rsid w:val="00551A30"/>
    <w:rsid w:val="00551CC1"/>
    <w:rsid w:val="00551F32"/>
    <w:rsid w:val="00552168"/>
    <w:rsid w:val="0055221B"/>
    <w:rsid w:val="005523D0"/>
    <w:rsid w:val="005526C5"/>
    <w:rsid w:val="00552708"/>
    <w:rsid w:val="0055296F"/>
    <w:rsid w:val="00552B31"/>
    <w:rsid w:val="00552E1B"/>
    <w:rsid w:val="00552E34"/>
    <w:rsid w:val="00552F3B"/>
    <w:rsid w:val="00552F67"/>
    <w:rsid w:val="005531B4"/>
    <w:rsid w:val="00553237"/>
    <w:rsid w:val="0055328C"/>
    <w:rsid w:val="005535CA"/>
    <w:rsid w:val="005536E9"/>
    <w:rsid w:val="00553709"/>
    <w:rsid w:val="00553723"/>
    <w:rsid w:val="00553771"/>
    <w:rsid w:val="005538A1"/>
    <w:rsid w:val="00553A16"/>
    <w:rsid w:val="00553AFD"/>
    <w:rsid w:val="00553BBB"/>
    <w:rsid w:val="00553BE9"/>
    <w:rsid w:val="00553D3B"/>
    <w:rsid w:val="00553D49"/>
    <w:rsid w:val="00553E3B"/>
    <w:rsid w:val="00553ED2"/>
    <w:rsid w:val="00554150"/>
    <w:rsid w:val="0055430F"/>
    <w:rsid w:val="00554789"/>
    <w:rsid w:val="00554C7D"/>
    <w:rsid w:val="00554DAF"/>
    <w:rsid w:val="00554E90"/>
    <w:rsid w:val="00555173"/>
    <w:rsid w:val="005551EB"/>
    <w:rsid w:val="00555673"/>
    <w:rsid w:val="005558BF"/>
    <w:rsid w:val="00555D01"/>
    <w:rsid w:val="00555E66"/>
    <w:rsid w:val="005561F3"/>
    <w:rsid w:val="005562EB"/>
    <w:rsid w:val="0055631F"/>
    <w:rsid w:val="005567F4"/>
    <w:rsid w:val="00556A08"/>
    <w:rsid w:val="00556A11"/>
    <w:rsid w:val="00556B68"/>
    <w:rsid w:val="00556B6C"/>
    <w:rsid w:val="00556C76"/>
    <w:rsid w:val="00556E6C"/>
    <w:rsid w:val="00556F62"/>
    <w:rsid w:val="0055702B"/>
    <w:rsid w:val="00557107"/>
    <w:rsid w:val="00557199"/>
    <w:rsid w:val="0055719B"/>
    <w:rsid w:val="00557201"/>
    <w:rsid w:val="0055747C"/>
    <w:rsid w:val="00557569"/>
    <w:rsid w:val="0055759E"/>
    <w:rsid w:val="005575C4"/>
    <w:rsid w:val="00557806"/>
    <w:rsid w:val="00557F8B"/>
    <w:rsid w:val="00557FA5"/>
    <w:rsid w:val="00557FAB"/>
    <w:rsid w:val="00557FEE"/>
    <w:rsid w:val="00560072"/>
    <w:rsid w:val="005604B7"/>
    <w:rsid w:val="005605BA"/>
    <w:rsid w:val="005606C7"/>
    <w:rsid w:val="005606DD"/>
    <w:rsid w:val="00560755"/>
    <w:rsid w:val="00560767"/>
    <w:rsid w:val="005607B7"/>
    <w:rsid w:val="00560993"/>
    <w:rsid w:val="00560A83"/>
    <w:rsid w:val="00560ADB"/>
    <w:rsid w:val="00560FF2"/>
    <w:rsid w:val="00561176"/>
    <w:rsid w:val="005611BC"/>
    <w:rsid w:val="005616FA"/>
    <w:rsid w:val="00561798"/>
    <w:rsid w:val="005617A0"/>
    <w:rsid w:val="005618F1"/>
    <w:rsid w:val="00561A55"/>
    <w:rsid w:val="00561CDB"/>
    <w:rsid w:val="00561E94"/>
    <w:rsid w:val="00561EE0"/>
    <w:rsid w:val="00562022"/>
    <w:rsid w:val="0056214C"/>
    <w:rsid w:val="005624E4"/>
    <w:rsid w:val="005625AB"/>
    <w:rsid w:val="00562680"/>
    <w:rsid w:val="00562932"/>
    <w:rsid w:val="00562CCC"/>
    <w:rsid w:val="00562F4D"/>
    <w:rsid w:val="0056327C"/>
    <w:rsid w:val="005632F5"/>
    <w:rsid w:val="005633E4"/>
    <w:rsid w:val="00563429"/>
    <w:rsid w:val="005639B9"/>
    <w:rsid w:val="005639FA"/>
    <w:rsid w:val="00563A36"/>
    <w:rsid w:val="00563E18"/>
    <w:rsid w:val="00563FA5"/>
    <w:rsid w:val="005642BD"/>
    <w:rsid w:val="0056432A"/>
    <w:rsid w:val="00564378"/>
    <w:rsid w:val="005643EA"/>
    <w:rsid w:val="005645E9"/>
    <w:rsid w:val="0056483D"/>
    <w:rsid w:val="00564999"/>
    <w:rsid w:val="00564BC1"/>
    <w:rsid w:val="00564BD8"/>
    <w:rsid w:val="00564CC8"/>
    <w:rsid w:val="00564D52"/>
    <w:rsid w:val="00564EFB"/>
    <w:rsid w:val="00564F4F"/>
    <w:rsid w:val="00564F6E"/>
    <w:rsid w:val="005650FF"/>
    <w:rsid w:val="0056514A"/>
    <w:rsid w:val="0056514B"/>
    <w:rsid w:val="005651B6"/>
    <w:rsid w:val="005653AC"/>
    <w:rsid w:val="0056546D"/>
    <w:rsid w:val="005654E2"/>
    <w:rsid w:val="0056554D"/>
    <w:rsid w:val="005657EB"/>
    <w:rsid w:val="0056597C"/>
    <w:rsid w:val="00565A77"/>
    <w:rsid w:val="00565B1B"/>
    <w:rsid w:val="00565C54"/>
    <w:rsid w:val="0056641A"/>
    <w:rsid w:val="00566824"/>
    <w:rsid w:val="00566AF0"/>
    <w:rsid w:val="00566B52"/>
    <w:rsid w:val="00566C16"/>
    <w:rsid w:val="00566D23"/>
    <w:rsid w:val="00566E95"/>
    <w:rsid w:val="00567002"/>
    <w:rsid w:val="00567391"/>
    <w:rsid w:val="00567484"/>
    <w:rsid w:val="0056771C"/>
    <w:rsid w:val="005677AC"/>
    <w:rsid w:val="00567837"/>
    <w:rsid w:val="005679E3"/>
    <w:rsid w:val="00567C2C"/>
    <w:rsid w:val="00567C87"/>
    <w:rsid w:val="00567D21"/>
    <w:rsid w:val="00567E48"/>
    <w:rsid w:val="00567F7F"/>
    <w:rsid w:val="005700F1"/>
    <w:rsid w:val="00570388"/>
    <w:rsid w:val="005703AE"/>
    <w:rsid w:val="00570426"/>
    <w:rsid w:val="0057053A"/>
    <w:rsid w:val="005705CA"/>
    <w:rsid w:val="005707EB"/>
    <w:rsid w:val="005709DF"/>
    <w:rsid w:val="00570A50"/>
    <w:rsid w:val="00570DFF"/>
    <w:rsid w:val="00570F3B"/>
    <w:rsid w:val="00570F86"/>
    <w:rsid w:val="00570FF6"/>
    <w:rsid w:val="005712C1"/>
    <w:rsid w:val="005713B8"/>
    <w:rsid w:val="005716CE"/>
    <w:rsid w:val="005719E9"/>
    <w:rsid w:val="00571BA9"/>
    <w:rsid w:val="00571D70"/>
    <w:rsid w:val="00572140"/>
    <w:rsid w:val="0057255A"/>
    <w:rsid w:val="00572561"/>
    <w:rsid w:val="005729E8"/>
    <w:rsid w:val="00572CE2"/>
    <w:rsid w:val="00572E01"/>
    <w:rsid w:val="00572EA4"/>
    <w:rsid w:val="00572F2A"/>
    <w:rsid w:val="00573005"/>
    <w:rsid w:val="00573875"/>
    <w:rsid w:val="00573D1A"/>
    <w:rsid w:val="00573E84"/>
    <w:rsid w:val="00573ED5"/>
    <w:rsid w:val="00573F95"/>
    <w:rsid w:val="00574025"/>
    <w:rsid w:val="005741D5"/>
    <w:rsid w:val="00574455"/>
    <w:rsid w:val="005744D4"/>
    <w:rsid w:val="0057452B"/>
    <w:rsid w:val="0057457D"/>
    <w:rsid w:val="005745E1"/>
    <w:rsid w:val="005745E2"/>
    <w:rsid w:val="00574611"/>
    <w:rsid w:val="005747BF"/>
    <w:rsid w:val="00574A39"/>
    <w:rsid w:val="00574A5A"/>
    <w:rsid w:val="00574BC1"/>
    <w:rsid w:val="00574E50"/>
    <w:rsid w:val="005750F4"/>
    <w:rsid w:val="00575274"/>
    <w:rsid w:val="005752E1"/>
    <w:rsid w:val="005756EB"/>
    <w:rsid w:val="0057586C"/>
    <w:rsid w:val="0057594A"/>
    <w:rsid w:val="005759B5"/>
    <w:rsid w:val="00575A13"/>
    <w:rsid w:val="00575A34"/>
    <w:rsid w:val="00575F93"/>
    <w:rsid w:val="00576139"/>
    <w:rsid w:val="0057656F"/>
    <w:rsid w:val="0057678F"/>
    <w:rsid w:val="00576ABF"/>
    <w:rsid w:val="00576AE8"/>
    <w:rsid w:val="00576D30"/>
    <w:rsid w:val="00576F6A"/>
    <w:rsid w:val="005771CC"/>
    <w:rsid w:val="0057743D"/>
    <w:rsid w:val="00577650"/>
    <w:rsid w:val="005776D7"/>
    <w:rsid w:val="005777A4"/>
    <w:rsid w:val="005777E3"/>
    <w:rsid w:val="005779AB"/>
    <w:rsid w:val="00577AD8"/>
    <w:rsid w:val="00577DBC"/>
    <w:rsid w:val="00577EAB"/>
    <w:rsid w:val="00577EE2"/>
    <w:rsid w:val="005800B2"/>
    <w:rsid w:val="0058026A"/>
    <w:rsid w:val="0058029A"/>
    <w:rsid w:val="00580406"/>
    <w:rsid w:val="00580975"/>
    <w:rsid w:val="00580AD7"/>
    <w:rsid w:val="00580D54"/>
    <w:rsid w:val="005813DF"/>
    <w:rsid w:val="0058145F"/>
    <w:rsid w:val="00581552"/>
    <w:rsid w:val="005817AD"/>
    <w:rsid w:val="0058192E"/>
    <w:rsid w:val="005819CE"/>
    <w:rsid w:val="005819EE"/>
    <w:rsid w:val="00581AF2"/>
    <w:rsid w:val="00582116"/>
    <w:rsid w:val="005824DF"/>
    <w:rsid w:val="0058288D"/>
    <w:rsid w:val="0058290A"/>
    <w:rsid w:val="00582997"/>
    <w:rsid w:val="00582C70"/>
    <w:rsid w:val="00582D4E"/>
    <w:rsid w:val="00582F08"/>
    <w:rsid w:val="00583122"/>
    <w:rsid w:val="00583743"/>
    <w:rsid w:val="00583AA6"/>
    <w:rsid w:val="00583AED"/>
    <w:rsid w:val="00583C7F"/>
    <w:rsid w:val="00583E74"/>
    <w:rsid w:val="00583F5F"/>
    <w:rsid w:val="005840F7"/>
    <w:rsid w:val="00584319"/>
    <w:rsid w:val="00584547"/>
    <w:rsid w:val="005847F1"/>
    <w:rsid w:val="00584CF0"/>
    <w:rsid w:val="00584F65"/>
    <w:rsid w:val="00584FFF"/>
    <w:rsid w:val="0058523B"/>
    <w:rsid w:val="005852C3"/>
    <w:rsid w:val="005855C4"/>
    <w:rsid w:val="005855D2"/>
    <w:rsid w:val="0058580A"/>
    <w:rsid w:val="00585874"/>
    <w:rsid w:val="00585A10"/>
    <w:rsid w:val="00585A76"/>
    <w:rsid w:val="00585BF4"/>
    <w:rsid w:val="00585D71"/>
    <w:rsid w:val="00585D99"/>
    <w:rsid w:val="005860C6"/>
    <w:rsid w:val="00586152"/>
    <w:rsid w:val="005861E4"/>
    <w:rsid w:val="00586421"/>
    <w:rsid w:val="0058648D"/>
    <w:rsid w:val="0058655E"/>
    <w:rsid w:val="005865BC"/>
    <w:rsid w:val="00586792"/>
    <w:rsid w:val="0058689A"/>
    <w:rsid w:val="00586AE4"/>
    <w:rsid w:val="00586C0C"/>
    <w:rsid w:val="00586CFD"/>
    <w:rsid w:val="00586D0C"/>
    <w:rsid w:val="00586EBA"/>
    <w:rsid w:val="00586EF0"/>
    <w:rsid w:val="00587133"/>
    <w:rsid w:val="005871B6"/>
    <w:rsid w:val="005874A6"/>
    <w:rsid w:val="00587881"/>
    <w:rsid w:val="0058788A"/>
    <w:rsid w:val="00587894"/>
    <w:rsid w:val="00587A80"/>
    <w:rsid w:val="00587BF7"/>
    <w:rsid w:val="00587CAB"/>
    <w:rsid w:val="00587DDF"/>
    <w:rsid w:val="00587E24"/>
    <w:rsid w:val="00587EFB"/>
    <w:rsid w:val="00590353"/>
    <w:rsid w:val="0059047B"/>
    <w:rsid w:val="005908CD"/>
    <w:rsid w:val="005909A9"/>
    <w:rsid w:val="00590A4A"/>
    <w:rsid w:val="00590D6F"/>
    <w:rsid w:val="00590EDD"/>
    <w:rsid w:val="005910DE"/>
    <w:rsid w:val="00591366"/>
    <w:rsid w:val="005914C7"/>
    <w:rsid w:val="005917C3"/>
    <w:rsid w:val="00591926"/>
    <w:rsid w:val="0059199F"/>
    <w:rsid w:val="005919BD"/>
    <w:rsid w:val="00591B89"/>
    <w:rsid w:val="00591BED"/>
    <w:rsid w:val="00591FE0"/>
    <w:rsid w:val="005920C5"/>
    <w:rsid w:val="00592239"/>
    <w:rsid w:val="00592370"/>
    <w:rsid w:val="0059241B"/>
    <w:rsid w:val="0059268A"/>
    <w:rsid w:val="00592692"/>
    <w:rsid w:val="005926BD"/>
    <w:rsid w:val="0059274C"/>
    <w:rsid w:val="00592B09"/>
    <w:rsid w:val="00592B67"/>
    <w:rsid w:val="00592C01"/>
    <w:rsid w:val="00592CDB"/>
    <w:rsid w:val="00592E5E"/>
    <w:rsid w:val="00592EAB"/>
    <w:rsid w:val="00593135"/>
    <w:rsid w:val="00593340"/>
    <w:rsid w:val="005935A0"/>
    <w:rsid w:val="0059383E"/>
    <w:rsid w:val="0059399D"/>
    <w:rsid w:val="005939AB"/>
    <w:rsid w:val="00593A7D"/>
    <w:rsid w:val="00593BC0"/>
    <w:rsid w:val="00593E73"/>
    <w:rsid w:val="00593F24"/>
    <w:rsid w:val="00593FC5"/>
    <w:rsid w:val="0059400E"/>
    <w:rsid w:val="00594202"/>
    <w:rsid w:val="00594367"/>
    <w:rsid w:val="005943D6"/>
    <w:rsid w:val="005945A9"/>
    <w:rsid w:val="00594628"/>
    <w:rsid w:val="00594868"/>
    <w:rsid w:val="005948E5"/>
    <w:rsid w:val="00594C1F"/>
    <w:rsid w:val="00594F88"/>
    <w:rsid w:val="00595182"/>
    <w:rsid w:val="00595291"/>
    <w:rsid w:val="005955DD"/>
    <w:rsid w:val="005957F4"/>
    <w:rsid w:val="00595814"/>
    <w:rsid w:val="00596034"/>
    <w:rsid w:val="00596046"/>
    <w:rsid w:val="00596058"/>
    <w:rsid w:val="005960D1"/>
    <w:rsid w:val="00596106"/>
    <w:rsid w:val="0059637E"/>
    <w:rsid w:val="00596471"/>
    <w:rsid w:val="005964F2"/>
    <w:rsid w:val="00596A31"/>
    <w:rsid w:val="00596BD8"/>
    <w:rsid w:val="005970E5"/>
    <w:rsid w:val="0059736C"/>
    <w:rsid w:val="00597467"/>
    <w:rsid w:val="00597499"/>
    <w:rsid w:val="00597547"/>
    <w:rsid w:val="00597596"/>
    <w:rsid w:val="005975DF"/>
    <w:rsid w:val="0059783C"/>
    <w:rsid w:val="00597858"/>
    <w:rsid w:val="00597A62"/>
    <w:rsid w:val="00597BDC"/>
    <w:rsid w:val="00597BE8"/>
    <w:rsid w:val="00597D14"/>
    <w:rsid w:val="00597DF8"/>
    <w:rsid w:val="005A014E"/>
    <w:rsid w:val="005A0261"/>
    <w:rsid w:val="005A0334"/>
    <w:rsid w:val="005A0572"/>
    <w:rsid w:val="005A05A4"/>
    <w:rsid w:val="005A05AD"/>
    <w:rsid w:val="005A0A77"/>
    <w:rsid w:val="005A0B05"/>
    <w:rsid w:val="005A0B49"/>
    <w:rsid w:val="005A0E07"/>
    <w:rsid w:val="005A1181"/>
    <w:rsid w:val="005A12F1"/>
    <w:rsid w:val="005A142A"/>
    <w:rsid w:val="005A1838"/>
    <w:rsid w:val="005A1C72"/>
    <w:rsid w:val="005A1C81"/>
    <w:rsid w:val="005A1E39"/>
    <w:rsid w:val="005A1F91"/>
    <w:rsid w:val="005A23EE"/>
    <w:rsid w:val="005A25A7"/>
    <w:rsid w:val="005A2718"/>
    <w:rsid w:val="005A2745"/>
    <w:rsid w:val="005A29AF"/>
    <w:rsid w:val="005A2A10"/>
    <w:rsid w:val="005A2A2F"/>
    <w:rsid w:val="005A2A3B"/>
    <w:rsid w:val="005A2B80"/>
    <w:rsid w:val="005A2BF7"/>
    <w:rsid w:val="005A2DBE"/>
    <w:rsid w:val="005A2E52"/>
    <w:rsid w:val="005A2E5F"/>
    <w:rsid w:val="005A2F38"/>
    <w:rsid w:val="005A2F58"/>
    <w:rsid w:val="005A2FD8"/>
    <w:rsid w:val="005A30EE"/>
    <w:rsid w:val="005A338C"/>
    <w:rsid w:val="005A33D4"/>
    <w:rsid w:val="005A34A0"/>
    <w:rsid w:val="005A3584"/>
    <w:rsid w:val="005A36A2"/>
    <w:rsid w:val="005A36B0"/>
    <w:rsid w:val="005A3740"/>
    <w:rsid w:val="005A376D"/>
    <w:rsid w:val="005A3805"/>
    <w:rsid w:val="005A3B9F"/>
    <w:rsid w:val="005A3D0D"/>
    <w:rsid w:val="005A4037"/>
    <w:rsid w:val="005A410C"/>
    <w:rsid w:val="005A4383"/>
    <w:rsid w:val="005A43FE"/>
    <w:rsid w:val="005A4428"/>
    <w:rsid w:val="005A4462"/>
    <w:rsid w:val="005A45DA"/>
    <w:rsid w:val="005A4665"/>
    <w:rsid w:val="005A46A6"/>
    <w:rsid w:val="005A4B39"/>
    <w:rsid w:val="005A4C72"/>
    <w:rsid w:val="005A5026"/>
    <w:rsid w:val="005A52FD"/>
    <w:rsid w:val="005A53C9"/>
    <w:rsid w:val="005A54F3"/>
    <w:rsid w:val="005A5678"/>
    <w:rsid w:val="005A580B"/>
    <w:rsid w:val="005A5DB4"/>
    <w:rsid w:val="005A5F7E"/>
    <w:rsid w:val="005A604B"/>
    <w:rsid w:val="005A6136"/>
    <w:rsid w:val="005A6246"/>
    <w:rsid w:val="005A626F"/>
    <w:rsid w:val="005A64D6"/>
    <w:rsid w:val="005A664A"/>
    <w:rsid w:val="005A6686"/>
    <w:rsid w:val="005A67D0"/>
    <w:rsid w:val="005A69BB"/>
    <w:rsid w:val="005A69E8"/>
    <w:rsid w:val="005A6A07"/>
    <w:rsid w:val="005A6ACB"/>
    <w:rsid w:val="005A6B89"/>
    <w:rsid w:val="005A710B"/>
    <w:rsid w:val="005A7129"/>
    <w:rsid w:val="005A7220"/>
    <w:rsid w:val="005A7520"/>
    <w:rsid w:val="005A7574"/>
    <w:rsid w:val="005A766B"/>
    <w:rsid w:val="005A7793"/>
    <w:rsid w:val="005A7805"/>
    <w:rsid w:val="005A780F"/>
    <w:rsid w:val="005A7843"/>
    <w:rsid w:val="005A7905"/>
    <w:rsid w:val="005A7AFF"/>
    <w:rsid w:val="005A7C26"/>
    <w:rsid w:val="005B01A6"/>
    <w:rsid w:val="005B026B"/>
    <w:rsid w:val="005B02A8"/>
    <w:rsid w:val="005B0A9A"/>
    <w:rsid w:val="005B0AE6"/>
    <w:rsid w:val="005B0B37"/>
    <w:rsid w:val="005B0BB3"/>
    <w:rsid w:val="005B0BF2"/>
    <w:rsid w:val="005B0E4D"/>
    <w:rsid w:val="005B0EA9"/>
    <w:rsid w:val="005B0FB4"/>
    <w:rsid w:val="005B1242"/>
    <w:rsid w:val="005B1654"/>
    <w:rsid w:val="005B175D"/>
    <w:rsid w:val="005B1A11"/>
    <w:rsid w:val="005B1A96"/>
    <w:rsid w:val="005B1D29"/>
    <w:rsid w:val="005B1EAA"/>
    <w:rsid w:val="005B1EAB"/>
    <w:rsid w:val="005B1EB6"/>
    <w:rsid w:val="005B1F89"/>
    <w:rsid w:val="005B2022"/>
    <w:rsid w:val="005B20FA"/>
    <w:rsid w:val="005B288D"/>
    <w:rsid w:val="005B28A7"/>
    <w:rsid w:val="005B2A4B"/>
    <w:rsid w:val="005B2C69"/>
    <w:rsid w:val="005B2D97"/>
    <w:rsid w:val="005B2E6A"/>
    <w:rsid w:val="005B304E"/>
    <w:rsid w:val="005B311A"/>
    <w:rsid w:val="005B313E"/>
    <w:rsid w:val="005B325F"/>
    <w:rsid w:val="005B3C66"/>
    <w:rsid w:val="005B3FF7"/>
    <w:rsid w:val="005B405B"/>
    <w:rsid w:val="005B408A"/>
    <w:rsid w:val="005B4318"/>
    <w:rsid w:val="005B43AE"/>
    <w:rsid w:val="005B4426"/>
    <w:rsid w:val="005B466F"/>
    <w:rsid w:val="005B4699"/>
    <w:rsid w:val="005B48E4"/>
    <w:rsid w:val="005B4974"/>
    <w:rsid w:val="005B4997"/>
    <w:rsid w:val="005B4DDF"/>
    <w:rsid w:val="005B4ECB"/>
    <w:rsid w:val="005B4FF4"/>
    <w:rsid w:val="005B54A8"/>
    <w:rsid w:val="005B556E"/>
    <w:rsid w:val="005B5754"/>
    <w:rsid w:val="005B5760"/>
    <w:rsid w:val="005B599E"/>
    <w:rsid w:val="005B5A7B"/>
    <w:rsid w:val="005B5ACF"/>
    <w:rsid w:val="005B5D2A"/>
    <w:rsid w:val="005B5F41"/>
    <w:rsid w:val="005B5F58"/>
    <w:rsid w:val="005B64FF"/>
    <w:rsid w:val="005B6525"/>
    <w:rsid w:val="005B6618"/>
    <w:rsid w:val="005B6659"/>
    <w:rsid w:val="005B66DD"/>
    <w:rsid w:val="005B67C5"/>
    <w:rsid w:val="005B6CC8"/>
    <w:rsid w:val="005B6E80"/>
    <w:rsid w:val="005B6EEE"/>
    <w:rsid w:val="005B6F2C"/>
    <w:rsid w:val="005B6FC6"/>
    <w:rsid w:val="005B73A5"/>
    <w:rsid w:val="005B759C"/>
    <w:rsid w:val="005B7A48"/>
    <w:rsid w:val="005B7B4B"/>
    <w:rsid w:val="005C0183"/>
    <w:rsid w:val="005C0337"/>
    <w:rsid w:val="005C070D"/>
    <w:rsid w:val="005C079F"/>
    <w:rsid w:val="005C07C2"/>
    <w:rsid w:val="005C07D3"/>
    <w:rsid w:val="005C0883"/>
    <w:rsid w:val="005C09C0"/>
    <w:rsid w:val="005C0A1F"/>
    <w:rsid w:val="005C0B3B"/>
    <w:rsid w:val="005C0C09"/>
    <w:rsid w:val="005C0CC4"/>
    <w:rsid w:val="005C0F57"/>
    <w:rsid w:val="005C13A4"/>
    <w:rsid w:val="005C1517"/>
    <w:rsid w:val="005C1AF3"/>
    <w:rsid w:val="005C1C6B"/>
    <w:rsid w:val="005C1CA2"/>
    <w:rsid w:val="005C1D4A"/>
    <w:rsid w:val="005C20A0"/>
    <w:rsid w:val="005C2125"/>
    <w:rsid w:val="005C24A2"/>
    <w:rsid w:val="005C2868"/>
    <w:rsid w:val="005C2876"/>
    <w:rsid w:val="005C2C19"/>
    <w:rsid w:val="005C2C36"/>
    <w:rsid w:val="005C2CAD"/>
    <w:rsid w:val="005C2E0E"/>
    <w:rsid w:val="005C2F0E"/>
    <w:rsid w:val="005C2FB8"/>
    <w:rsid w:val="005C2FD6"/>
    <w:rsid w:val="005C3087"/>
    <w:rsid w:val="005C3294"/>
    <w:rsid w:val="005C36C6"/>
    <w:rsid w:val="005C3761"/>
    <w:rsid w:val="005C37A7"/>
    <w:rsid w:val="005C38F6"/>
    <w:rsid w:val="005C3C94"/>
    <w:rsid w:val="005C3F89"/>
    <w:rsid w:val="005C4193"/>
    <w:rsid w:val="005C41C5"/>
    <w:rsid w:val="005C41D7"/>
    <w:rsid w:val="005C4319"/>
    <w:rsid w:val="005C4580"/>
    <w:rsid w:val="005C4709"/>
    <w:rsid w:val="005C4794"/>
    <w:rsid w:val="005C4961"/>
    <w:rsid w:val="005C4E34"/>
    <w:rsid w:val="005C4E66"/>
    <w:rsid w:val="005C539E"/>
    <w:rsid w:val="005C54EF"/>
    <w:rsid w:val="005C5665"/>
    <w:rsid w:val="005C56E9"/>
    <w:rsid w:val="005C5793"/>
    <w:rsid w:val="005C5935"/>
    <w:rsid w:val="005C5966"/>
    <w:rsid w:val="005C5C88"/>
    <w:rsid w:val="005C5CA7"/>
    <w:rsid w:val="005C6316"/>
    <w:rsid w:val="005C636D"/>
    <w:rsid w:val="005C63E9"/>
    <w:rsid w:val="005C6494"/>
    <w:rsid w:val="005C64EB"/>
    <w:rsid w:val="005C64FC"/>
    <w:rsid w:val="005C6666"/>
    <w:rsid w:val="005C66E8"/>
    <w:rsid w:val="005C6BC5"/>
    <w:rsid w:val="005C6C59"/>
    <w:rsid w:val="005C6E4F"/>
    <w:rsid w:val="005C7072"/>
    <w:rsid w:val="005C7249"/>
    <w:rsid w:val="005C7395"/>
    <w:rsid w:val="005C741D"/>
    <w:rsid w:val="005C7586"/>
    <w:rsid w:val="005C75F4"/>
    <w:rsid w:val="005C7627"/>
    <w:rsid w:val="005C7683"/>
    <w:rsid w:val="005C7912"/>
    <w:rsid w:val="005C7ACA"/>
    <w:rsid w:val="005C7BAC"/>
    <w:rsid w:val="005C7D64"/>
    <w:rsid w:val="005C7E47"/>
    <w:rsid w:val="005C7EC5"/>
    <w:rsid w:val="005D0106"/>
    <w:rsid w:val="005D02C7"/>
    <w:rsid w:val="005D0545"/>
    <w:rsid w:val="005D0B46"/>
    <w:rsid w:val="005D0C47"/>
    <w:rsid w:val="005D0E2F"/>
    <w:rsid w:val="005D1087"/>
    <w:rsid w:val="005D10DA"/>
    <w:rsid w:val="005D14C2"/>
    <w:rsid w:val="005D1599"/>
    <w:rsid w:val="005D17C0"/>
    <w:rsid w:val="005D1983"/>
    <w:rsid w:val="005D1D98"/>
    <w:rsid w:val="005D1F8D"/>
    <w:rsid w:val="005D1FC4"/>
    <w:rsid w:val="005D207E"/>
    <w:rsid w:val="005D210A"/>
    <w:rsid w:val="005D21D3"/>
    <w:rsid w:val="005D2212"/>
    <w:rsid w:val="005D23D7"/>
    <w:rsid w:val="005D24CB"/>
    <w:rsid w:val="005D24E9"/>
    <w:rsid w:val="005D2726"/>
    <w:rsid w:val="005D2836"/>
    <w:rsid w:val="005D2D3A"/>
    <w:rsid w:val="005D2D9D"/>
    <w:rsid w:val="005D2DCC"/>
    <w:rsid w:val="005D2F3E"/>
    <w:rsid w:val="005D305B"/>
    <w:rsid w:val="005D3407"/>
    <w:rsid w:val="005D35D4"/>
    <w:rsid w:val="005D35D5"/>
    <w:rsid w:val="005D3906"/>
    <w:rsid w:val="005D3A0D"/>
    <w:rsid w:val="005D3A19"/>
    <w:rsid w:val="005D3B1E"/>
    <w:rsid w:val="005D3C4D"/>
    <w:rsid w:val="005D3CA2"/>
    <w:rsid w:val="005D3E0F"/>
    <w:rsid w:val="005D3E4F"/>
    <w:rsid w:val="005D3F39"/>
    <w:rsid w:val="005D44BA"/>
    <w:rsid w:val="005D45EE"/>
    <w:rsid w:val="005D472D"/>
    <w:rsid w:val="005D490B"/>
    <w:rsid w:val="005D49C1"/>
    <w:rsid w:val="005D4B01"/>
    <w:rsid w:val="005D4CA6"/>
    <w:rsid w:val="005D4DD8"/>
    <w:rsid w:val="005D4FC8"/>
    <w:rsid w:val="005D5137"/>
    <w:rsid w:val="005D5139"/>
    <w:rsid w:val="005D5140"/>
    <w:rsid w:val="005D515E"/>
    <w:rsid w:val="005D5317"/>
    <w:rsid w:val="005D53A5"/>
    <w:rsid w:val="005D53C9"/>
    <w:rsid w:val="005D5455"/>
    <w:rsid w:val="005D5613"/>
    <w:rsid w:val="005D5847"/>
    <w:rsid w:val="005D5859"/>
    <w:rsid w:val="005D5966"/>
    <w:rsid w:val="005D59C2"/>
    <w:rsid w:val="005D5A6B"/>
    <w:rsid w:val="005D5BC8"/>
    <w:rsid w:val="005D5C72"/>
    <w:rsid w:val="005D5CAF"/>
    <w:rsid w:val="005D653A"/>
    <w:rsid w:val="005D6561"/>
    <w:rsid w:val="005D66A4"/>
    <w:rsid w:val="005D66BE"/>
    <w:rsid w:val="005D66FC"/>
    <w:rsid w:val="005D6954"/>
    <w:rsid w:val="005D695F"/>
    <w:rsid w:val="005D6990"/>
    <w:rsid w:val="005D6A13"/>
    <w:rsid w:val="005D6AC8"/>
    <w:rsid w:val="005D6B5C"/>
    <w:rsid w:val="005D6BA9"/>
    <w:rsid w:val="005D6CA3"/>
    <w:rsid w:val="005D704B"/>
    <w:rsid w:val="005D70F2"/>
    <w:rsid w:val="005D7151"/>
    <w:rsid w:val="005D716C"/>
    <w:rsid w:val="005D7438"/>
    <w:rsid w:val="005D745B"/>
    <w:rsid w:val="005D7530"/>
    <w:rsid w:val="005D764D"/>
    <w:rsid w:val="005D7674"/>
    <w:rsid w:val="005D76D7"/>
    <w:rsid w:val="005D79F9"/>
    <w:rsid w:val="005D7DB4"/>
    <w:rsid w:val="005D7DC8"/>
    <w:rsid w:val="005D7E25"/>
    <w:rsid w:val="005D7E50"/>
    <w:rsid w:val="005D7F28"/>
    <w:rsid w:val="005E0039"/>
    <w:rsid w:val="005E0062"/>
    <w:rsid w:val="005E0335"/>
    <w:rsid w:val="005E0864"/>
    <w:rsid w:val="005E090B"/>
    <w:rsid w:val="005E0A52"/>
    <w:rsid w:val="005E113A"/>
    <w:rsid w:val="005E1219"/>
    <w:rsid w:val="005E1276"/>
    <w:rsid w:val="005E1516"/>
    <w:rsid w:val="005E1A63"/>
    <w:rsid w:val="005E1A84"/>
    <w:rsid w:val="005E1C2B"/>
    <w:rsid w:val="005E1E37"/>
    <w:rsid w:val="005E208E"/>
    <w:rsid w:val="005E2204"/>
    <w:rsid w:val="005E2221"/>
    <w:rsid w:val="005E22EE"/>
    <w:rsid w:val="005E242E"/>
    <w:rsid w:val="005E2462"/>
    <w:rsid w:val="005E27CB"/>
    <w:rsid w:val="005E280F"/>
    <w:rsid w:val="005E290D"/>
    <w:rsid w:val="005E295C"/>
    <w:rsid w:val="005E2E63"/>
    <w:rsid w:val="005E363A"/>
    <w:rsid w:val="005E3797"/>
    <w:rsid w:val="005E3A88"/>
    <w:rsid w:val="005E3A9B"/>
    <w:rsid w:val="005E3B65"/>
    <w:rsid w:val="005E3CF6"/>
    <w:rsid w:val="005E3E5F"/>
    <w:rsid w:val="005E3FCF"/>
    <w:rsid w:val="005E4125"/>
    <w:rsid w:val="005E43F8"/>
    <w:rsid w:val="005E4523"/>
    <w:rsid w:val="005E4734"/>
    <w:rsid w:val="005E48F2"/>
    <w:rsid w:val="005E4B68"/>
    <w:rsid w:val="005E4DB7"/>
    <w:rsid w:val="005E4F1B"/>
    <w:rsid w:val="005E4FC4"/>
    <w:rsid w:val="005E4FD5"/>
    <w:rsid w:val="005E51DF"/>
    <w:rsid w:val="005E5242"/>
    <w:rsid w:val="005E55AA"/>
    <w:rsid w:val="005E56AB"/>
    <w:rsid w:val="005E5938"/>
    <w:rsid w:val="005E5C87"/>
    <w:rsid w:val="005E5EDE"/>
    <w:rsid w:val="005E5FEE"/>
    <w:rsid w:val="005E61B3"/>
    <w:rsid w:val="005E61E8"/>
    <w:rsid w:val="005E61ED"/>
    <w:rsid w:val="005E626D"/>
    <w:rsid w:val="005E62BD"/>
    <w:rsid w:val="005E64B7"/>
    <w:rsid w:val="005E6844"/>
    <w:rsid w:val="005E6AF8"/>
    <w:rsid w:val="005E6B1B"/>
    <w:rsid w:val="005E6F56"/>
    <w:rsid w:val="005E70B5"/>
    <w:rsid w:val="005E738D"/>
    <w:rsid w:val="005E73EA"/>
    <w:rsid w:val="005E74A6"/>
    <w:rsid w:val="005E75BF"/>
    <w:rsid w:val="005E7690"/>
    <w:rsid w:val="005E76F5"/>
    <w:rsid w:val="005E7762"/>
    <w:rsid w:val="005E77CA"/>
    <w:rsid w:val="005E7A9E"/>
    <w:rsid w:val="005E7AFB"/>
    <w:rsid w:val="005E7B2E"/>
    <w:rsid w:val="005E7CDF"/>
    <w:rsid w:val="005F00D6"/>
    <w:rsid w:val="005F0103"/>
    <w:rsid w:val="005F05F0"/>
    <w:rsid w:val="005F089E"/>
    <w:rsid w:val="005F09A6"/>
    <w:rsid w:val="005F0C0C"/>
    <w:rsid w:val="005F0C55"/>
    <w:rsid w:val="005F0D1F"/>
    <w:rsid w:val="005F0F61"/>
    <w:rsid w:val="005F1058"/>
    <w:rsid w:val="005F1402"/>
    <w:rsid w:val="005F14AB"/>
    <w:rsid w:val="005F14F6"/>
    <w:rsid w:val="005F1A1E"/>
    <w:rsid w:val="005F1AE3"/>
    <w:rsid w:val="005F1C36"/>
    <w:rsid w:val="005F1E9A"/>
    <w:rsid w:val="005F1F32"/>
    <w:rsid w:val="005F1F9A"/>
    <w:rsid w:val="005F1FE8"/>
    <w:rsid w:val="005F2421"/>
    <w:rsid w:val="005F2594"/>
    <w:rsid w:val="005F25FC"/>
    <w:rsid w:val="005F27D6"/>
    <w:rsid w:val="005F28E3"/>
    <w:rsid w:val="005F2975"/>
    <w:rsid w:val="005F29A2"/>
    <w:rsid w:val="005F2B33"/>
    <w:rsid w:val="005F2C07"/>
    <w:rsid w:val="005F2D8F"/>
    <w:rsid w:val="005F3458"/>
    <w:rsid w:val="005F3546"/>
    <w:rsid w:val="005F355F"/>
    <w:rsid w:val="005F35BF"/>
    <w:rsid w:val="005F369E"/>
    <w:rsid w:val="005F39E1"/>
    <w:rsid w:val="005F3C59"/>
    <w:rsid w:val="005F3CE5"/>
    <w:rsid w:val="005F3F87"/>
    <w:rsid w:val="005F4227"/>
    <w:rsid w:val="005F4255"/>
    <w:rsid w:val="005F43AE"/>
    <w:rsid w:val="005F4776"/>
    <w:rsid w:val="005F47F8"/>
    <w:rsid w:val="005F489D"/>
    <w:rsid w:val="005F4AC6"/>
    <w:rsid w:val="005F4B15"/>
    <w:rsid w:val="005F4B88"/>
    <w:rsid w:val="005F4CE4"/>
    <w:rsid w:val="005F4F24"/>
    <w:rsid w:val="005F5110"/>
    <w:rsid w:val="005F52E2"/>
    <w:rsid w:val="005F54C9"/>
    <w:rsid w:val="005F55E4"/>
    <w:rsid w:val="005F56DC"/>
    <w:rsid w:val="005F5959"/>
    <w:rsid w:val="005F59DD"/>
    <w:rsid w:val="005F5A84"/>
    <w:rsid w:val="005F5ADE"/>
    <w:rsid w:val="005F5CDE"/>
    <w:rsid w:val="005F5DDF"/>
    <w:rsid w:val="005F5E6A"/>
    <w:rsid w:val="005F5F80"/>
    <w:rsid w:val="005F5FC3"/>
    <w:rsid w:val="005F61C0"/>
    <w:rsid w:val="005F625C"/>
    <w:rsid w:val="005F63B2"/>
    <w:rsid w:val="005F6402"/>
    <w:rsid w:val="005F64D0"/>
    <w:rsid w:val="005F661B"/>
    <w:rsid w:val="005F6678"/>
    <w:rsid w:val="005F67EF"/>
    <w:rsid w:val="005F6839"/>
    <w:rsid w:val="005F68C3"/>
    <w:rsid w:val="005F6C01"/>
    <w:rsid w:val="005F6DB2"/>
    <w:rsid w:val="005F6E41"/>
    <w:rsid w:val="005F6E4A"/>
    <w:rsid w:val="005F6F23"/>
    <w:rsid w:val="005F6F26"/>
    <w:rsid w:val="005F6F27"/>
    <w:rsid w:val="005F7052"/>
    <w:rsid w:val="005F71AA"/>
    <w:rsid w:val="005F71D3"/>
    <w:rsid w:val="005F72F0"/>
    <w:rsid w:val="005F7504"/>
    <w:rsid w:val="005F763A"/>
    <w:rsid w:val="005F76D2"/>
    <w:rsid w:val="005F795F"/>
    <w:rsid w:val="005F7A1A"/>
    <w:rsid w:val="005F7BEE"/>
    <w:rsid w:val="005F7BFF"/>
    <w:rsid w:val="005F7E06"/>
    <w:rsid w:val="005F7F72"/>
    <w:rsid w:val="00600147"/>
    <w:rsid w:val="0060016C"/>
    <w:rsid w:val="00600251"/>
    <w:rsid w:val="006003F8"/>
    <w:rsid w:val="00600429"/>
    <w:rsid w:val="006005F9"/>
    <w:rsid w:val="006007EC"/>
    <w:rsid w:val="00600A3F"/>
    <w:rsid w:val="00600A5C"/>
    <w:rsid w:val="00600BDB"/>
    <w:rsid w:val="00600BDE"/>
    <w:rsid w:val="00600DD4"/>
    <w:rsid w:val="00600E08"/>
    <w:rsid w:val="0060118D"/>
    <w:rsid w:val="006011C1"/>
    <w:rsid w:val="006012ED"/>
    <w:rsid w:val="0060131A"/>
    <w:rsid w:val="0060153A"/>
    <w:rsid w:val="006017BA"/>
    <w:rsid w:val="00601859"/>
    <w:rsid w:val="006018D6"/>
    <w:rsid w:val="00601933"/>
    <w:rsid w:val="0060194C"/>
    <w:rsid w:val="006019B3"/>
    <w:rsid w:val="00601A3A"/>
    <w:rsid w:val="00601C44"/>
    <w:rsid w:val="00601F81"/>
    <w:rsid w:val="00601FB5"/>
    <w:rsid w:val="0060215B"/>
    <w:rsid w:val="0060240D"/>
    <w:rsid w:val="00602643"/>
    <w:rsid w:val="006026F5"/>
    <w:rsid w:val="0060278D"/>
    <w:rsid w:val="006028FD"/>
    <w:rsid w:val="00602AD9"/>
    <w:rsid w:val="00602B2B"/>
    <w:rsid w:val="00602BE8"/>
    <w:rsid w:val="00602C15"/>
    <w:rsid w:val="00603439"/>
    <w:rsid w:val="00603591"/>
    <w:rsid w:val="00603623"/>
    <w:rsid w:val="00603A89"/>
    <w:rsid w:val="00603AD6"/>
    <w:rsid w:val="00603B78"/>
    <w:rsid w:val="00603B94"/>
    <w:rsid w:val="00603BA9"/>
    <w:rsid w:val="00603F5C"/>
    <w:rsid w:val="00603FD4"/>
    <w:rsid w:val="00603FD7"/>
    <w:rsid w:val="00604416"/>
    <w:rsid w:val="0060451F"/>
    <w:rsid w:val="00604565"/>
    <w:rsid w:val="006045A4"/>
    <w:rsid w:val="0060474A"/>
    <w:rsid w:val="0060492F"/>
    <w:rsid w:val="00604A73"/>
    <w:rsid w:val="00604B9D"/>
    <w:rsid w:val="00604F13"/>
    <w:rsid w:val="00604F62"/>
    <w:rsid w:val="0060506F"/>
    <w:rsid w:val="0060553E"/>
    <w:rsid w:val="006056A8"/>
    <w:rsid w:val="006056F8"/>
    <w:rsid w:val="00605826"/>
    <w:rsid w:val="00605A6E"/>
    <w:rsid w:val="00605B9E"/>
    <w:rsid w:val="00605CD5"/>
    <w:rsid w:val="00605EBA"/>
    <w:rsid w:val="00605FB7"/>
    <w:rsid w:val="00605FFD"/>
    <w:rsid w:val="006061CF"/>
    <w:rsid w:val="00606322"/>
    <w:rsid w:val="006064EF"/>
    <w:rsid w:val="006068A0"/>
    <w:rsid w:val="00606993"/>
    <w:rsid w:val="00606B22"/>
    <w:rsid w:val="00606B65"/>
    <w:rsid w:val="00606BAE"/>
    <w:rsid w:val="00606CB0"/>
    <w:rsid w:val="00606E94"/>
    <w:rsid w:val="0060708C"/>
    <w:rsid w:val="0060723D"/>
    <w:rsid w:val="006072C3"/>
    <w:rsid w:val="0060758B"/>
    <w:rsid w:val="00607799"/>
    <w:rsid w:val="006078E8"/>
    <w:rsid w:val="0060792F"/>
    <w:rsid w:val="00607B6D"/>
    <w:rsid w:val="00607F35"/>
    <w:rsid w:val="006102CE"/>
    <w:rsid w:val="0061044D"/>
    <w:rsid w:val="0061046D"/>
    <w:rsid w:val="00610866"/>
    <w:rsid w:val="00610AF1"/>
    <w:rsid w:val="00610BA5"/>
    <w:rsid w:val="00610CC4"/>
    <w:rsid w:val="00610CD6"/>
    <w:rsid w:val="00611060"/>
    <w:rsid w:val="006111CA"/>
    <w:rsid w:val="00611274"/>
    <w:rsid w:val="00611556"/>
    <w:rsid w:val="00611733"/>
    <w:rsid w:val="0061186D"/>
    <w:rsid w:val="00611996"/>
    <w:rsid w:val="00611A97"/>
    <w:rsid w:val="00611C62"/>
    <w:rsid w:val="00611E5A"/>
    <w:rsid w:val="00611F08"/>
    <w:rsid w:val="006120E2"/>
    <w:rsid w:val="0061220B"/>
    <w:rsid w:val="006122A6"/>
    <w:rsid w:val="00612633"/>
    <w:rsid w:val="0061275A"/>
    <w:rsid w:val="00612B68"/>
    <w:rsid w:val="00612C9A"/>
    <w:rsid w:val="00612DBF"/>
    <w:rsid w:val="00612E0E"/>
    <w:rsid w:val="0061349C"/>
    <w:rsid w:val="00613873"/>
    <w:rsid w:val="0061387E"/>
    <w:rsid w:val="006138AC"/>
    <w:rsid w:val="00613C20"/>
    <w:rsid w:val="00613D45"/>
    <w:rsid w:val="00613DA9"/>
    <w:rsid w:val="0061447B"/>
    <w:rsid w:val="00614509"/>
    <w:rsid w:val="00614575"/>
    <w:rsid w:val="006148B6"/>
    <w:rsid w:val="00614CB1"/>
    <w:rsid w:val="00614EA6"/>
    <w:rsid w:val="00615277"/>
    <w:rsid w:val="00615289"/>
    <w:rsid w:val="00615522"/>
    <w:rsid w:val="0061564D"/>
    <w:rsid w:val="00615801"/>
    <w:rsid w:val="00615ABB"/>
    <w:rsid w:val="00615ABC"/>
    <w:rsid w:val="00615D23"/>
    <w:rsid w:val="00615EEE"/>
    <w:rsid w:val="0061600C"/>
    <w:rsid w:val="006161DD"/>
    <w:rsid w:val="006162C8"/>
    <w:rsid w:val="0061633C"/>
    <w:rsid w:val="006165EA"/>
    <w:rsid w:val="006166E8"/>
    <w:rsid w:val="00616827"/>
    <w:rsid w:val="006169B2"/>
    <w:rsid w:val="00616AAE"/>
    <w:rsid w:val="00616BC2"/>
    <w:rsid w:val="00616E7A"/>
    <w:rsid w:val="00616EE0"/>
    <w:rsid w:val="006170B5"/>
    <w:rsid w:val="006172A9"/>
    <w:rsid w:val="006172D4"/>
    <w:rsid w:val="006175C0"/>
    <w:rsid w:val="0061766A"/>
    <w:rsid w:val="006176BC"/>
    <w:rsid w:val="00617788"/>
    <w:rsid w:val="00617878"/>
    <w:rsid w:val="006179E5"/>
    <w:rsid w:val="00617C10"/>
    <w:rsid w:val="00617D2D"/>
    <w:rsid w:val="00617D4B"/>
    <w:rsid w:val="00617DFC"/>
    <w:rsid w:val="00617F97"/>
    <w:rsid w:val="00617FF5"/>
    <w:rsid w:val="0061FD58"/>
    <w:rsid w:val="00620342"/>
    <w:rsid w:val="00620726"/>
    <w:rsid w:val="00620827"/>
    <w:rsid w:val="00620867"/>
    <w:rsid w:val="00620B59"/>
    <w:rsid w:val="00621232"/>
    <w:rsid w:val="006214E7"/>
    <w:rsid w:val="00621704"/>
    <w:rsid w:val="00621746"/>
    <w:rsid w:val="00621835"/>
    <w:rsid w:val="006218AF"/>
    <w:rsid w:val="006218BB"/>
    <w:rsid w:val="006219C5"/>
    <w:rsid w:val="00621AC1"/>
    <w:rsid w:val="00621C3E"/>
    <w:rsid w:val="00621DA6"/>
    <w:rsid w:val="00621E15"/>
    <w:rsid w:val="00621F27"/>
    <w:rsid w:val="006221B3"/>
    <w:rsid w:val="006221BF"/>
    <w:rsid w:val="00622671"/>
    <w:rsid w:val="00622935"/>
    <w:rsid w:val="00622992"/>
    <w:rsid w:val="00622AE9"/>
    <w:rsid w:val="00622CD2"/>
    <w:rsid w:val="00622EB9"/>
    <w:rsid w:val="006231F6"/>
    <w:rsid w:val="0062321E"/>
    <w:rsid w:val="006232BC"/>
    <w:rsid w:val="006232D5"/>
    <w:rsid w:val="006232DB"/>
    <w:rsid w:val="00623688"/>
    <w:rsid w:val="006237FC"/>
    <w:rsid w:val="00623BB7"/>
    <w:rsid w:val="00623CF2"/>
    <w:rsid w:val="006240B8"/>
    <w:rsid w:val="00624184"/>
    <w:rsid w:val="006241E5"/>
    <w:rsid w:val="0062433C"/>
    <w:rsid w:val="00624398"/>
    <w:rsid w:val="0062440B"/>
    <w:rsid w:val="0062449C"/>
    <w:rsid w:val="00624B5A"/>
    <w:rsid w:val="00624BAB"/>
    <w:rsid w:val="00624C3C"/>
    <w:rsid w:val="00624C3E"/>
    <w:rsid w:val="00624EA0"/>
    <w:rsid w:val="00624EE4"/>
    <w:rsid w:val="00624EF9"/>
    <w:rsid w:val="00624F29"/>
    <w:rsid w:val="0062504C"/>
    <w:rsid w:val="0062524D"/>
    <w:rsid w:val="0062524E"/>
    <w:rsid w:val="00625250"/>
    <w:rsid w:val="00625354"/>
    <w:rsid w:val="0062560A"/>
    <w:rsid w:val="00625883"/>
    <w:rsid w:val="00625917"/>
    <w:rsid w:val="00625F02"/>
    <w:rsid w:val="00625F14"/>
    <w:rsid w:val="006261CF"/>
    <w:rsid w:val="006262C5"/>
    <w:rsid w:val="006263FE"/>
    <w:rsid w:val="00626438"/>
    <w:rsid w:val="006264FD"/>
    <w:rsid w:val="006266F0"/>
    <w:rsid w:val="0062674E"/>
    <w:rsid w:val="0062694C"/>
    <w:rsid w:val="00626955"/>
    <w:rsid w:val="00626EEA"/>
    <w:rsid w:val="00626FBD"/>
    <w:rsid w:val="00627156"/>
    <w:rsid w:val="00627170"/>
    <w:rsid w:val="0062767A"/>
    <w:rsid w:val="006276FE"/>
    <w:rsid w:val="00627705"/>
    <w:rsid w:val="006277E5"/>
    <w:rsid w:val="00627970"/>
    <w:rsid w:val="00627993"/>
    <w:rsid w:val="006279D0"/>
    <w:rsid w:val="00627A6F"/>
    <w:rsid w:val="00627C02"/>
    <w:rsid w:val="00627E56"/>
    <w:rsid w:val="00627EB1"/>
    <w:rsid w:val="00627F4D"/>
    <w:rsid w:val="00630200"/>
    <w:rsid w:val="00630468"/>
    <w:rsid w:val="00630475"/>
    <w:rsid w:val="00630697"/>
    <w:rsid w:val="00630779"/>
    <w:rsid w:val="006307E8"/>
    <w:rsid w:val="00630805"/>
    <w:rsid w:val="006309D2"/>
    <w:rsid w:val="00630CBD"/>
    <w:rsid w:val="0063101C"/>
    <w:rsid w:val="00631065"/>
    <w:rsid w:val="00631095"/>
    <w:rsid w:val="00631470"/>
    <w:rsid w:val="006314CE"/>
    <w:rsid w:val="0063163A"/>
    <w:rsid w:val="00631866"/>
    <w:rsid w:val="00631916"/>
    <w:rsid w:val="00631FF0"/>
    <w:rsid w:val="00632699"/>
    <w:rsid w:val="00632796"/>
    <w:rsid w:val="00632AE5"/>
    <w:rsid w:val="00632C25"/>
    <w:rsid w:val="00632DAF"/>
    <w:rsid w:val="00632DF0"/>
    <w:rsid w:val="00632FC0"/>
    <w:rsid w:val="006330EF"/>
    <w:rsid w:val="006330F6"/>
    <w:rsid w:val="00633239"/>
    <w:rsid w:val="00633382"/>
    <w:rsid w:val="006333AA"/>
    <w:rsid w:val="006334EB"/>
    <w:rsid w:val="00633515"/>
    <w:rsid w:val="0063361B"/>
    <w:rsid w:val="00633731"/>
    <w:rsid w:val="00633854"/>
    <w:rsid w:val="00633898"/>
    <w:rsid w:val="006338A5"/>
    <w:rsid w:val="006338C4"/>
    <w:rsid w:val="00633A68"/>
    <w:rsid w:val="00633B1D"/>
    <w:rsid w:val="00633DD3"/>
    <w:rsid w:val="00633E8D"/>
    <w:rsid w:val="00633E8F"/>
    <w:rsid w:val="006342B1"/>
    <w:rsid w:val="006343E5"/>
    <w:rsid w:val="006343FB"/>
    <w:rsid w:val="006345C0"/>
    <w:rsid w:val="006345F9"/>
    <w:rsid w:val="006349FA"/>
    <w:rsid w:val="00634A20"/>
    <w:rsid w:val="00634B3C"/>
    <w:rsid w:val="00634BDE"/>
    <w:rsid w:val="00634CC5"/>
    <w:rsid w:val="00634E17"/>
    <w:rsid w:val="00634FE5"/>
    <w:rsid w:val="00635018"/>
    <w:rsid w:val="006352D1"/>
    <w:rsid w:val="00635382"/>
    <w:rsid w:val="00635854"/>
    <w:rsid w:val="00635958"/>
    <w:rsid w:val="00635BDA"/>
    <w:rsid w:val="00635CB2"/>
    <w:rsid w:val="00635D5D"/>
    <w:rsid w:val="00635E1F"/>
    <w:rsid w:val="00635E28"/>
    <w:rsid w:val="00635F1F"/>
    <w:rsid w:val="00635FB8"/>
    <w:rsid w:val="00635FED"/>
    <w:rsid w:val="0063612D"/>
    <w:rsid w:val="0063614F"/>
    <w:rsid w:val="00636175"/>
    <w:rsid w:val="006362B6"/>
    <w:rsid w:val="00636905"/>
    <w:rsid w:val="00636946"/>
    <w:rsid w:val="00636A0A"/>
    <w:rsid w:val="00636DFF"/>
    <w:rsid w:val="00636E74"/>
    <w:rsid w:val="0063702F"/>
    <w:rsid w:val="006371C7"/>
    <w:rsid w:val="00637239"/>
    <w:rsid w:val="006374EC"/>
    <w:rsid w:val="00637583"/>
    <w:rsid w:val="00637712"/>
    <w:rsid w:val="00637B27"/>
    <w:rsid w:val="00637C77"/>
    <w:rsid w:val="006400E7"/>
    <w:rsid w:val="006401DE"/>
    <w:rsid w:val="006403C9"/>
    <w:rsid w:val="00640486"/>
    <w:rsid w:val="0064055D"/>
    <w:rsid w:val="00640948"/>
    <w:rsid w:val="00640CA6"/>
    <w:rsid w:val="006411CC"/>
    <w:rsid w:val="00641387"/>
    <w:rsid w:val="006413AA"/>
    <w:rsid w:val="006413AB"/>
    <w:rsid w:val="00641515"/>
    <w:rsid w:val="00641624"/>
    <w:rsid w:val="00641694"/>
    <w:rsid w:val="006417EE"/>
    <w:rsid w:val="0064182B"/>
    <w:rsid w:val="00641882"/>
    <w:rsid w:val="00641885"/>
    <w:rsid w:val="00641917"/>
    <w:rsid w:val="006419EA"/>
    <w:rsid w:val="00641A7C"/>
    <w:rsid w:val="00641B1C"/>
    <w:rsid w:val="00641B82"/>
    <w:rsid w:val="00641DD8"/>
    <w:rsid w:val="00641DE0"/>
    <w:rsid w:val="00641EBB"/>
    <w:rsid w:val="006420FB"/>
    <w:rsid w:val="00642242"/>
    <w:rsid w:val="00642593"/>
    <w:rsid w:val="006425FD"/>
    <w:rsid w:val="006426B7"/>
    <w:rsid w:val="006427F1"/>
    <w:rsid w:val="006428E7"/>
    <w:rsid w:val="00642920"/>
    <w:rsid w:val="00642AC1"/>
    <w:rsid w:val="00642D02"/>
    <w:rsid w:val="00642E5C"/>
    <w:rsid w:val="0064300F"/>
    <w:rsid w:val="0064325D"/>
    <w:rsid w:val="006435CE"/>
    <w:rsid w:val="006437E9"/>
    <w:rsid w:val="00643A6C"/>
    <w:rsid w:val="00643CE3"/>
    <w:rsid w:val="00643F49"/>
    <w:rsid w:val="00643FDC"/>
    <w:rsid w:val="00644028"/>
    <w:rsid w:val="00644215"/>
    <w:rsid w:val="006442D4"/>
    <w:rsid w:val="00644356"/>
    <w:rsid w:val="006443BC"/>
    <w:rsid w:val="00644B9A"/>
    <w:rsid w:val="00644CCF"/>
    <w:rsid w:val="00644F3D"/>
    <w:rsid w:val="00645238"/>
    <w:rsid w:val="00645399"/>
    <w:rsid w:val="0064539D"/>
    <w:rsid w:val="006454FB"/>
    <w:rsid w:val="006455A2"/>
    <w:rsid w:val="00645A36"/>
    <w:rsid w:val="00645C08"/>
    <w:rsid w:val="00645D8D"/>
    <w:rsid w:val="0064605B"/>
    <w:rsid w:val="006461DC"/>
    <w:rsid w:val="006461F2"/>
    <w:rsid w:val="0064639E"/>
    <w:rsid w:val="0064653A"/>
    <w:rsid w:val="006465BB"/>
    <w:rsid w:val="006465BE"/>
    <w:rsid w:val="00646715"/>
    <w:rsid w:val="0064679A"/>
    <w:rsid w:val="006467CD"/>
    <w:rsid w:val="006468D8"/>
    <w:rsid w:val="0064697B"/>
    <w:rsid w:val="00647012"/>
    <w:rsid w:val="0064748C"/>
    <w:rsid w:val="006474D1"/>
    <w:rsid w:val="006477D0"/>
    <w:rsid w:val="006477DD"/>
    <w:rsid w:val="00647A3A"/>
    <w:rsid w:val="00647F57"/>
    <w:rsid w:val="006501CA"/>
    <w:rsid w:val="00650256"/>
    <w:rsid w:val="006502D0"/>
    <w:rsid w:val="00650317"/>
    <w:rsid w:val="0065037E"/>
    <w:rsid w:val="006504CB"/>
    <w:rsid w:val="006506DA"/>
    <w:rsid w:val="00650A24"/>
    <w:rsid w:val="00650A39"/>
    <w:rsid w:val="00650B39"/>
    <w:rsid w:val="00650BA3"/>
    <w:rsid w:val="00650D5D"/>
    <w:rsid w:val="00650E93"/>
    <w:rsid w:val="00651053"/>
    <w:rsid w:val="006510DA"/>
    <w:rsid w:val="0065110C"/>
    <w:rsid w:val="00651113"/>
    <w:rsid w:val="00651120"/>
    <w:rsid w:val="00651548"/>
    <w:rsid w:val="0065189D"/>
    <w:rsid w:val="006519E4"/>
    <w:rsid w:val="00651AE5"/>
    <w:rsid w:val="00651BE3"/>
    <w:rsid w:val="00651C98"/>
    <w:rsid w:val="00651CB5"/>
    <w:rsid w:val="00651E76"/>
    <w:rsid w:val="00652177"/>
    <w:rsid w:val="00652507"/>
    <w:rsid w:val="0065263A"/>
    <w:rsid w:val="006529C7"/>
    <w:rsid w:val="00652AE7"/>
    <w:rsid w:val="00652C2B"/>
    <w:rsid w:val="00652E61"/>
    <w:rsid w:val="00652EC7"/>
    <w:rsid w:val="00652FF5"/>
    <w:rsid w:val="006530D4"/>
    <w:rsid w:val="006534CB"/>
    <w:rsid w:val="00653549"/>
    <w:rsid w:val="006535C2"/>
    <w:rsid w:val="00653670"/>
    <w:rsid w:val="00653A05"/>
    <w:rsid w:val="00653BFA"/>
    <w:rsid w:val="00653BFB"/>
    <w:rsid w:val="00653C06"/>
    <w:rsid w:val="00653C66"/>
    <w:rsid w:val="00653CC3"/>
    <w:rsid w:val="00653DB0"/>
    <w:rsid w:val="00653E43"/>
    <w:rsid w:val="00653FA3"/>
    <w:rsid w:val="006540E6"/>
    <w:rsid w:val="006540FE"/>
    <w:rsid w:val="00654128"/>
    <w:rsid w:val="006542D8"/>
    <w:rsid w:val="006545D7"/>
    <w:rsid w:val="006545F7"/>
    <w:rsid w:val="00654A2D"/>
    <w:rsid w:val="00654A80"/>
    <w:rsid w:val="00654A98"/>
    <w:rsid w:val="00654B70"/>
    <w:rsid w:val="00654CFF"/>
    <w:rsid w:val="00654D38"/>
    <w:rsid w:val="00654E0E"/>
    <w:rsid w:val="00654EA5"/>
    <w:rsid w:val="00654FE1"/>
    <w:rsid w:val="0065506F"/>
    <w:rsid w:val="006550F6"/>
    <w:rsid w:val="00655241"/>
    <w:rsid w:val="006553F2"/>
    <w:rsid w:val="0065554C"/>
    <w:rsid w:val="00655675"/>
    <w:rsid w:val="00655723"/>
    <w:rsid w:val="0065594C"/>
    <w:rsid w:val="00655AB1"/>
    <w:rsid w:val="00655D3D"/>
    <w:rsid w:val="00655EF2"/>
    <w:rsid w:val="00655EFE"/>
    <w:rsid w:val="006560AD"/>
    <w:rsid w:val="0065653E"/>
    <w:rsid w:val="006569B7"/>
    <w:rsid w:val="00656C53"/>
    <w:rsid w:val="00656CC2"/>
    <w:rsid w:val="00657075"/>
    <w:rsid w:val="006570AC"/>
    <w:rsid w:val="00657138"/>
    <w:rsid w:val="006571F1"/>
    <w:rsid w:val="00657415"/>
    <w:rsid w:val="00657427"/>
    <w:rsid w:val="00657488"/>
    <w:rsid w:val="0065762F"/>
    <w:rsid w:val="006578CF"/>
    <w:rsid w:val="00657BB0"/>
    <w:rsid w:val="00657BC0"/>
    <w:rsid w:val="00657C1F"/>
    <w:rsid w:val="00657EA6"/>
    <w:rsid w:val="00660057"/>
    <w:rsid w:val="0066017F"/>
    <w:rsid w:val="006602B6"/>
    <w:rsid w:val="00660584"/>
    <w:rsid w:val="006605BF"/>
    <w:rsid w:val="00660650"/>
    <w:rsid w:val="006606F6"/>
    <w:rsid w:val="00660773"/>
    <w:rsid w:val="0066098B"/>
    <w:rsid w:val="00660A3E"/>
    <w:rsid w:val="00660BF0"/>
    <w:rsid w:val="00660CD3"/>
    <w:rsid w:val="00660D24"/>
    <w:rsid w:val="00660F24"/>
    <w:rsid w:val="006614F7"/>
    <w:rsid w:val="00661592"/>
    <w:rsid w:val="006615A9"/>
    <w:rsid w:val="006615CF"/>
    <w:rsid w:val="0066165F"/>
    <w:rsid w:val="006617DD"/>
    <w:rsid w:val="0066189B"/>
    <w:rsid w:val="00661932"/>
    <w:rsid w:val="0066193F"/>
    <w:rsid w:val="006619BD"/>
    <w:rsid w:val="00661A8F"/>
    <w:rsid w:val="00661C9D"/>
    <w:rsid w:val="00661EB7"/>
    <w:rsid w:val="00661F1A"/>
    <w:rsid w:val="00661F2C"/>
    <w:rsid w:val="00661F33"/>
    <w:rsid w:val="00661F5B"/>
    <w:rsid w:val="00662181"/>
    <w:rsid w:val="006621D3"/>
    <w:rsid w:val="006622FD"/>
    <w:rsid w:val="0066266A"/>
    <w:rsid w:val="0066278A"/>
    <w:rsid w:val="00662898"/>
    <w:rsid w:val="00662AC5"/>
    <w:rsid w:val="00662AC9"/>
    <w:rsid w:val="00662C81"/>
    <w:rsid w:val="00662DD7"/>
    <w:rsid w:val="00662DE1"/>
    <w:rsid w:val="00662E88"/>
    <w:rsid w:val="00662ECA"/>
    <w:rsid w:val="00662F92"/>
    <w:rsid w:val="00663081"/>
    <w:rsid w:val="0066318C"/>
    <w:rsid w:val="0066352F"/>
    <w:rsid w:val="00663749"/>
    <w:rsid w:val="00663771"/>
    <w:rsid w:val="006638CE"/>
    <w:rsid w:val="00663C2D"/>
    <w:rsid w:val="00663C81"/>
    <w:rsid w:val="00663EDE"/>
    <w:rsid w:val="006641F9"/>
    <w:rsid w:val="006643C7"/>
    <w:rsid w:val="0066446F"/>
    <w:rsid w:val="006647D3"/>
    <w:rsid w:val="006648E7"/>
    <w:rsid w:val="00664906"/>
    <w:rsid w:val="006649D1"/>
    <w:rsid w:val="00664C20"/>
    <w:rsid w:val="00664C25"/>
    <w:rsid w:val="00664C33"/>
    <w:rsid w:val="00664DBC"/>
    <w:rsid w:val="00664FC6"/>
    <w:rsid w:val="00665151"/>
    <w:rsid w:val="006653D3"/>
    <w:rsid w:val="0066558B"/>
    <w:rsid w:val="006655B7"/>
    <w:rsid w:val="0066578F"/>
    <w:rsid w:val="00665AC8"/>
    <w:rsid w:val="00665B51"/>
    <w:rsid w:val="00665B7F"/>
    <w:rsid w:val="00665BA8"/>
    <w:rsid w:val="00666169"/>
    <w:rsid w:val="006665B2"/>
    <w:rsid w:val="00666677"/>
    <w:rsid w:val="006668AF"/>
    <w:rsid w:val="006668C5"/>
    <w:rsid w:val="0066698E"/>
    <w:rsid w:val="00666D65"/>
    <w:rsid w:val="006670DD"/>
    <w:rsid w:val="00667617"/>
    <w:rsid w:val="00667630"/>
    <w:rsid w:val="0066771B"/>
    <w:rsid w:val="006679F1"/>
    <w:rsid w:val="00667C14"/>
    <w:rsid w:val="00667C3D"/>
    <w:rsid w:val="00667C4C"/>
    <w:rsid w:val="00667E15"/>
    <w:rsid w:val="00667F89"/>
    <w:rsid w:val="006701F9"/>
    <w:rsid w:val="006702C9"/>
    <w:rsid w:val="006703ED"/>
    <w:rsid w:val="0067063D"/>
    <w:rsid w:val="00670640"/>
    <w:rsid w:val="00670784"/>
    <w:rsid w:val="0067078F"/>
    <w:rsid w:val="006708E9"/>
    <w:rsid w:val="00670B06"/>
    <w:rsid w:val="00670B88"/>
    <w:rsid w:val="00670CB9"/>
    <w:rsid w:val="00670CBB"/>
    <w:rsid w:val="00670D4E"/>
    <w:rsid w:val="00670D7B"/>
    <w:rsid w:val="00670DB3"/>
    <w:rsid w:val="00670E3B"/>
    <w:rsid w:val="006711DA"/>
    <w:rsid w:val="00671236"/>
    <w:rsid w:val="006712B2"/>
    <w:rsid w:val="006712F3"/>
    <w:rsid w:val="00671382"/>
    <w:rsid w:val="006715E6"/>
    <w:rsid w:val="006716BB"/>
    <w:rsid w:val="0067194D"/>
    <w:rsid w:val="00671BA8"/>
    <w:rsid w:val="00671C84"/>
    <w:rsid w:val="00671D2B"/>
    <w:rsid w:val="00671F66"/>
    <w:rsid w:val="006720DD"/>
    <w:rsid w:val="006720E2"/>
    <w:rsid w:val="00672306"/>
    <w:rsid w:val="0067232F"/>
    <w:rsid w:val="00672564"/>
    <w:rsid w:val="00672865"/>
    <w:rsid w:val="00672B8D"/>
    <w:rsid w:val="00672B96"/>
    <w:rsid w:val="00672B97"/>
    <w:rsid w:val="00672C7B"/>
    <w:rsid w:val="00672CB6"/>
    <w:rsid w:val="0067305C"/>
    <w:rsid w:val="006730DD"/>
    <w:rsid w:val="006733D7"/>
    <w:rsid w:val="00673724"/>
    <w:rsid w:val="00673929"/>
    <w:rsid w:val="0067399A"/>
    <w:rsid w:val="00673A70"/>
    <w:rsid w:val="00673BCA"/>
    <w:rsid w:val="00673E4C"/>
    <w:rsid w:val="00673EDA"/>
    <w:rsid w:val="0067403A"/>
    <w:rsid w:val="00674209"/>
    <w:rsid w:val="0067452A"/>
    <w:rsid w:val="00674573"/>
    <w:rsid w:val="00674868"/>
    <w:rsid w:val="006749FD"/>
    <w:rsid w:val="00674BA2"/>
    <w:rsid w:val="00674D21"/>
    <w:rsid w:val="00674D6A"/>
    <w:rsid w:val="00674EAB"/>
    <w:rsid w:val="00674FA8"/>
    <w:rsid w:val="00675882"/>
    <w:rsid w:val="00675961"/>
    <w:rsid w:val="00675CFE"/>
    <w:rsid w:val="00675FD1"/>
    <w:rsid w:val="006765A2"/>
    <w:rsid w:val="00676A5C"/>
    <w:rsid w:val="00676EFB"/>
    <w:rsid w:val="006774DA"/>
    <w:rsid w:val="006774E6"/>
    <w:rsid w:val="006775CD"/>
    <w:rsid w:val="00677672"/>
    <w:rsid w:val="006778DC"/>
    <w:rsid w:val="00677DC5"/>
    <w:rsid w:val="00677DDE"/>
    <w:rsid w:val="00680194"/>
    <w:rsid w:val="0068046F"/>
    <w:rsid w:val="006806D4"/>
    <w:rsid w:val="00680731"/>
    <w:rsid w:val="00680969"/>
    <w:rsid w:val="00680BDA"/>
    <w:rsid w:val="00680FCD"/>
    <w:rsid w:val="006810E9"/>
    <w:rsid w:val="00681271"/>
    <w:rsid w:val="00681779"/>
    <w:rsid w:val="00681E59"/>
    <w:rsid w:val="00681ECA"/>
    <w:rsid w:val="00682212"/>
    <w:rsid w:val="006823A4"/>
    <w:rsid w:val="00682412"/>
    <w:rsid w:val="00682448"/>
    <w:rsid w:val="006824C0"/>
    <w:rsid w:val="00682865"/>
    <w:rsid w:val="0068287F"/>
    <w:rsid w:val="00682BD8"/>
    <w:rsid w:val="00682C53"/>
    <w:rsid w:val="00682FA1"/>
    <w:rsid w:val="0068348D"/>
    <w:rsid w:val="0068357E"/>
    <w:rsid w:val="00683AB2"/>
    <w:rsid w:val="00683C0B"/>
    <w:rsid w:val="00683D87"/>
    <w:rsid w:val="00683DCF"/>
    <w:rsid w:val="00683DE0"/>
    <w:rsid w:val="006840A8"/>
    <w:rsid w:val="0068439B"/>
    <w:rsid w:val="006843F7"/>
    <w:rsid w:val="0068445D"/>
    <w:rsid w:val="0068471D"/>
    <w:rsid w:val="00684BBF"/>
    <w:rsid w:val="00684C28"/>
    <w:rsid w:val="00684CFB"/>
    <w:rsid w:val="00684E5A"/>
    <w:rsid w:val="00685008"/>
    <w:rsid w:val="00685155"/>
    <w:rsid w:val="006851BD"/>
    <w:rsid w:val="00685448"/>
    <w:rsid w:val="00685BFD"/>
    <w:rsid w:val="00685D33"/>
    <w:rsid w:val="00685DB5"/>
    <w:rsid w:val="00685E73"/>
    <w:rsid w:val="00686468"/>
    <w:rsid w:val="0068685C"/>
    <w:rsid w:val="006868C2"/>
    <w:rsid w:val="00686925"/>
    <w:rsid w:val="0068692F"/>
    <w:rsid w:val="00686BC0"/>
    <w:rsid w:val="00686ED9"/>
    <w:rsid w:val="00686FFA"/>
    <w:rsid w:val="006873BC"/>
    <w:rsid w:val="006874B9"/>
    <w:rsid w:val="00687876"/>
    <w:rsid w:val="00687B00"/>
    <w:rsid w:val="00687B94"/>
    <w:rsid w:val="006900E3"/>
    <w:rsid w:val="0069053C"/>
    <w:rsid w:val="006907D9"/>
    <w:rsid w:val="0069097B"/>
    <w:rsid w:val="00690A7D"/>
    <w:rsid w:val="00690B97"/>
    <w:rsid w:val="00690CA9"/>
    <w:rsid w:val="006910AE"/>
    <w:rsid w:val="006910C9"/>
    <w:rsid w:val="006912A2"/>
    <w:rsid w:val="00691546"/>
    <w:rsid w:val="00691D87"/>
    <w:rsid w:val="00691E9B"/>
    <w:rsid w:val="00691F97"/>
    <w:rsid w:val="0069208A"/>
    <w:rsid w:val="006924E0"/>
    <w:rsid w:val="0069255B"/>
    <w:rsid w:val="00692712"/>
    <w:rsid w:val="00692777"/>
    <w:rsid w:val="006927B6"/>
    <w:rsid w:val="006927E9"/>
    <w:rsid w:val="00692956"/>
    <w:rsid w:val="00692A66"/>
    <w:rsid w:val="00692B81"/>
    <w:rsid w:val="00692B90"/>
    <w:rsid w:val="00692C1B"/>
    <w:rsid w:val="006932DA"/>
    <w:rsid w:val="0069331C"/>
    <w:rsid w:val="0069335B"/>
    <w:rsid w:val="006933AB"/>
    <w:rsid w:val="006935AB"/>
    <w:rsid w:val="00693607"/>
    <w:rsid w:val="006936A3"/>
    <w:rsid w:val="006939F2"/>
    <w:rsid w:val="00693A9E"/>
    <w:rsid w:val="00693BE8"/>
    <w:rsid w:val="00693DCA"/>
    <w:rsid w:val="00693F0D"/>
    <w:rsid w:val="006940FA"/>
    <w:rsid w:val="006941C7"/>
    <w:rsid w:val="006942A0"/>
    <w:rsid w:val="006943AB"/>
    <w:rsid w:val="006943E5"/>
    <w:rsid w:val="006946ED"/>
    <w:rsid w:val="006946FF"/>
    <w:rsid w:val="006947C6"/>
    <w:rsid w:val="006949CA"/>
    <w:rsid w:val="00694B05"/>
    <w:rsid w:val="00694CDC"/>
    <w:rsid w:val="00694F5D"/>
    <w:rsid w:val="00694F7A"/>
    <w:rsid w:val="0069514D"/>
    <w:rsid w:val="0069527C"/>
    <w:rsid w:val="00695BA3"/>
    <w:rsid w:val="00695BE2"/>
    <w:rsid w:val="00695D08"/>
    <w:rsid w:val="00695F9D"/>
    <w:rsid w:val="006960B1"/>
    <w:rsid w:val="006965FA"/>
    <w:rsid w:val="006966A9"/>
    <w:rsid w:val="006966DF"/>
    <w:rsid w:val="00696A1B"/>
    <w:rsid w:val="00696C6A"/>
    <w:rsid w:val="00696F46"/>
    <w:rsid w:val="00697043"/>
    <w:rsid w:val="00697061"/>
    <w:rsid w:val="00697120"/>
    <w:rsid w:val="006971F5"/>
    <w:rsid w:val="0069734C"/>
    <w:rsid w:val="00697425"/>
    <w:rsid w:val="00697531"/>
    <w:rsid w:val="00697639"/>
    <w:rsid w:val="00697691"/>
    <w:rsid w:val="00697810"/>
    <w:rsid w:val="00697830"/>
    <w:rsid w:val="0069783F"/>
    <w:rsid w:val="00697D61"/>
    <w:rsid w:val="00697D64"/>
    <w:rsid w:val="006A0130"/>
    <w:rsid w:val="006A037C"/>
    <w:rsid w:val="006A046B"/>
    <w:rsid w:val="006A04DF"/>
    <w:rsid w:val="006A086E"/>
    <w:rsid w:val="006A08DC"/>
    <w:rsid w:val="006A09A9"/>
    <w:rsid w:val="006A0A50"/>
    <w:rsid w:val="006A0E84"/>
    <w:rsid w:val="006A0EB1"/>
    <w:rsid w:val="006A0ECD"/>
    <w:rsid w:val="006A106C"/>
    <w:rsid w:val="006A1248"/>
    <w:rsid w:val="006A1308"/>
    <w:rsid w:val="006A14C9"/>
    <w:rsid w:val="006A1527"/>
    <w:rsid w:val="006A16E2"/>
    <w:rsid w:val="006A17BF"/>
    <w:rsid w:val="006A17DD"/>
    <w:rsid w:val="006A1815"/>
    <w:rsid w:val="006A1870"/>
    <w:rsid w:val="006A202A"/>
    <w:rsid w:val="006A20E8"/>
    <w:rsid w:val="006A2115"/>
    <w:rsid w:val="006A2251"/>
    <w:rsid w:val="006A22BF"/>
    <w:rsid w:val="006A23C5"/>
    <w:rsid w:val="006A2525"/>
    <w:rsid w:val="006A265F"/>
    <w:rsid w:val="006A2712"/>
    <w:rsid w:val="006A27B7"/>
    <w:rsid w:val="006A280E"/>
    <w:rsid w:val="006A28B6"/>
    <w:rsid w:val="006A2910"/>
    <w:rsid w:val="006A2AE3"/>
    <w:rsid w:val="006A2BC3"/>
    <w:rsid w:val="006A30D2"/>
    <w:rsid w:val="006A3131"/>
    <w:rsid w:val="006A334A"/>
    <w:rsid w:val="006A36DF"/>
    <w:rsid w:val="006A38E1"/>
    <w:rsid w:val="006A391D"/>
    <w:rsid w:val="006A3A65"/>
    <w:rsid w:val="006A4018"/>
    <w:rsid w:val="006A40AD"/>
    <w:rsid w:val="006A44B6"/>
    <w:rsid w:val="006A4502"/>
    <w:rsid w:val="006A469D"/>
    <w:rsid w:val="006A46C8"/>
    <w:rsid w:val="006A4803"/>
    <w:rsid w:val="006A49A3"/>
    <w:rsid w:val="006A4A54"/>
    <w:rsid w:val="006A4B54"/>
    <w:rsid w:val="006A4C11"/>
    <w:rsid w:val="006A4D59"/>
    <w:rsid w:val="006A4E4F"/>
    <w:rsid w:val="006A514C"/>
    <w:rsid w:val="006A53AA"/>
    <w:rsid w:val="006A55D5"/>
    <w:rsid w:val="006A55EA"/>
    <w:rsid w:val="006A5682"/>
    <w:rsid w:val="006A5A3B"/>
    <w:rsid w:val="006A5B69"/>
    <w:rsid w:val="006A5C91"/>
    <w:rsid w:val="006A5CC4"/>
    <w:rsid w:val="006A5D24"/>
    <w:rsid w:val="006A5D44"/>
    <w:rsid w:val="006A5D7A"/>
    <w:rsid w:val="006A5F0C"/>
    <w:rsid w:val="006A60FD"/>
    <w:rsid w:val="006A6164"/>
    <w:rsid w:val="006A6391"/>
    <w:rsid w:val="006A666E"/>
    <w:rsid w:val="006A689C"/>
    <w:rsid w:val="006A6C19"/>
    <w:rsid w:val="006A6CCB"/>
    <w:rsid w:val="006A6D58"/>
    <w:rsid w:val="006A6F28"/>
    <w:rsid w:val="006A6F85"/>
    <w:rsid w:val="006A6FE4"/>
    <w:rsid w:val="006A7032"/>
    <w:rsid w:val="006A723E"/>
    <w:rsid w:val="006A7327"/>
    <w:rsid w:val="006A75BE"/>
    <w:rsid w:val="006A7680"/>
    <w:rsid w:val="006A7DC7"/>
    <w:rsid w:val="006A7F01"/>
    <w:rsid w:val="006B0061"/>
    <w:rsid w:val="006B013C"/>
    <w:rsid w:val="006B03C0"/>
    <w:rsid w:val="006B0486"/>
    <w:rsid w:val="006B0549"/>
    <w:rsid w:val="006B059A"/>
    <w:rsid w:val="006B08DD"/>
    <w:rsid w:val="006B098B"/>
    <w:rsid w:val="006B0A75"/>
    <w:rsid w:val="006B0E07"/>
    <w:rsid w:val="006B0E93"/>
    <w:rsid w:val="006B10DB"/>
    <w:rsid w:val="006B1140"/>
    <w:rsid w:val="006B13F5"/>
    <w:rsid w:val="006B1540"/>
    <w:rsid w:val="006B1558"/>
    <w:rsid w:val="006B17DB"/>
    <w:rsid w:val="006B1B6C"/>
    <w:rsid w:val="006B1B72"/>
    <w:rsid w:val="006B1CA0"/>
    <w:rsid w:val="006B1D34"/>
    <w:rsid w:val="006B1D5D"/>
    <w:rsid w:val="006B1DF0"/>
    <w:rsid w:val="006B207E"/>
    <w:rsid w:val="006B21D9"/>
    <w:rsid w:val="006B24B5"/>
    <w:rsid w:val="006B2524"/>
    <w:rsid w:val="006B255A"/>
    <w:rsid w:val="006B27F3"/>
    <w:rsid w:val="006B2859"/>
    <w:rsid w:val="006B287E"/>
    <w:rsid w:val="006B28C7"/>
    <w:rsid w:val="006B2AC2"/>
    <w:rsid w:val="006B2CB9"/>
    <w:rsid w:val="006B2D15"/>
    <w:rsid w:val="006B2E20"/>
    <w:rsid w:val="006B2E7B"/>
    <w:rsid w:val="006B30A6"/>
    <w:rsid w:val="006B3245"/>
    <w:rsid w:val="006B32A1"/>
    <w:rsid w:val="006B32BE"/>
    <w:rsid w:val="006B33E1"/>
    <w:rsid w:val="006B3419"/>
    <w:rsid w:val="006B34FA"/>
    <w:rsid w:val="006B36F6"/>
    <w:rsid w:val="006B39CD"/>
    <w:rsid w:val="006B39E7"/>
    <w:rsid w:val="006B39E9"/>
    <w:rsid w:val="006B3A87"/>
    <w:rsid w:val="006B3FF9"/>
    <w:rsid w:val="006B4129"/>
    <w:rsid w:val="006B41BA"/>
    <w:rsid w:val="006B41CA"/>
    <w:rsid w:val="006B45E5"/>
    <w:rsid w:val="006B4685"/>
    <w:rsid w:val="006B469B"/>
    <w:rsid w:val="006B46DD"/>
    <w:rsid w:val="006B4915"/>
    <w:rsid w:val="006B4D3B"/>
    <w:rsid w:val="006B4F18"/>
    <w:rsid w:val="006B517A"/>
    <w:rsid w:val="006B51E5"/>
    <w:rsid w:val="006B5203"/>
    <w:rsid w:val="006B527A"/>
    <w:rsid w:val="006B53F8"/>
    <w:rsid w:val="006B57FD"/>
    <w:rsid w:val="006B5865"/>
    <w:rsid w:val="006B6031"/>
    <w:rsid w:val="006B63AC"/>
    <w:rsid w:val="006B651E"/>
    <w:rsid w:val="006B67A7"/>
    <w:rsid w:val="006B6BC8"/>
    <w:rsid w:val="006B6BF0"/>
    <w:rsid w:val="006B6D88"/>
    <w:rsid w:val="006B6DE7"/>
    <w:rsid w:val="006B70E4"/>
    <w:rsid w:val="006B72EE"/>
    <w:rsid w:val="006B738C"/>
    <w:rsid w:val="006B7403"/>
    <w:rsid w:val="006B75A0"/>
    <w:rsid w:val="006B77A9"/>
    <w:rsid w:val="006B7979"/>
    <w:rsid w:val="006B7A9D"/>
    <w:rsid w:val="006B7B4E"/>
    <w:rsid w:val="006B7C40"/>
    <w:rsid w:val="006B7CAA"/>
    <w:rsid w:val="006B7E14"/>
    <w:rsid w:val="006C0072"/>
    <w:rsid w:val="006C01CA"/>
    <w:rsid w:val="006C0317"/>
    <w:rsid w:val="006C0382"/>
    <w:rsid w:val="006C08A3"/>
    <w:rsid w:val="006C0CD4"/>
    <w:rsid w:val="006C0D0D"/>
    <w:rsid w:val="006C0D83"/>
    <w:rsid w:val="006C1426"/>
    <w:rsid w:val="006C1488"/>
    <w:rsid w:val="006C1715"/>
    <w:rsid w:val="006C1831"/>
    <w:rsid w:val="006C18F4"/>
    <w:rsid w:val="006C1901"/>
    <w:rsid w:val="006C1AAF"/>
    <w:rsid w:val="006C1C47"/>
    <w:rsid w:val="006C1F4D"/>
    <w:rsid w:val="006C1F56"/>
    <w:rsid w:val="006C1F8E"/>
    <w:rsid w:val="006C1FCC"/>
    <w:rsid w:val="006C20B0"/>
    <w:rsid w:val="006C227C"/>
    <w:rsid w:val="006C29C5"/>
    <w:rsid w:val="006C2B6A"/>
    <w:rsid w:val="006C2B8F"/>
    <w:rsid w:val="006C2B99"/>
    <w:rsid w:val="006C2D1A"/>
    <w:rsid w:val="006C2E88"/>
    <w:rsid w:val="006C2F8B"/>
    <w:rsid w:val="006C301B"/>
    <w:rsid w:val="006C3306"/>
    <w:rsid w:val="006C33C3"/>
    <w:rsid w:val="006C3408"/>
    <w:rsid w:val="006C36DF"/>
    <w:rsid w:val="006C39C3"/>
    <w:rsid w:val="006C3A18"/>
    <w:rsid w:val="006C3AC9"/>
    <w:rsid w:val="006C3B3E"/>
    <w:rsid w:val="006C3C2A"/>
    <w:rsid w:val="006C3C3A"/>
    <w:rsid w:val="006C3C66"/>
    <w:rsid w:val="006C3F7E"/>
    <w:rsid w:val="006C40C2"/>
    <w:rsid w:val="006C4276"/>
    <w:rsid w:val="006C448D"/>
    <w:rsid w:val="006C4549"/>
    <w:rsid w:val="006C4897"/>
    <w:rsid w:val="006C4CAC"/>
    <w:rsid w:val="006C4CC9"/>
    <w:rsid w:val="006C4D48"/>
    <w:rsid w:val="006C4E57"/>
    <w:rsid w:val="006C4E9F"/>
    <w:rsid w:val="006C4EBB"/>
    <w:rsid w:val="006C4EEC"/>
    <w:rsid w:val="006C4F45"/>
    <w:rsid w:val="006C4FC0"/>
    <w:rsid w:val="006C50CC"/>
    <w:rsid w:val="006C50D1"/>
    <w:rsid w:val="006C50FA"/>
    <w:rsid w:val="006C51C3"/>
    <w:rsid w:val="006C577E"/>
    <w:rsid w:val="006C5885"/>
    <w:rsid w:val="006C5908"/>
    <w:rsid w:val="006C5912"/>
    <w:rsid w:val="006C5D65"/>
    <w:rsid w:val="006C5EDC"/>
    <w:rsid w:val="006C5F8C"/>
    <w:rsid w:val="006C6074"/>
    <w:rsid w:val="006C60BF"/>
    <w:rsid w:val="006C611E"/>
    <w:rsid w:val="006C6173"/>
    <w:rsid w:val="006C6235"/>
    <w:rsid w:val="006C6245"/>
    <w:rsid w:val="006C64BF"/>
    <w:rsid w:val="006C65E8"/>
    <w:rsid w:val="006C685B"/>
    <w:rsid w:val="006C6AF3"/>
    <w:rsid w:val="006C6B6A"/>
    <w:rsid w:val="006C6BE2"/>
    <w:rsid w:val="006C6D60"/>
    <w:rsid w:val="006C6F56"/>
    <w:rsid w:val="006C6FB4"/>
    <w:rsid w:val="006C7135"/>
    <w:rsid w:val="006C7456"/>
    <w:rsid w:val="006C76E3"/>
    <w:rsid w:val="006C7904"/>
    <w:rsid w:val="006C795E"/>
    <w:rsid w:val="006C7A99"/>
    <w:rsid w:val="006C7F70"/>
    <w:rsid w:val="006C7FC3"/>
    <w:rsid w:val="006D00DD"/>
    <w:rsid w:val="006D02B7"/>
    <w:rsid w:val="006D0496"/>
    <w:rsid w:val="006D07CD"/>
    <w:rsid w:val="006D0A99"/>
    <w:rsid w:val="006D0D11"/>
    <w:rsid w:val="006D0F34"/>
    <w:rsid w:val="006D1187"/>
    <w:rsid w:val="006D125F"/>
    <w:rsid w:val="006D12A9"/>
    <w:rsid w:val="006D1420"/>
    <w:rsid w:val="006D142C"/>
    <w:rsid w:val="006D14D5"/>
    <w:rsid w:val="006D1786"/>
    <w:rsid w:val="006D17F5"/>
    <w:rsid w:val="006D19A2"/>
    <w:rsid w:val="006D1B3F"/>
    <w:rsid w:val="006D1CDA"/>
    <w:rsid w:val="006D1D51"/>
    <w:rsid w:val="006D1D75"/>
    <w:rsid w:val="006D1EDB"/>
    <w:rsid w:val="006D202C"/>
    <w:rsid w:val="006D24C0"/>
    <w:rsid w:val="006D2C61"/>
    <w:rsid w:val="006D2FBD"/>
    <w:rsid w:val="006D303C"/>
    <w:rsid w:val="006D32D0"/>
    <w:rsid w:val="006D33A9"/>
    <w:rsid w:val="006D348B"/>
    <w:rsid w:val="006D3533"/>
    <w:rsid w:val="006D35B4"/>
    <w:rsid w:val="006D361E"/>
    <w:rsid w:val="006D3699"/>
    <w:rsid w:val="006D385F"/>
    <w:rsid w:val="006D397C"/>
    <w:rsid w:val="006D3A2E"/>
    <w:rsid w:val="006D3A30"/>
    <w:rsid w:val="006D3AC0"/>
    <w:rsid w:val="006D3B08"/>
    <w:rsid w:val="006D3B46"/>
    <w:rsid w:val="006D3EF8"/>
    <w:rsid w:val="006D3F06"/>
    <w:rsid w:val="006D400E"/>
    <w:rsid w:val="006D43B9"/>
    <w:rsid w:val="006D4662"/>
    <w:rsid w:val="006D48A0"/>
    <w:rsid w:val="006D4984"/>
    <w:rsid w:val="006D4A10"/>
    <w:rsid w:val="006D4A15"/>
    <w:rsid w:val="006D4D61"/>
    <w:rsid w:val="006D4E80"/>
    <w:rsid w:val="006D4E82"/>
    <w:rsid w:val="006D4EE7"/>
    <w:rsid w:val="006D4F27"/>
    <w:rsid w:val="006D504A"/>
    <w:rsid w:val="006D5308"/>
    <w:rsid w:val="006D5446"/>
    <w:rsid w:val="006D5519"/>
    <w:rsid w:val="006D56AF"/>
    <w:rsid w:val="006D56DD"/>
    <w:rsid w:val="006D5995"/>
    <w:rsid w:val="006D5A27"/>
    <w:rsid w:val="006D5C66"/>
    <w:rsid w:val="006D5F82"/>
    <w:rsid w:val="006D613B"/>
    <w:rsid w:val="006D6164"/>
    <w:rsid w:val="006D639C"/>
    <w:rsid w:val="006D647C"/>
    <w:rsid w:val="006D64F6"/>
    <w:rsid w:val="006D666E"/>
    <w:rsid w:val="006D6769"/>
    <w:rsid w:val="006D6A9B"/>
    <w:rsid w:val="006D6AA8"/>
    <w:rsid w:val="006D6BA1"/>
    <w:rsid w:val="006D6C9D"/>
    <w:rsid w:val="006D6CC9"/>
    <w:rsid w:val="006D6D94"/>
    <w:rsid w:val="006D6DE0"/>
    <w:rsid w:val="006D6EB6"/>
    <w:rsid w:val="006D7515"/>
    <w:rsid w:val="006D75DF"/>
    <w:rsid w:val="006D760A"/>
    <w:rsid w:val="006D795C"/>
    <w:rsid w:val="006D7A83"/>
    <w:rsid w:val="006D7D68"/>
    <w:rsid w:val="006D7D9C"/>
    <w:rsid w:val="006E00B2"/>
    <w:rsid w:val="006E0105"/>
    <w:rsid w:val="006E0107"/>
    <w:rsid w:val="006E0661"/>
    <w:rsid w:val="006E0873"/>
    <w:rsid w:val="006E0931"/>
    <w:rsid w:val="006E0AEB"/>
    <w:rsid w:val="006E0BD7"/>
    <w:rsid w:val="006E0D4E"/>
    <w:rsid w:val="006E0F13"/>
    <w:rsid w:val="006E0FAC"/>
    <w:rsid w:val="006E119E"/>
    <w:rsid w:val="006E11AB"/>
    <w:rsid w:val="006E1481"/>
    <w:rsid w:val="006E15B4"/>
    <w:rsid w:val="006E17AE"/>
    <w:rsid w:val="006E19FA"/>
    <w:rsid w:val="006E1A9F"/>
    <w:rsid w:val="006E22F5"/>
    <w:rsid w:val="006E2407"/>
    <w:rsid w:val="006E263E"/>
    <w:rsid w:val="006E269F"/>
    <w:rsid w:val="006E29C5"/>
    <w:rsid w:val="006E2E45"/>
    <w:rsid w:val="006E2E5D"/>
    <w:rsid w:val="006E3093"/>
    <w:rsid w:val="006E314A"/>
    <w:rsid w:val="006E31D3"/>
    <w:rsid w:val="006E320F"/>
    <w:rsid w:val="006E323F"/>
    <w:rsid w:val="006E33A6"/>
    <w:rsid w:val="006E34C1"/>
    <w:rsid w:val="006E3790"/>
    <w:rsid w:val="006E37AE"/>
    <w:rsid w:val="006E38AD"/>
    <w:rsid w:val="006E3945"/>
    <w:rsid w:val="006E39FA"/>
    <w:rsid w:val="006E3A13"/>
    <w:rsid w:val="006E3E1F"/>
    <w:rsid w:val="006E3FFB"/>
    <w:rsid w:val="006E401A"/>
    <w:rsid w:val="006E41EB"/>
    <w:rsid w:val="006E4551"/>
    <w:rsid w:val="006E4574"/>
    <w:rsid w:val="006E46CD"/>
    <w:rsid w:val="006E4E96"/>
    <w:rsid w:val="006E4ED1"/>
    <w:rsid w:val="006E4EED"/>
    <w:rsid w:val="006E4F3F"/>
    <w:rsid w:val="006E4FC0"/>
    <w:rsid w:val="006E551C"/>
    <w:rsid w:val="006E5783"/>
    <w:rsid w:val="006E5CCB"/>
    <w:rsid w:val="006E620E"/>
    <w:rsid w:val="006E621A"/>
    <w:rsid w:val="006E675B"/>
    <w:rsid w:val="006E6A92"/>
    <w:rsid w:val="006E6AA4"/>
    <w:rsid w:val="006E6ADD"/>
    <w:rsid w:val="006E6AEA"/>
    <w:rsid w:val="006E6B1F"/>
    <w:rsid w:val="006E6D12"/>
    <w:rsid w:val="006E6D73"/>
    <w:rsid w:val="006E6DC4"/>
    <w:rsid w:val="006E720B"/>
    <w:rsid w:val="006E725C"/>
    <w:rsid w:val="006E737D"/>
    <w:rsid w:val="006E747E"/>
    <w:rsid w:val="006E74C3"/>
    <w:rsid w:val="006E7769"/>
    <w:rsid w:val="006E794E"/>
    <w:rsid w:val="006E7B3C"/>
    <w:rsid w:val="006E7C05"/>
    <w:rsid w:val="006E7C6F"/>
    <w:rsid w:val="006E7C74"/>
    <w:rsid w:val="006E7DE3"/>
    <w:rsid w:val="006F007C"/>
    <w:rsid w:val="006F022B"/>
    <w:rsid w:val="006F0288"/>
    <w:rsid w:val="006F0393"/>
    <w:rsid w:val="006F03CE"/>
    <w:rsid w:val="006F045F"/>
    <w:rsid w:val="006F0489"/>
    <w:rsid w:val="006F081C"/>
    <w:rsid w:val="006F0ACF"/>
    <w:rsid w:val="006F0B08"/>
    <w:rsid w:val="006F0D1F"/>
    <w:rsid w:val="006F0E01"/>
    <w:rsid w:val="006F1161"/>
    <w:rsid w:val="006F144D"/>
    <w:rsid w:val="006F1493"/>
    <w:rsid w:val="006F15E9"/>
    <w:rsid w:val="006F164A"/>
    <w:rsid w:val="006F170F"/>
    <w:rsid w:val="006F1761"/>
    <w:rsid w:val="006F1A80"/>
    <w:rsid w:val="006F1AB0"/>
    <w:rsid w:val="006F1C06"/>
    <w:rsid w:val="006F1CD0"/>
    <w:rsid w:val="006F1D86"/>
    <w:rsid w:val="006F1E4C"/>
    <w:rsid w:val="006F2174"/>
    <w:rsid w:val="006F242E"/>
    <w:rsid w:val="006F24B3"/>
    <w:rsid w:val="006F27F7"/>
    <w:rsid w:val="006F2819"/>
    <w:rsid w:val="006F2939"/>
    <w:rsid w:val="006F2AC6"/>
    <w:rsid w:val="006F2D91"/>
    <w:rsid w:val="006F30E1"/>
    <w:rsid w:val="006F3414"/>
    <w:rsid w:val="006F3868"/>
    <w:rsid w:val="006F3896"/>
    <w:rsid w:val="006F3A42"/>
    <w:rsid w:val="006F3C3B"/>
    <w:rsid w:val="006F3C99"/>
    <w:rsid w:val="006F3F90"/>
    <w:rsid w:val="006F3FA7"/>
    <w:rsid w:val="006F4123"/>
    <w:rsid w:val="006F4616"/>
    <w:rsid w:val="006F4671"/>
    <w:rsid w:val="006F478D"/>
    <w:rsid w:val="006F4BED"/>
    <w:rsid w:val="006F4D22"/>
    <w:rsid w:val="006F4DA9"/>
    <w:rsid w:val="006F4EB4"/>
    <w:rsid w:val="006F4F96"/>
    <w:rsid w:val="006F5123"/>
    <w:rsid w:val="006F540E"/>
    <w:rsid w:val="006F54BF"/>
    <w:rsid w:val="006F54E5"/>
    <w:rsid w:val="006F55B2"/>
    <w:rsid w:val="006F581E"/>
    <w:rsid w:val="006F5928"/>
    <w:rsid w:val="006F5999"/>
    <w:rsid w:val="006F59C1"/>
    <w:rsid w:val="006F59D6"/>
    <w:rsid w:val="006F5CB4"/>
    <w:rsid w:val="006F5D06"/>
    <w:rsid w:val="006F5DF6"/>
    <w:rsid w:val="006F5EBE"/>
    <w:rsid w:val="006F5EC5"/>
    <w:rsid w:val="006F60F3"/>
    <w:rsid w:val="006F6364"/>
    <w:rsid w:val="006F63C9"/>
    <w:rsid w:val="006F65EE"/>
    <w:rsid w:val="006F6708"/>
    <w:rsid w:val="006F6B13"/>
    <w:rsid w:val="006F6BB7"/>
    <w:rsid w:val="006F6F0E"/>
    <w:rsid w:val="006F6F2B"/>
    <w:rsid w:val="006F7034"/>
    <w:rsid w:val="006F70A9"/>
    <w:rsid w:val="006F765D"/>
    <w:rsid w:val="006F7796"/>
    <w:rsid w:val="006F77A5"/>
    <w:rsid w:val="006F7D6F"/>
    <w:rsid w:val="006F7EEA"/>
    <w:rsid w:val="006F7F59"/>
    <w:rsid w:val="007002E2"/>
    <w:rsid w:val="007002FB"/>
    <w:rsid w:val="00700300"/>
    <w:rsid w:val="007003BE"/>
    <w:rsid w:val="00700542"/>
    <w:rsid w:val="0070071A"/>
    <w:rsid w:val="00700807"/>
    <w:rsid w:val="00700841"/>
    <w:rsid w:val="007008BC"/>
    <w:rsid w:val="007008CB"/>
    <w:rsid w:val="00700AEA"/>
    <w:rsid w:val="00700E85"/>
    <w:rsid w:val="00700E8F"/>
    <w:rsid w:val="00701629"/>
    <w:rsid w:val="0070172C"/>
    <w:rsid w:val="00701772"/>
    <w:rsid w:val="00701AE4"/>
    <w:rsid w:val="00701AE6"/>
    <w:rsid w:val="00701AED"/>
    <w:rsid w:val="00701B36"/>
    <w:rsid w:val="00701B61"/>
    <w:rsid w:val="00701CE6"/>
    <w:rsid w:val="00701D95"/>
    <w:rsid w:val="00701DB6"/>
    <w:rsid w:val="00701EB8"/>
    <w:rsid w:val="007020FF"/>
    <w:rsid w:val="007024A8"/>
    <w:rsid w:val="007028F8"/>
    <w:rsid w:val="00702A22"/>
    <w:rsid w:val="00702A52"/>
    <w:rsid w:val="00702AAF"/>
    <w:rsid w:val="00702C57"/>
    <w:rsid w:val="00703000"/>
    <w:rsid w:val="007030E4"/>
    <w:rsid w:val="00703897"/>
    <w:rsid w:val="00703975"/>
    <w:rsid w:val="00703A53"/>
    <w:rsid w:val="00703B20"/>
    <w:rsid w:val="00703B5A"/>
    <w:rsid w:val="00703E5E"/>
    <w:rsid w:val="007041FB"/>
    <w:rsid w:val="007043DF"/>
    <w:rsid w:val="00704402"/>
    <w:rsid w:val="00704527"/>
    <w:rsid w:val="00704669"/>
    <w:rsid w:val="00704728"/>
    <w:rsid w:val="00704794"/>
    <w:rsid w:val="007049F5"/>
    <w:rsid w:val="00704F8E"/>
    <w:rsid w:val="00705144"/>
    <w:rsid w:val="00705259"/>
    <w:rsid w:val="00705468"/>
    <w:rsid w:val="0070596A"/>
    <w:rsid w:val="00705AD3"/>
    <w:rsid w:val="00705B24"/>
    <w:rsid w:val="00705CE8"/>
    <w:rsid w:val="00705DB7"/>
    <w:rsid w:val="00705FC9"/>
    <w:rsid w:val="00705FCC"/>
    <w:rsid w:val="00706048"/>
    <w:rsid w:val="00706391"/>
    <w:rsid w:val="0070646D"/>
    <w:rsid w:val="00706614"/>
    <w:rsid w:val="00706745"/>
    <w:rsid w:val="00706CBA"/>
    <w:rsid w:val="00706CCA"/>
    <w:rsid w:val="00706F4E"/>
    <w:rsid w:val="00707470"/>
    <w:rsid w:val="00707513"/>
    <w:rsid w:val="007075BE"/>
    <w:rsid w:val="007075FC"/>
    <w:rsid w:val="0070777B"/>
    <w:rsid w:val="00707982"/>
    <w:rsid w:val="007079E4"/>
    <w:rsid w:val="00707DB7"/>
    <w:rsid w:val="00707EED"/>
    <w:rsid w:val="00707F4C"/>
    <w:rsid w:val="00707F8A"/>
    <w:rsid w:val="00710052"/>
    <w:rsid w:val="0071036A"/>
    <w:rsid w:val="00710599"/>
    <w:rsid w:val="00710697"/>
    <w:rsid w:val="0071077F"/>
    <w:rsid w:val="00710B81"/>
    <w:rsid w:val="00710DD3"/>
    <w:rsid w:val="00710DE2"/>
    <w:rsid w:val="00711046"/>
    <w:rsid w:val="00711489"/>
    <w:rsid w:val="0071156E"/>
    <w:rsid w:val="007116BA"/>
    <w:rsid w:val="007117F0"/>
    <w:rsid w:val="00711CDE"/>
    <w:rsid w:val="00711D90"/>
    <w:rsid w:val="00711DA3"/>
    <w:rsid w:val="00711FCF"/>
    <w:rsid w:val="007120A4"/>
    <w:rsid w:val="0071218E"/>
    <w:rsid w:val="0071224C"/>
    <w:rsid w:val="00712304"/>
    <w:rsid w:val="00712431"/>
    <w:rsid w:val="00712541"/>
    <w:rsid w:val="00712597"/>
    <w:rsid w:val="007125BA"/>
    <w:rsid w:val="0071284E"/>
    <w:rsid w:val="00712FFC"/>
    <w:rsid w:val="007130D9"/>
    <w:rsid w:val="00713152"/>
    <w:rsid w:val="007131A5"/>
    <w:rsid w:val="0071321B"/>
    <w:rsid w:val="0071340F"/>
    <w:rsid w:val="007134B9"/>
    <w:rsid w:val="007135C3"/>
    <w:rsid w:val="007136DB"/>
    <w:rsid w:val="0071376D"/>
    <w:rsid w:val="00713895"/>
    <w:rsid w:val="00713960"/>
    <w:rsid w:val="00713BCD"/>
    <w:rsid w:val="00713C01"/>
    <w:rsid w:val="00713E1B"/>
    <w:rsid w:val="0071402E"/>
    <w:rsid w:val="007140C2"/>
    <w:rsid w:val="007141BA"/>
    <w:rsid w:val="007141EC"/>
    <w:rsid w:val="007148F1"/>
    <w:rsid w:val="00714913"/>
    <w:rsid w:val="007149A5"/>
    <w:rsid w:val="00714B6B"/>
    <w:rsid w:val="00714BD3"/>
    <w:rsid w:val="00714C39"/>
    <w:rsid w:val="00714E84"/>
    <w:rsid w:val="00714E8C"/>
    <w:rsid w:val="00715086"/>
    <w:rsid w:val="007150A3"/>
    <w:rsid w:val="00715215"/>
    <w:rsid w:val="007155DC"/>
    <w:rsid w:val="00715672"/>
    <w:rsid w:val="00715D4A"/>
    <w:rsid w:val="00715DE4"/>
    <w:rsid w:val="00715E6C"/>
    <w:rsid w:val="00715F82"/>
    <w:rsid w:val="00715FF3"/>
    <w:rsid w:val="0071605D"/>
    <w:rsid w:val="00716379"/>
    <w:rsid w:val="00716885"/>
    <w:rsid w:val="007168BB"/>
    <w:rsid w:val="007169E8"/>
    <w:rsid w:val="00716AE6"/>
    <w:rsid w:val="00716B82"/>
    <w:rsid w:val="00716CA0"/>
    <w:rsid w:val="00716D42"/>
    <w:rsid w:val="00716D7E"/>
    <w:rsid w:val="00716D8D"/>
    <w:rsid w:val="00716E1C"/>
    <w:rsid w:val="00716EA0"/>
    <w:rsid w:val="0071731B"/>
    <w:rsid w:val="007173E7"/>
    <w:rsid w:val="00717C13"/>
    <w:rsid w:val="00717C42"/>
    <w:rsid w:val="00717C6D"/>
    <w:rsid w:val="00717E72"/>
    <w:rsid w:val="00717EBD"/>
    <w:rsid w:val="007200FA"/>
    <w:rsid w:val="007201CE"/>
    <w:rsid w:val="007202F4"/>
    <w:rsid w:val="00720543"/>
    <w:rsid w:val="007205FF"/>
    <w:rsid w:val="00720686"/>
    <w:rsid w:val="007206FA"/>
    <w:rsid w:val="00720798"/>
    <w:rsid w:val="007207DE"/>
    <w:rsid w:val="007207E0"/>
    <w:rsid w:val="007209C4"/>
    <w:rsid w:val="00720A3B"/>
    <w:rsid w:val="00720AF3"/>
    <w:rsid w:val="00720CA9"/>
    <w:rsid w:val="00720DC5"/>
    <w:rsid w:val="00720E9C"/>
    <w:rsid w:val="00720EAD"/>
    <w:rsid w:val="00720F5E"/>
    <w:rsid w:val="00720FF1"/>
    <w:rsid w:val="0072120A"/>
    <w:rsid w:val="00721570"/>
    <w:rsid w:val="007215D5"/>
    <w:rsid w:val="0072173B"/>
    <w:rsid w:val="007217E2"/>
    <w:rsid w:val="007218A3"/>
    <w:rsid w:val="007218D4"/>
    <w:rsid w:val="00721972"/>
    <w:rsid w:val="00721A35"/>
    <w:rsid w:val="00721B5D"/>
    <w:rsid w:val="00721C04"/>
    <w:rsid w:val="00721C45"/>
    <w:rsid w:val="00721FDE"/>
    <w:rsid w:val="00722205"/>
    <w:rsid w:val="007223BA"/>
    <w:rsid w:val="00722471"/>
    <w:rsid w:val="007224D6"/>
    <w:rsid w:val="007225E2"/>
    <w:rsid w:val="0072269A"/>
    <w:rsid w:val="00722884"/>
    <w:rsid w:val="00722A02"/>
    <w:rsid w:val="00722A42"/>
    <w:rsid w:val="00722C8E"/>
    <w:rsid w:val="00722EAE"/>
    <w:rsid w:val="00723307"/>
    <w:rsid w:val="007235EF"/>
    <w:rsid w:val="0072363B"/>
    <w:rsid w:val="00723905"/>
    <w:rsid w:val="007239F8"/>
    <w:rsid w:val="00723AB6"/>
    <w:rsid w:val="00723B12"/>
    <w:rsid w:val="00723C6A"/>
    <w:rsid w:val="00723D1D"/>
    <w:rsid w:val="00723D4A"/>
    <w:rsid w:val="00723E71"/>
    <w:rsid w:val="00723ED1"/>
    <w:rsid w:val="00724279"/>
    <w:rsid w:val="0072439C"/>
    <w:rsid w:val="0072451E"/>
    <w:rsid w:val="00724767"/>
    <w:rsid w:val="00724834"/>
    <w:rsid w:val="00724B84"/>
    <w:rsid w:val="00724D16"/>
    <w:rsid w:val="00724D74"/>
    <w:rsid w:val="00724E44"/>
    <w:rsid w:val="00724EE7"/>
    <w:rsid w:val="00724F79"/>
    <w:rsid w:val="007250FC"/>
    <w:rsid w:val="00725141"/>
    <w:rsid w:val="0072524F"/>
    <w:rsid w:val="007252E7"/>
    <w:rsid w:val="0072553D"/>
    <w:rsid w:val="0072560B"/>
    <w:rsid w:val="00725633"/>
    <w:rsid w:val="00725A88"/>
    <w:rsid w:val="0072615B"/>
    <w:rsid w:val="00726321"/>
    <w:rsid w:val="007264DF"/>
    <w:rsid w:val="00726572"/>
    <w:rsid w:val="007266E1"/>
    <w:rsid w:val="0072675B"/>
    <w:rsid w:val="007268F5"/>
    <w:rsid w:val="00726AF5"/>
    <w:rsid w:val="00726B6E"/>
    <w:rsid w:val="00726BBB"/>
    <w:rsid w:val="00726D92"/>
    <w:rsid w:val="00726F56"/>
    <w:rsid w:val="0072713F"/>
    <w:rsid w:val="00727206"/>
    <w:rsid w:val="00727330"/>
    <w:rsid w:val="007273E0"/>
    <w:rsid w:val="0072750B"/>
    <w:rsid w:val="00727732"/>
    <w:rsid w:val="007279CD"/>
    <w:rsid w:val="00727A92"/>
    <w:rsid w:val="00727E53"/>
    <w:rsid w:val="00730336"/>
    <w:rsid w:val="00730348"/>
    <w:rsid w:val="00730445"/>
    <w:rsid w:val="00730731"/>
    <w:rsid w:val="00730A29"/>
    <w:rsid w:val="00730B16"/>
    <w:rsid w:val="00730C68"/>
    <w:rsid w:val="007310EC"/>
    <w:rsid w:val="00731291"/>
    <w:rsid w:val="00731371"/>
    <w:rsid w:val="00731390"/>
    <w:rsid w:val="00731448"/>
    <w:rsid w:val="0073154F"/>
    <w:rsid w:val="007316D1"/>
    <w:rsid w:val="00731F4F"/>
    <w:rsid w:val="00731FB0"/>
    <w:rsid w:val="007320DC"/>
    <w:rsid w:val="007321D0"/>
    <w:rsid w:val="00732209"/>
    <w:rsid w:val="0073229C"/>
    <w:rsid w:val="0073246C"/>
    <w:rsid w:val="007326C6"/>
    <w:rsid w:val="007326E1"/>
    <w:rsid w:val="007327E5"/>
    <w:rsid w:val="00732816"/>
    <w:rsid w:val="007329B0"/>
    <w:rsid w:val="00732C10"/>
    <w:rsid w:val="00732C96"/>
    <w:rsid w:val="00732CAC"/>
    <w:rsid w:val="00732D21"/>
    <w:rsid w:val="00732FA0"/>
    <w:rsid w:val="00733143"/>
    <w:rsid w:val="007331E7"/>
    <w:rsid w:val="0073323D"/>
    <w:rsid w:val="00733271"/>
    <w:rsid w:val="007333C8"/>
    <w:rsid w:val="00733564"/>
    <w:rsid w:val="00733886"/>
    <w:rsid w:val="007338B2"/>
    <w:rsid w:val="00733A49"/>
    <w:rsid w:val="00733BE8"/>
    <w:rsid w:val="007342DF"/>
    <w:rsid w:val="0073435B"/>
    <w:rsid w:val="00734677"/>
    <w:rsid w:val="0073472D"/>
    <w:rsid w:val="0073480E"/>
    <w:rsid w:val="007348B0"/>
    <w:rsid w:val="00734BB4"/>
    <w:rsid w:val="00734D0C"/>
    <w:rsid w:val="00734FAB"/>
    <w:rsid w:val="00735256"/>
    <w:rsid w:val="007352DE"/>
    <w:rsid w:val="00735390"/>
    <w:rsid w:val="00735467"/>
    <w:rsid w:val="007354A1"/>
    <w:rsid w:val="007358B6"/>
    <w:rsid w:val="0073599D"/>
    <w:rsid w:val="007359DD"/>
    <w:rsid w:val="00735AE9"/>
    <w:rsid w:val="00735C81"/>
    <w:rsid w:val="00735F83"/>
    <w:rsid w:val="0073600C"/>
    <w:rsid w:val="00736189"/>
    <w:rsid w:val="0073642B"/>
    <w:rsid w:val="0073644D"/>
    <w:rsid w:val="007364BB"/>
    <w:rsid w:val="00736895"/>
    <w:rsid w:val="00736D17"/>
    <w:rsid w:val="00737063"/>
    <w:rsid w:val="00737168"/>
    <w:rsid w:val="00737177"/>
    <w:rsid w:val="00737684"/>
    <w:rsid w:val="007376E5"/>
    <w:rsid w:val="00737867"/>
    <w:rsid w:val="007379C9"/>
    <w:rsid w:val="00737B5A"/>
    <w:rsid w:val="00740166"/>
    <w:rsid w:val="00740195"/>
    <w:rsid w:val="00740224"/>
    <w:rsid w:val="007405A3"/>
    <w:rsid w:val="00740805"/>
    <w:rsid w:val="007408B5"/>
    <w:rsid w:val="00740980"/>
    <w:rsid w:val="00740A08"/>
    <w:rsid w:val="00740CF8"/>
    <w:rsid w:val="00740DE2"/>
    <w:rsid w:val="00740FBC"/>
    <w:rsid w:val="007411D5"/>
    <w:rsid w:val="0074120B"/>
    <w:rsid w:val="007413E7"/>
    <w:rsid w:val="00741463"/>
    <w:rsid w:val="0074189C"/>
    <w:rsid w:val="00741915"/>
    <w:rsid w:val="00741A7E"/>
    <w:rsid w:val="00741C65"/>
    <w:rsid w:val="00741C85"/>
    <w:rsid w:val="00741D0D"/>
    <w:rsid w:val="00741D9B"/>
    <w:rsid w:val="00741F04"/>
    <w:rsid w:val="00741F08"/>
    <w:rsid w:val="00741FEC"/>
    <w:rsid w:val="0074214D"/>
    <w:rsid w:val="00742383"/>
    <w:rsid w:val="007428DC"/>
    <w:rsid w:val="0074297E"/>
    <w:rsid w:val="007429D5"/>
    <w:rsid w:val="00742ACD"/>
    <w:rsid w:val="00742AEA"/>
    <w:rsid w:val="00742C62"/>
    <w:rsid w:val="00742C97"/>
    <w:rsid w:val="00743166"/>
    <w:rsid w:val="007434D8"/>
    <w:rsid w:val="00743636"/>
    <w:rsid w:val="007436C5"/>
    <w:rsid w:val="00743CBA"/>
    <w:rsid w:val="00743FAF"/>
    <w:rsid w:val="007444D5"/>
    <w:rsid w:val="007444D7"/>
    <w:rsid w:val="0074454D"/>
    <w:rsid w:val="007448A3"/>
    <w:rsid w:val="00744910"/>
    <w:rsid w:val="00744914"/>
    <w:rsid w:val="007449A1"/>
    <w:rsid w:val="00744B9F"/>
    <w:rsid w:val="00744C0E"/>
    <w:rsid w:val="00745157"/>
    <w:rsid w:val="00745234"/>
    <w:rsid w:val="007453DA"/>
    <w:rsid w:val="00745480"/>
    <w:rsid w:val="007454EA"/>
    <w:rsid w:val="0074553A"/>
    <w:rsid w:val="00745866"/>
    <w:rsid w:val="00745C1A"/>
    <w:rsid w:val="00745CC2"/>
    <w:rsid w:val="00745D06"/>
    <w:rsid w:val="00745DA3"/>
    <w:rsid w:val="007462C1"/>
    <w:rsid w:val="00746301"/>
    <w:rsid w:val="007464DB"/>
    <w:rsid w:val="007466CB"/>
    <w:rsid w:val="00746914"/>
    <w:rsid w:val="007469B9"/>
    <w:rsid w:val="00746F12"/>
    <w:rsid w:val="00746F93"/>
    <w:rsid w:val="00747145"/>
    <w:rsid w:val="007471AE"/>
    <w:rsid w:val="00747224"/>
    <w:rsid w:val="0074760D"/>
    <w:rsid w:val="007476DE"/>
    <w:rsid w:val="0074778B"/>
    <w:rsid w:val="00747819"/>
    <w:rsid w:val="007479DF"/>
    <w:rsid w:val="00747A36"/>
    <w:rsid w:val="00747AD6"/>
    <w:rsid w:val="00747CB4"/>
    <w:rsid w:val="00747CD4"/>
    <w:rsid w:val="00747FA9"/>
    <w:rsid w:val="00750642"/>
    <w:rsid w:val="00750881"/>
    <w:rsid w:val="00750B74"/>
    <w:rsid w:val="00750C2E"/>
    <w:rsid w:val="00750D75"/>
    <w:rsid w:val="00750FA9"/>
    <w:rsid w:val="00750FE9"/>
    <w:rsid w:val="007510B0"/>
    <w:rsid w:val="00751158"/>
    <w:rsid w:val="00751180"/>
    <w:rsid w:val="007511C1"/>
    <w:rsid w:val="00751359"/>
    <w:rsid w:val="007516A4"/>
    <w:rsid w:val="007516BD"/>
    <w:rsid w:val="00751710"/>
    <w:rsid w:val="0075177D"/>
    <w:rsid w:val="007517B7"/>
    <w:rsid w:val="00751857"/>
    <w:rsid w:val="00751886"/>
    <w:rsid w:val="00751A01"/>
    <w:rsid w:val="00751A18"/>
    <w:rsid w:val="00751A1D"/>
    <w:rsid w:val="00751AF8"/>
    <w:rsid w:val="00751D48"/>
    <w:rsid w:val="00751DA1"/>
    <w:rsid w:val="00751DCB"/>
    <w:rsid w:val="00752411"/>
    <w:rsid w:val="00752551"/>
    <w:rsid w:val="00752C72"/>
    <w:rsid w:val="00752EAC"/>
    <w:rsid w:val="00753065"/>
    <w:rsid w:val="0075308B"/>
    <w:rsid w:val="00753096"/>
    <w:rsid w:val="00753198"/>
    <w:rsid w:val="0075378E"/>
    <w:rsid w:val="007537F1"/>
    <w:rsid w:val="00753810"/>
    <w:rsid w:val="0075385E"/>
    <w:rsid w:val="007538A7"/>
    <w:rsid w:val="00753E84"/>
    <w:rsid w:val="00753E96"/>
    <w:rsid w:val="00753EA9"/>
    <w:rsid w:val="0075400F"/>
    <w:rsid w:val="0075403A"/>
    <w:rsid w:val="00754128"/>
    <w:rsid w:val="00754290"/>
    <w:rsid w:val="007542FF"/>
    <w:rsid w:val="007547A5"/>
    <w:rsid w:val="00754825"/>
    <w:rsid w:val="007548A6"/>
    <w:rsid w:val="00754C1F"/>
    <w:rsid w:val="00754D37"/>
    <w:rsid w:val="00754D95"/>
    <w:rsid w:val="00754FFE"/>
    <w:rsid w:val="00755264"/>
    <w:rsid w:val="0075540C"/>
    <w:rsid w:val="00755462"/>
    <w:rsid w:val="0075552B"/>
    <w:rsid w:val="0075565E"/>
    <w:rsid w:val="00755728"/>
    <w:rsid w:val="0075573A"/>
    <w:rsid w:val="007557EF"/>
    <w:rsid w:val="00755B36"/>
    <w:rsid w:val="00755B8B"/>
    <w:rsid w:val="00755C5F"/>
    <w:rsid w:val="00755D75"/>
    <w:rsid w:val="00756061"/>
    <w:rsid w:val="00756975"/>
    <w:rsid w:val="00756D47"/>
    <w:rsid w:val="00756E3B"/>
    <w:rsid w:val="00756E5D"/>
    <w:rsid w:val="00756E76"/>
    <w:rsid w:val="00757006"/>
    <w:rsid w:val="00757241"/>
    <w:rsid w:val="00757302"/>
    <w:rsid w:val="007573D0"/>
    <w:rsid w:val="00757477"/>
    <w:rsid w:val="007579C7"/>
    <w:rsid w:val="00757BFF"/>
    <w:rsid w:val="00757C1C"/>
    <w:rsid w:val="00757C82"/>
    <w:rsid w:val="00757E18"/>
    <w:rsid w:val="00757F2C"/>
    <w:rsid w:val="00757F67"/>
    <w:rsid w:val="0076017D"/>
    <w:rsid w:val="007602FF"/>
    <w:rsid w:val="00760320"/>
    <w:rsid w:val="0076047B"/>
    <w:rsid w:val="0076049E"/>
    <w:rsid w:val="00760B23"/>
    <w:rsid w:val="00760B70"/>
    <w:rsid w:val="00760CD8"/>
    <w:rsid w:val="00760D1C"/>
    <w:rsid w:val="00760DB2"/>
    <w:rsid w:val="00760FAD"/>
    <w:rsid w:val="0076106C"/>
    <w:rsid w:val="007610CB"/>
    <w:rsid w:val="00761181"/>
    <w:rsid w:val="00761218"/>
    <w:rsid w:val="00761357"/>
    <w:rsid w:val="007613E8"/>
    <w:rsid w:val="00761644"/>
    <w:rsid w:val="0076167D"/>
    <w:rsid w:val="007616F1"/>
    <w:rsid w:val="0076192E"/>
    <w:rsid w:val="007619CA"/>
    <w:rsid w:val="00761A2A"/>
    <w:rsid w:val="00761A68"/>
    <w:rsid w:val="00761BC4"/>
    <w:rsid w:val="00761D13"/>
    <w:rsid w:val="00761FE3"/>
    <w:rsid w:val="00762132"/>
    <w:rsid w:val="007624A5"/>
    <w:rsid w:val="00762506"/>
    <w:rsid w:val="00762A8A"/>
    <w:rsid w:val="00762B24"/>
    <w:rsid w:val="00762B29"/>
    <w:rsid w:val="00762C2C"/>
    <w:rsid w:val="00762CAC"/>
    <w:rsid w:val="00762E44"/>
    <w:rsid w:val="00762F9F"/>
    <w:rsid w:val="00762FFF"/>
    <w:rsid w:val="00763138"/>
    <w:rsid w:val="007631B3"/>
    <w:rsid w:val="0076324D"/>
    <w:rsid w:val="007634FE"/>
    <w:rsid w:val="00763677"/>
    <w:rsid w:val="00763899"/>
    <w:rsid w:val="0076393D"/>
    <w:rsid w:val="00763B01"/>
    <w:rsid w:val="00763D5C"/>
    <w:rsid w:val="00763DFA"/>
    <w:rsid w:val="00763F1C"/>
    <w:rsid w:val="00764087"/>
    <w:rsid w:val="0076410C"/>
    <w:rsid w:val="00764523"/>
    <w:rsid w:val="00764533"/>
    <w:rsid w:val="007645BD"/>
    <w:rsid w:val="007647EE"/>
    <w:rsid w:val="007648E3"/>
    <w:rsid w:val="00764989"/>
    <w:rsid w:val="007649C0"/>
    <w:rsid w:val="00764A3A"/>
    <w:rsid w:val="00764D41"/>
    <w:rsid w:val="00764DD0"/>
    <w:rsid w:val="00764F58"/>
    <w:rsid w:val="00764F63"/>
    <w:rsid w:val="007651CC"/>
    <w:rsid w:val="0076545D"/>
    <w:rsid w:val="00765502"/>
    <w:rsid w:val="0076560C"/>
    <w:rsid w:val="00765967"/>
    <w:rsid w:val="00765A01"/>
    <w:rsid w:val="00765B65"/>
    <w:rsid w:val="00765B8B"/>
    <w:rsid w:val="00765F97"/>
    <w:rsid w:val="00765FC0"/>
    <w:rsid w:val="00766149"/>
    <w:rsid w:val="007661CA"/>
    <w:rsid w:val="0076642D"/>
    <w:rsid w:val="00766500"/>
    <w:rsid w:val="00766646"/>
    <w:rsid w:val="00766917"/>
    <w:rsid w:val="00766943"/>
    <w:rsid w:val="0076695D"/>
    <w:rsid w:val="007669B3"/>
    <w:rsid w:val="00766AC2"/>
    <w:rsid w:val="00766B59"/>
    <w:rsid w:val="00766B8C"/>
    <w:rsid w:val="00766C44"/>
    <w:rsid w:val="00766D14"/>
    <w:rsid w:val="00766DD5"/>
    <w:rsid w:val="00766EB8"/>
    <w:rsid w:val="00766F24"/>
    <w:rsid w:val="00766FC9"/>
    <w:rsid w:val="0076707A"/>
    <w:rsid w:val="007671BA"/>
    <w:rsid w:val="00767393"/>
    <w:rsid w:val="00767481"/>
    <w:rsid w:val="0076750A"/>
    <w:rsid w:val="0076754E"/>
    <w:rsid w:val="007676B3"/>
    <w:rsid w:val="00767763"/>
    <w:rsid w:val="00767772"/>
    <w:rsid w:val="007677E3"/>
    <w:rsid w:val="00767C25"/>
    <w:rsid w:val="00767D2C"/>
    <w:rsid w:val="00767DC8"/>
    <w:rsid w:val="00767EB9"/>
    <w:rsid w:val="0077013D"/>
    <w:rsid w:val="007701F9"/>
    <w:rsid w:val="0077025A"/>
    <w:rsid w:val="0077036B"/>
    <w:rsid w:val="0077038A"/>
    <w:rsid w:val="00770419"/>
    <w:rsid w:val="00770633"/>
    <w:rsid w:val="00770716"/>
    <w:rsid w:val="0077080F"/>
    <w:rsid w:val="007708D7"/>
    <w:rsid w:val="00770932"/>
    <w:rsid w:val="00770A1F"/>
    <w:rsid w:val="00770A84"/>
    <w:rsid w:val="00770D00"/>
    <w:rsid w:val="00770EA7"/>
    <w:rsid w:val="00770ED0"/>
    <w:rsid w:val="00770F40"/>
    <w:rsid w:val="00771077"/>
    <w:rsid w:val="007710FA"/>
    <w:rsid w:val="0077141C"/>
    <w:rsid w:val="007715A8"/>
    <w:rsid w:val="00771654"/>
    <w:rsid w:val="0077165B"/>
    <w:rsid w:val="0077167E"/>
    <w:rsid w:val="00771854"/>
    <w:rsid w:val="00771A5B"/>
    <w:rsid w:val="00771F7F"/>
    <w:rsid w:val="00771FFA"/>
    <w:rsid w:val="0077210A"/>
    <w:rsid w:val="0077285C"/>
    <w:rsid w:val="007728B0"/>
    <w:rsid w:val="00772C39"/>
    <w:rsid w:val="00772C8B"/>
    <w:rsid w:val="00772E78"/>
    <w:rsid w:val="00773078"/>
    <w:rsid w:val="00773327"/>
    <w:rsid w:val="00773331"/>
    <w:rsid w:val="00773666"/>
    <w:rsid w:val="00773701"/>
    <w:rsid w:val="00773B68"/>
    <w:rsid w:val="00773C4F"/>
    <w:rsid w:val="00773C8A"/>
    <w:rsid w:val="00773FC1"/>
    <w:rsid w:val="00774092"/>
    <w:rsid w:val="007740F0"/>
    <w:rsid w:val="007742CE"/>
    <w:rsid w:val="007745BA"/>
    <w:rsid w:val="00774688"/>
    <w:rsid w:val="00774923"/>
    <w:rsid w:val="00774B67"/>
    <w:rsid w:val="00774BD5"/>
    <w:rsid w:val="00774CA2"/>
    <w:rsid w:val="00774FA1"/>
    <w:rsid w:val="00775188"/>
    <w:rsid w:val="007751D0"/>
    <w:rsid w:val="0077548F"/>
    <w:rsid w:val="007755E8"/>
    <w:rsid w:val="00775616"/>
    <w:rsid w:val="007757B5"/>
    <w:rsid w:val="007758C0"/>
    <w:rsid w:val="00775905"/>
    <w:rsid w:val="007759D2"/>
    <w:rsid w:val="007759FB"/>
    <w:rsid w:val="00775AFA"/>
    <w:rsid w:val="00775B8C"/>
    <w:rsid w:val="00775B9A"/>
    <w:rsid w:val="00775EAF"/>
    <w:rsid w:val="00775F9D"/>
    <w:rsid w:val="007764A5"/>
    <w:rsid w:val="00776519"/>
    <w:rsid w:val="00776778"/>
    <w:rsid w:val="007767FB"/>
    <w:rsid w:val="00776863"/>
    <w:rsid w:val="00776956"/>
    <w:rsid w:val="00776A3E"/>
    <w:rsid w:val="00776B47"/>
    <w:rsid w:val="00776DF8"/>
    <w:rsid w:val="00776E21"/>
    <w:rsid w:val="00776E26"/>
    <w:rsid w:val="00776FF3"/>
    <w:rsid w:val="007772FC"/>
    <w:rsid w:val="0077747B"/>
    <w:rsid w:val="00777581"/>
    <w:rsid w:val="0077785A"/>
    <w:rsid w:val="00777879"/>
    <w:rsid w:val="0077788C"/>
    <w:rsid w:val="00777D3B"/>
    <w:rsid w:val="00777DDB"/>
    <w:rsid w:val="00777F40"/>
    <w:rsid w:val="0078010E"/>
    <w:rsid w:val="007803B3"/>
    <w:rsid w:val="007803C6"/>
    <w:rsid w:val="007805E1"/>
    <w:rsid w:val="007806A6"/>
    <w:rsid w:val="007808C1"/>
    <w:rsid w:val="007808C2"/>
    <w:rsid w:val="007809D5"/>
    <w:rsid w:val="00780AD8"/>
    <w:rsid w:val="00780C59"/>
    <w:rsid w:val="00780DB2"/>
    <w:rsid w:val="00780E70"/>
    <w:rsid w:val="00780F12"/>
    <w:rsid w:val="00781024"/>
    <w:rsid w:val="0078113C"/>
    <w:rsid w:val="007812B6"/>
    <w:rsid w:val="0078147F"/>
    <w:rsid w:val="007818D2"/>
    <w:rsid w:val="0078190F"/>
    <w:rsid w:val="00781A97"/>
    <w:rsid w:val="00781C68"/>
    <w:rsid w:val="00781E0B"/>
    <w:rsid w:val="00781FF8"/>
    <w:rsid w:val="00782245"/>
    <w:rsid w:val="00782492"/>
    <w:rsid w:val="00782701"/>
    <w:rsid w:val="00782B62"/>
    <w:rsid w:val="00782D4C"/>
    <w:rsid w:val="00782E36"/>
    <w:rsid w:val="0078319A"/>
    <w:rsid w:val="0078370D"/>
    <w:rsid w:val="00783867"/>
    <w:rsid w:val="00783883"/>
    <w:rsid w:val="0078397F"/>
    <w:rsid w:val="00783B30"/>
    <w:rsid w:val="00783BA5"/>
    <w:rsid w:val="00783BE9"/>
    <w:rsid w:val="00783D8A"/>
    <w:rsid w:val="0078402C"/>
    <w:rsid w:val="0078419B"/>
    <w:rsid w:val="0078425F"/>
    <w:rsid w:val="0078430E"/>
    <w:rsid w:val="0078489C"/>
    <w:rsid w:val="007849BF"/>
    <w:rsid w:val="007849D9"/>
    <w:rsid w:val="007849DF"/>
    <w:rsid w:val="00784A15"/>
    <w:rsid w:val="00784B5E"/>
    <w:rsid w:val="007850C0"/>
    <w:rsid w:val="0078539D"/>
    <w:rsid w:val="007853E8"/>
    <w:rsid w:val="00785656"/>
    <w:rsid w:val="007856B5"/>
    <w:rsid w:val="00785702"/>
    <w:rsid w:val="00785802"/>
    <w:rsid w:val="0078599F"/>
    <w:rsid w:val="00785A11"/>
    <w:rsid w:val="00785ADC"/>
    <w:rsid w:val="00785CD8"/>
    <w:rsid w:val="00785D23"/>
    <w:rsid w:val="00785D76"/>
    <w:rsid w:val="00786117"/>
    <w:rsid w:val="007861BB"/>
    <w:rsid w:val="0078627A"/>
    <w:rsid w:val="0078641D"/>
    <w:rsid w:val="007865CB"/>
    <w:rsid w:val="00786651"/>
    <w:rsid w:val="00786AAC"/>
    <w:rsid w:val="00786B6F"/>
    <w:rsid w:val="00786B70"/>
    <w:rsid w:val="00786C19"/>
    <w:rsid w:val="00786E79"/>
    <w:rsid w:val="00786F44"/>
    <w:rsid w:val="00786FE7"/>
    <w:rsid w:val="007870C2"/>
    <w:rsid w:val="0078713E"/>
    <w:rsid w:val="00787284"/>
    <w:rsid w:val="0078734D"/>
    <w:rsid w:val="00787491"/>
    <w:rsid w:val="007877A8"/>
    <w:rsid w:val="00787833"/>
    <w:rsid w:val="00787A9B"/>
    <w:rsid w:val="00787BFA"/>
    <w:rsid w:val="00787D3F"/>
    <w:rsid w:val="00790041"/>
    <w:rsid w:val="0079005F"/>
    <w:rsid w:val="007903D9"/>
    <w:rsid w:val="00790493"/>
    <w:rsid w:val="0079059D"/>
    <w:rsid w:val="007908CF"/>
    <w:rsid w:val="007909B8"/>
    <w:rsid w:val="00790A30"/>
    <w:rsid w:val="00790C01"/>
    <w:rsid w:val="00790DB3"/>
    <w:rsid w:val="00790E66"/>
    <w:rsid w:val="0079107E"/>
    <w:rsid w:val="00791138"/>
    <w:rsid w:val="00791212"/>
    <w:rsid w:val="007916B4"/>
    <w:rsid w:val="00791762"/>
    <w:rsid w:val="00791B59"/>
    <w:rsid w:val="00792337"/>
    <w:rsid w:val="00792425"/>
    <w:rsid w:val="00792584"/>
    <w:rsid w:val="007925A8"/>
    <w:rsid w:val="0079276B"/>
    <w:rsid w:val="007928DB"/>
    <w:rsid w:val="00792915"/>
    <w:rsid w:val="0079298D"/>
    <w:rsid w:val="007929D3"/>
    <w:rsid w:val="00792A53"/>
    <w:rsid w:val="00792A8B"/>
    <w:rsid w:val="00792CCC"/>
    <w:rsid w:val="00792D77"/>
    <w:rsid w:val="00792DEA"/>
    <w:rsid w:val="007930B4"/>
    <w:rsid w:val="007932EF"/>
    <w:rsid w:val="0079348B"/>
    <w:rsid w:val="00793721"/>
    <w:rsid w:val="0079379B"/>
    <w:rsid w:val="0079398F"/>
    <w:rsid w:val="00793C87"/>
    <w:rsid w:val="00793F01"/>
    <w:rsid w:val="00793FEB"/>
    <w:rsid w:val="00794554"/>
    <w:rsid w:val="0079464C"/>
    <w:rsid w:val="00794A3E"/>
    <w:rsid w:val="00794D2B"/>
    <w:rsid w:val="00795100"/>
    <w:rsid w:val="007952C0"/>
    <w:rsid w:val="0079539F"/>
    <w:rsid w:val="007953B5"/>
    <w:rsid w:val="007953FC"/>
    <w:rsid w:val="007954AC"/>
    <w:rsid w:val="007954E5"/>
    <w:rsid w:val="00795816"/>
    <w:rsid w:val="00795B4F"/>
    <w:rsid w:val="00795BCD"/>
    <w:rsid w:val="00796044"/>
    <w:rsid w:val="007960F1"/>
    <w:rsid w:val="00796505"/>
    <w:rsid w:val="00796ADE"/>
    <w:rsid w:val="00796D92"/>
    <w:rsid w:val="00796DAF"/>
    <w:rsid w:val="00796DEF"/>
    <w:rsid w:val="00796E98"/>
    <w:rsid w:val="00797627"/>
    <w:rsid w:val="007979C2"/>
    <w:rsid w:val="00797AE2"/>
    <w:rsid w:val="00797B49"/>
    <w:rsid w:val="00797C11"/>
    <w:rsid w:val="00797C21"/>
    <w:rsid w:val="00797D47"/>
    <w:rsid w:val="00797E42"/>
    <w:rsid w:val="00797EB9"/>
    <w:rsid w:val="00797F6C"/>
    <w:rsid w:val="007A011F"/>
    <w:rsid w:val="007A04A4"/>
    <w:rsid w:val="007A0713"/>
    <w:rsid w:val="007A08AC"/>
    <w:rsid w:val="007A0973"/>
    <w:rsid w:val="007A09C8"/>
    <w:rsid w:val="007A09F1"/>
    <w:rsid w:val="007A113A"/>
    <w:rsid w:val="007A13C8"/>
    <w:rsid w:val="007A1742"/>
    <w:rsid w:val="007A1777"/>
    <w:rsid w:val="007A18A4"/>
    <w:rsid w:val="007A1E17"/>
    <w:rsid w:val="007A1ECB"/>
    <w:rsid w:val="007A206A"/>
    <w:rsid w:val="007A20BF"/>
    <w:rsid w:val="007A2931"/>
    <w:rsid w:val="007A2CEF"/>
    <w:rsid w:val="007A2E2B"/>
    <w:rsid w:val="007A2ECA"/>
    <w:rsid w:val="007A31E3"/>
    <w:rsid w:val="007A3463"/>
    <w:rsid w:val="007A3680"/>
    <w:rsid w:val="007A3693"/>
    <w:rsid w:val="007A36A4"/>
    <w:rsid w:val="007A3789"/>
    <w:rsid w:val="007A3818"/>
    <w:rsid w:val="007A38B7"/>
    <w:rsid w:val="007A38DD"/>
    <w:rsid w:val="007A3A44"/>
    <w:rsid w:val="007A3EA3"/>
    <w:rsid w:val="007A3F60"/>
    <w:rsid w:val="007A40A5"/>
    <w:rsid w:val="007A44C8"/>
    <w:rsid w:val="007A44CE"/>
    <w:rsid w:val="007A47D6"/>
    <w:rsid w:val="007A48E8"/>
    <w:rsid w:val="007A4982"/>
    <w:rsid w:val="007A4E13"/>
    <w:rsid w:val="007A4E86"/>
    <w:rsid w:val="007A4FAF"/>
    <w:rsid w:val="007A4FDA"/>
    <w:rsid w:val="007A501C"/>
    <w:rsid w:val="007A51BE"/>
    <w:rsid w:val="007A521B"/>
    <w:rsid w:val="007A535F"/>
    <w:rsid w:val="007A5397"/>
    <w:rsid w:val="007A5411"/>
    <w:rsid w:val="007A5486"/>
    <w:rsid w:val="007A5493"/>
    <w:rsid w:val="007A5744"/>
    <w:rsid w:val="007A5A2E"/>
    <w:rsid w:val="007A5AD0"/>
    <w:rsid w:val="007A5B10"/>
    <w:rsid w:val="007A5B45"/>
    <w:rsid w:val="007A5B53"/>
    <w:rsid w:val="007A5BEE"/>
    <w:rsid w:val="007A5C0C"/>
    <w:rsid w:val="007A5D36"/>
    <w:rsid w:val="007A5DD9"/>
    <w:rsid w:val="007A5E63"/>
    <w:rsid w:val="007A6062"/>
    <w:rsid w:val="007A614E"/>
    <w:rsid w:val="007A61B5"/>
    <w:rsid w:val="007A634F"/>
    <w:rsid w:val="007A64B8"/>
    <w:rsid w:val="007A6507"/>
    <w:rsid w:val="007A66B7"/>
    <w:rsid w:val="007A6788"/>
    <w:rsid w:val="007A68C4"/>
    <w:rsid w:val="007A68E3"/>
    <w:rsid w:val="007A6967"/>
    <w:rsid w:val="007A6BAD"/>
    <w:rsid w:val="007A6C25"/>
    <w:rsid w:val="007A6DEC"/>
    <w:rsid w:val="007A6E3E"/>
    <w:rsid w:val="007A6F1A"/>
    <w:rsid w:val="007A6F86"/>
    <w:rsid w:val="007A70B5"/>
    <w:rsid w:val="007A74E5"/>
    <w:rsid w:val="007A770A"/>
    <w:rsid w:val="007A77B0"/>
    <w:rsid w:val="007A77F4"/>
    <w:rsid w:val="007A7A0F"/>
    <w:rsid w:val="007A7AAF"/>
    <w:rsid w:val="007A7D99"/>
    <w:rsid w:val="007A7E06"/>
    <w:rsid w:val="007A7F03"/>
    <w:rsid w:val="007B029D"/>
    <w:rsid w:val="007B0711"/>
    <w:rsid w:val="007B09D3"/>
    <w:rsid w:val="007B0A1B"/>
    <w:rsid w:val="007B0A94"/>
    <w:rsid w:val="007B0EBB"/>
    <w:rsid w:val="007B0EEF"/>
    <w:rsid w:val="007B0F22"/>
    <w:rsid w:val="007B100B"/>
    <w:rsid w:val="007B107B"/>
    <w:rsid w:val="007B124B"/>
    <w:rsid w:val="007B12C1"/>
    <w:rsid w:val="007B1492"/>
    <w:rsid w:val="007B15D8"/>
    <w:rsid w:val="007B1818"/>
    <w:rsid w:val="007B1ACB"/>
    <w:rsid w:val="007B1B59"/>
    <w:rsid w:val="007B1BBC"/>
    <w:rsid w:val="007B1C2F"/>
    <w:rsid w:val="007B1D80"/>
    <w:rsid w:val="007B2073"/>
    <w:rsid w:val="007B21A6"/>
    <w:rsid w:val="007B268B"/>
    <w:rsid w:val="007B26DC"/>
    <w:rsid w:val="007B2784"/>
    <w:rsid w:val="007B2ADE"/>
    <w:rsid w:val="007B2CAD"/>
    <w:rsid w:val="007B2CB2"/>
    <w:rsid w:val="007B2CD6"/>
    <w:rsid w:val="007B2F47"/>
    <w:rsid w:val="007B2FA5"/>
    <w:rsid w:val="007B31C3"/>
    <w:rsid w:val="007B31F9"/>
    <w:rsid w:val="007B32C9"/>
    <w:rsid w:val="007B3571"/>
    <w:rsid w:val="007B35A7"/>
    <w:rsid w:val="007B35B1"/>
    <w:rsid w:val="007B35E3"/>
    <w:rsid w:val="007B3635"/>
    <w:rsid w:val="007B37EF"/>
    <w:rsid w:val="007B38DB"/>
    <w:rsid w:val="007B38E0"/>
    <w:rsid w:val="007B390C"/>
    <w:rsid w:val="007B3CDC"/>
    <w:rsid w:val="007B3DA4"/>
    <w:rsid w:val="007B3DEB"/>
    <w:rsid w:val="007B3E46"/>
    <w:rsid w:val="007B3E91"/>
    <w:rsid w:val="007B403A"/>
    <w:rsid w:val="007B40AF"/>
    <w:rsid w:val="007B417A"/>
    <w:rsid w:val="007B41C7"/>
    <w:rsid w:val="007B4253"/>
    <w:rsid w:val="007B4663"/>
    <w:rsid w:val="007B494A"/>
    <w:rsid w:val="007B4A57"/>
    <w:rsid w:val="007B4AF0"/>
    <w:rsid w:val="007B4C0C"/>
    <w:rsid w:val="007B4C28"/>
    <w:rsid w:val="007B4C70"/>
    <w:rsid w:val="007B4CEE"/>
    <w:rsid w:val="007B4D3E"/>
    <w:rsid w:val="007B4DE1"/>
    <w:rsid w:val="007B4EAC"/>
    <w:rsid w:val="007B4EB8"/>
    <w:rsid w:val="007B505D"/>
    <w:rsid w:val="007B54E2"/>
    <w:rsid w:val="007B588F"/>
    <w:rsid w:val="007B5AB1"/>
    <w:rsid w:val="007B5C9A"/>
    <w:rsid w:val="007B5D29"/>
    <w:rsid w:val="007B643F"/>
    <w:rsid w:val="007B64A0"/>
    <w:rsid w:val="007B6A34"/>
    <w:rsid w:val="007B6EB2"/>
    <w:rsid w:val="007B7051"/>
    <w:rsid w:val="007B7164"/>
    <w:rsid w:val="007B73E9"/>
    <w:rsid w:val="007B77CA"/>
    <w:rsid w:val="007B77EF"/>
    <w:rsid w:val="007B796A"/>
    <w:rsid w:val="007B7A01"/>
    <w:rsid w:val="007B7A6C"/>
    <w:rsid w:val="007B7BB4"/>
    <w:rsid w:val="007B7C46"/>
    <w:rsid w:val="007B7CD9"/>
    <w:rsid w:val="007B7DF8"/>
    <w:rsid w:val="007B7E07"/>
    <w:rsid w:val="007B7EB7"/>
    <w:rsid w:val="007C0334"/>
    <w:rsid w:val="007C04F2"/>
    <w:rsid w:val="007C06CA"/>
    <w:rsid w:val="007C0891"/>
    <w:rsid w:val="007C08E0"/>
    <w:rsid w:val="007C09E7"/>
    <w:rsid w:val="007C0BDE"/>
    <w:rsid w:val="007C1064"/>
    <w:rsid w:val="007C1519"/>
    <w:rsid w:val="007C1618"/>
    <w:rsid w:val="007C1748"/>
    <w:rsid w:val="007C17E5"/>
    <w:rsid w:val="007C1A32"/>
    <w:rsid w:val="007C1B96"/>
    <w:rsid w:val="007C1C68"/>
    <w:rsid w:val="007C1CB3"/>
    <w:rsid w:val="007C1E58"/>
    <w:rsid w:val="007C1FD8"/>
    <w:rsid w:val="007C2187"/>
    <w:rsid w:val="007C220B"/>
    <w:rsid w:val="007C2279"/>
    <w:rsid w:val="007C24C0"/>
    <w:rsid w:val="007C283E"/>
    <w:rsid w:val="007C296B"/>
    <w:rsid w:val="007C2E5D"/>
    <w:rsid w:val="007C2F78"/>
    <w:rsid w:val="007C2FFC"/>
    <w:rsid w:val="007C30AA"/>
    <w:rsid w:val="007C33A8"/>
    <w:rsid w:val="007C33D7"/>
    <w:rsid w:val="007C36DA"/>
    <w:rsid w:val="007C3807"/>
    <w:rsid w:val="007C3BDE"/>
    <w:rsid w:val="007C3D24"/>
    <w:rsid w:val="007C3E91"/>
    <w:rsid w:val="007C401F"/>
    <w:rsid w:val="007C41A1"/>
    <w:rsid w:val="007C45B6"/>
    <w:rsid w:val="007C4916"/>
    <w:rsid w:val="007C4B73"/>
    <w:rsid w:val="007C4BF4"/>
    <w:rsid w:val="007C4BFA"/>
    <w:rsid w:val="007C4BFF"/>
    <w:rsid w:val="007C4C70"/>
    <w:rsid w:val="007C4CD6"/>
    <w:rsid w:val="007C4E89"/>
    <w:rsid w:val="007C4F64"/>
    <w:rsid w:val="007C534C"/>
    <w:rsid w:val="007C5480"/>
    <w:rsid w:val="007C56D7"/>
    <w:rsid w:val="007C570C"/>
    <w:rsid w:val="007C5890"/>
    <w:rsid w:val="007C5F14"/>
    <w:rsid w:val="007C5F17"/>
    <w:rsid w:val="007C613C"/>
    <w:rsid w:val="007C6215"/>
    <w:rsid w:val="007C6263"/>
    <w:rsid w:val="007C636C"/>
    <w:rsid w:val="007C65C4"/>
    <w:rsid w:val="007C664F"/>
    <w:rsid w:val="007C6883"/>
    <w:rsid w:val="007C6A38"/>
    <w:rsid w:val="007C6E06"/>
    <w:rsid w:val="007C6E26"/>
    <w:rsid w:val="007C6EF6"/>
    <w:rsid w:val="007C6F80"/>
    <w:rsid w:val="007C72AB"/>
    <w:rsid w:val="007C76EC"/>
    <w:rsid w:val="007C7802"/>
    <w:rsid w:val="007C7939"/>
    <w:rsid w:val="007C7C8E"/>
    <w:rsid w:val="007D01E4"/>
    <w:rsid w:val="007D05B6"/>
    <w:rsid w:val="007D0651"/>
    <w:rsid w:val="007D0822"/>
    <w:rsid w:val="007D0869"/>
    <w:rsid w:val="007D09EB"/>
    <w:rsid w:val="007D0BA9"/>
    <w:rsid w:val="007D0BB9"/>
    <w:rsid w:val="007D0E83"/>
    <w:rsid w:val="007D11D2"/>
    <w:rsid w:val="007D156B"/>
    <w:rsid w:val="007D15EF"/>
    <w:rsid w:val="007D1704"/>
    <w:rsid w:val="007D172D"/>
    <w:rsid w:val="007D183C"/>
    <w:rsid w:val="007D190F"/>
    <w:rsid w:val="007D1950"/>
    <w:rsid w:val="007D19C1"/>
    <w:rsid w:val="007D1D15"/>
    <w:rsid w:val="007D1D6A"/>
    <w:rsid w:val="007D1DC4"/>
    <w:rsid w:val="007D21C8"/>
    <w:rsid w:val="007D2480"/>
    <w:rsid w:val="007D24FB"/>
    <w:rsid w:val="007D25B6"/>
    <w:rsid w:val="007D2764"/>
    <w:rsid w:val="007D28F7"/>
    <w:rsid w:val="007D2936"/>
    <w:rsid w:val="007D2A67"/>
    <w:rsid w:val="007D2BF6"/>
    <w:rsid w:val="007D2BFC"/>
    <w:rsid w:val="007D2CD5"/>
    <w:rsid w:val="007D2E75"/>
    <w:rsid w:val="007D2F73"/>
    <w:rsid w:val="007D30AA"/>
    <w:rsid w:val="007D30AD"/>
    <w:rsid w:val="007D344F"/>
    <w:rsid w:val="007D37BC"/>
    <w:rsid w:val="007D38C7"/>
    <w:rsid w:val="007D3B14"/>
    <w:rsid w:val="007D3D92"/>
    <w:rsid w:val="007D3E59"/>
    <w:rsid w:val="007D3F35"/>
    <w:rsid w:val="007D3FB9"/>
    <w:rsid w:val="007D4028"/>
    <w:rsid w:val="007D403E"/>
    <w:rsid w:val="007D415A"/>
    <w:rsid w:val="007D42E8"/>
    <w:rsid w:val="007D444F"/>
    <w:rsid w:val="007D448C"/>
    <w:rsid w:val="007D46D6"/>
    <w:rsid w:val="007D47B0"/>
    <w:rsid w:val="007D4CEC"/>
    <w:rsid w:val="007D4D31"/>
    <w:rsid w:val="007D4DCE"/>
    <w:rsid w:val="007D4E18"/>
    <w:rsid w:val="007D50CF"/>
    <w:rsid w:val="007D5206"/>
    <w:rsid w:val="007D53FA"/>
    <w:rsid w:val="007D5665"/>
    <w:rsid w:val="007D59E5"/>
    <w:rsid w:val="007D5B36"/>
    <w:rsid w:val="007D5B76"/>
    <w:rsid w:val="007D5EEA"/>
    <w:rsid w:val="007D5FBE"/>
    <w:rsid w:val="007D6584"/>
    <w:rsid w:val="007D66D1"/>
    <w:rsid w:val="007D69DF"/>
    <w:rsid w:val="007D6C61"/>
    <w:rsid w:val="007D6DFD"/>
    <w:rsid w:val="007D7152"/>
    <w:rsid w:val="007D74A6"/>
    <w:rsid w:val="007D7605"/>
    <w:rsid w:val="007D7718"/>
    <w:rsid w:val="007D7793"/>
    <w:rsid w:val="007D7798"/>
    <w:rsid w:val="007D77E6"/>
    <w:rsid w:val="007D79E4"/>
    <w:rsid w:val="007D7B00"/>
    <w:rsid w:val="007D7BA1"/>
    <w:rsid w:val="007D7D9A"/>
    <w:rsid w:val="007D7F11"/>
    <w:rsid w:val="007D7F70"/>
    <w:rsid w:val="007E0093"/>
    <w:rsid w:val="007E0102"/>
    <w:rsid w:val="007E021E"/>
    <w:rsid w:val="007E0332"/>
    <w:rsid w:val="007E034C"/>
    <w:rsid w:val="007E0387"/>
    <w:rsid w:val="007E05B0"/>
    <w:rsid w:val="007E081A"/>
    <w:rsid w:val="007E0B0E"/>
    <w:rsid w:val="007E0C13"/>
    <w:rsid w:val="007E0E08"/>
    <w:rsid w:val="007E0F71"/>
    <w:rsid w:val="007E1217"/>
    <w:rsid w:val="007E12F5"/>
    <w:rsid w:val="007E1409"/>
    <w:rsid w:val="007E14AE"/>
    <w:rsid w:val="007E1674"/>
    <w:rsid w:val="007E19FF"/>
    <w:rsid w:val="007E1A90"/>
    <w:rsid w:val="007E1BAD"/>
    <w:rsid w:val="007E1C29"/>
    <w:rsid w:val="007E1DF3"/>
    <w:rsid w:val="007E2078"/>
    <w:rsid w:val="007E2104"/>
    <w:rsid w:val="007E280B"/>
    <w:rsid w:val="007E28F2"/>
    <w:rsid w:val="007E2977"/>
    <w:rsid w:val="007E2AFC"/>
    <w:rsid w:val="007E2B63"/>
    <w:rsid w:val="007E2B6E"/>
    <w:rsid w:val="007E2C9D"/>
    <w:rsid w:val="007E2E81"/>
    <w:rsid w:val="007E2EE5"/>
    <w:rsid w:val="007E320A"/>
    <w:rsid w:val="007E331F"/>
    <w:rsid w:val="007E35A6"/>
    <w:rsid w:val="007E3717"/>
    <w:rsid w:val="007E3742"/>
    <w:rsid w:val="007E37F2"/>
    <w:rsid w:val="007E3841"/>
    <w:rsid w:val="007E389B"/>
    <w:rsid w:val="007E3A51"/>
    <w:rsid w:val="007E3C0E"/>
    <w:rsid w:val="007E3E7E"/>
    <w:rsid w:val="007E3EA0"/>
    <w:rsid w:val="007E41E5"/>
    <w:rsid w:val="007E42DB"/>
    <w:rsid w:val="007E4550"/>
    <w:rsid w:val="007E485E"/>
    <w:rsid w:val="007E4A1F"/>
    <w:rsid w:val="007E4AA3"/>
    <w:rsid w:val="007E4DBA"/>
    <w:rsid w:val="007E4E05"/>
    <w:rsid w:val="007E4F94"/>
    <w:rsid w:val="007E501C"/>
    <w:rsid w:val="007E5106"/>
    <w:rsid w:val="007E51DC"/>
    <w:rsid w:val="007E539B"/>
    <w:rsid w:val="007E53BF"/>
    <w:rsid w:val="007E5794"/>
    <w:rsid w:val="007E5DFE"/>
    <w:rsid w:val="007E5FD4"/>
    <w:rsid w:val="007E60D7"/>
    <w:rsid w:val="007E6914"/>
    <w:rsid w:val="007E6A59"/>
    <w:rsid w:val="007E6B68"/>
    <w:rsid w:val="007E6ED6"/>
    <w:rsid w:val="007E706F"/>
    <w:rsid w:val="007E7423"/>
    <w:rsid w:val="007E755C"/>
    <w:rsid w:val="007E75A0"/>
    <w:rsid w:val="007E75E3"/>
    <w:rsid w:val="007E7779"/>
    <w:rsid w:val="007E77FD"/>
    <w:rsid w:val="007E7881"/>
    <w:rsid w:val="007E7B62"/>
    <w:rsid w:val="007E7C82"/>
    <w:rsid w:val="007E7D31"/>
    <w:rsid w:val="007E7D4F"/>
    <w:rsid w:val="007F004B"/>
    <w:rsid w:val="007F0130"/>
    <w:rsid w:val="007F02F2"/>
    <w:rsid w:val="007F036B"/>
    <w:rsid w:val="007F0402"/>
    <w:rsid w:val="007F06DC"/>
    <w:rsid w:val="007F072A"/>
    <w:rsid w:val="007F073D"/>
    <w:rsid w:val="007F0849"/>
    <w:rsid w:val="007F0D85"/>
    <w:rsid w:val="007F0FB3"/>
    <w:rsid w:val="007F10CB"/>
    <w:rsid w:val="007F1186"/>
    <w:rsid w:val="007F11E2"/>
    <w:rsid w:val="007F1429"/>
    <w:rsid w:val="007F15D7"/>
    <w:rsid w:val="007F1727"/>
    <w:rsid w:val="007F174C"/>
    <w:rsid w:val="007F182D"/>
    <w:rsid w:val="007F1981"/>
    <w:rsid w:val="007F1BEF"/>
    <w:rsid w:val="007F1C2F"/>
    <w:rsid w:val="007F23C9"/>
    <w:rsid w:val="007F23DC"/>
    <w:rsid w:val="007F2639"/>
    <w:rsid w:val="007F2698"/>
    <w:rsid w:val="007F27DA"/>
    <w:rsid w:val="007F2818"/>
    <w:rsid w:val="007F2A69"/>
    <w:rsid w:val="007F2B92"/>
    <w:rsid w:val="007F2D83"/>
    <w:rsid w:val="007F2F40"/>
    <w:rsid w:val="007F304D"/>
    <w:rsid w:val="007F3168"/>
    <w:rsid w:val="007F33C0"/>
    <w:rsid w:val="007F3457"/>
    <w:rsid w:val="007F36A9"/>
    <w:rsid w:val="007F36E2"/>
    <w:rsid w:val="007F3761"/>
    <w:rsid w:val="007F376D"/>
    <w:rsid w:val="007F37F5"/>
    <w:rsid w:val="007F382E"/>
    <w:rsid w:val="007F38AF"/>
    <w:rsid w:val="007F3987"/>
    <w:rsid w:val="007F3E66"/>
    <w:rsid w:val="007F3F25"/>
    <w:rsid w:val="007F3F30"/>
    <w:rsid w:val="007F4156"/>
    <w:rsid w:val="007F41A8"/>
    <w:rsid w:val="007F42DB"/>
    <w:rsid w:val="007F4432"/>
    <w:rsid w:val="007F48FD"/>
    <w:rsid w:val="007F48FF"/>
    <w:rsid w:val="007F4B3D"/>
    <w:rsid w:val="007F4B87"/>
    <w:rsid w:val="007F4C01"/>
    <w:rsid w:val="007F4C9F"/>
    <w:rsid w:val="007F4CA4"/>
    <w:rsid w:val="007F5165"/>
    <w:rsid w:val="007F5251"/>
    <w:rsid w:val="007F529C"/>
    <w:rsid w:val="007F52D7"/>
    <w:rsid w:val="007F52F3"/>
    <w:rsid w:val="007F55CB"/>
    <w:rsid w:val="007F5684"/>
    <w:rsid w:val="007F5766"/>
    <w:rsid w:val="007F5A95"/>
    <w:rsid w:val="007F5C1D"/>
    <w:rsid w:val="007F653B"/>
    <w:rsid w:val="007F65A1"/>
    <w:rsid w:val="007F664A"/>
    <w:rsid w:val="007F6715"/>
    <w:rsid w:val="007F6A58"/>
    <w:rsid w:val="007F6CCF"/>
    <w:rsid w:val="007F6EC5"/>
    <w:rsid w:val="007F71CE"/>
    <w:rsid w:val="007F76D6"/>
    <w:rsid w:val="007F76DB"/>
    <w:rsid w:val="007F77C1"/>
    <w:rsid w:val="007F78A3"/>
    <w:rsid w:val="007F78EE"/>
    <w:rsid w:val="007F796C"/>
    <w:rsid w:val="007F7B70"/>
    <w:rsid w:val="007F7BB2"/>
    <w:rsid w:val="007F7DE3"/>
    <w:rsid w:val="007F7FD2"/>
    <w:rsid w:val="00800285"/>
    <w:rsid w:val="008002D5"/>
    <w:rsid w:val="00800439"/>
    <w:rsid w:val="0080055C"/>
    <w:rsid w:val="0080059B"/>
    <w:rsid w:val="0080061F"/>
    <w:rsid w:val="0080088C"/>
    <w:rsid w:val="00800A67"/>
    <w:rsid w:val="00800D99"/>
    <w:rsid w:val="00800E65"/>
    <w:rsid w:val="00800EA0"/>
    <w:rsid w:val="00800F74"/>
    <w:rsid w:val="00801259"/>
    <w:rsid w:val="0080126B"/>
    <w:rsid w:val="00801295"/>
    <w:rsid w:val="008013D7"/>
    <w:rsid w:val="00801847"/>
    <w:rsid w:val="00801B10"/>
    <w:rsid w:val="00801ED8"/>
    <w:rsid w:val="008020CE"/>
    <w:rsid w:val="00802327"/>
    <w:rsid w:val="008023F9"/>
    <w:rsid w:val="008025BE"/>
    <w:rsid w:val="0080264D"/>
    <w:rsid w:val="00802B80"/>
    <w:rsid w:val="00802DBE"/>
    <w:rsid w:val="00802E97"/>
    <w:rsid w:val="00803250"/>
    <w:rsid w:val="008032CC"/>
    <w:rsid w:val="00803476"/>
    <w:rsid w:val="008035FC"/>
    <w:rsid w:val="00803B93"/>
    <w:rsid w:val="00803C81"/>
    <w:rsid w:val="00803CC2"/>
    <w:rsid w:val="00803CD8"/>
    <w:rsid w:val="00803D2A"/>
    <w:rsid w:val="00803DCF"/>
    <w:rsid w:val="00803EA5"/>
    <w:rsid w:val="00803FE4"/>
    <w:rsid w:val="0080404D"/>
    <w:rsid w:val="008041FB"/>
    <w:rsid w:val="0080423C"/>
    <w:rsid w:val="00804AA5"/>
    <w:rsid w:val="00804B21"/>
    <w:rsid w:val="00804B2A"/>
    <w:rsid w:val="0080510E"/>
    <w:rsid w:val="008052C6"/>
    <w:rsid w:val="00805499"/>
    <w:rsid w:val="00805501"/>
    <w:rsid w:val="00805504"/>
    <w:rsid w:val="0080564C"/>
    <w:rsid w:val="00805C11"/>
    <w:rsid w:val="00805C53"/>
    <w:rsid w:val="00805E43"/>
    <w:rsid w:val="00805ED0"/>
    <w:rsid w:val="00805F81"/>
    <w:rsid w:val="00805FB1"/>
    <w:rsid w:val="00805FF6"/>
    <w:rsid w:val="0080603A"/>
    <w:rsid w:val="0080606E"/>
    <w:rsid w:val="008061B3"/>
    <w:rsid w:val="0080621B"/>
    <w:rsid w:val="008063E1"/>
    <w:rsid w:val="008064B6"/>
    <w:rsid w:val="008065BE"/>
    <w:rsid w:val="00806848"/>
    <w:rsid w:val="00806BC1"/>
    <w:rsid w:val="00806DF5"/>
    <w:rsid w:val="00806ED2"/>
    <w:rsid w:val="00807060"/>
    <w:rsid w:val="0080737F"/>
    <w:rsid w:val="00807442"/>
    <w:rsid w:val="0080765C"/>
    <w:rsid w:val="0080775F"/>
    <w:rsid w:val="008078AA"/>
    <w:rsid w:val="008079BA"/>
    <w:rsid w:val="00807A35"/>
    <w:rsid w:val="00807C02"/>
    <w:rsid w:val="00807D26"/>
    <w:rsid w:val="00807D4A"/>
    <w:rsid w:val="00807D63"/>
    <w:rsid w:val="00807E6A"/>
    <w:rsid w:val="0081037A"/>
    <w:rsid w:val="008103B3"/>
    <w:rsid w:val="008104EF"/>
    <w:rsid w:val="00810594"/>
    <w:rsid w:val="00810744"/>
    <w:rsid w:val="00810900"/>
    <w:rsid w:val="00810A3E"/>
    <w:rsid w:val="00810B10"/>
    <w:rsid w:val="00810BA3"/>
    <w:rsid w:val="00810EEE"/>
    <w:rsid w:val="00810F37"/>
    <w:rsid w:val="0081129C"/>
    <w:rsid w:val="008115E3"/>
    <w:rsid w:val="00811B06"/>
    <w:rsid w:val="00811BC2"/>
    <w:rsid w:val="00811DB8"/>
    <w:rsid w:val="00811DF0"/>
    <w:rsid w:val="008122D5"/>
    <w:rsid w:val="00812342"/>
    <w:rsid w:val="00812404"/>
    <w:rsid w:val="00812655"/>
    <w:rsid w:val="008126DA"/>
    <w:rsid w:val="0081280A"/>
    <w:rsid w:val="008128AD"/>
    <w:rsid w:val="00812938"/>
    <w:rsid w:val="00812BE8"/>
    <w:rsid w:val="00812D9E"/>
    <w:rsid w:val="00813163"/>
    <w:rsid w:val="0081316E"/>
    <w:rsid w:val="0081323B"/>
    <w:rsid w:val="00813275"/>
    <w:rsid w:val="00813482"/>
    <w:rsid w:val="008134AE"/>
    <w:rsid w:val="00813502"/>
    <w:rsid w:val="00813639"/>
    <w:rsid w:val="00813642"/>
    <w:rsid w:val="00813AB7"/>
    <w:rsid w:val="00813D42"/>
    <w:rsid w:val="00813D52"/>
    <w:rsid w:val="008140F2"/>
    <w:rsid w:val="0081416E"/>
    <w:rsid w:val="0081418A"/>
    <w:rsid w:val="008141D1"/>
    <w:rsid w:val="008142A8"/>
    <w:rsid w:val="00814475"/>
    <w:rsid w:val="00814565"/>
    <w:rsid w:val="0081458F"/>
    <w:rsid w:val="0081482C"/>
    <w:rsid w:val="00814862"/>
    <w:rsid w:val="008148E8"/>
    <w:rsid w:val="00814BE7"/>
    <w:rsid w:val="00814BEF"/>
    <w:rsid w:val="00814C54"/>
    <w:rsid w:val="00814C94"/>
    <w:rsid w:val="00814CFD"/>
    <w:rsid w:val="00814EFA"/>
    <w:rsid w:val="00815076"/>
    <w:rsid w:val="00815166"/>
    <w:rsid w:val="008152E3"/>
    <w:rsid w:val="00815354"/>
    <w:rsid w:val="008153DD"/>
    <w:rsid w:val="00815493"/>
    <w:rsid w:val="008154EF"/>
    <w:rsid w:val="0081588F"/>
    <w:rsid w:val="00815899"/>
    <w:rsid w:val="00815A26"/>
    <w:rsid w:val="00815A5C"/>
    <w:rsid w:val="00815BE3"/>
    <w:rsid w:val="00815C59"/>
    <w:rsid w:val="00815CCD"/>
    <w:rsid w:val="00815D5A"/>
    <w:rsid w:val="00815EBD"/>
    <w:rsid w:val="00815F19"/>
    <w:rsid w:val="00815F77"/>
    <w:rsid w:val="00816178"/>
    <w:rsid w:val="00816231"/>
    <w:rsid w:val="00816388"/>
    <w:rsid w:val="00816445"/>
    <w:rsid w:val="0081664E"/>
    <w:rsid w:val="0081694E"/>
    <w:rsid w:val="00816979"/>
    <w:rsid w:val="008169AE"/>
    <w:rsid w:val="00816B5D"/>
    <w:rsid w:val="00816BC8"/>
    <w:rsid w:val="00816C9B"/>
    <w:rsid w:val="00816F1E"/>
    <w:rsid w:val="00816F8F"/>
    <w:rsid w:val="00817024"/>
    <w:rsid w:val="008170C8"/>
    <w:rsid w:val="008171FD"/>
    <w:rsid w:val="008172DE"/>
    <w:rsid w:val="00817506"/>
    <w:rsid w:val="00817A51"/>
    <w:rsid w:val="00817AB0"/>
    <w:rsid w:val="00817B17"/>
    <w:rsid w:val="00817C09"/>
    <w:rsid w:val="00817CAF"/>
    <w:rsid w:val="00817F9D"/>
    <w:rsid w:val="0082016D"/>
    <w:rsid w:val="00820207"/>
    <w:rsid w:val="008202C3"/>
    <w:rsid w:val="008203AA"/>
    <w:rsid w:val="008203F7"/>
    <w:rsid w:val="00820416"/>
    <w:rsid w:val="00820450"/>
    <w:rsid w:val="0082056A"/>
    <w:rsid w:val="0082058D"/>
    <w:rsid w:val="008206A5"/>
    <w:rsid w:val="0082078E"/>
    <w:rsid w:val="0082085F"/>
    <w:rsid w:val="00820FA4"/>
    <w:rsid w:val="00821078"/>
    <w:rsid w:val="008212F6"/>
    <w:rsid w:val="0082139B"/>
    <w:rsid w:val="008215E9"/>
    <w:rsid w:val="008215FE"/>
    <w:rsid w:val="008216F1"/>
    <w:rsid w:val="00821892"/>
    <w:rsid w:val="00821AAB"/>
    <w:rsid w:val="00821C48"/>
    <w:rsid w:val="00821C57"/>
    <w:rsid w:val="00821DDA"/>
    <w:rsid w:val="00821E6A"/>
    <w:rsid w:val="00821F3F"/>
    <w:rsid w:val="008221AC"/>
    <w:rsid w:val="008221F3"/>
    <w:rsid w:val="0082239E"/>
    <w:rsid w:val="008223A9"/>
    <w:rsid w:val="008223D6"/>
    <w:rsid w:val="00822522"/>
    <w:rsid w:val="008226C0"/>
    <w:rsid w:val="00822885"/>
    <w:rsid w:val="00822A7A"/>
    <w:rsid w:val="00822BE2"/>
    <w:rsid w:val="00822C58"/>
    <w:rsid w:val="00822DBA"/>
    <w:rsid w:val="00822E53"/>
    <w:rsid w:val="00822FBF"/>
    <w:rsid w:val="00823240"/>
    <w:rsid w:val="0082326B"/>
    <w:rsid w:val="008235CC"/>
    <w:rsid w:val="0082372E"/>
    <w:rsid w:val="0082394A"/>
    <w:rsid w:val="00823AD7"/>
    <w:rsid w:val="00823B09"/>
    <w:rsid w:val="00823BE9"/>
    <w:rsid w:val="00823C63"/>
    <w:rsid w:val="00823DB3"/>
    <w:rsid w:val="00823F5E"/>
    <w:rsid w:val="00824040"/>
    <w:rsid w:val="008241EE"/>
    <w:rsid w:val="008245A4"/>
    <w:rsid w:val="00824656"/>
    <w:rsid w:val="008247E6"/>
    <w:rsid w:val="008248D5"/>
    <w:rsid w:val="00824A54"/>
    <w:rsid w:val="00824A99"/>
    <w:rsid w:val="00824DDE"/>
    <w:rsid w:val="008251BA"/>
    <w:rsid w:val="0082524D"/>
    <w:rsid w:val="008254A3"/>
    <w:rsid w:val="008256E1"/>
    <w:rsid w:val="0082571A"/>
    <w:rsid w:val="00825754"/>
    <w:rsid w:val="00825923"/>
    <w:rsid w:val="0082592B"/>
    <w:rsid w:val="00825B2C"/>
    <w:rsid w:val="00825BE5"/>
    <w:rsid w:val="00825D7D"/>
    <w:rsid w:val="00826124"/>
    <w:rsid w:val="00826453"/>
    <w:rsid w:val="008264A2"/>
    <w:rsid w:val="008264C5"/>
    <w:rsid w:val="008265EB"/>
    <w:rsid w:val="00826921"/>
    <w:rsid w:val="00826A7A"/>
    <w:rsid w:val="00826AE8"/>
    <w:rsid w:val="00826B21"/>
    <w:rsid w:val="00826C6F"/>
    <w:rsid w:val="00826E64"/>
    <w:rsid w:val="00826F4F"/>
    <w:rsid w:val="008274EB"/>
    <w:rsid w:val="0082755B"/>
    <w:rsid w:val="00827735"/>
    <w:rsid w:val="00827962"/>
    <w:rsid w:val="00827AE1"/>
    <w:rsid w:val="00827AE4"/>
    <w:rsid w:val="00827C36"/>
    <w:rsid w:val="00827C75"/>
    <w:rsid w:val="00827D3B"/>
    <w:rsid w:val="0083000A"/>
    <w:rsid w:val="0083069A"/>
    <w:rsid w:val="0083079E"/>
    <w:rsid w:val="008308FA"/>
    <w:rsid w:val="00830A07"/>
    <w:rsid w:val="00830A79"/>
    <w:rsid w:val="00830EE5"/>
    <w:rsid w:val="00831069"/>
    <w:rsid w:val="008310C6"/>
    <w:rsid w:val="008310D3"/>
    <w:rsid w:val="00831123"/>
    <w:rsid w:val="008314B0"/>
    <w:rsid w:val="008315D9"/>
    <w:rsid w:val="00831755"/>
    <w:rsid w:val="008318E6"/>
    <w:rsid w:val="0083191C"/>
    <w:rsid w:val="00831B6D"/>
    <w:rsid w:val="0083227C"/>
    <w:rsid w:val="0083266B"/>
    <w:rsid w:val="008327B0"/>
    <w:rsid w:val="00832A4E"/>
    <w:rsid w:val="00832ABD"/>
    <w:rsid w:val="008331DB"/>
    <w:rsid w:val="008334E6"/>
    <w:rsid w:val="00833888"/>
    <w:rsid w:val="008338A6"/>
    <w:rsid w:val="00833B67"/>
    <w:rsid w:val="00833D15"/>
    <w:rsid w:val="00833ED8"/>
    <w:rsid w:val="008342E7"/>
    <w:rsid w:val="008343CF"/>
    <w:rsid w:val="00834734"/>
    <w:rsid w:val="008347C6"/>
    <w:rsid w:val="0083485D"/>
    <w:rsid w:val="008349F7"/>
    <w:rsid w:val="00834FFE"/>
    <w:rsid w:val="008351D9"/>
    <w:rsid w:val="0083524D"/>
    <w:rsid w:val="0083528A"/>
    <w:rsid w:val="008352E3"/>
    <w:rsid w:val="008353CF"/>
    <w:rsid w:val="0083558A"/>
    <w:rsid w:val="0083572D"/>
    <w:rsid w:val="008358A0"/>
    <w:rsid w:val="008359BE"/>
    <w:rsid w:val="008359DC"/>
    <w:rsid w:val="00835BCD"/>
    <w:rsid w:val="00835D18"/>
    <w:rsid w:val="00835D84"/>
    <w:rsid w:val="00835FC6"/>
    <w:rsid w:val="008361C4"/>
    <w:rsid w:val="008361F8"/>
    <w:rsid w:val="00836363"/>
    <w:rsid w:val="00836463"/>
    <w:rsid w:val="00836789"/>
    <w:rsid w:val="00836A94"/>
    <w:rsid w:val="00836E32"/>
    <w:rsid w:val="00836E4E"/>
    <w:rsid w:val="00836F66"/>
    <w:rsid w:val="0083702F"/>
    <w:rsid w:val="00837070"/>
    <w:rsid w:val="00837367"/>
    <w:rsid w:val="00837381"/>
    <w:rsid w:val="008374EB"/>
    <w:rsid w:val="008377E3"/>
    <w:rsid w:val="00837A93"/>
    <w:rsid w:val="00837B31"/>
    <w:rsid w:val="008400D4"/>
    <w:rsid w:val="00840178"/>
    <w:rsid w:val="00840235"/>
    <w:rsid w:val="008404A3"/>
    <w:rsid w:val="0084075D"/>
    <w:rsid w:val="00840866"/>
    <w:rsid w:val="008408AA"/>
    <w:rsid w:val="00840903"/>
    <w:rsid w:val="008409A8"/>
    <w:rsid w:val="008409DF"/>
    <w:rsid w:val="00840B52"/>
    <w:rsid w:val="00840D43"/>
    <w:rsid w:val="0084101D"/>
    <w:rsid w:val="00841047"/>
    <w:rsid w:val="00841160"/>
    <w:rsid w:val="008412F2"/>
    <w:rsid w:val="0084147D"/>
    <w:rsid w:val="008416EB"/>
    <w:rsid w:val="0084182B"/>
    <w:rsid w:val="008419DE"/>
    <w:rsid w:val="00841B01"/>
    <w:rsid w:val="00841E05"/>
    <w:rsid w:val="0084203D"/>
    <w:rsid w:val="008424C4"/>
    <w:rsid w:val="008429DE"/>
    <w:rsid w:val="00842B1C"/>
    <w:rsid w:val="00842C00"/>
    <w:rsid w:val="00842DD4"/>
    <w:rsid w:val="008430C3"/>
    <w:rsid w:val="0084331C"/>
    <w:rsid w:val="00843508"/>
    <w:rsid w:val="00843574"/>
    <w:rsid w:val="0084368B"/>
    <w:rsid w:val="008437D0"/>
    <w:rsid w:val="008438E5"/>
    <w:rsid w:val="008438FA"/>
    <w:rsid w:val="008439E9"/>
    <w:rsid w:val="00843A6D"/>
    <w:rsid w:val="00843BC0"/>
    <w:rsid w:val="00843C48"/>
    <w:rsid w:val="00843CB8"/>
    <w:rsid w:val="00843CE6"/>
    <w:rsid w:val="00843E1D"/>
    <w:rsid w:val="008443FC"/>
    <w:rsid w:val="00844403"/>
    <w:rsid w:val="008444B6"/>
    <w:rsid w:val="008446BE"/>
    <w:rsid w:val="008446EA"/>
    <w:rsid w:val="00844737"/>
    <w:rsid w:val="00844779"/>
    <w:rsid w:val="0084483C"/>
    <w:rsid w:val="008448B5"/>
    <w:rsid w:val="00844A8D"/>
    <w:rsid w:val="00844A9C"/>
    <w:rsid w:val="00844C2B"/>
    <w:rsid w:val="00844D37"/>
    <w:rsid w:val="00844ECE"/>
    <w:rsid w:val="00844F8A"/>
    <w:rsid w:val="00845108"/>
    <w:rsid w:val="0084512B"/>
    <w:rsid w:val="00845141"/>
    <w:rsid w:val="0084517E"/>
    <w:rsid w:val="0084518D"/>
    <w:rsid w:val="0084519A"/>
    <w:rsid w:val="00845325"/>
    <w:rsid w:val="00845381"/>
    <w:rsid w:val="0084538C"/>
    <w:rsid w:val="00845392"/>
    <w:rsid w:val="0084552B"/>
    <w:rsid w:val="00845656"/>
    <w:rsid w:val="00845879"/>
    <w:rsid w:val="008460F0"/>
    <w:rsid w:val="00846163"/>
    <w:rsid w:val="008462BC"/>
    <w:rsid w:val="008465C8"/>
    <w:rsid w:val="00846693"/>
    <w:rsid w:val="008466AE"/>
    <w:rsid w:val="0084688A"/>
    <w:rsid w:val="00846AB2"/>
    <w:rsid w:val="00846B11"/>
    <w:rsid w:val="00846C4E"/>
    <w:rsid w:val="00846D61"/>
    <w:rsid w:val="00846F1B"/>
    <w:rsid w:val="008470B1"/>
    <w:rsid w:val="008470D8"/>
    <w:rsid w:val="008474C9"/>
    <w:rsid w:val="00847504"/>
    <w:rsid w:val="0084777C"/>
    <w:rsid w:val="00847B37"/>
    <w:rsid w:val="00847C4C"/>
    <w:rsid w:val="00847D4C"/>
    <w:rsid w:val="00847DC1"/>
    <w:rsid w:val="00847ECA"/>
    <w:rsid w:val="00847FED"/>
    <w:rsid w:val="00847FF9"/>
    <w:rsid w:val="0085036A"/>
    <w:rsid w:val="00850AED"/>
    <w:rsid w:val="0085105F"/>
    <w:rsid w:val="00851289"/>
    <w:rsid w:val="008519F0"/>
    <w:rsid w:val="00851E5F"/>
    <w:rsid w:val="00851E92"/>
    <w:rsid w:val="0085204F"/>
    <w:rsid w:val="00852382"/>
    <w:rsid w:val="008523FB"/>
    <w:rsid w:val="0085241C"/>
    <w:rsid w:val="008524D0"/>
    <w:rsid w:val="0085254A"/>
    <w:rsid w:val="008525CD"/>
    <w:rsid w:val="00852718"/>
    <w:rsid w:val="008529C7"/>
    <w:rsid w:val="00852B1C"/>
    <w:rsid w:val="00852C88"/>
    <w:rsid w:val="00852FE1"/>
    <w:rsid w:val="00853056"/>
    <w:rsid w:val="00853180"/>
    <w:rsid w:val="0085323B"/>
    <w:rsid w:val="00853379"/>
    <w:rsid w:val="008533D4"/>
    <w:rsid w:val="008534EA"/>
    <w:rsid w:val="00853545"/>
    <w:rsid w:val="008537B6"/>
    <w:rsid w:val="0085382F"/>
    <w:rsid w:val="00853859"/>
    <w:rsid w:val="00853BD5"/>
    <w:rsid w:val="00853BE4"/>
    <w:rsid w:val="00853C7A"/>
    <w:rsid w:val="00853C9C"/>
    <w:rsid w:val="00853D73"/>
    <w:rsid w:val="00853D9C"/>
    <w:rsid w:val="00853DF6"/>
    <w:rsid w:val="00853F32"/>
    <w:rsid w:val="00853F53"/>
    <w:rsid w:val="00854069"/>
    <w:rsid w:val="0085414F"/>
    <w:rsid w:val="00854268"/>
    <w:rsid w:val="008544B3"/>
    <w:rsid w:val="0085498D"/>
    <w:rsid w:val="00854DBE"/>
    <w:rsid w:val="00854F27"/>
    <w:rsid w:val="00854F2E"/>
    <w:rsid w:val="00855007"/>
    <w:rsid w:val="0085501A"/>
    <w:rsid w:val="00855094"/>
    <w:rsid w:val="0085514B"/>
    <w:rsid w:val="0085518A"/>
    <w:rsid w:val="008552DC"/>
    <w:rsid w:val="008553A3"/>
    <w:rsid w:val="0085540E"/>
    <w:rsid w:val="008557BD"/>
    <w:rsid w:val="00855A4C"/>
    <w:rsid w:val="00855A9E"/>
    <w:rsid w:val="00855AA1"/>
    <w:rsid w:val="00855D5A"/>
    <w:rsid w:val="00855EA5"/>
    <w:rsid w:val="00856250"/>
    <w:rsid w:val="00856458"/>
    <w:rsid w:val="00856781"/>
    <w:rsid w:val="00856840"/>
    <w:rsid w:val="0085696E"/>
    <w:rsid w:val="008569FC"/>
    <w:rsid w:val="00856EDF"/>
    <w:rsid w:val="00857157"/>
    <w:rsid w:val="00857268"/>
    <w:rsid w:val="0085726B"/>
    <w:rsid w:val="008573A9"/>
    <w:rsid w:val="00857500"/>
    <w:rsid w:val="0085751B"/>
    <w:rsid w:val="00857602"/>
    <w:rsid w:val="00857797"/>
    <w:rsid w:val="008579CC"/>
    <w:rsid w:val="00857AC6"/>
    <w:rsid w:val="00857B52"/>
    <w:rsid w:val="00857B53"/>
    <w:rsid w:val="00857D6D"/>
    <w:rsid w:val="00857D7B"/>
    <w:rsid w:val="00857D85"/>
    <w:rsid w:val="00857DD9"/>
    <w:rsid w:val="00857E57"/>
    <w:rsid w:val="00860139"/>
    <w:rsid w:val="0086063F"/>
    <w:rsid w:val="00860751"/>
    <w:rsid w:val="008607E8"/>
    <w:rsid w:val="00860A89"/>
    <w:rsid w:val="00860AB7"/>
    <w:rsid w:val="00860ADE"/>
    <w:rsid w:val="00860D15"/>
    <w:rsid w:val="00860E8D"/>
    <w:rsid w:val="00860FDC"/>
    <w:rsid w:val="008611A2"/>
    <w:rsid w:val="008611CC"/>
    <w:rsid w:val="00861217"/>
    <w:rsid w:val="0086127C"/>
    <w:rsid w:val="00861353"/>
    <w:rsid w:val="0086149D"/>
    <w:rsid w:val="00861ABE"/>
    <w:rsid w:val="00861BC3"/>
    <w:rsid w:val="00861C20"/>
    <w:rsid w:val="00861C53"/>
    <w:rsid w:val="008621D3"/>
    <w:rsid w:val="00862364"/>
    <w:rsid w:val="0086249E"/>
    <w:rsid w:val="008624EF"/>
    <w:rsid w:val="0086259A"/>
    <w:rsid w:val="008628D1"/>
    <w:rsid w:val="0086298C"/>
    <w:rsid w:val="00862AF5"/>
    <w:rsid w:val="00862CB9"/>
    <w:rsid w:val="00862CE0"/>
    <w:rsid w:val="00862D9B"/>
    <w:rsid w:val="0086328A"/>
    <w:rsid w:val="008633A5"/>
    <w:rsid w:val="00863401"/>
    <w:rsid w:val="0086360F"/>
    <w:rsid w:val="0086380B"/>
    <w:rsid w:val="00863823"/>
    <w:rsid w:val="00863A27"/>
    <w:rsid w:val="00863A55"/>
    <w:rsid w:val="00863AD2"/>
    <w:rsid w:val="00863B6F"/>
    <w:rsid w:val="00863F8B"/>
    <w:rsid w:val="008641F4"/>
    <w:rsid w:val="0086431F"/>
    <w:rsid w:val="00864524"/>
    <w:rsid w:val="008649A7"/>
    <w:rsid w:val="008649ED"/>
    <w:rsid w:val="00864FBB"/>
    <w:rsid w:val="0086500C"/>
    <w:rsid w:val="00865176"/>
    <w:rsid w:val="008651BE"/>
    <w:rsid w:val="008651F5"/>
    <w:rsid w:val="00865251"/>
    <w:rsid w:val="0086525B"/>
    <w:rsid w:val="00865270"/>
    <w:rsid w:val="008653DA"/>
    <w:rsid w:val="0086563D"/>
    <w:rsid w:val="00865687"/>
    <w:rsid w:val="008656C1"/>
    <w:rsid w:val="00865718"/>
    <w:rsid w:val="00865721"/>
    <w:rsid w:val="00865750"/>
    <w:rsid w:val="008657BC"/>
    <w:rsid w:val="00865957"/>
    <w:rsid w:val="008659F8"/>
    <w:rsid w:val="00865AA5"/>
    <w:rsid w:val="00865ACA"/>
    <w:rsid w:val="00865BF7"/>
    <w:rsid w:val="00865EB2"/>
    <w:rsid w:val="00866206"/>
    <w:rsid w:val="00866319"/>
    <w:rsid w:val="008664B8"/>
    <w:rsid w:val="008666FA"/>
    <w:rsid w:val="00866827"/>
    <w:rsid w:val="00866A0B"/>
    <w:rsid w:val="00866D90"/>
    <w:rsid w:val="00866E0E"/>
    <w:rsid w:val="00866E7A"/>
    <w:rsid w:val="00866F19"/>
    <w:rsid w:val="008670C2"/>
    <w:rsid w:val="00867296"/>
    <w:rsid w:val="00867426"/>
    <w:rsid w:val="0086796F"/>
    <w:rsid w:val="00867AB6"/>
    <w:rsid w:val="00867AD0"/>
    <w:rsid w:val="00867C75"/>
    <w:rsid w:val="00867CBE"/>
    <w:rsid w:val="008700C6"/>
    <w:rsid w:val="00870298"/>
    <w:rsid w:val="0087044C"/>
    <w:rsid w:val="008705C6"/>
    <w:rsid w:val="00870752"/>
    <w:rsid w:val="00870CAF"/>
    <w:rsid w:val="00870D9D"/>
    <w:rsid w:val="0087102B"/>
    <w:rsid w:val="00871329"/>
    <w:rsid w:val="008713CD"/>
    <w:rsid w:val="008715F8"/>
    <w:rsid w:val="00871727"/>
    <w:rsid w:val="00871955"/>
    <w:rsid w:val="00871A11"/>
    <w:rsid w:val="00871AB4"/>
    <w:rsid w:val="00871EF6"/>
    <w:rsid w:val="008720E4"/>
    <w:rsid w:val="008721B2"/>
    <w:rsid w:val="00872472"/>
    <w:rsid w:val="00872802"/>
    <w:rsid w:val="008728DD"/>
    <w:rsid w:val="0087295E"/>
    <w:rsid w:val="00872987"/>
    <w:rsid w:val="008729FB"/>
    <w:rsid w:val="00872A4F"/>
    <w:rsid w:val="00872ADD"/>
    <w:rsid w:val="00872AE2"/>
    <w:rsid w:val="00872C27"/>
    <w:rsid w:val="00872D3A"/>
    <w:rsid w:val="00872F6A"/>
    <w:rsid w:val="00873072"/>
    <w:rsid w:val="0087307C"/>
    <w:rsid w:val="00873278"/>
    <w:rsid w:val="00873631"/>
    <w:rsid w:val="0087390F"/>
    <w:rsid w:val="00873A24"/>
    <w:rsid w:val="00873D3B"/>
    <w:rsid w:val="00873EA0"/>
    <w:rsid w:val="008740C1"/>
    <w:rsid w:val="008740C8"/>
    <w:rsid w:val="0087420C"/>
    <w:rsid w:val="0087423C"/>
    <w:rsid w:val="00874353"/>
    <w:rsid w:val="0087449C"/>
    <w:rsid w:val="00874812"/>
    <w:rsid w:val="0087486C"/>
    <w:rsid w:val="00874BD4"/>
    <w:rsid w:val="00874D22"/>
    <w:rsid w:val="00874F79"/>
    <w:rsid w:val="00875020"/>
    <w:rsid w:val="008755C5"/>
    <w:rsid w:val="0087579B"/>
    <w:rsid w:val="00875859"/>
    <w:rsid w:val="008758CA"/>
    <w:rsid w:val="008759C4"/>
    <w:rsid w:val="00875C10"/>
    <w:rsid w:val="00875CD1"/>
    <w:rsid w:val="00875E17"/>
    <w:rsid w:val="00876705"/>
    <w:rsid w:val="008767E3"/>
    <w:rsid w:val="00876A25"/>
    <w:rsid w:val="00876BD8"/>
    <w:rsid w:val="00876C13"/>
    <w:rsid w:val="00876EBC"/>
    <w:rsid w:val="00876FED"/>
    <w:rsid w:val="00877294"/>
    <w:rsid w:val="008772A0"/>
    <w:rsid w:val="008773C5"/>
    <w:rsid w:val="0087752E"/>
    <w:rsid w:val="00877605"/>
    <w:rsid w:val="00877684"/>
    <w:rsid w:val="00877694"/>
    <w:rsid w:val="00877DED"/>
    <w:rsid w:val="00877E2C"/>
    <w:rsid w:val="00877FF7"/>
    <w:rsid w:val="0088024B"/>
    <w:rsid w:val="008803D0"/>
    <w:rsid w:val="00880417"/>
    <w:rsid w:val="0088055B"/>
    <w:rsid w:val="0088057B"/>
    <w:rsid w:val="0088059D"/>
    <w:rsid w:val="00880806"/>
    <w:rsid w:val="00880822"/>
    <w:rsid w:val="008808B6"/>
    <w:rsid w:val="0088105F"/>
    <w:rsid w:val="00881144"/>
    <w:rsid w:val="00881204"/>
    <w:rsid w:val="00881256"/>
    <w:rsid w:val="008814AE"/>
    <w:rsid w:val="008816E4"/>
    <w:rsid w:val="0088179E"/>
    <w:rsid w:val="00881902"/>
    <w:rsid w:val="00881BE6"/>
    <w:rsid w:val="00881CB8"/>
    <w:rsid w:val="00881CF1"/>
    <w:rsid w:val="00881DC6"/>
    <w:rsid w:val="00881DDB"/>
    <w:rsid w:val="00881EE2"/>
    <w:rsid w:val="008821EE"/>
    <w:rsid w:val="008822F9"/>
    <w:rsid w:val="0088235B"/>
    <w:rsid w:val="008823F7"/>
    <w:rsid w:val="00882456"/>
    <w:rsid w:val="00882653"/>
    <w:rsid w:val="00882767"/>
    <w:rsid w:val="0088286C"/>
    <w:rsid w:val="0088290E"/>
    <w:rsid w:val="00882BB5"/>
    <w:rsid w:val="00882DEF"/>
    <w:rsid w:val="00882EA1"/>
    <w:rsid w:val="00882EB2"/>
    <w:rsid w:val="00882ECD"/>
    <w:rsid w:val="00883000"/>
    <w:rsid w:val="008831C4"/>
    <w:rsid w:val="00883824"/>
    <w:rsid w:val="0088382E"/>
    <w:rsid w:val="00883ED7"/>
    <w:rsid w:val="00883EEA"/>
    <w:rsid w:val="00883F48"/>
    <w:rsid w:val="0088400A"/>
    <w:rsid w:val="0088443B"/>
    <w:rsid w:val="008846B8"/>
    <w:rsid w:val="008850E3"/>
    <w:rsid w:val="008851AC"/>
    <w:rsid w:val="008851E1"/>
    <w:rsid w:val="0088573F"/>
    <w:rsid w:val="00885877"/>
    <w:rsid w:val="00885D8B"/>
    <w:rsid w:val="00885E19"/>
    <w:rsid w:val="00885EEF"/>
    <w:rsid w:val="00886338"/>
    <w:rsid w:val="00886464"/>
    <w:rsid w:val="008865B9"/>
    <w:rsid w:val="00886804"/>
    <w:rsid w:val="00886849"/>
    <w:rsid w:val="0088687C"/>
    <w:rsid w:val="0088696B"/>
    <w:rsid w:val="00886998"/>
    <w:rsid w:val="00886A8C"/>
    <w:rsid w:val="00886F22"/>
    <w:rsid w:val="008874DB"/>
    <w:rsid w:val="00887535"/>
    <w:rsid w:val="00887580"/>
    <w:rsid w:val="00887B37"/>
    <w:rsid w:val="00887D75"/>
    <w:rsid w:val="00887E60"/>
    <w:rsid w:val="00887F78"/>
    <w:rsid w:val="00887F94"/>
    <w:rsid w:val="00890158"/>
    <w:rsid w:val="008901EA"/>
    <w:rsid w:val="008902CB"/>
    <w:rsid w:val="00890651"/>
    <w:rsid w:val="00890A5F"/>
    <w:rsid w:val="00890C96"/>
    <w:rsid w:val="00890CB4"/>
    <w:rsid w:val="00890DB9"/>
    <w:rsid w:val="00890DED"/>
    <w:rsid w:val="00890E6C"/>
    <w:rsid w:val="00890EC5"/>
    <w:rsid w:val="008910D3"/>
    <w:rsid w:val="008910FC"/>
    <w:rsid w:val="00891152"/>
    <w:rsid w:val="00891169"/>
    <w:rsid w:val="0089125C"/>
    <w:rsid w:val="0089145A"/>
    <w:rsid w:val="00891527"/>
    <w:rsid w:val="0089156F"/>
    <w:rsid w:val="008915F1"/>
    <w:rsid w:val="008918D2"/>
    <w:rsid w:val="00891A07"/>
    <w:rsid w:val="00891A43"/>
    <w:rsid w:val="00891BD9"/>
    <w:rsid w:val="00891E3A"/>
    <w:rsid w:val="00891E61"/>
    <w:rsid w:val="008925E6"/>
    <w:rsid w:val="0089271F"/>
    <w:rsid w:val="00892827"/>
    <w:rsid w:val="008929AD"/>
    <w:rsid w:val="00892A97"/>
    <w:rsid w:val="00892C05"/>
    <w:rsid w:val="00892C0C"/>
    <w:rsid w:val="00892C7A"/>
    <w:rsid w:val="00892C9D"/>
    <w:rsid w:val="00892FF6"/>
    <w:rsid w:val="008931EF"/>
    <w:rsid w:val="008932CB"/>
    <w:rsid w:val="00893616"/>
    <w:rsid w:val="00893650"/>
    <w:rsid w:val="00893689"/>
    <w:rsid w:val="0089384C"/>
    <w:rsid w:val="00893B95"/>
    <w:rsid w:val="00893BC7"/>
    <w:rsid w:val="00893E3D"/>
    <w:rsid w:val="00893FA8"/>
    <w:rsid w:val="008942F8"/>
    <w:rsid w:val="0089430F"/>
    <w:rsid w:val="008943FD"/>
    <w:rsid w:val="008944F2"/>
    <w:rsid w:val="00894504"/>
    <w:rsid w:val="00894517"/>
    <w:rsid w:val="0089456A"/>
    <w:rsid w:val="00894648"/>
    <w:rsid w:val="0089481D"/>
    <w:rsid w:val="00894ECD"/>
    <w:rsid w:val="00894F80"/>
    <w:rsid w:val="00894FFA"/>
    <w:rsid w:val="0089509D"/>
    <w:rsid w:val="008951D6"/>
    <w:rsid w:val="008953F1"/>
    <w:rsid w:val="008955BF"/>
    <w:rsid w:val="00895A0B"/>
    <w:rsid w:val="00895A68"/>
    <w:rsid w:val="00895A8E"/>
    <w:rsid w:val="00895C68"/>
    <w:rsid w:val="00895D7F"/>
    <w:rsid w:val="00895D86"/>
    <w:rsid w:val="00895DFC"/>
    <w:rsid w:val="00895E3E"/>
    <w:rsid w:val="008960BF"/>
    <w:rsid w:val="00896106"/>
    <w:rsid w:val="008961C5"/>
    <w:rsid w:val="0089630F"/>
    <w:rsid w:val="00896315"/>
    <w:rsid w:val="00896490"/>
    <w:rsid w:val="00896600"/>
    <w:rsid w:val="008966CD"/>
    <w:rsid w:val="008967D1"/>
    <w:rsid w:val="008968B3"/>
    <w:rsid w:val="00896DF6"/>
    <w:rsid w:val="00896E11"/>
    <w:rsid w:val="00896E7B"/>
    <w:rsid w:val="00896ECE"/>
    <w:rsid w:val="00896EDB"/>
    <w:rsid w:val="00896F3C"/>
    <w:rsid w:val="00896F7A"/>
    <w:rsid w:val="00897155"/>
    <w:rsid w:val="00897349"/>
    <w:rsid w:val="008975BA"/>
    <w:rsid w:val="008978DF"/>
    <w:rsid w:val="00897952"/>
    <w:rsid w:val="008979D1"/>
    <w:rsid w:val="00897C3A"/>
    <w:rsid w:val="00897DE7"/>
    <w:rsid w:val="00897F1E"/>
    <w:rsid w:val="00897FFD"/>
    <w:rsid w:val="008A067F"/>
    <w:rsid w:val="008A072A"/>
    <w:rsid w:val="008A0871"/>
    <w:rsid w:val="008A0931"/>
    <w:rsid w:val="008A0C2E"/>
    <w:rsid w:val="008A0E56"/>
    <w:rsid w:val="008A0E8E"/>
    <w:rsid w:val="008A10B3"/>
    <w:rsid w:val="008A1104"/>
    <w:rsid w:val="008A114C"/>
    <w:rsid w:val="008A1635"/>
    <w:rsid w:val="008A16E6"/>
    <w:rsid w:val="008A16F1"/>
    <w:rsid w:val="008A1768"/>
    <w:rsid w:val="008A184E"/>
    <w:rsid w:val="008A1886"/>
    <w:rsid w:val="008A1A93"/>
    <w:rsid w:val="008A1BE4"/>
    <w:rsid w:val="008A20A3"/>
    <w:rsid w:val="008A21A8"/>
    <w:rsid w:val="008A24B1"/>
    <w:rsid w:val="008A24F8"/>
    <w:rsid w:val="008A258A"/>
    <w:rsid w:val="008A27B9"/>
    <w:rsid w:val="008A2914"/>
    <w:rsid w:val="008A2956"/>
    <w:rsid w:val="008A2A05"/>
    <w:rsid w:val="008A2AA3"/>
    <w:rsid w:val="008A2B83"/>
    <w:rsid w:val="008A2BAE"/>
    <w:rsid w:val="008A2D92"/>
    <w:rsid w:val="008A2F65"/>
    <w:rsid w:val="008A2FA8"/>
    <w:rsid w:val="008A3018"/>
    <w:rsid w:val="008A30A8"/>
    <w:rsid w:val="008A316E"/>
    <w:rsid w:val="008A31C5"/>
    <w:rsid w:val="008A32A7"/>
    <w:rsid w:val="008A33F5"/>
    <w:rsid w:val="008A341C"/>
    <w:rsid w:val="008A357A"/>
    <w:rsid w:val="008A35BC"/>
    <w:rsid w:val="008A35F5"/>
    <w:rsid w:val="008A3619"/>
    <w:rsid w:val="008A36A5"/>
    <w:rsid w:val="008A3727"/>
    <w:rsid w:val="008A3829"/>
    <w:rsid w:val="008A3B5B"/>
    <w:rsid w:val="008A3E5B"/>
    <w:rsid w:val="008A42C6"/>
    <w:rsid w:val="008A4399"/>
    <w:rsid w:val="008A43A8"/>
    <w:rsid w:val="008A43B5"/>
    <w:rsid w:val="008A44DF"/>
    <w:rsid w:val="008A4636"/>
    <w:rsid w:val="008A4658"/>
    <w:rsid w:val="008A46A7"/>
    <w:rsid w:val="008A4868"/>
    <w:rsid w:val="008A4C55"/>
    <w:rsid w:val="008A5153"/>
    <w:rsid w:val="008A5162"/>
    <w:rsid w:val="008A52E1"/>
    <w:rsid w:val="008A54F0"/>
    <w:rsid w:val="008A57D9"/>
    <w:rsid w:val="008A59BD"/>
    <w:rsid w:val="008A5B34"/>
    <w:rsid w:val="008A5E45"/>
    <w:rsid w:val="008A5F08"/>
    <w:rsid w:val="008A61D6"/>
    <w:rsid w:val="008A62B3"/>
    <w:rsid w:val="008A64F4"/>
    <w:rsid w:val="008A67EE"/>
    <w:rsid w:val="008A6B0B"/>
    <w:rsid w:val="008A6CD8"/>
    <w:rsid w:val="008A6DF9"/>
    <w:rsid w:val="008A6ECF"/>
    <w:rsid w:val="008A7022"/>
    <w:rsid w:val="008A702C"/>
    <w:rsid w:val="008A70B9"/>
    <w:rsid w:val="008A73EF"/>
    <w:rsid w:val="008A74CE"/>
    <w:rsid w:val="008A774C"/>
    <w:rsid w:val="008A7820"/>
    <w:rsid w:val="008A782E"/>
    <w:rsid w:val="008A793F"/>
    <w:rsid w:val="008A79A9"/>
    <w:rsid w:val="008A79ED"/>
    <w:rsid w:val="008A7B91"/>
    <w:rsid w:val="008A7C85"/>
    <w:rsid w:val="008A7D37"/>
    <w:rsid w:val="008B01DF"/>
    <w:rsid w:val="008B02AB"/>
    <w:rsid w:val="008B0409"/>
    <w:rsid w:val="008B0505"/>
    <w:rsid w:val="008B0528"/>
    <w:rsid w:val="008B0728"/>
    <w:rsid w:val="008B0770"/>
    <w:rsid w:val="008B078A"/>
    <w:rsid w:val="008B095E"/>
    <w:rsid w:val="008B0ABF"/>
    <w:rsid w:val="008B0D3B"/>
    <w:rsid w:val="008B0E4E"/>
    <w:rsid w:val="008B1260"/>
    <w:rsid w:val="008B146F"/>
    <w:rsid w:val="008B15F2"/>
    <w:rsid w:val="008B198A"/>
    <w:rsid w:val="008B1A83"/>
    <w:rsid w:val="008B1AB8"/>
    <w:rsid w:val="008B1BA4"/>
    <w:rsid w:val="008B1F06"/>
    <w:rsid w:val="008B1F26"/>
    <w:rsid w:val="008B1F9C"/>
    <w:rsid w:val="008B2130"/>
    <w:rsid w:val="008B21DF"/>
    <w:rsid w:val="008B23BF"/>
    <w:rsid w:val="008B248B"/>
    <w:rsid w:val="008B259C"/>
    <w:rsid w:val="008B25BE"/>
    <w:rsid w:val="008B2823"/>
    <w:rsid w:val="008B292B"/>
    <w:rsid w:val="008B2B49"/>
    <w:rsid w:val="008B2B84"/>
    <w:rsid w:val="008B2C81"/>
    <w:rsid w:val="008B2CF0"/>
    <w:rsid w:val="008B2F4C"/>
    <w:rsid w:val="008B2F67"/>
    <w:rsid w:val="008B30F1"/>
    <w:rsid w:val="008B3165"/>
    <w:rsid w:val="008B3339"/>
    <w:rsid w:val="008B341E"/>
    <w:rsid w:val="008B359A"/>
    <w:rsid w:val="008B36B9"/>
    <w:rsid w:val="008B37FC"/>
    <w:rsid w:val="008B39B5"/>
    <w:rsid w:val="008B3BB4"/>
    <w:rsid w:val="008B3C30"/>
    <w:rsid w:val="008B3C48"/>
    <w:rsid w:val="008B3DBE"/>
    <w:rsid w:val="008B3E6F"/>
    <w:rsid w:val="008B3ED3"/>
    <w:rsid w:val="008B3FAA"/>
    <w:rsid w:val="008B40F6"/>
    <w:rsid w:val="008B4A6C"/>
    <w:rsid w:val="008B4D38"/>
    <w:rsid w:val="008B4D68"/>
    <w:rsid w:val="008B4DD7"/>
    <w:rsid w:val="008B4DE8"/>
    <w:rsid w:val="008B5221"/>
    <w:rsid w:val="008B5339"/>
    <w:rsid w:val="008B5456"/>
    <w:rsid w:val="008B5AAD"/>
    <w:rsid w:val="008B5C2B"/>
    <w:rsid w:val="008B5E11"/>
    <w:rsid w:val="008B5E93"/>
    <w:rsid w:val="008B5FA7"/>
    <w:rsid w:val="008B6053"/>
    <w:rsid w:val="008B62CD"/>
    <w:rsid w:val="008B635F"/>
    <w:rsid w:val="008B6386"/>
    <w:rsid w:val="008B6694"/>
    <w:rsid w:val="008B6A20"/>
    <w:rsid w:val="008B6A3D"/>
    <w:rsid w:val="008B6B58"/>
    <w:rsid w:val="008B6DF1"/>
    <w:rsid w:val="008B6EA0"/>
    <w:rsid w:val="008B7075"/>
    <w:rsid w:val="008B70E1"/>
    <w:rsid w:val="008B71AD"/>
    <w:rsid w:val="008B7AB5"/>
    <w:rsid w:val="008B7D17"/>
    <w:rsid w:val="008B7E46"/>
    <w:rsid w:val="008C0218"/>
    <w:rsid w:val="008C0394"/>
    <w:rsid w:val="008C04E3"/>
    <w:rsid w:val="008C04EB"/>
    <w:rsid w:val="008C04F4"/>
    <w:rsid w:val="008C083E"/>
    <w:rsid w:val="008C0C1B"/>
    <w:rsid w:val="008C0C8C"/>
    <w:rsid w:val="008C0E9F"/>
    <w:rsid w:val="008C1042"/>
    <w:rsid w:val="008C1141"/>
    <w:rsid w:val="008C1216"/>
    <w:rsid w:val="008C133E"/>
    <w:rsid w:val="008C134E"/>
    <w:rsid w:val="008C13E7"/>
    <w:rsid w:val="008C17D1"/>
    <w:rsid w:val="008C1B60"/>
    <w:rsid w:val="008C1E4C"/>
    <w:rsid w:val="008C1F35"/>
    <w:rsid w:val="008C1FA8"/>
    <w:rsid w:val="008C1FC8"/>
    <w:rsid w:val="008C20EB"/>
    <w:rsid w:val="008C21BD"/>
    <w:rsid w:val="008C2328"/>
    <w:rsid w:val="008C2441"/>
    <w:rsid w:val="008C253A"/>
    <w:rsid w:val="008C260A"/>
    <w:rsid w:val="008C2819"/>
    <w:rsid w:val="008C2853"/>
    <w:rsid w:val="008C2B0B"/>
    <w:rsid w:val="008C2B96"/>
    <w:rsid w:val="008C2F0D"/>
    <w:rsid w:val="008C2F45"/>
    <w:rsid w:val="008C320F"/>
    <w:rsid w:val="008C33C8"/>
    <w:rsid w:val="008C3485"/>
    <w:rsid w:val="008C3888"/>
    <w:rsid w:val="008C3949"/>
    <w:rsid w:val="008C39AD"/>
    <w:rsid w:val="008C3CFA"/>
    <w:rsid w:val="008C3EF5"/>
    <w:rsid w:val="008C4185"/>
    <w:rsid w:val="008C44A6"/>
    <w:rsid w:val="008C4852"/>
    <w:rsid w:val="008C48F4"/>
    <w:rsid w:val="008C4A14"/>
    <w:rsid w:val="008C4B4C"/>
    <w:rsid w:val="008C4C05"/>
    <w:rsid w:val="008C4D51"/>
    <w:rsid w:val="008C4FA2"/>
    <w:rsid w:val="008C5217"/>
    <w:rsid w:val="008C534A"/>
    <w:rsid w:val="008C53BC"/>
    <w:rsid w:val="008C53D3"/>
    <w:rsid w:val="008C53E1"/>
    <w:rsid w:val="008C58DE"/>
    <w:rsid w:val="008C5F5D"/>
    <w:rsid w:val="008C5FA1"/>
    <w:rsid w:val="008C6077"/>
    <w:rsid w:val="008C60ED"/>
    <w:rsid w:val="008C640A"/>
    <w:rsid w:val="008C6511"/>
    <w:rsid w:val="008C69F2"/>
    <w:rsid w:val="008C6A81"/>
    <w:rsid w:val="008C7378"/>
    <w:rsid w:val="008C768E"/>
    <w:rsid w:val="008C7775"/>
    <w:rsid w:val="008C77F9"/>
    <w:rsid w:val="008C78EB"/>
    <w:rsid w:val="008C7ACD"/>
    <w:rsid w:val="008D03C6"/>
    <w:rsid w:val="008D05B7"/>
    <w:rsid w:val="008D0909"/>
    <w:rsid w:val="008D0921"/>
    <w:rsid w:val="008D09A2"/>
    <w:rsid w:val="008D0C08"/>
    <w:rsid w:val="008D0E97"/>
    <w:rsid w:val="008D0EB6"/>
    <w:rsid w:val="008D1138"/>
    <w:rsid w:val="008D121A"/>
    <w:rsid w:val="008D1252"/>
    <w:rsid w:val="008D13F2"/>
    <w:rsid w:val="008D1414"/>
    <w:rsid w:val="008D15D5"/>
    <w:rsid w:val="008D167D"/>
    <w:rsid w:val="008D1681"/>
    <w:rsid w:val="008D1B23"/>
    <w:rsid w:val="008D1F66"/>
    <w:rsid w:val="008D204A"/>
    <w:rsid w:val="008D23E1"/>
    <w:rsid w:val="008D23F4"/>
    <w:rsid w:val="008D2516"/>
    <w:rsid w:val="008D26BE"/>
    <w:rsid w:val="008D2762"/>
    <w:rsid w:val="008D2815"/>
    <w:rsid w:val="008D28DD"/>
    <w:rsid w:val="008D29A7"/>
    <w:rsid w:val="008D2D53"/>
    <w:rsid w:val="008D313D"/>
    <w:rsid w:val="008D319E"/>
    <w:rsid w:val="008D3202"/>
    <w:rsid w:val="008D33A1"/>
    <w:rsid w:val="008D3412"/>
    <w:rsid w:val="008D3459"/>
    <w:rsid w:val="008D345E"/>
    <w:rsid w:val="008D3688"/>
    <w:rsid w:val="008D39B7"/>
    <w:rsid w:val="008D3B18"/>
    <w:rsid w:val="008D3E39"/>
    <w:rsid w:val="008D3F08"/>
    <w:rsid w:val="008D4226"/>
    <w:rsid w:val="008D4616"/>
    <w:rsid w:val="008D4727"/>
    <w:rsid w:val="008D4855"/>
    <w:rsid w:val="008D487A"/>
    <w:rsid w:val="008D4C5C"/>
    <w:rsid w:val="008D4E84"/>
    <w:rsid w:val="008D5165"/>
    <w:rsid w:val="008D5293"/>
    <w:rsid w:val="008D52F5"/>
    <w:rsid w:val="008D5337"/>
    <w:rsid w:val="008D55D2"/>
    <w:rsid w:val="008D560F"/>
    <w:rsid w:val="008D5659"/>
    <w:rsid w:val="008D5877"/>
    <w:rsid w:val="008D58FB"/>
    <w:rsid w:val="008D5BEB"/>
    <w:rsid w:val="008D5CB5"/>
    <w:rsid w:val="008D5CF3"/>
    <w:rsid w:val="008D5D35"/>
    <w:rsid w:val="008D5DBD"/>
    <w:rsid w:val="008D5E72"/>
    <w:rsid w:val="008D5F2D"/>
    <w:rsid w:val="008D60C4"/>
    <w:rsid w:val="008D616A"/>
    <w:rsid w:val="008D637E"/>
    <w:rsid w:val="008D63F5"/>
    <w:rsid w:val="008D65BB"/>
    <w:rsid w:val="008D6634"/>
    <w:rsid w:val="008D676D"/>
    <w:rsid w:val="008D67EF"/>
    <w:rsid w:val="008D6912"/>
    <w:rsid w:val="008D69AE"/>
    <w:rsid w:val="008D6CC3"/>
    <w:rsid w:val="008D7083"/>
    <w:rsid w:val="008D734B"/>
    <w:rsid w:val="008D78C2"/>
    <w:rsid w:val="008D7CF3"/>
    <w:rsid w:val="008E02CC"/>
    <w:rsid w:val="008E04A9"/>
    <w:rsid w:val="008E05F0"/>
    <w:rsid w:val="008E065E"/>
    <w:rsid w:val="008E06D0"/>
    <w:rsid w:val="008E07DB"/>
    <w:rsid w:val="008E0828"/>
    <w:rsid w:val="008E08A2"/>
    <w:rsid w:val="008E09A5"/>
    <w:rsid w:val="008E0B08"/>
    <w:rsid w:val="008E0BC3"/>
    <w:rsid w:val="008E108D"/>
    <w:rsid w:val="008E1816"/>
    <w:rsid w:val="008E1856"/>
    <w:rsid w:val="008E187E"/>
    <w:rsid w:val="008E1945"/>
    <w:rsid w:val="008E1AE5"/>
    <w:rsid w:val="008E1E87"/>
    <w:rsid w:val="008E1E9E"/>
    <w:rsid w:val="008E1F5A"/>
    <w:rsid w:val="008E2153"/>
    <w:rsid w:val="008E22A6"/>
    <w:rsid w:val="008E22DC"/>
    <w:rsid w:val="008E2312"/>
    <w:rsid w:val="008E2326"/>
    <w:rsid w:val="008E23AF"/>
    <w:rsid w:val="008E2787"/>
    <w:rsid w:val="008E2838"/>
    <w:rsid w:val="008E28B8"/>
    <w:rsid w:val="008E2963"/>
    <w:rsid w:val="008E2976"/>
    <w:rsid w:val="008E2AAF"/>
    <w:rsid w:val="008E2B1B"/>
    <w:rsid w:val="008E2B9A"/>
    <w:rsid w:val="008E2BA0"/>
    <w:rsid w:val="008E2C4F"/>
    <w:rsid w:val="008E2EA6"/>
    <w:rsid w:val="008E2F42"/>
    <w:rsid w:val="008E3089"/>
    <w:rsid w:val="008E3521"/>
    <w:rsid w:val="008E35CF"/>
    <w:rsid w:val="008E3617"/>
    <w:rsid w:val="008E38F2"/>
    <w:rsid w:val="008E391A"/>
    <w:rsid w:val="008E3AB6"/>
    <w:rsid w:val="008E3CD4"/>
    <w:rsid w:val="008E3D83"/>
    <w:rsid w:val="008E3E3A"/>
    <w:rsid w:val="008E3E5A"/>
    <w:rsid w:val="008E3EDE"/>
    <w:rsid w:val="008E4012"/>
    <w:rsid w:val="008E4148"/>
    <w:rsid w:val="008E446F"/>
    <w:rsid w:val="008E4474"/>
    <w:rsid w:val="008E4641"/>
    <w:rsid w:val="008E464B"/>
    <w:rsid w:val="008E4851"/>
    <w:rsid w:val="008E4A30"/>
    <w:rsid w:val="008E4A5F"/>
    <w:rsid w:val="008E4AEC"/>
    <w:rsid w:val="008E4D0E"/>
    <w:rsid w:val="008E4D8E"/>
    <w:rsid w:val="008E4EED"/>
    <w:rsid w:val="008E4F92"/>
    <w:rsid w:val="008E50AF"/>
    <w:rsid w:val="008E5134"/>
    <w:rsid w:val="008E5162"/>
    <w:rsid w:val="008E528C"/>
    <w:rsid w:val="008E535F"/>
    <w:rsid w:val="008E5383"/>
    <w:rsid w:val="008E5708"/>
    <w:rsid w:val="008E5AB4"/>
    <w:rsid w:val="008E5AED"/>
    <w:rsid w:val="008E5E25"/>
    <w:rsid w:val="008E5E70"/>
    <w:rsid w:val="008E610C"/>
    <w:rsid w:val="008E6224"/>
    <w:rsid w:val="008E6511"/>
    <w:rsid w:val="008E655F"/>
    <w:rsid w:val="008E66B8"/>
    <w:rsid w:val="008E6752"/>
    <w:rsid w:val="008E6A5A"/>
    <w:rsid w:val="008E6B6C"/>
    <w:rsid w:val="008E6D33"/>
    <w:rsid w:val="008E6F83"/>
    <w:rsid w:val="008E6FA5"/>
    <w:rsid w:val="008E7076"/>
    <w:rsid w:val="008E721F"/>
    <w:rsid w:val="008E7276"/>
    <w:rsid w:val="008E72EF"/>
    <w:rsid w:val="008E732B"/>
    <w:rsid w:val="008E7363"/>
    <w:rsid w:val="008E7577"/>
    <w:rsid w:val="008E793F"/>
    <w:rsid w:val="008E79C8"/>
    <w:rsid w:val="008E7AF3"/>
    <w:rsid w:val="008E7B55"/>
    <w:rsid w:val="008E7BD5"/>
    <w:rsid w:val="008E7C35"/>
    <w:rsid w:val="008E7D1E"/>
    <w:rsid w:val="008E7D3E"/>
    <w:rsid w:val="008F0133"/>
    <w:rsid w:val="008F014B"/>
    <w:rsid w:val="008F03CD"/>
    <w:rsid w:val="008F0583"/>
    <w:rsid w:val="008F0646"/>
    <w:rsid w:val="008F06AA"/>
    <w:rsid w:val="008F08A6"/>
    <w:rsid w:val="008F08D1"/>
    <w:rsid w:val="008F0982"/>
    <w:rsid w:val="008F0B58"/>
    <w:rsid w:val="008F0B79"/>
    <w:rsid w:val="008F0D5F"/>
    <w:rsid w:val="008F0FDC"/>
    <w:rsid w:val="008F101A"/>
    <w:rsid w:val="008F1049"/>
    <w:rsid w:val="008F10C6"/>
    <w:rsid w:val="008F11E8"/>
    <w:rsid w:val="008F1365"/>
    <w:rsid w:val="008F1460"/>
    <w:rsid w:val="008F173F"/>
    <w:rsid w:val="008F1A5E"/>
    <w:rsid w:val="008F1AEF"/>
    <w:rsid w:val="008F1BC9"/>
    <w:rsid w:val="008F1C62"/>
    <w:rsid w:val="008F1CB1"/>
    <w:rsid w:val="008F1E0B"/>
    <w:rsid w:val="008F1EC8"/>
    <w:rsid w:val="008F21F3"/>
    <w:rsid w:val="008F24F4"/>
    <w:rsid w:val="008F2633"/>
    <w:rsid w:val="008F29AD"/>
    <w:rsid w:val="008F2A6D"/>
    <w:rsid w:val="008F2B5D"/>
    <w:rsid w:val="008F2E2A"/>
    <w:rsid w:val="008F2EBF"/>
    <w:rsid w:val="008F30E3"/>
    <w:rsid w:val="008F3258"/>
    <w:rsid w:val="008F333A"/>
    <w:rsid w:val="008F38C4"/>
    <w:rsid w:val="008F3A28"/>
    <w:rsid w:val="008F3A54"/>
    <w:rsid w:val="008F3E7C"/>
    <w:rsid w:val="008F3F26"/>
    <w:rsid w:val="008F4432"/>
    <w:rsid w:val="008F48A0"/>
    <w:rsid w:val="008F48E8"/>
    <w:rsid w:val="008F4BC1"/>
    <w:rsid w:val="008F4CAC"/>
    <w:rsid w:val="008F5003"/>
    <w:rsid w:val="008F5245"/>
    <w:rsid w:val="008F533B"/>
    <w:rsid w:val="008F5519"/>
    <w:rsid w:val="008F5731"/>
    <w:rsid w:val="008F59F2"/>
    <w:rsid w:val="008F5AC2"/>
    <w:rsid w:val="008F5ED7"/>
    <w:rsid w:val="008F5F2A"/>
    <w:rsid w:val="008F61CE"/>
    <w:rsid w:val="008F63BD"/>
    <w:rsid w:val="008F64B7"/>
    <w:rsid w:val="008F6543"/>
    <w:rsid w:val="008F65B5"/>
    <w:rsid w:val="008F6676"/>
    <w:rsid w:val="008F671F"/>
    <w:rsid w:val="008F6A5B"/>
    <w:rsid w:val="008F6B44"/>
    <w:rsid w:val="008F6B69"/>
    <w:rsid w:val="008F6BDF"/>
    <w:rsid w:val="008F6DC9"/>
    <w:rsid w:val="008F6FDB"/>
    <w:rsid w:val="008F70D8"/>
    <w:rsid w:val="008F7126"/>
    <w:rsid w:val="008F7189"/>
    <w:rsid w:val="008F73B1"/>
    <w:rsid w:val="008F7475"/>
    <w:rsid w:val="008F75E0"/>
    <w:rsid w:val="008F78AF"/>
    <w:rsid w:val="008F7987"/>
    <w:rsid w:val="008F7BF5"/>
    <w:rsid w:val="008F7D06"/>
    <w:rsid w:val="008F7E2B"/>
    <w:rsid w:val="009000BB"/>
    <w:rsid w:val="00900102"/>
    <w:rsid w:val="009001C7"/>
    <w:rsid w:val="009001D0"/>
    <w:rsid w:val="00900452"/>
    <w:rsid w:val="0090064A"/>
    <w:rsid w:val="009008EA"/>
    <w:rsid w:val="00900903"/>
    <w:rsid w:val="00900932"/>
    <w:rsid w:val="00900996"/>
    <w:rsid w:val="00900AC1"/>
    <w:rsid w:val="00900FAB"/>
    <w:rsid w:val="00901208"/>
    <w:rsid w:val="0090165A"/>
    <w:rsid w:val="009016FB"/>
    <w:rsid w:val="0090183E"/>
    <w:rsid w:val="00901A2D"/>
    <w:rsid w:val="00901AC4"/>
    <w:rsid w:val="00901B2B"/>
    <w:rsid w:val="00901D55"/>
    <w:rsid w:val="00901D5C"/>
    <w:rsid w:val="00901DCA"/>
    <w:rsid w:val="00901EDD"/>
    <w:rsid w:val="00902238"/>
    <w:rsid w:val="009022FB"/>
    <w:rsid w:val="009023F2"/>
    <w:rsid w:val="0090267B"/>
    <w:rsid w:val="00902777"/>
    <w:rsid w:val="009027DA"/>
    <w:rsid w:val="0090295D"/>
    <w:rsid w:val="009029D0"/>
    <w:rsid w:val="00902E4A"/>
    <w:rsid w:val="00902FE1"/>
    <w:rsid w:val="00903174"/>
    <w:rsid w:val="00903193"/>
    <w:rsid w:val="00903329"/>
    <w:rsid w:val="0090334A"/>
    <w:rsid w:val="00903934"/>
    <w:rsid w:val="009039B1"/>
    <w:rsid w:val="00903AAB"/>
    <w:rsid w:val="00903AD8"/>
    <w:rsid w:val="00903B43"/>
    <w:rsid w:val="00903B4F"/>
    <w:rsid w:val="00903C91"/>
    <w:rsid w:val="00903CA2"/>
    <w:rsid w:val="009042D9"/>
    <w:rsid w:val="009042DB"/>
    <w:rsid w:val="009045B8"/>
    <w:rsid w:val="009046C4"/>
    <w:rsid w:val="00904888"/>
    <w:rsid w:val="00904B96"/>
    <w:rsid w:val="00904C38"/>
    <w:rsid w:val="00904C5B"/>
    <w:rsid w:val="00904F41"/>
    <w:rsid w:val="009054C7"/>
    <w:rsid w:val="00905A6C"/>
    <w:rsid w:val="00905E8A"/>
    <w:rsid w:val="00905EAA"/>
    <w:rsid w:val="00906422"/>
    <w:rsid w:val="00906506"/>
    <w:rsid w:val="0090658A"/>
    <w:rsid w:val="009065E0"/>
    <w:rsid w:val="009065E8"/>
    <w:rsid w:val="00906628"/>
    <w:rsid w:val="009066B4"/>
    <w:rsid w:val="00906714"/>
    <w:rsid w:val="0090676F"/>
    <w:rsid w:val="009068E6"/>
    <w:rsid w:val="00906A3D"/>
    <w:rsid w:val="00906B55"/>
    <w:rsid w:val="00906B58"/>
    <w:rsid w:val="00906D54"/>
    <w:rsid w:val="00906E4A"/>
    <w:rsid w:val="00906F50"/>
    <w:rsid w:val="00906FF3"/>
    <w:rsid w:val="00907230"/>
    <w:rsid w:val="00907254"/>
    <w:rsid w:val="0090725C"/>
    <w:rsid w:val="009075F1"/>
    <w:rsid w:val="0090767B"/>
    <w:rsid w:val="00907C0A"/>
    <w:rsid w:val="00907C15"/>
    <w:rsid w:val="00907CB5"/>
    <w:rsid w:val="00907FD4"/>
    <w:rsid w:val="0091009E"/>
    <w:rsid w:val="009100B8"/>
    <w:rsid w:val="0091011C"/>
    <w:rsid w:val="00910393"/>
    <w:rsid w:val="0091040C"/>
    <w:rsid w:val="00910516"/>
    <w:rsid w:val="00910570"/>
    <w:rsid w:val="0091059F"/>
    <w:rsid w:val="0091072A"/>
    <w:rsid w:val="009107AB"/>
    <w:rsid w:val="00910856"/>
    <w:rsid w:val="00910A12"/>
    <w:rsid w:val="00910AEE"/>
    <w:rsid w:val="00910D80"/>
    <w:rsid w:val="00910DB1"/>
    <w:rsid w:val="0091101C"/>
    <w:rsid w:val="00911640"/>
    <w:rsid w:val="009116A4"/>
    <w:rsid w:val="00911936"/>
    <w:rsid w:val="0091193D"/>
    <w:rsid w:val="00911B96"/>
    <w:rsid w:val="00911DD8"/>
    <w:rsid w:val="00912239"/>
    <w:rsid w:val="0091232B"/>
    <w:rsid w:val="00912677"/>
    <w:rsid w:val="009128AF"/>
    <w:rsid w:val="009128C9"/>
    <w:rsid w:val="00912A54"/>
    <w:rsid w:val="00912AA2"/>
    <w:rsid w:val="00912AF0"/>
    <w:rsid w:val="00912B87"/>
    <w:rsid w:val="00912DF0"/>
    <w:rsid w:val="009130AC"/>
    <w:rsid w:val="009130E6"/>
    <w:rsid w:val="009135EB"/>
    <w:rsid w:val="00913622"/>
    <w:rsid w:val="00913739"/>
    <w:rsid w:val="00913784"/>
    <w:rsid w:val="009137B6"/>
    <w:rsid w:val="00913827"/>
    <w:rsid w:val="00913902"/>
    <w:rsid w:val="0091398E"/>
    <w:rsid w:val="00913AE4"/>
    <w:rsid w:val="00913BAB"/>
    <w:rsid w:val="00913D4B"/>
    <w:rsid w:val="00913D60"/>
    <w:rsid w:val="00913ECA"/>
    <w:rsid w:val="0091400D"/>
    <w:rsid w:val="0091406E"/>
    <w:rsid w:val="009140B4"/>
    <w:rsid w:val="009141CC"/>
    <w:rsid w:val="009141CE"/>
    <w:rsid w:val="009141F0"/>
    <w:rsid w:val="0091427D"/>
    <w:rsid w:val="009142D9"/>
    <w:rsid w:val="009144C1"/>
    <w:rsid w:val="009144F6"/>
    <w:rsid w:val="00914508"/>
    <w:rsid w:val="00914511"/>
    <w:rsid w:val="00914772"/>
    <w:rsid w:val="00914B48"/>
    <w:rsid w:val="00914BFC"/>
    <w:rsid w:val="00914D1E"/>
    <w:rsid w:val="00914D3D"/>
    <w:rsid w:val="009150D0"/>
    <w:rsid w:val="00915165"/>
    <w:rsid w:val="009152A2"/>
    <w:rsid w:val="00915480"/>
    <w:rsid w:val="009154CC"/>
    <w:rsid w:val="00915578"/>
    <w:rsid w:val="00915594"/>
    <w:rsid w:val="00915845"/>
    <w:rsid w:val="00915975"/>
    <w:rsid w:val="00915CB1"/>
    <w:rsid w:val="00915DF8"/>
    <w:rsid w:val="00915FDF"/>
    <w:rsid w:val="0091603F"/>
    <w:rsid w:val="00916096"/>
    <w:rsid w:val="0091631D"/>
    <w:rsid w:val="009165E4"/>
    <w:rsid w:val="00916D50"/>
    <w:rsid w:val="00916E3D"/>
    <w:rsid w:val="00916E6D"/>
    <w:rsid w:val="00916E79"/>
    <w:rsid w:val="00916F01"/>
    <w:rsid w:val="00916F2D"/>
    <w:rsid w:val="0091712F"/>
    <w:rsid w:val="0091727D"/>
    <w:rsid w:val="00917459"/>
    <w:rsid w:val="00917481"/>
    <w:rsid w:val="0091752C"/>
    <w:rsid w:val="00917768"/>
    <w:rsid w:val="00917797"/>
    <w:rsid w:val="0091793C"/>
    <w:rsid w:val="00917AA9"/>
    <w:rsid w:val="00917C6F"/>
    <w:rsid w:val="00917E94"/>
    <w:rsid w:val="00917F39"/>
    <w:rsid w:val="0092007D"/>
    <w:rsid w:val="00920081"/>
    <w:rsid w:val="00920251"/>
    <w:rsid w:val="0092030E"/>
    <w:rsid w:val="009204B8"/>
    <w:rsid w:val="009205EA"/>
    <w:rsid w:val="00920684"/>
    <w:rsid w:val="00920738"/>
    <w:rsid w:val="00920749"/>
    <w:rsid w:val="00920845"/>
    <w:rsid w:val="0092086C"/>
    <w:rsid w:val="00920CFC"/>
    <w:rsid w:val="00920D39"/>
    <w:rsid w:val="00920FC4"/>
    <w:rsid w:val="00921087"/>
    <w:rsid w:val="0092132B"/>
    <w:rsid w:val="00921829"/>
    <w:rsid w:val="00921E94"/>
    <w:rsid w:val="00921EF3"/>
    <w:rsid w:val="00922015"/>
    <w:rsid w:val="00922171"/>
    <w:rsid w:val="00922598"/>
    <w:rsid w:val="00922614"/>
    <w:rsid w:val="00922686"/>
    <w:rsid w:val="0092274E"/>
    <w:rsid w:val="0092285E"/>
    <w:rsid w:val="009229CA"/>
    <w:rsid w:val="00922AB6"/>
    <w:rsid w:val="00922B33"/>
    <w:rsid w:val="00922C31"/>
    <w:rsid w:val="00922C43"/>
    <w:rsid w:val="009230D6"/>
    <w:rsid w:val="009230F8"/>
    <w:rsid w:val="009232B5"/>
    <w:rsid w:val="009233B7"/>
    <w:rsid w:val="00923418"/>
    <w:rsid w:val="0092372A"/>
    <w:rsid w:val="0092392C"/>
    <w:rsid w:val="00923A16"/>
    <w:rsid w:val="00924178"/>
    <w:rsid w:val="00924190"/>
    <w:rsid w:val="009244AF"/>
    <w:rsid w:val="00924559"/>
    <w:rsid w:val="0092458E"/>
    <w:rsid w:val="009245DD"/>
    <w:rsid w:val="00924667"/>
    <w:rsid w:val="0092467F"/>
    <w:rsid w:val="0092487C"/>
    <w:rsid w:val="00924C7F"/>
    <w:rsid w:val="00925163"/>
    <w:rsid w:val="00925511"/>
    <w:rsid w:val="00925512"/>
    <w:rsid w:val="0092562A"/>
    <w:rsid w:val="0092567D"/>
    <w:rsid w:val="00925793"/>
    <w:rsid w:val="009257C1"/>
    <w:rsid w:val="0092587B"/>
    <w:rsid w:val="00925A16"/>
    <w:rsid w:val="009262AB"/>
    <w:rsid w:val="00926711"/>
    <w:rsid w:val="0092671A"/>
    <w:rsid w:val="0092682D"/>
    <w:rsid w:val="00926A13"/>
    <w:rsid w:val="00926C70"/>
    <w:rsid w:val="00926CC8"/>
    <w:rsid w:val="00926DE7"/>
    <w:rsid w:val="00926F57"/>
    <w:rsid w:val="00926F93"/>
    <w:rsid w:val="009275B2"/>
    <w:rsid w:val="009277AF"/>
    <w:rsid w:val="009278E9"/>
    <w:rsid w:val="00927BEB"/>
    <w:rsid w:val="00927CBD"/>
    <w:rsid w:val="00927D95"/>
    <w:rsid w:val="00930214"/>
    <w:rsid w:val="0093064F"/>
    <w:rsid w:val="009306AF"/>
    <w:rsid w:val="00930737"/>
    <w:rsid w:val="009308ED"/>
    <w:rsid w:val="00930947"/>
    <w:rsid w:val="0093099D"/>
    <w:rsid w:val="00930B42"/>
    <w:rsid w:val="00930C4C"/>
    <w:rsid w:val="00930EC4"/>
    <w:rsid w:val="00931016"/>
    <w:rsid w:val="0093106C"/>
    <w:rsid w:val="00931367"/>
    <w:rsid w:val="009316B3"/>
    <w:rsid w:val="009316BE"/>
    <w:rsid w:val="00931805"/>
    <w:rsid w:val="0093181D"/>
    <w:rsid w:val="0093187F"/>
    <w:rsid w:val="009319EC"/>
    <w:rsid w:val="00931AA3"/>
    <w:rsid w:val="00931BB4"/>
    <w:rsid w:val="00931E4C"/>
    <w:rsid w:val="00931ED0"/>
    <w:rsid w:val="00932060"/>
    <w:rsid w:val="009327F8"/>
    <w:rsid w:val="00932A84"/>
    <w:rsid w:val="00932B61"/>
    <w:rsid w:val="00932B83"/>
    <w:rsid w:val="00932BCE"/>
    <w:rsid w:val="00932BFA"/>
    <w:rsid w:val="00933152"/>
    <w:rsid w:val="0093327B"/>
    <w:rsid w:val="009332A9"/>
    <w:rsid w:val="00933363"/>
    <w:rsid w:val="0093354C"/>
    <w:rsid w:val="00933591"/>
    <w:rsid w:val="0093361F"/>
    <w:rsid w:val="00933684"/>
    <w:rsid w:val="00933807"/>
    <w:rsid w:val="009338CB"/>
    <w:rsid w:val="00933A02"/>
    <w:rsid w:val="00933A42"/>
    <w:rsid w:val="00933C62"/>
    <w:rsid w:val="00933D2D"/>
    <w:rsid w:val="00933D36"/>
    <w:rsid w:val="00933DEB"/>
    <w:rsid w:val="00933E0E"/>
    <w:rsid w:val="0093402A"/>
    <w:rsid w:val="009340AB"/>
    <w:rsid w:val="00934316"/>
    <w:rsid w:val="00934365"/>
    <w:rsid w:val="009345FD"/>
    <w:rsid w:val="00934659"/>
    <w:rsid w:val="00934AD0"/>
    <w:rsid w:val="00934B4B"/>
    <w:rsid w:val="00934D77"/>
    <w:rsid w:val="00934ED9"/>
    <w:rsid w:val="00934F97"/>
    <w:rsid w:val="0093506A"/>
    <w:rsid w:val="0093510A"/>
    <w:rsid w:val="00935411"/>
    <w:rsid w:val="00935545"/>
    <w:rsid w:val="00935587"/>
    <w:rsid w:val="009355CE"/>
    <w:rsid w:val="009355DF"/>
    <w:rsid w:val="009357ED"/>
    <w:rsid w:val="00935ADB"/>
    <w:rsid w:val="00935BE5"/>
    <w:rsid w:val="00935E11"/>
    <w:rsid w:val="00936038"/>
    <w:rsid w:val="00936221"/>
    <w:rsid w:val="009362AF"/>
    <w:rsid w:val="009362E1"/>
    <w:rsid w:val="0093632C"/>
    <w:rsid w:val="009363EE"/>
    <w:rsid w:val="009363FB"/>
    <w:rsid w:val="00936419"/>
    <w:rsid w:val="009365FE"/>
    <w:rsid w:val="00936769"/>
    <w:rsid w:val="00937117"/>
    <w:rsid w:val="00937176"/>
    <w:rsid w:val="00937214"/>
    <w:rsid w:val="0093723C"/>
    <w:rsid w:val="00937269"/>
    <w:rsid w:val="00937590"/>
    <w:rsid w:val="00937858"/>
    <w:rsid w:val="0093796D"/>
    <w:rsid w:val="00937B82"/>
    <w:rsid w:val="00937C2E"/>
    <w:rsid w:val="00937CDB"/>
    <w:rsid w:val="00937E91"/>
    <w:rsid w:val="00937EEF"/>
    <w:rsid w:val="00937F33"/>
    <w:rsid w:val="00937F60"/>
    <w:rsid w:val="00937F74"/>
    <w:rsid w:val="00937F99"/>
    <w:rsid w:val="00937FC2"/>
    <w:rsid w:val="0094017A"/>
    <w:rsid w:val="0094047F"/>
    <w:rsid w:val="00940DB4"/>
    <w:rsid w:val="00940F39"/>
    <w:rsid w:val="00940F5D"/>
    <w:rsid w:val="009410E4"/>
    <w:rsid w:val="009411A3"/>
    <w:rsid w:val="009411C7"/>
    <w:rsid w:val="009413CB"/>
    <w:rsid w:val="009413D1"/>
    <w:rsid w:val="0094146F"/>
    <w:rsid w:val="00941543"/>
    <w:rsid w:val="00941665"/>
    <w:rsid w:val="0094177E"/>
    <w:rsid w:val="00941A6F"/>
    <w:rsid w:val="00941BE0"/>
    <w:rsid w:val="00941D50"/>
    <w:rsid w:val="00941D58"/>
    <w:rsid w:val="00941EFB"/>
    <w:rsid w:val="00941F3B"/>
    <w:rsid w:val="00942280"/>
    <w:rsid w:val="009423FC"/>
    <w:rsid w:val="00942538"/>
    <w:rsid w:val="0094258E"/>
    <w:rsid w:val="0094290B"/>
    <w:rsid w:val="0094294A"/>
    <w:rsid w:val="00942A29"/>
    <w:rsid w:val="00942A5C"/>
    <w:rsid w:val="00942B2A"/>
    <w:rsid w:val="00942BE1"/>
    <w:rsid w:val="00942C25"/>
    <w:rsid w:val="00942C5E"/>
    <w:rsid w:val="00942CC7"/>
    <w:rsid w:val="00942E0B"/>
    <w:rsid w:val="00942E8B"/>
    <w:rsid w:val="00942F25"/>
    <w:rsid w:val="00943488"/>
    <w:rsid w:val="009434C9"/>
    <w:rsid w:val="009435C0"/>
    <w:rsid w:val="00943763"/>
    <w:rsid w:val="00943CD2"/>
    <w:rsid w:val="00943D27"/>
    <w:rsid w:val="00943F27"/>
    <w:rsid w:val="00943F5C"/>
    <w:rsid w:val="00943FD9"/>
    <w:rsid w:val="00944078"/>
    <w:rsid w:val="00944142"/>
    <w:rsid w:val="00944193"/>
    <w:rsid w:val="009442C0"/>
    <w:rsid w:val="0094434C"/>
    <w:rsid w:val="0094443B"/>
    <w:rsid w:val="0094443C"/>
    <w:rsid w:val="00944722"/>
    <w:rsid w:val="009449C7"/>
    <w:rsid w:val="00944A45"/>
    <w:rsid w:val="00944AD1"/>
    <w:rsid w:val="00944AE7"/>
    <w:rsid w:val="00944B96"/>
    <w:rsid w:val="00944C17"/>
    <w:rsid w:val="00944CE3"/>
    <w:rsid w:val="00944D02"/>
    <w:rsid w:val="00944E08"/>
    <w:rsid w:val="00944FA0"/>
    <w:rsid w:val="00945008"/>
    <w:rsid w:val="0094501C"/>
    <w:rsid w:val="00945116"/>
    <w:rsid w:val="0094519D"/>
    <w:rsid w:val="0094559D"/>
    <w:rsid w:val="009456F2"/>
    <w:rsid w:val="0094579B"/>
    <w:rsid w:val="009458A5"/>
    <w:rsid w:val="00945DC1"/>
    <w:rsid w:val="00945FEE"/>
    <w:rsid w:val="009462A6"/>
    <w:rsid w:val="0094636F"/>
    <w:rsid w:val="0094639C"/>
    <w:rsid w:val="009465BC"/>
    <w:rsid w:val="0094663F"/>
    <w:rsid w:val="0094683A"/>
    <w:rsid w:val="0094683E"/>
    <w:rsid w:val="009469EB"/>
    <w:rsid w:val="00946B20"/>
    <w:rsid w:val="00946C33"/>
    <w:rsid w:val="00946C5E"/>
    <w:rsid w:val="00946EC9"/>
    <w:rsid w:val="00946FC1"/>
    <w:rsid w:val="00946FD4"/>
    <w:rsid w:val="00947000"/>
    <w:rsid w:val="00947137"/>
    <w:rsid w:val="00947201"/>
    <w:rsid w:val="009472F7"/>
    <w:rsid w:val="0094734A"/>
    <w:rsid w:val="009477E0"/>
    <w:rsid w:val="00947AD0"/>
    <w:rsid w:val="00947C92"/>
    <w:rsid w:val="00947C9D"/>
    <w:rsid w:val="00947DFF"/>
    <w:rsid w:val="00950162"/>
    <w:rsid w:val="009501B6"/>
    <w:rsid w:val="00950455"/>
    <w:rsid w:val="0095051B"/>
    <w:rsid w:val="009507AC"/>
    <w:rsid w:val="009507BB"/>
    <w:rsid w:val="009508BA"/>
    <w:rsid w:val="00950A3D"/>
    <w:rsid w:val="00950B43"/>
    <w:rsid w:val="00950C93"/>
    <w:rsid w:val="00950EEE"/>
    <w:rsid w:val="00950F67"/>
    <w:rsid w:val="0095134D"/>
    <w:rsid w:val="00951392"/>
    <w:rsid w:val="0095141F"/>
    <w:rsid w:val="00951603"/>
    <w:rsid w:val="009516D3"/>
    <w:rsid w:val="00951798"/>
    <w:rsid w:val="00951968"/>
    <w:rsid w:val="00951D32"/>
    <w:rsid w:val="009520DD"/>
    <w:rsid w:val="00952184"/>
    <w:rsid w:val="00952299"/>
    <w:rsid w:val="009524C3"/>
    <w:rsid w:val="00952626"/>
    <w:rsid w:val="00952627"/>
    <w:rsid w:val="00952716"/>
    <w:rsid w:val="00952835"/>
    <w:rsid w:val="00952873"/>
    <w:rsid w:val="00952982"/>
    <w:rsid w:val="00952A56"/>
    <w:rsid w:val="00952B28"/>
    <w:rsid w:val="00952B68"/>
    <w:rsid w:val="00952EA7"/>
    <w:rsid w:val="0095303C"/>
    <w:rsid w:val="009532CC"/>
    <w:rsid w:val="00953388"/>
    <w:rsid w:val="00953395"/>
    <w:rsid w:val="009534CF"/>
    <w:rsid w:val="0095352E"/>
    <w:rsid w:val="009535F4"/>
    <w:rsid w:val="00953811"/>
    <w:rsid w:val="00953863"/>
    <w:rsid w:val="009538FD"/>
    <w:rsid w:val="00953A35"/>
    <w:rsid w:val="00953A74"/>
    <w:rsid w:val="00953D3A"/>
    <w:rsid w:val="00953E0D"/>
    <w:rsid w:val="00953E1C"/>
    <w:rsid w:val="00953E3B"/>
    <w:rsid w:val="00953EE9"/>
    <w:rsid w:val="00953FDE"/>
    <w:rsid w:val="00954030"/>
    <w:rsid w:val="00954109"/>
    <w:rsid w:val="009542CF"/>
    <w:rsid w:val="0095447F"/>
    <w:rsid w:val="009544B7"/>
    <w:rsid w:val="00954806"/>
    <w:rsid w:val="00954A89"/>
    <w:rsid w:val="00954A9F"/>
    <w:rsid w:val="00954BC3"/>
    <w:rsid w:val="00954C21"/>
    <w:rsid w:val="00954D6B"/>
    <w:rsid w:val="00955154"/>
    <w:rsid w:val="00955249"/>
    <w:rsid w:val="0095558F"/>
    <w:rsid w:val="00955596"/>
    <w:rsid w:val="009555E5"/>
    <w:rsid w:val="009557DE"/>
    <w:rsid w:val="00955A6E"/>
    <w:rsid w:val="00955AB3"/>
    <w:rsid w:val="00955D52"/>
    <w:rsid w:val="00955DB6"/>
    <w:rsid w:val="00955DD5"/>
    <w:rsid w:val="00955DE7"/>
    <w:rsid w:val="00955EA2"/>
    <w:rsid w:val="00956051"/>
    <w:rsid w:val="009560F0"/>
    <w:rsid w:val="009561F1"/>
    <w:rsid w:val="00956328"/>
    <w:rsid w:val="009567A2"/>
    <w:rsid w:val="009567E5"/>
    <w:rsid w:val="00956D17"/>
    <w:rsid w:val="00956EA7"/>
    <w:rsid w:val="00956EF6"/>
    <w:rsid w:val="00957239"/>
    <w:rsid w:val="00957327"/>
    <w:rsid w:val="009573EA"/>
    <w:rsid w:val="0095748C"/>
    <w:rsid w:val="00957747"/>
    <w:rsid w:val="00957A67"/>
    <w:rsid w:val="00957B3E"/>
    <w:rsid w:val="00957CEC"/>
    <w:rsid w:val="00957EBF"/>
    <w:rsid w:val="00957F52"/>
    <w:rsid w:val="00957F58"/>
    <w:rsid w:val="009603C5"/>
    <w:rsid w:val="0096049C"/>
    <w:rsid w:val="009607AA"/>
    <w:rsid w:val="00960BD6"/>
    <w:rsid w:val="00960CD5"/>
    <w:rsid w:val="00960DDC"/>
    <w:rsid w:val="00960E2B"/>
    <w:rsid w:val="0096102D"/>
    <w:rsid w:val="0096145D"/>
    <w:rsid w:val="0096159D"/>
    <w:rsid w:val="009615FD"/>
    <w:rsid w:val="009617AD"/>
    <w:rsid w:val="0096199E"/>
    <w:rsid w:val="00961A99"/>
    <w:rsid w:val="00961B99"/>
    <w:rsid w:val="00961CE8"/>
    <w:rsid w:val="00961E01"/>
    <w:rsid w:val="00961F8F"/>
    <w:rsid w:val="00961FEB"/>
    <w:rsid w:val="009623E3"/>
    <w:rsid w:val="009624AF"/>
    <w:rsid w:val="009626A6"/>
    <w:rsid w:val="00962852"/>
    <w:rsid w:val="009628FA"/>
    <w:rsid w:val="00962963"/>
    <w:rsid w:val="00962AD3"/>
    <w:rsid w:val="00962B19"/>
    <w:rsid w:val="00962BE9"/>
    <w:rsid w:val="00962D55"/>
    <w:rsid w:val="00962F20"/>
    <w:rsid w:val="00962FD8"/>
    <w:rsid w:val="009630D0"/>
    <w:rsid w:val="009630F8"/>
    <w:rsid w:val="0096313C"/>
    <w:rsid w:val="0096315F"/>
    <w:rsid w:val="00963204"/>
    <w:rsid w:val="00963620"/>
    <w:rsid w:val="0096367C"/>
    <w:rsid w:val="009638B9"/>
    <w:rsid w:val="00963958"/>
    <w:rsid w:val="009639B4"/>
    <w:rsid w:val="00963AAF"/>
    <w:rsid w:val="00963C3E"/>
    <w:rsid w:val="00963C76"/>
    <w:rsid w:val="00963CCF"/>
    <w:rsid w:val="0096418A"/>
    <w:rsid w:val="00964290"/>
    <w:rsid w:val="009642BF"/>
    <w:rsid w:val="00964347"/>
    <w:rsid w:val="00964378"/>
    <w:rsid w:val="009643A6"/>
    <w:rsid w:val="00964747"/>
    <w:rsid w:val="0096475D"/>
    <w:rsid w:val="009648DA"/>
    <w:rsid w:val="009648FB"/>
    <w:rsid w:val="00964986"/>
    <w:rsid w:val="009649DD"/>
    <w:rsid w:val="00964A10"/>
    <w:rsid w:val="00964A39"/>
    <w:rsid w:val="00964B34"/>
    <w:rsid w:val="00964BF9"/>
    <w:rsid w:val="00964D6D"/>
    <w:rsid w:val="009653E3"/>
    <w:rsid w:val="009655B2"/>
    <w:rsid w:val="00965678"/>
    <w:rsid w:val="009656E5"/>
    <w:rsid w:val="0096578C"/>
    <w:rsid w:val="009657EC"/>
    <w:rsid w:val="00965E85"/>
    <w:rsid w:val="00965E91"/>
    <w:rsid w:val="00965ED5"/>
    <w:rsid w:val="00965EF3"/>
    <w:rsid w:val="00965F15"/>
    <w:rsid w:val="00965FE6"/>
    <w:rsid w:val="00966065"/>
    <w:rsid w:val="0096624C"/>
    <w:rsid w:val="00966267"/>
    <w:rsid w:val="00966504"/>
    <w:rsid w:val="009666A2"/>
    <w:rsid w:val="009668CA"/>
    <w:rsid w:val="009668E0"/>
    <w:rsid w:val="00966B79"/>
    <w:rsid w:val="00966B9E"/>
    <w:rsid w:val="00966E97"/>
    <w:rsid w:val="00966FF8"/>
    <w:rsid w:val="009670E9"/>
    <w:rsid w:val="00967107"/>
    <w:rsid w:val="009672D0"/>
    <w:rsid w:val="00967584"/>
    <w:rsid w:val="009677DB"/>
    <w:rsid w:val="00967834"/>
    <w:rsid w:val="00967C78"/>
    <w:rsid w:val="00967FC5"/>
    <w:rsid w:val="00970169"/>
    <w:rsid w:val="00970173"/>
    <w:rsid w:val="00970298"/>
    <w:rsid w:val="00970355"/>
    <w:rsid w:val="00970626"/>
    <w:rsid w:val="009706F6"/>
    <w:rsid w:val="009708E9"/>
    <w:rsid w:val="00970A1B"/>
    <w:rsid w:val="00970B88"/>
    <w:rsid w:val="00970C1E"/>
    <w:rsid w:val="00970CC7"/>
    <w:rsid w:val="00970CE5"/>
    <w:rsid w:val="00970E27"/>
    <w:rsid w:val="00970F33"/>
    <w:rsid w:val="009716E4"/>
    <w:rsid w:val="009717C3"/>
    <w:rsid w:val="00971AB5"/>
    <w:rsid w:val="00971C95"/>
    <w:rsid w:val="00971D63"/>
    <w:rsid w:val="00971DAD"/>
    <w:rsid w:val="00971E65"/>
    <w:rsid w:val="00971EB4"/>
    <w:rsid w:val="00971EE2"/>
    <w:rsid w:val="00971F74"/>
    <w:rsid w:val="0097208D"/>
    <w:rsid w:val="00972569"/>
    <w:rsid w:val="00972919"/>
    <w:rsid w:val="00972A15"/>
    <w:rsid w:val="00972BC6"/>
    <w:rsid w:val="00972C47"/>
    <w:rsid w:val="00972C50"/>
    <w:rsid w:val="00972CE5"/>
    <w:rsid w:val="00972D33"/>
    <w:rsid w:val="00972D6C"/>
    <w:rsid w:val="00972DD8"/>
    <w:rsid w:val="0097301C"/>
    <w:rsid w:val="00973161"/>
    <w:rsid w:val="009731BF"/>
    <w:rsid w:val="00973306"/>
    <w:rsid w:val="009733A2"/>
    <w:rsid w:val="0097346F"/>
    <w:rsid w:val="00973525"/>
    <w:rsid w:val="00973642"/>
    <w:rsid w:val="009736A0"/>
    <w:rsid w:val="0097374D"/>
    <w:rsid w:val="00973A45"/>
    <w:rsid w:val="00973CF2"/>
    <w:rsid w:val="00973DE0"/>
    <w:rsid w:val="00973EAC"/>
    <w:rsid w:val="00973ED0"/>
    <w:rsid w:val="00973F60"/>
    <w:rsid w:val="009742B6"/>
    <w:rsid w:val="0097452D"/>
    <w:rsid w:val="009746A4"/>
    <w:rsid w:val="00974899"/>
    <w:rsid w:val="0097489E"/>
    <w:rsid w:val="009748AF"/>
    <w:rsid w:val="00974C4D"/>
    <w:rsid w:val="00974D66"/>
    <w:rsid w:val="00974DA4"/>
    <w:rsid w:val="0097501E"/>
    <w:rsid w:val="009753E4"/>
    <w:rsid w:val="0097584E"/>
    <w:rsid w:val="00975972"/>
    <w:rsid w:val="00975B93"/>
    <w:rsid w:val="00975BF8"/>
    <w:rsid w:val="00975DDD"/>
    <w:rsid w:val="00975FAD"/>
    <w:rsid w:val="00976031"/>
    <w:rsid w:val="009764F3"/>
    <w:rsid w:val="00976546"/>
    <w:rsid w:val="00976808"/>
    <w:rsid w:val="009768DD"/>
    <w:rsid w:val="00976C4C"/>
    <w:rsid w:val="00976CC0"/>
    <w:rsid w:val="00976D43"/>
    <w:rsid w:val="00976D94"/>
    <w:rsid w:val="00977287"/>
    <w:rsid w:val="009773C6"/>
    <w:rsid w:val="00977715"/>
    <w:rsid w:val="0097788B"/>
    <w:rsid w:val="009778E5"/>
    <w:rsid w:val="00977A05"/>
    <w:rsid w:val="00977A5B"/>
    <w:rsid w:val="00977C1B"/>
    <w:rsid w:val="0097B8A0"/>
    <w:rsid w:val="00980179"/>
    <w:rsid w:val="0098052B"/>
    <w:rsid w:val="0098077A"/>
    <w:rsid w:val="00980A46"/>
    <w:rsid w:val="00980BB5"/>
    <w:rsid w:val="00980BB9"/>
    <w:rsid w:val="00980EE2"/>
    <w:rsid w:val="00980F91"/>
    <w:rsid w:val="0098149C"/>
    <w:rsid w:val="009817DE"/>
    <w:rsid w:val="0098186E"/>
    <w:rsid w:val="00981959"/>
    <w:rsid w:val="00981A67"/>
    <w:rsid w:val="00981C48"/>
    <w:rsid w:val="00981F93"/>
    <w:rsid w:val="00982297"/>
    <w:rsid w:val="009822D7"/>
    <w:rsid w:val="009822E8"/>
    <w:rsid w:val="00982619"/>
    <w:rsid w:val="009826EE"/>
    <w:rsid w:val="009827D0"/>
    <w:rsid w:val="00982997"/>
    <w:rsid w:val="00982E4E"/>
    <w:rsid w:val="00982F59"/>
    <w:rsid w:val="00983087"/>
    <w:rsid w:val="0098319E"/>
    <w:rsid w:val="0098325E"/>
    <w:rsid w:val="00983407"/>
    <w:rsid w:val="00983711"/>
    <w:rsid w:val="009837E8"/>
    <w:rsid w:val="0098386A"/>
    <w:rsid w:val="0098392E"/>
    <w:rsid w:val="00983A83"/>
    <w:rsid w:val="00983B06"/>
    <w:rsid w:val="00983C97"/>
    <w:rsid w:val="00983D9A"/>
    <w:rsid w:val="009843E6"/>
    <w:rsid w:val="009846B3"/>
    <w:rsid w:val="009846D7"/>
    <w:rsid w:val="0098472E"/>
    <w:rsid w:val="0098475C"/>
    <w:rsid w:val="00984801"/>
    <w:rsid w:val="009848F2"/>
    <w:rsid w:val="009850C0"/>
    <w:rsid w:val="0098512D"/>
    <w:rsid w:val="009851D3"/>
    <w:rsid w:val="00985296"/>
    <w:rsid w:val="009852FC"/>
    <w:rsid w:val="009852FE"/>
    <w:rsid w:val="009853AE"/>
    <w:rsid w:val="00985534"/>
    <w:rsid w:val="0098563A"/>
    <w:rsid w:val="0098599A"/>
    <w:rsid w:val="00985A29"/>
    <w:rsid w:val="00985A45"/>
    <w:rsid w:val="00985AB6"/>
    <w:rsid w:val="00985C4A"/>
    <w:rsid w:val="00985C5F"/>
    <w:rsid w:val="00985C6A"/>
    <w:rsid w:val="00985DB3"/>
    <w:rsid w:val="00985F4F"/>
    <w:rsid w:val="0098620F"/>
    <w:rsid w:val="00986312"/>
    <w:rsid w:val="009864F9"/>
    <w:rsid w:val="009865B7"/>
    <w:rsid w:val="009866CB"/>
    <w:rsid w:val="009866FD"/>
    <w:rsid w:val="009867AA"/>
    <w:rsid w:val="00986949"/>
    <w:rsid w:val="00986B60"/>
    <w:rsid w:val="00986B97"/>
    <w:rsid w:val="00986C54"/>
    <w:rsid w:val="00986D51"/>
    <w:rsid w:val="00986D79"/>
    <w:rsid w:val="00986FE0"/>
    <w:rsid w:val="009873A5"/>
    <w:rsid w:val="00987485"/>
    <w:rsid w:val="0098786A"/>
    <w:rsid w:val="00987E59"/>
    <w:rsid w:val="00987EED"/>
    <w:rsid w:val="00990014"/>
    <w:rsid w:val="009900B2"/>
    <w:rsid w:val="009902D5"/>
    <w:rsid w:val="00990466"/>
    <w:rsid w:val="0099084E"/>
    <w:rsid w:val="00990864"/>
    <w:rsid w:val="00990E1C"/>
    <w:rsid w:val="00991008"/>
    <w:rsid w:val="00991020"/>
    <w:rsid w:val="009914BF"/>
    <w:rsid w:val="009915D5"/>
    <w:rsid w:val="00991621"/>
    <w:rsid w:val="00991691"/>
    <w:rsid w:val="00991AB9"/>
    <w:rsid w:val="00991AED"/>
    <w:rsid w:val="00991C65"/>
    <w:rsid w:val="00991DE4"/>
    <w:rsid w:val="00991F35"/>
    <w:rsid w:val="009922F3"/>
    <w:rsid w:val="0099260D"/>
    <w:rsid w:val="0099283E"/>
    <w:rsid w:val="00992BED"/>
    <w:rsid w:val="00992D01"/>
    <w:rsid w:val="00992D23"/>
    <w:rsid w:val="00993141"/>
    <w:rsid w:val="009931CC"/>
    <w:rsid w:val="009934A5"/>
    <w:rsid w:val="00993AB9"/>
    <w:rsid w:val="00993C0F"/>
    <w:rsid w:val="00993C6E"/>
    <w:rsid w:val="00993C8D"/>
    <w:rsid w:val="00993CBA"/>
    <w:rsid w:val="00993DEF"/>
    <w:rsid w:val="0099425B"/>
    <w:rsid w:val="0099466A"/>
    <w:rsid w:val="00994843"/>
    <w:rsid w:val="00994A01"/>
    <w:rsid w:val="00994D95"/>
    <w:rsid w:val="00994EA0"/>
    <w:rsid w:val="00994F11"/>
    <w:rsid w:val="00994F43"/>
    <w:rsid w:val="00994FFF"/>
    <w:rsid w:val="00995712"/>
    <w:rsid w:val="00995A63"/>
    <w:rsid w:val="00995AC4"/>
    <w:rsid w:val="00995B89"/>
    <w:rsid w:val="00995BEA"/>
    <w:rsid w:val="00995C0C"/>
    <w:rsid w:val="00995C39"/>
    <w:rsid w:val="00995D1F"/>
    <w:rsid w:val="00995D45"/>
    <w:rsid w:val="00995D7E"/>
    <w:rsid w:val="00995F00"/>
    <w:rsid w:val="00995F35"/>
    <w:rsid w:val="00996074"/>
    <w:rsid w:val="009960AB"/>
    <w:rsid w:val="009960D2"/>
    <w:rsid w:val="009961B1"/>
    <w:rsid w:val="009963AA"/>
    <w:rsid w:val="00996749"/>
    <w:rsid w:val="00996819"/>
    <w:rsid w:val="0099698E"/>
    <w:rsid w:val="009969CB"/>
    <w:rsid w:val="00996D8B"/>
    <w:rsid w:val="00996EDC"/>
    <w:rsid w:val="00997738"/>
    <w:rsid w:val="009979F9"/>
    <w:rsid w:val="00997AEF"/>
    <w:rsid w:val="00997B76"/>
    <w:rsid w:val="00997F2C"/>
    <w:rsid w:val="009A00B0"/>
    <w:rsid w:val="009A0207"/>
    <w:rsid w:val="009A05EE"/>
    <w:rsid w:val="009A0926"/>
    <w:rsid w:val="009A0EF3"/>
    <w:rsid w:val="009A0F5A"/>
    <w:rsid w:val="009A0F9A"/>
    <w:rsid w:val="009A11CB"/>
    <w:rsid w:val="009A139F"/>
    <w:rsid w:val="009A15B9"/>
    <w:rsid w:val="009A168F"/>
    <w:rsid w:val="009A1736"/>
    <w:rsid w:val="009A19ED"/>
    <w:rsid w:val="009A1A16"/>
    <w:rsid w:val="009A1AEC"/>
    <w:rsid w:val="009A1CCA"/>
    <w:rsid w:val="009A1DCA"/>
    <w:rsid w:val="009A2079"/>
    <w:rsid w:val="009A215D"/>
    <w:rsid w:val="009A26C3"/>
    <w:rsid w:val="009A26E3"/>
    <w:rsid w:val="009A2757"/>
    <w:rsid w:val="009A2AB7"/>
    <w:rsid w:val="009A2C4B"/>
    <w:rsid w:val="009A2E04"/>
    <w:rsid w:val="009A2E3F"/>
    <w:rsid w:val="009A2F19"/>
    <w:rsid w:val="009A2F7B"/>
    <w:rsid w:val="009A322A"/>
    <w:rsid w:val="009A326E"/>
    <w:rsid w:val="009A32C3"/>
    <w:rsid w:val="009A3563"/>
    <w:rsid w:val="009A35FC"/>
    <w:rsid w:val="009A365D"/>
    <w:rsid w:val="009A3B3C"/>
    <w:rsid w:val="009A3E7C"/>
    <w:rsid w:val="009A3EE2"/>
    <w:rsid w:val="009A3FA7"/>
    <w:rsid w:val="009A4140"/>
    <w:rsid w:val="009A4310"/>
    <w:rsid w:val="009A44EE"/>
    <w:rsid w:val="009A454A"/>
    <w:rsid w:val="009A45D7"/>
    <w:rsid w:val="009A4CA5"/>
    <w:rsid w:val="009A4CC2"/>
    <w:rsid w:val="009A4CD0"/>
    <w:rsid w:val="009A4D3D"/>
    <w:rsid w:val="009A4F00"/>
    <w:rsid w:val="009A4F61"/>
    <w:rsid w:val="009A4FE9"/>
    <w:rsid w:val="009A51B1"/>
    <w:rsid w:val="009A5258"/>
    <w:rsid w:val="009A560C"/>
    <w:rsid w:val="009A5641"/>
    <w:rsid w:val="009A5673"/>
    <w:rsid w:val="009A5726"/>
    <w:rsid w:val="009A579B"/>
    <w:rsid w:val="009A598A"/>
    <w:rsid w:val="009A5AC9"/>
    <w:rsid w:val="009A5B86"/>
    <w:rsid w:val="009A5B9A"/>
    <w:rsid w:val="009A5CF3"/>
    <w:rsid w:val="009A5F5F"/>
    <w:rsid w:val="009A5FDF"/>
    <w:rsid w:val="009A600E"/>
    <w:rsid w:val="009A6209"/>
    <w:rsid w:val="009A6445"/>
    <w:rsid w:val="009A64FC"/>
    <w:rsid w:val="009A6659"/>
    <w:rsid w:val="009A689B"/>
    <w:rsid w:val="009A6B05"/>
    <w:rsid w:val="009A6BC5"/>
    <w:rsid w:val="009A6C48"/>
    <w:rsid w:val="009A6CF4"/>
    <w:rsid w:val="009A6ED6"/>
    <w:rsid w:val="009A73FE"/>
    <w:rsid w:val="009A74CF"/>
    <w:rsid w:val="009A78AD"/>
    <w:rsid w:val="009A78D0"/>
    <w:rsid w:val="009A7A2F"/>
    <w:rsid w:val="009A7A4C"/>
    <w:rsid w:val="009A7C0F"/>
    <w:rsid w:val="009A7E47"/>
    <w:rsid w:val="009A7F0B"/>
    <w:rsid w:val="009B03E0"/>
    <w:rsid w:val="009B0482"/>
    <w:rsid w:val="009B070A"/>
    <w:rsid w:val="009B0753"/>
    <w:rsid w:val="009B0933"/>
    <w:rsid w:val="009B0B18"/>
    <w:rsid w:val="009B0C7D"/>
    <w:rsid w:val="009B0ECE"/>
    <w:rsid w:val="009B0EE5"/>
    <w:rsid w:val="009B0EF4"/>
    <w:rsid w:val="009B0F20"/>
    <w:rsid w:val="009B0F4F"/>
    <w:rsid w:val="009B0F63"/>
    <w:rsid w:val="009B11CF"/>
    <w:rsid w:val="009B11E2"/>
    <w:rsid w:val="009B12B5"/>
    <w:rsid w:val="009B12BC"/>
    <w:rsid w:val="009B1362"/>
    <w:rsid w:val="009B138E"/>
    <w:rsid w:val="009B143B"/>
    <w:rsid w:val="009B1617"/>
    <w:rsid w:val="009B16F9"/>
    <w:rsid w:val="009B17A0"/>
    <w:rsid w:val="009B1A2F"/>
    <w:rsid w:val="009B1CCA"/>
    <w:rsid w:val="009B1CDE"/>
    <w:rsid w:val="009B201B"/>
    <w:rsid w:val="009B21B7"/>
    <w:rsid w:val="009B21BB"/>
    <w:rsid w:val="009B2228"/>
    <w:rsid w:val="009B235E"/>
    <w:rsid w:val="009B2383"/>
    <w:rsid w:val="009B2441"/>
    <w:rsid w:val="009B2482"/>
    <w:rsid w:val="009B25FE"/>
    <w:rsid w:val="009B266F"/>
    <w:rsid w:val="009B274A"/>
    <w:rsid w:val="009B275D"/>
    <w:rsid w:val="009B27E9"/>
    <w:rsid w:val="009B2AD7"/>
    <w:rsid w:val="009B2C1F"/>
    <w:rsid w:val="009B2C23"/>
    <w:rsid w:val="009B2D9D"/>
    <w:rsid w:val="009B2DB8"/>
    <w:rsid w:val="009B2F5B"/>
    <w:rsid w:val="009B2FB9"/>
    <w:rsid w:val="009B3288"/>
    <w:rsid w:val="009B3334"/>
    <w:rsid w:val="009B3686"/>
    <w:rsid w:val="009B376A"/>
    <w:rsid w:val="009B37E7"/>
    <w:rsid w:val="009B3BDF"/>
    <w:rsid w:val="009B3C73"/>
    <w:rsid w:val="009B3E98"/>
    <w:rsid w:val="009B41DD"/>
    <w:rsid w:val="009B456D"/>
    <w:rsid w:val="009B45DB"/>
    <w:rsid w:val="009B4702"/>
    <w:rsid w:val="009B4822"/>
    <w:rsid w:val="009B4839"/>
    <w:rsid w:val="009B4890"/>
    <w:rsid w:val="009B48BD"/>
    <w:rsid w:val="009B4BFA"/>
    <w:rsid w:val="009B4C26"/>
    <w:rsid w:val="009B4C6F"/>
    <w:rsid w:val="009B4CA6"/>
    <w:rsid w:val="009B4EFF"/>
    <w:rsid w:val="009B4F42"/>
    <w:rsid w:val="009B5024"/>
    <w:rsid w:val="009B50A0"/>
    <w:rsid w:val="009B51BB"/>
    <w:rsid w:val="009B5273"/>
    <w:rsid w:val="009B592F"/>
    <w:rsid w:val="009B5985"/>
    <w:rsid w:val="009B5B5A"/>
    <w:rsid w:val="009B5BAE"/>
    <w:rsid w:val="009B5E0C"/>
    <w:rsid w:val="009B5E52"/>
    <w:rsid w:val="009B60AF"/>
    <w:rsid w:val="009B6214"/>
    <w:rsid w:val="009B62F4"/>
    <w:rsid w:val="009B63C9"/>
    <w:rsid w:val="009B6574"/>
    <w:rsid w:val="009B6826"/>
    <w:rsid w:val="009B6B84"/>
    <w:rsid w:val="009B6BF5"/>
    <w:rsid w:val="009B6CE7"/>
    <w:rsid w:val="009B6D12"/>
    <w:rsid w:val="009B6ED4"/>
    <w:rsid w:val="009B770C"/>
    <w:rsid w:val="009B7871"/>
    <w:rsid w:val="009B7BD2"/>
    <w:rsid w:val="009B7DE9"/>
    <w:rsid w:val="009C01C1"/>
    <w:rsid w:val="009C01DC"/>
    <w:rsid w:val="009C0413"/>
    <w:rsid w:val="009C0569"/>
    <w:rsid w:val="009C0699"/>
    <w:rsid w:val="009C06B3"/>
    <w:rsid w:val="009C08AE"/>
    <w:rsid w:val="009C097E"/>
    <w:rsid w:val="009C0A72"/>
    <w:rsid w:val="009C0B16"/>
    <w:rsid w:val="009C0B28"/>
    <w:rsid w:val="009C0C53"/>
    <w:rsid w:val="009C1201"/>
    <w:rsid w:val="009C12BB"/>
    <w:rsid w:val="009C1386"/>
    <w:rsid w:val="009C1630"/>
    <w:rsid w:val="009C1647"/>
    <w:rsid w:val="009C1686"/>
    <w:rsid w:val="009C1960"/>
    <w:rsid w:val="009C1966"/>
    <w:rsid w:val="009C197C"/>
    <w:rsid w:val="009C1B1B"/>
    <w:rsid w:val="009C1C6B"/>
    <w:rsid w:val="009C1E14"/>
    <w:rsid w:val="009C200F"/>
    <w:rsid w:val="009C23AA"/>
    <w:rsid w:val="009C25E9"/>
    <w:rsid w:val="009C25F6"/>
    <w:rsid w:val="009C2A27"/>
    <w:rsid w:val="009C2A2C"/>
    <w:rsid w:val="009C2B5B"/>
    <w:rsid w:val="009C2C50"/>
    <w:rsid w:val="009C2F9B"/>
    <w:rsid w:val="009C31B4"/>
    <w:rsid w:val="009C31E0"/>
    <w:rsid w:val="009C3401"/>
    <w:rsid w:val="009C3420"/>
    <w:rsid w:val="009C3425"/>
    <w:rsid w:val="009C3497"/>
    <w:rsid w:val="009C3657"/>
    <w:rsid w:val="009C3A90"/>
    <w:rsid w:val="009C3C3D"/>
    <w:rsid w:val="009C3C43"/>
    <w:rsid w:val="009C3CF4"/>
    <w:rsid w:val="009C3D94"/>
    <w:rsid w:val="009C3F8B"/>
    <w:rsid w:val="009C41EF"/>
    <w:rsid w:val="009C4358"/>
    <w:rsid w:val="009C4403"/>
    <w:rsid w:val="009C44F0"/>
    <w:rsid w:val="009C4710"/>
    <w:rsid w:val="009C47DB"/>
    <w:rsid w:val="009C4918"/>
    <w:rsid w:val="009C4A25"/>
    <w:rsid w:val="009C4B5F"/>
    <w:rsid w:val="009C4DCA"/>
    <w:rsid w:val="009C4EBE"/>
    <w:rsid w:val="009C50FF"/>
    <w:rsid w:val="009C51B9"/>
    <w:rsid w:val="009C54F5"/>
    <w:rsid w:val="009C55C2"/>
    <w:rsid w:val="009C56B9"/>
    <w:rsid w:val="009C56F5"/>
    <w:rsid w:val="009C5748"/>
    <w:rsid w:val="009C57F1"/>
    <w:rsid w:val="009C589F"/>
    <w:rsid w:val="009C598A"/>
    <w:rsid w:val="009C5A05"/>
    <w:rsid w:val="009C5BD3"/>
    <w:rsid w:val="009C5CAD"/>
    <w:rsid w:val="009C5E81"/>
    <w:rsid w:val="009C617E"/>
    <w:rsid w:val="009C62FE"/>
    <w:rsid w:val="009C6428"/>
    <w:rsid w:val="009C6830"/>
    <w:rsid w:val="009C6B68"/>
    <w:rsid w:val="009C70A0"/>
    <w:rsid w:val="009C7363"/>
    <w:rsid w:val="009C74A2"/>
    <w:rsid w:val="009C781D"/>
    <w:rsid w:val="009C789E"/>
    <w:rsid w:val="009C79CF"/>
    <w:rsid w:val="009C7EFE"/>
    <w:rsid w:val="009C7F5E"/>
    <w:rsid w:val="009D02D8"/>
    <w:rsid w:val="009D05EE"/>
    <w:rsid w:val="009D0606"/>
    <w:rsid w:val="009D072D"/>
    <w:rsid w:val="009D0761"/>
    <w:rsid w:val="009D0824"/>
    <w:rsid w:val="009D0CC5"/>
    <w:rsid w:val="009D0CFB"/>
    <w:rsid w:val="009D0DF3"/>
    <w:rsid w:val="009D1322"/>
    <w:rsid w:val="009D1341"/>
    <w:rsid w:val="009D1343"/>
    <w:rsid w:val="009D1371"/>
    <w:rsid w:val="009D1435"/>
    <w:rsid w:val="009D164D"/>
    <w:rsid w:val="009D177A"/>
    <w:rsid w:val="009D178B"/>
    <w:rsid w:val="009D18A0"/>
    <w:rsid w:val="009D19C1"/>
    <w:rsid w:val="009D1A33"/>
    <w:rsid w:val="009D1AD3"/>
    <w:rsid w:val="009D1C00"/>
    <w:rsid w:val="009D1F7B"/>
    <w:rsid w:val="009D20DD"/>
    <w:rsid w:val="009D2137"/>
    <w:rsid w:val="009D25BB"/>
    <w:rsid w:val="009D25ED"/>
    <w:rsid w:val="009D2807"/>
    <w:rsid w:val="009D29E6"/>
    <w:rsid w:val="009D2A6F"/>
    <w:rsid w:val="009D2BD5"/>
    <w:rsid w:val="009D2D13"/>
    <w:rsid w:val="009D2D6E"/>
    <w:rsid w:val="009D2E78"/>
    <w:rsid w:val="009D32DE"/>
    <w:rsid w:val="009D33BD"/>
    <w:rsid w:val="009D3489"/>
    <w:rsid w:val="009D34A0"/>
    <w:rsid w:val="009D35F6"/>
    <w:rsid w:val="009D37BF"/>
    <w:rsid w:val="009D384C"/>
    <w:rsid w:val="009D3A96"/>
    <w:rsid w:val="009D3AA8"/>
    <w:rsid w:val="009D3B24"/>
    <w:rsid w:val="009D3C69"/>
    <w:rsid w:val="009D3CDE"/>
    <w:rsid w:val="009D3EEB"/>
    <w:rsid w:val="009D43C6"/>
    <w:rsid w:val="009D4433"/>
    <w:rsid w:val="009D448D"/>
    <w:rsid w:val="009D452D"/>
    <w:rsid w:val="009D45E1"/>
    <w:rsid w:val="009D4851"/>
    <w:rsid w:val="009D49F9"/>
    <w:rsid w:val="009D4AFB"/>
    <w:rsid w:val="009D4C20"/>
    <w:rsid w:val="009D4FC7"/>
    <w:rsid w:val="009D4FCC"/>
    <w:rsid w:val="009D4FD4"/>
    <w:rsid w:val="009D5010"/>
    <w:rsid w:val="009D5036"/>
    <w:rsid w:val="009D5336"/>
    <w:rsid w:val="009D534C"/>
    <w:rsid w:val="009D5378"/>
    <w:rsid w:val="009D544F"/>
    <w:rsid w:val="009D581E"/>
    <w:rsid w:val="009D5DEA"/>
    <w:rsid w:val="009D5E99"/>
    <w:rsid w:val="009D5F78"/>
    <w:rsid w:val="009D62A4"/>
    <w:rsid w:val="009D63A0"/>
    <w:rsid w:val="009D6615"/>
    <w:rsid w:val="009D66C6"/>
    <w:rsid w:val="009D67FA"/>
    <w:rsid w:val="009D6808"/>
    <w:rsid w:val="009D69D7"/>
    <w:rsid w:val="009D6A48"/>
    <w:rsid w:val="009D6A99"/>
    <w:rsid w:val="009D6CEC"/>
    <w:rsid w:val="009D6F3B"/>
    <w:rsid w:val="009D6F41"/>
    <w:rsid w:val="009D7193"/>
    <w:rsid w:val="009D7674"/>
    <w:rsid w:val="009D767C"/>
    <w:rsid w:val="009D76E8"/>
    <w:rsid w:val="009D775D"/>
    <w:rsid w:val="009D7869"/>
    <w:rsid w:val="009D7BC6"/>
    <w:rsid w:val="009D7D3A"/>
    <w:rsid w:val="009D7F93"/>
    <w:rsid w:val="009D7FAD"/>
    <w:rsid w:val="009E008A"/>
    <w:rsid w:val="009E03BF"/>
    <w:rsid w:val="009E0505"/>
    <w:rsid w:val="009E06D3"/>
    <w:rsid w:val="009E0A86"/>
    <w:rsid w:val="009E0C8A"/>
    <w:rsid w:val="009E0DC7"/>
    <w:rsid w:val="009E0F14"/>
    <w:rsid w:val="009E14C2"/>
    <w:rsid w:val="009E14E0"/>
    <w:rsid w:val="009E152A"/>
    <w:rsid w:val="009E1577"/>
    <w:rsid w:val="009E15D5"/>
    <w:rsid w:val="009E19B8"/>
    <w:rsid w:val="009E1DF7"/>
    <w:rsid w:val="009E1E7E"/>
    <w:rsid w:val="009E1FDD"/>
    <w:rsid w:val="009E2063"/>
    <w:rsid w:val="009E2370"/>
    <w:rsid w:val="009E2472"/>
    <w:rsid w:val="009E27E7"/>
    <w:rsid w:val="009E28BB"/>
    <w:rsid w:val="009E291B"/>
    <w:rsid w:val="009E2AD4"/>
    <w:rsid w:val="009E2BBA"/>
    <w:rsid w:val="009E2BF9"/>
    <w:rsid w:val="009E2FD3"/>
    <w:rsid w:val="009E2FDA"/>
    <w:rsid w:val="009E3270"/>
    <w:rsid w:val="009E3456"/>
    <w:rsid w:val="009E34B9"/>
    <w:rsid w:val="009E37D8"/>
    <w:rsid w:val="009E399E"/>
    <w:rsid w:val="009E3B1F"/>
    <w:rsid w:val="009E3C06"/>
    <w:rsid w:val="009E3C0B"/>
    <w:rsid w:val="009E3DD4"/>
    <w:rsid w:val="009E3F04"/>
    <w:rsid w:val="009E3F3F"/>
    <w:rsid w:val="009E4113"/>
    <w:rsid w:val="009E41D9"/>
    <w:rsid w:val="009E4428"/>
    <w:rsid w:val="009E46A5"/>
    <w:rsid w:val="009E486E"/>
    <w:rsid w:val="009E491E"/>
    <w:rsid w:val="009E4964"/>
    <w:rsid w:val="009E49BF"/>
    <w:rsid w:val="009E4A45"/>
    <w:rsid w:val="009E4B10"/>
    <w:rsid w:val="009E4B28"/>
    <w:rsid w:val="009E4B77"/>
    <w:rsid w:val="009E4C97"/>
    <w:rsid w:val="009E4D82"/>
    <w:rsid w:val="009E4DC5"/>
    <w:rsid w:val="009E4DEA"/>
    <w:rsid w:val="009E4FB6"/>
    <w:rsid w:val="009E4FD7"/>
    <w:rsid w:val="009E4FE0"/>
    <w:rsid w:val="009E5064"/>
    <w:rsid w:val="009E5283"/>
    <w:rsid w:val="009E54DB"/>
    <w:rsid w:val="009E55B9"/>
    <w:rsid w:val="009E55D7"/>
    <w:rsid w:val="009E5629"/>
    <w:rsid w:val="009E5731"/>
    <w:rsid w:val="009E578D"/>
    <w:rsid w:val="009E5826"/>
    <w:rsid w:val="009E5848"/>
    <w:rsid w:val="009E58D7"/>
    <w:rsid w:val="009E59FE"/>
    <w:rsid w:val="009E5A69"/>
    <w:rsid w:val="009E5D97"/>
    <w:rsid w:val="009E5E2C"/>
    <w:rsid w:val="009E5FB8"/>
    <w:rsid w:val="009E626F"/>
    <w:rsid w:val="009E6507"/>
    <w:rsid w:val="009E6C08"/>
    <w:rsid w:val="009E6C12"/>
    <w:rsid w:val="009E6C29"/>
    <w:rsid w:val="009E6FEA"/>
    <w:rsid w:val="009E7060"/>
    <w:rsid w:val="009E70B8"/>
    <w:rsid w:val="009E7384"/>
    <w:rsid w:val="009E7419"/>
    <w:rsid w:val="009E7453"/>
    <w:rsid w:val="009E7477"/>
    <w:rsid w:val="009E7618"/>
    <w:rsid w:val="009E7697"/>
    <w:rsid w:val="009E79F9"/>
    <w:rsid w:val="009E7B25"/>
    <w:rsid w:val="009E7B5F"/>
    <w:rsid w:val="009E7C25"/>
    <w:rsid w:val="009E7D91"/>
    <w:rsid w:val="009E7F08"/>
    <w:rsid w:val="009E7F41"/>
    <w:rsid w:val="009F028E"/>
    <w:rsid w:val="009F03F4"/>
    <w:rsid w:val="009F064F"/>
    <w:rsid w:val="009F08EB"/>
    <w:rsid w:val="009F0C51"/>
    <w:rsid w:val="009F0E16"/>
    <w:rsid w:val="009F0F53"/>
    <w:rsid w:val="009F1432"/>
    <w:rsid w:val="009F15CE"/>
    <w:rsid w:val="009F15D7"/>
    <w:rsid w:val="009F16B0"/>
    <w:rsid w:val="009F1894"/>
    <w:rsid w:val="009F19CA"/>
    <w:rsid w:val="009F1A47"/>
    <w:rsid w:val="009F1A4E"/>
    <w:rsid w:val="009F1B70"/>
    <w:rsid w:val="009F1D2F"/>
    <w:rsid w:val="009F1FEC"/>
    <w:rsid w:val="009F201E"/>
    <w:rsid w:val="009F2062"/>
    <w:rsid w:val="009F2640"/>
    <w:rsid w:val="009F27A3"/>
    <w:rsid w:val="009F2C6B"/>
    <w:rsid w:val="009F2D73"/>
    <w:rsid w:val="009F2EB3"/>
    <w:rsid w:val="009F31F3"/>
    <w:rsid w:val="009F3394"/>
    <w:rsid w:val="009F342D"/>
    <w:rsid w:val="009F3676"/>
    <w:rsid w:val="009F3A8D"/>
    <w:rsid w:val="009F3AD2"/>
    <w:rsid w:val="009F3B71"/>
    <w:rsid w:val="009F3C29"/>
    <w:rsid w:val="009F3C47"/>
    <w:rsid w:val="009F3D39"/>
    <w:rsid w:val="009F3F2C"/>
    <w:rsid w:val="009F40A2"/>
    <w:rsid w:val="009F40E7"/>
    <w:rsid w:val="009F42D0"/>
    <w:rsid w:val="009F433A"/>
    <w:rsid w:val="009F4371"/>
    <w:rsid w:val="009F4438"/>
    <w:rsid w:val="009F4544"/>
    <w:rsid w:val="009F4731"/>
    <w:rsid w:val="009F48E2"/>
    <w:rsid w:val="009F4AAE"/>
    <w:rsid w:val="009F4AE0"/>
    <w:rsid w:val="009F4BEB"/>
    <w:rsid w:val="009F4DA0"/>
    <w:rsid w:val="009F4DF6"/>
    <w:rsid w:val="009F5426"/>
    <w:rsid w:val="009F5642"/>
    <w:rsid w:val="009F5795"/>
    <w:rsid w:val="009F5967"/>
    <w:rsid w:val="009F5A11"/>
    <w:rsid w:val="009F5C84"/>
    <w:rsid w:val="009F60EA"/>
    <w:rsid w:val="009F610A"/>
    <w:rsid w:val="009F623C"/>
    <w:rsid w:val="009F6272"/>
    <w:rsid w:val="009F6290"/>
    <w:rsid w:val="009F6411"/>
    <w:rsid w:val="009F6436"/>
    <w:rsid w:val="009F6449"/>
    <w:rsid w:val="009F6670"/>
    <w:rsid w:val="009F6691"/>
    <w:rsid w:val="009F6841"/>
    <w:rsid w:val="009F6933"/>
    <w:rsid w:val="009F6A21"/>
    <w:rsid w:val="009F6ACF"/>
    <w:rsid w:val="009F6CAC"/>
    <w:rsid w:val="009F6D9A"/>
    <w:rsid w:val="009F6E8B"/>
    <w:rsid w:val="009F7067"/>
    <w:rsid w:val="009F7238"/>
    <w:rsid w:val="009F7420"/>
    <w:rsid w:val="009F74CE"/>
    <w:rsid w:val="009F7A6E"/>
    <w:rsid w:val="009F7AD1"/>
    <w:rsid w:val="009F7C3C"/>
    <w:rsid w:val="009F7C48"/>
    <w:rsid w:val="009F7CEB"/>
    <w:rsid w:val="00A0013A"/>
    <w:rsid w:val="00A002C5"/>
    <w:rsid w:val="00A008BB"/>
    <w:rsid w:val="00A00A12"/>
    <w:rsid w:val="00A00CA3"/>
    <w:rsid w:val="00A00DBF"/>
    <w:rsid w:val="00A00FB5"/>
    <w:rsid w:val="00A01059"/>
    <w:rsid w:val="00A010C2"/>
    <w:rsid w:val="00A010D6"/>
    <w:rsid w:val="00A01177"/>
    <w:rsid w:val="00A01342"/>
    <w:rsid w:val="00A01808"/>
    <w:rsid w:val="00A0181F"/>
    <w:rsid w:val="00A019A5"/>
    <w:rsid w:val="00A01AB3"/>
    <w:rsid w:val="00A01AF2"/>
    <w:rsid w:val="00A01E42"/>
    <w:rsid w:val="00A01EFD"/>
    <w:rsid w:val="00A01F81"/>
    <w:rsid w:val="00A02106"/>
    <w:rsid w:val="00A02413"/>
    <w:rsid w:val="00A02434"/>
    <w:rsid w:val="00A0252E"/>
    <w:rsid w:val="00A026DF"/>
    <w:rsid w:val="00A02AE6"/>
    <w:rsid w:val="00A02B87"/>
    <w:rsid w:val="00A02C55"/>
    <w:rsid w:val="00A02D3B"/>
    <w:rsid w:val="00A02FA1"/>
    <w:rsid w:val="00A0331B"/>
    <w:rsid w:val="00A033E9"/>
    <w:rsid w:val="00A03492"/>
    <w:rsid w:val="00A03956"/>
    <w:rsid w:val="00A03AC7"/>
    <w:rsid w:val="00A03B9A"/>
    <w:rsid w:val="00A03C27"/>
    <w:rsid w:val="00A03D00"/>
    <w:rsid w:val="00A03D90"/>
    <w:rsid w:val="00A03E0E"/>
    <w:rsid w:val="00A03E8D"/>
    <w:rsid w:val="00A03E93"/>
    <w:rsid w:val="00A03EFC"/>
    <w:rsid w:val="00A041EF"/>
    <w:rsid w:val="00A041FE"/>
    <w:rsid w:val="00A042F6"/>
    <w:rsid w:val="00A04307"/>
    <w:rsid w:val="00A0435F"/>
    <w:rsid w:val="00A04542"/>
    <w:rsid w:val="00A045C2"/>
    <w:rsid w:val="00A04694"/>
    <w:rsid w:val="00A04730"/>
    <w:rsid w:val="00A0494D"/>
    <w:rsid w:val="00A04970"/>
    <w:rsid w:val="00A04BFA"/>
    <w:rsid w:val="00A04DEF"/>
    <w:rsid w:val="00A04E3E"/>
    <w:rsid w:val="00A04FEE"/>
    <w:rsid w:val="00A05039"/>
    <w:rsid w:val="00A0515A"/>
    <w:rsid w:val="00A05241"/>
    <w:rsid w:val="00A05367"/>
    <w:rsid w:val="00A05454"/>
    <w:rsid w:val="00A05700"/>
    <w:rsid w:val="00A058AF"/>
    <w:rsid w:val="00A05B4A"/>
    <w:rsid w:val="00A05BF6"/>
    <w:rsid w:val="00A05F3B"/>
    <w:rsid w:val="00A060B5"/>
    <w:rsid w:val="00A060E6"/>
    <w:rsid w:val="00A061B2"/>
    <w:rsid w:val="00A06259"/>
    <w:rsid w:val="00A06526"/>
    <w:rsid w:val="00A06600"/>
    <w:rsid w:val="00A0691F"/>
    <w:rsid w:val="00A06A10"/>
    <w:rsid w:val="00A06A86"/>
    <w:rsid w:val="00A06C00"/>
    <w:rsid w:val="00A06E62"/>
    <w:rsid w:val="00A06E9E"/>
    <w:rsid w:val="00A06F01"/>
    <w:rsid w:val="00A06F6F"/>
    <w:rsid w:val="00A07166"/>
    <w:rsid w:val="00A07197"/>
    <w:rsid w:val="00A073ED"/>
    <w:rsid w:val="00A0744D"/>
    <w:rsid w:val="00A07520"/>
    <w:rsid w:val="00A077B0"/>
    <w:rsid w:val="00A079A6"/>
    <w:rsid w:val="00A07CAB"/>
    <w:rsid w:val="00A10284"/>
    <w:rsid w:val="00A104ED"/>
    <w:rsid w:val="00A1061A"/>
    <w:rsid w:val="00A10680"/>
    <w:rsid w:val="00A10727"/>
    <w:rsid w:val="00A108FF"/>
    <w:rsid w:val="00A10A17"/>
    <w:rsid w:val="00A10C01"/>
    <w:rsid w:val="00A10C93"/>
    <w:rsid w:val="00A10DD5"/>
    <w:rsid w:val="00A1102A"/>
    <w:rsid w:val="00A11154"/>
    <w:rsid w:val="00A111B6"/>
    <w:rsid w:val="00A11221"/>
    <w:rsid w:val="00A1193A"/>
    <w:rsid w:val="00A11A57"/>
    <w:rsid w:val="00A11C51"/>
    <w:rsid w:val="00A11D18"/>
    <w:rsid w:val="00A11DF0"/>
    <w:rsid w:val="00A11E69"/>
    <w:rsid w:val="00A11F6D"/>
    <w:rsid w:val="00A124D8"/>
    <w:rsid w:val="00A12530"/>
    <w:rsid w:val="00A12839"/>
    <w:rsid w:val="00A129B7"/>
    <w:rsid w:val="00A12A2B"/>
    <w:rsid w:val="00A12AAA"/>
    <w:rsid w:val="00A12BD5"/>
    <w:rsid w:val="00A12BF1"/>
    <w:rsid w:val="00A12EB8"/>
    <w:rsid w:val="00A12EE2"/>
    <w:rsid w:val="00A12FB7"/>
    <w:rsid w:val="00A1302E"/>
    <w:rsid w:val="00A130AF"/>
    <w:rsid w:val="00A13407"/>
    <w:rsid w:val="00A13790"/>
    <w:rsid w:val="00A13A9F"/>
    <w:rsid w:val="00A13C49"/>
    <w:rsid w:val="00A13CAD"/>
    <w:rsid w:val="00A13D04"/>
    <w:rsid w:val="00A13D24"/>
    <w:rsid w:val="00A13D89"/>
    <w:rsid w:val="00A13DB4"/>
    <w:rsid w:val="00A13E41"/>
    <w:rsid w:val="00A13E74"/>
    <w:rsid w:val="00A13F22"/>
    <w:rsid w:val="00A1403F"/>
    <w:rsid w:val="00A140A2"/>
    <w:rsid w:val="00A142BC"/>
    <w:rsid w:val="00A143D6"/>
    <w:rsid w:val="00A1478A"/>
    <w:rsid w:val="00A14812"/>
    <w:rsid w:val="00A14BF5"/>
    <w:rsid w:val="00A14F2F"/>
    <w:rsid w:val="00A14F43"/>
    <w:rsid w:val="00A15097"/>
    <w:rsid w:val="00A152E1"/>
    <w:rsid w:val="00A1536F"/>
    <w:rsid w:val="00A153E4"/>
    <w:rsid w:val="00A1545D"/>
    <w:rsid w:val="00A154FC"/>
    <w:rsid w:val="00A157B9"/>
    <w:rsid w:val="00A15B46"/>
    <w:rsid w:val="00A15D81"/>
    <w:rsid w:val="00A15E62"/>
    <w:rsid w:val="00A16030"/>
    <w:rsid w:val="00A16039"/>
    <w:rsid w:val="00A16113"/>
    <w:rsid w:val="00A162D5"/>
    <w:rsid w:val="00A162F1"/>
    <w:rsid w:val="00A16391"/>
    <w:rsid w:val="00A16450"/>
    <w:rsid w:val="00A164B0"/>
    <w:rsid w:val="00A16686"/>
    <w:rsid w:val="00A16715"/>
    <w:rsid w:val="00A1687C"/>
    <w:rsid w:val="00A16D81"/>
    <w:rsid w:val="00A16EAA"/>
    <w:rsid w:val="00A16EC2"/>
    <w:rsid w:val="00A17245"/>
    <w:rsid w:val="00A1724F"/>
    <w:rsid w:val="00A172A6"/>
    <w:rsid w:val="00A173F8"/>
    <w:rsid w:val="00A17435"/>
    <w:rsid w:val="00A175E6"/>
    <w:rsid w:val="00A177F0"/>
    <w:rsid w:val="00A17839"/>
    <w:rsid w:val="00A1785E"/>
    <w:rsid w:val="00A1787F"/>
    <w:rsid w:val="00A178A6"/>
    <w:rsid w:val="00A17C3E"/>
    <w:rsid w:val="00A17DD3"/>
    <w:rsid w:val="00A17EA1"/>
    <w:rsid w:val="00A20282"/>
    <w:rsid w:val="00A2066B"/>
    <w:rsid w:val="00A206D0"/>
    <w:rsid w:val="00A20718"/>
    <w:rsid w:val="00A2072B"/>
    <w:rsid w:val="00A2075C"/>
    <w:rsid w:val="00A20C1A"/>
    <w:rsid w:val="00A20C6B"/>
    <w:rsid w:val="00A20CB0"/>
    <w:rsid w:val="00A20E5D"/>
    <w:rsid w:val="00A20ECB"/>
    <w:rsid w:val="00A21012"/>
    <w:rsid w:val="00A2152A"/>
    <w:rsid w:val="00A21601"/>
    <w:rsid w:val="00A2178A"/>
    <w:rsid w:val="00A218A6"/>
    <w:rsid w:val="00A21C60"/>
    <w:rsid w:val="00A21CD8"/>
    <w:rsid w:val="00A2203C"/>
    <w:rsid w:val="00A2218B"/>
    <w:rsid w:val="00A22211"/>
    <w:rsid w:val="00A22248"/>
    <w:rsid w:val="00A2245B"/>
    <w:rsid w:val="00A22512"/>
    <w:rsid w:val="00A226FD"/>
    <w:rsid w:val="00A22828"/>
    <w:rsid w:val="00A228B4"/>
    <w:rsid w:val="00A22AD1"/>
    <w:rsid w:val="00A22E0B"/>
    <w:rsid w:val="00A22E62"/>
    <w:rsid w:val="00A2306A"/>
    <w:rsid w:val="00A231BF"/>
    <w:rsid w:val="00A2373F"/>
    <w:rsid w:val="00A23D37"/>
    <w:rsid w:val="00A23E47"/>
    <w:rsid w:val="00A23F1E"/>
    <w:rsid w:val="00A23FD5"/>
    <w:rsid w:val="00A24470"/>
    <w:rsid w:val="00A24731"/>
    <w:rsid w:val="00A247F8"/>
    <w:rsid w:val="00A248F1"/>
    <w:rsid w:val="00A24BDB"/>
    <w:rsid w:val="00A24C02"/>
    <w:rsid w:val="00A24C2C"/>
    <w:rsid w:val="00A24E01"/>
    <w:rsid w:val="00A24F03"/>
    <w:rsid w:val="00A2506E"/>
    <w:rsid w:val="00A250A7"/>
    <w:rsid w:val="00A251F1"/>
    <w:rsid w:val="00A25204"/>
    <w:rsid w:val="00A25529"/>
    <w:rsid w:val="00A257BE"/>
    <w:rsid w:val="00A25807"/>
    <w:rsid w:val="00A2591A"/>
    <w:rsid w:val="00A2596E"/>
    <w:rsid w:val="00A25AB2"/>
    <w:rsid w:val="00A25BB0"/>
    <w:rsid w:val="00A25D4E"/>
    <w:rsid w:val="00A25DE9"/>
    <w:rsid w:val="00A25E12"/>
    <w:rsid w:val="00A25F42"/>
    <w:rsid w:val="00A2600B"/>
    <w:rsid w:val="00A260A4"/>
    <w:rsid w:val="00A2614D"/>
    <w:rsid w:val="00A261E5"/>
    <w:rsid w:val="00A26458"/>
    <w:rsid w:val="00A265B8"/>
    <w:rsid w:val="00A267F6"/>
    <w:rsid w:val="00A268CA"/>
    <w:rsid w:val="00A269D7"/>
    <w:rsid w:val="00A26ADA"/>
    <w:rsid w:val="00A26B60"/>
    <w:rsid w:val="00A26D3E"/>
    <w:rsid w:val="00A26D7A"/>
    <w:rsid w:val="00A27132"/>
    <w:rsid w:val="00A271C5"/>
    <w:rsid w:val="00A271D2"/>
    <w:rsid w:val="00A27219"/>
    <w:rsid w:val="00A2737E"/>
    <w:rsid w:val="00A275B1"/>
    <w:rsid w:val="00A27678"/>
    <w:rsid w:val="00A2797A"/>
    <w:rsid w:val="00A279B5"/>
    <w:rsid w:val="00A27AF5"/>
    <w:rsid w:val="00A27E5B"/>
    <w:rsid w:val="00A2D68D"/>
    <w:rsid w:val="00A30029"/>
    <w:rsid w:val="00A304C3"/>
    <w:rsid w:val="00A304D5"/>
    <w:rsid w:val="00A30583"/>
    <w:rsid w:val="00A306E3"/>
    <w:rsid w:val="00A307AF"/>
    <w:rsid w:val="00A30D5E"/>
    <w:rsid w:val="00A30E4F"/>
    <w:rsid w:val="00A30F34"/>
    <w:rsid w:val="00A31090"/>
    <w:rsid w:val="00A310D3"/>
    <w:rsid w:val="00A3111C"/>
    <w:rsid w:val="00A31236"/>
    <w:rsid w:val="00A313B8"/>
    <w:rsid w:val="00A314DF"/>
    <w:rsid w:val="00A315A4"/>
    <w:rsid w:val="00A3189D"/>
    <w:rsid w:val="00A31D04"/>
    <w:rsid w:val="00A31F3E"/>
    <w:rsid w:val="00A320C0"/>
    <w:rsid w:val="00A32127"/>
    <w:rsid w:val="00A3236C"/>
    <w:rsid w:val="00A32676"/>
    <w:rsid w:val="00A32679"/>
    <w:rsid w:val="00A3277E"/>
    <w:rsid w:val="00A32A14"/>
    <w:rsid w:val="00A32B62"/>
    <w:rsid w:val="00A32B70"/>
    <w:rsid w:val="00A3334A"/>
    <w:rsid w:val="00A333EA"/>
    <w:rsid w:val="00A33466"/>
    <w:rsid w:val="00A33724"/>
    <w:rsid w:val="00A338B9"/>
    <w:rsid w:val="00A338C3"/>
    <w:rsid w:val="00A339CF"/>
    <w:rsid w:val="00A33AF4"/>
    <w:rsid w:val="00A33B0E"/>
    <w:rsid w:val="00A33B91"/>
    <w:rsid w:val="00A33C9A"/>
    <w:rsid w:val="00A33EEF"/>
    <w:rsid w:val="00A341B8"/>
    <w:rsid w:val="00A341F1"/>
    <w:rsid w:val="00A3423F"/>
    <w:rsid w:val="00A342CB"/>
    <w:rsid w:val="00A3438A"/>
    <w:rsid w:val="00A3456C"/>
    <w:rsid w:val="00A345E9"/>
    <w:rsid w:val="00A3465C"/>
    <w:rsid w:val="00A34808"/>
    <w:rsid w:val="00A349C3"/>
    <w:rsid w:val="00A34B05"/>
    <w:rsid w:val="00A34D86"/>
    <w:rsid w:val="00A34E6A"/>
    <w:rsid w:val="00A34EAC"/>
    <w:rsid w:val="00A3503A"/>
    <w:rsid w:val="00A351CC"/>
    <w:rsid w:val="00A35299"/>
    <w:rsid w:val="00A35604"/>
    <w:rsid w:val="00A356BD"/>
    <w:rsid w:val="00A35817"/>
    <w:rsid w:val="00A3593B"/>
    <w:rsid w:val="00A359A3"/>
    <w:rsid w:val="00A359E2"/>
    <w:rsid w:val="00A35A10"/>
    <w:rsid w:val="00A35CB2"/>
    <w:rsid w:val="00A35CD3"/>
    <w:rsid w:val="00A36048"/>
    <w:rsid w:val="00A362CC"/>
    <w:rsid w:val="00A362F0"/>
    <w:rsid w:val="00A36370"/>
    <w:rsid w:val="00A36381"/>
    <w:rsid w:val="00A363BC"/>
    <w:rsid w:val="00A36420"/>
    <w:rsid w:val="00A3675E"/>
    <w:rsid w:val="00A367B0"/>
    <w:rsid w:val="00A367F7"/>
    <w:rsid w:val="00A368D1"/>
    <w:rsid w:val="00A368F7"/>
    <w:rsid w:val="00A369F1"/>
    <w:rsid w:val="00A36CCE"/>
    <w:rsid w:val="00A36DD9"/>
    <w:rsid w:val="00A36E66"/>
    <w:rsid w:val="00A36F77"/>
    <w:rsid w:val="00A36F89"/>
    <w:rsid w:val="00A37079"/>
    <w:rsid w:val="00A37112"/>
    <w:rsid w:val="00A37378"/>
    <w:rsid w:val="00A37979"/>
    <w:rsid w:val="00A37A84"/>
    <w:rsid w:val="00A37AF5"/>
    <w:rsid w:val="00A37C2D"/>
    <w:rsid w:val="00A37CCC"/>
    <w:rsid w:val="00A37F07"/>
    <w:rsid w:val="00A37F6E"/>
    <w:rsid w:val="00A400D9"/>
    <w:rsid w:val="00A401E9"/>
    <w:rsid w:val="00A40249"/>
    <w:rsid w:val="00A40338"/>
    <w:rsid w:val="00A40341"/>
    <w:rsid w:val="00A4096D"/>
    <w:rsid w:val="00A41334"/>
    <w:rsid w:val="00A414AF"/>
    <w:rsid w:val="00A415F8"/>
    <w:rsid w:val="00A416F8"/>
    <w:rsid w:val="00A4183E"/>
    <w:rsid w:val="00A41914"/>
    <w:rsid w:val="00A41B0B"/>
    <w:rsid w:val="00A41B26"/>
    <w:rsid w:val="00A41B29"/>
    <w:rsid w:val="00A41C5D"/>
    <w:rsid w:val="00A41DA9"/>
    <w:rsid w:val="00A41E8B"/>
    <w:rsid w:val="00A41E95"/>
    <w:rsid w:val="00A41F2B"/>
    <w:rsid w:val="00A41F74"/>
    <w:rsid w:val="00A4211B"/>
    <w:rsid w:val="00A425D6"/>
    <w:rsid w:val="00A426F9"/>
    <w:rsid w:val="00A42827"/>
    <w:rsid w:val="00A4296A"/>
    <w:rsid w:val="00A42A4A"/>
    <w:rsid w:val="00A42D87"/>
    <w:rsid w:val="00A42EC9"/>
    <w:rsid w:val="00A430B1"/>
    <w:rsid w:val="00A433AA"/>
    <w:rsid w:val="00A43443"/>
    <w:rsid w:val="00A43648"/>
    <w:rsid w:val="00A43A8B"/>
    <w:rsid w:val="00A43B46"/>
    <w:rsid w:val="00A43CBF"/>
    <w:rsid w:val="00A43D84"/>
    <w:rsid w:val="00A43EA4"/>
    <w:rsid w:val="00A43F6E"/>
    <w:rsid w:val="00A43FF0"/>
    <w:rsid w:val="00A4422F"/>
    <w:rsid w:val="00A442A3"/>
    <w:rsid w:val="00A44407"/>
    <w:rsid w:val="00A4448A"/>
    <w:rsid w:val="00A44512"/>
    <w:rsid w:val="00A446AA"/>
    <w:rsid w:val="00A448BF"/>
    <w:rsid w:val="00A449C3"/>
    <w:rsid w:val="00A44E26"/>
    <w:rsid w:val="00A4500B"/>
    <w:rsid w:val="00A45031"/>
    <w:rsid w:val="00A451F2"/>
    <w:rsid w:val="00A453DB"/>
    <w:rsid w:val="00A4571D"/>
    <w:rsid w:val="00A457AF"/>
    <w:rsid w:val="00A457E5"/>
    <w:rsid w:val="00A45984"/>
    <w:rsid w:val="00A45AA2"/>
    <w:rsid w:val="00A45B51"/>
    <w:rsid w:val="00A45CA3"/>
    <w:rsid w:val="00A461B2"/>
    <w:rsid w:val="00A461EC"/>
    <w:rsid w:val="00A46281"/>
    <w:rsid w:val="00A463A5"/>
    <w:rsid w:val="00A463D3"/>
    <w:rsid w:val="00A464EF"/>
    <w:rsid w:val="00A46677"/>
    <w:rsid w:val="00A4683C"/>
    <w:rsid w:val="00A46AC4"/>
    <w:rsid w:val="00A46B85"/>
    <w:rsid w:val="00A46B9C"/>
    <w:rsid w:val="00A46BFD"/>
    <w:rsid w:val="00A46EAF"/>
    <w:rsid w:val="00A47143"/>
    <w:rsid w:val="00A471DE"/>
    <w:rsid w:val="00A4733C"/>
    <w:rsid w:val="00A4759E"/>
    <w:rsid w:val="00A476EC"/>
    <w:rsid w:val="00A4770A"/>
    <w:rsid w:val="00A4775E"/>
    <w:rsid w:val="00A47A1A"/>
    <w:rsid w:val="00A47B94"/>
    <w:rsid w:val="00A47FF4"/>
    <w:rsid w:val="00A500AE"/>
    <w:rsid w:val="00A5013F"/>
    <w:rsid w:val="00A50413"/>
    <w:rsid w:val="00A5041C"/>
    <w:rsid w:val="00A505FF"/>
    <w:rsid w:val="00A506D7"/>
    <w:rsid w:val="00A5077B"/>
    <w:rsid w:val="00A50932"/>
    <w:rsid w:val="00A50961"/>
    <w:rsid w:val="00A509D9"/>
    <w:rsid w:val="00A509DA"/>
    <w:rsid w:val="00A50A50"/>
    <w:rsid w:val="00A50AFF"/>
    <w:rsid w:val="00A50E01"/>
    <w:rsid w:val="00A50E1C"/>
    <w:rsid w:val="00A50E4E"/>
    <w:rsid w:val="00A50E91"/>
    <w:rsid w:val="00A50F26"/>
    <w:rsid w:val="00A514A5"/>
    <w:rsid w:val="00A516A8"/>
    <w:rsid w:val="00A5171C"/>
    <w:rsid w:val="00A51884"/>
    <w:rsid w:val="00A518B4"/>
    <w:rsid w:val="00A51AAC"/>
    <w:rsid w:val="00A51E44"/>
    <w:rsid w:val="00A51E82"/>
    <w:rsid w:val="00A52004"/>
    <w:rsid w:val="00A523E7"/>
    <w:rsid w:val="00A526EB"/>
    <w:rsid w:val="00A5285C"/>
    <w:rsid w:val="00A529F8"/>
    <w:rsid w:val="00A52BBB"/>
    <w:rsid w:val="00A52C4A"/>
    <w:rsid w:val="00A52C71"/>
    <w:rsid w:val="00A5307F"/>
    <w:rsid w:val="00A53186"/>
    <w:rsid w:val="00A5319E"/>
    <w:rsid w:val="00A53622"/>
    <w:rsid w:val="00A53734"/>
    <w:rsid w:val="00A537F9"/>
    <w:rsid w:val="00A539B8"/>
    <w:rsid w:val="00A53C41"/>
    <w:rsid w:val="00A53DAF"/>
    <w:rsid w:val="00A53F0D"/>
    <w:rsid w:val="00A540C9"/>
    <w:rsid w:val="00A541F5"/>
    <w:rsid w:val="00A5477C"/>
    <w:rsid w:val="00A547D2"/>
    <w:rsid w:val="00A54897"/>
    <w:rsid w:val="00A54C8E"/>
    <w:rsid w:val="00A551AE"/>
    <w:rsid w:val="00A551E8"/>
    <w:rsid w:val="00A55271"/>
    <w:rsid w:val="00A55310"/>
    <w:rsid w:val="00A555F6"/>
    <w:rsid w:val="00A555FF"/>
    <w:rsid w:val="00A557A4"/>
    <w:rsid w:val="00A55B8B"/>
    <w:rsid w:val="00A55B9A"/>
    <w:rsid w:val="00A55C37"/>
    <w:rsid w:val="00A566E9"/>
    <w:rsid w:val="00A56702"/>
    <w:rsid w:val="00A56849"/>
    <w:rsid w:val="00A568AC"/>
    <w:rsid w:val="00A5699B"/>
    <w:rsid w:val="00A56ABC"/>
    <w:rsid w:val="00A56C65"/>
    <w:rsid w:val="00A5721D"/>
    <w:rsid w:val="00A57312"/>
    <w:rsid w:val="00A57569"/>
    <w:rsid w:val="00A57635"/>
    <w:rsid w:val="00A57738"/>
    <w:rsid w:val="00A57A82"/>
    <w:rsid w:val="00A57E2E"/>
    <w:rsid w:val="00A60106"/>
    <w:rsid w:val="00A6065B"/>
    <w:rsid w:val="00A60862"/>
    <w:rsid w:val="00A60A24"/>
    <w:rsid w:val="00A60BB9"/>
    <w:rsid w:val="00A60CDE"/>
    <w:rsid w:val="00A60E12"/>
    <w:rsid w:val="00A60E44"/>
    <w:rsid w:val="00A60E91"/>
    <w:rsid w:val="00A6159E"/>
    <w:rsid w:val="00A617AB"/>
    <w:rsid w:val="00A61863"/>
    <w:rsid w:val="00A6191C"/>
    <w:rsid w:val="00A61A4F"/>
    <w:rsid w:val="00A61AD8"/>
    <w:rsid w:val="00A61D65"/>
    <w:rsid w:val="00A621DD"/>
    <w:rsid w:val="00A621EB"/>
    <w:rsid w:val="00A622B5"/>
    <w:rsid w:val="00A62718"/>
    <w:rsid w:val="00A62754"/>
    <w:rsid w:val="00A627A2"/>
    <w:rsid w:val="00A627A4"/>
    <w:rsid w:val="00A628FB"/>
    <w:rsid w:val="00A62BDC"/>
    <w:rsid w:val="00A62C01"/>
    <w:rsid w:val="00A62E08"/>
    <w:rsid w:val="00A62F15"/>
    <w:rsid w:val="00A62F4B"/>
    <w:rsid w:val="00A63179"/>
    <w:rsid w:val="00A63270"/>
    <w:rsid w:val="00A633B3"/>
    <w:rsid w:val="00A6358E"/>
    <w:rsid w:val="00A63598"/>
    <w:rsid w:val="00A635E8"/>
    <w:rsid w:val="00A6393D"/>
    <w:rsid w:val="00A639AE"/>
    <w:rsid w:val="00A639B0"/>
    <w:rsid w:val="00A63B79"/>
    <w:rsid w:val="00A63DC0"/>
    <w:rsid w:val="00A63F54"/>
    <w:rsid w:val="00A641DE"/>
    <w:rsid w:val="00A64513"/>
    <w:rsid w:val="00A64995"/>
    <w:rsid w:val="00A64A00"/>
    <w:rsid w:val="00A64B32"/>
    <w:rsid w:val="00A64DFA"/>
    <w:rsid w:val="00A64E23"/>
    <w:rsid w:val="00A64FC3"/>
    <w:rsid w:val="00A65083"/>
    <w:rsid w:val="00A65192"/>
    <w:rsid w:val="00A6548B"/>
    <w:rsid w:val="00A656A3"/>
    <w:rsid w:val="00A65753"/>
    <w:rsid w:val="00A65993"/>
    <w:rsid w:val="00A65A78"/>
    <w:rsid w:val="00A65B8F"/>
    <w:rsid w:val="00A65C5B"/>
    <w:rsid w:val="00A65C7C"/>
    <w:rsid w:val="00A65E01"/>
    <w:rsid w:val="00A664CD"/>
    <w:rsid w:val="00A66667"/>
    <w:rsid w:val="00A666E1"/>
    <w:rsid w:val="00A66B07"/>
    <w:rsid w:val="00A66D69"/>
    <w:rsid w:val="00A66D94"/>
    <w:rsid w:val="00A66E6B"/>
    <w:rsid w:val="00A670B4"/>
    <w:rsid w:val="00A670C1"/>
    <w:rsid w:val="00A6720B"/>
    <w:rsid w:val="00A67870"/>
    <w:rsid w:val="00A67A4F"/>
    <w:rsid w:val="00A67B8A"/>
    <w:rsid w:val="00A67D75"/>
    <w:rsid w:val="00A67D80"/>
    <w:rsid w:val="00A67DEF"/>
    <w:rsid w:val="00A700DA"/>
    <w:rsid w:val="00A70377"/>
    <w:rsid w:val="00A7037F"/>
    <w:rsid w:val="00A70514"/>
    <w:rsid w:val="00A70691"/>
    <w:rsid w:val="00A707D6"/>
    <w:rsid w:val="00A70A9B"/>
    <w:rsid w:val="00A70CD3"/>
    <w:rsid w:val="00A70CEE"/>
    <w:rsid w:val="00A70D43"/>
    <w:rsid w:val="00A70D9E"/>
    <w:rsid w:val="00A70F05"/>
    <w:rsid w:val="00A70FC2"/>
    <w:rsid w:val="00A712A9"/>
    <w:rsid w:val="00A71331"/>
    <w:rsid w:val="00A713CE"/>
    <w:rsid w:val="00A715F3"/>
    <w:rsid w:val="00A718F6"/>
    <w:rsid w:val="00A71978"/>
    <w:rsid w:val="00A71BC6"/>
    <w:rsid w:val="00A71D13"/>
    <w:rsid w:val="00A72054"/>
    <w:rsid w:val="00A720F4"/>
    <w:rsid w:val="00A721FF"/>
    <w:rsid w:val="00A72962"/>
    <w:rsid w:val="00A72A1F"/>
    <w:rsid w:val="00A72A74"/>
    <w:rsid w:val="00A72B70"/>
    <w:rsid w:val="00A72BE9"/>
    <w:rsid w:val="00A72C7A"/>
    <w:rsid w:val="00A72E48"/>
    <w:rsid w:val="00A7309A"/>
    <w:rsid w:val="00A73141"/>
    <w:rsid w:val="00A7320E"/>
    <w:rsid w:val="00A734AB"/>
    <w:rsid w:val="00A73568"/>
    <w:rsid w:val="00A736C8"/>
    <w:rsid w:val="00A736F0"/>
    <w:rsid w:val="00A73713"/>
    <w:rsid w:val="00A73A35"/>
    <w:rsid w:val="00A73A6F"/>
    <w:rsid w:val="00A73B77"/>
    <w:rsid w:val="00A73B7D"/>
    <w:rsid w:val="00A7409A"/>
    <w:rsid w:val="00A74104"/>
    <w:rsid w:val="00A741AB"/>
    <w:rsid w:val="00A74374"/>
    <w:rsid w:val="00A74453"/>
    <w:rsid w:val="00A7456A"/>
    <w:rsid w:val="00A749DC"/>
    <w:rsid w:val="00A74C54"/>
    <w:rsid w:val="00A75369"/>
    <w:rsid w:val="00A753D7"/>
    <w:rsid w:val="00A753E7"/>
    <w:rsid w:val="00A75567"/>
    <w:rsid w:val="00A755D0"/>
    <w:rsid w:val="00A75745"/>
    <w:rsid w:val="00A758E4"/>
    <w:rsid w:val="00A75BE2"/>
    <w:rsid w:val="00A75C24"/>
    <w:rsid w:val="00A75C81"/>
    <w:rsid w:val="00A75D79"/>
    <w:rsid w:val="00A76067"/>
    <w:rsid w:val="00A761FC"/>
    <w:rsid w:val="00A7633B"/>
    <w:rsid w:val="00A76389"/>
    <w:rsid w:val="00A76489"/>
    <w:rsid w:val="00A767EC"/>
    <w:rsid w:val="00A76890"/>
    <w:rsid w:val="00A76964"/>
    <w:rsid w:val="00A773EF"/>
    <w:rsid w:val="00A77540"/>
    <w:rsid w:val="00A7777B"/>
    <w:rsid w:val="00A77789"/>
    <w:rsid w:val="00A777BC"/>
    <w:rsid w:val="00A7783C"/>
    <w:rsid w:val="00A77B8B"/>
    <w:rsid w:val="00A77F75"/>
    <w:rsid w:val="00A8017C"/>
    <w:rsid w:val="00A8037A"/>
    <w:rsid w:val="00A803E5"/>
    <w:rsid w:val="00A80570"/>
    <w:rsid w:val="00A80685"/>
    <w:rsid w:val="00A807A4"/>
    <w:rsid w:val="00A80AD0"/>
    <w:rsid w:val="00A80E0E"/>
    <w:rsid w:val="00A80E99"/>
    <w:rsid w:val="00A80EA0"/>
    <w:rsid w:val="00A812AC"/>
    <w:rsid w:val="00A814A0"/>
    <w:rsid w:val="00A81590"/>
    <w:rsid w:val="00A815DD"/>
    <w:rsid w:val="00A816DB"/>
    <w:rsid w:val="00A81741"/>
    <w:rsid w:val="00A8197B"/>
    <w:rsid w:val="00A81B06"/>
    <w:rsid w:val="00A81D2F"/>
    <w:rsid w:val="00A81D9C"/>
    <w:rsid w:val="00A81DD6"/>
    <w:rsid w:val="00A82083"/>
    <w:rsid w:val="00A8219B"/>
    <w:rsid w:val="00A82235"/>
    <w:rsid w:val="00A8237D"/>
    <w:rsid w:val="00A82461"/>
    <w:rsid w:val="00A82938"/>
    <w:rsid w:val="00A82A53"/>
    <w:rsid w:val="00A82A7F"/>
    <w:rsid w:val="00A82F28"/>
    <w:rsid w:val="00A830D1"/>
    <w:rsid w:val="00A83153"/>
    <w:rsid w:val="00A832A8"/>
    <w:rsid w:val="00A83492"/>
    <w:rsid w:val="00A834F5"/>
    <w:rsid w:val="00A835C4"/>
    <w:rsid w:val="00A836B1"/>
    <w:rsid w:val="00A838BA"/>
    <w:rsid w:val="00A83B64"/>
    <w:rsid w:val="00A83B7A"/>
    <w:rsid w:val="00A83C3E"/>
    <w:rsid w:val="00A83C77"/>
    <w:rsid w:val="00A83CD3"/>
    <w:rsid w:val="00A83E50"/>
    <w:rsid w:val="00A83FB0"/>
    <w:rsid w:val="00A84011"/>
    <w:rsid w:val="00A84082"/>
    <w:rsid w:val="00A84180"/>
    <w:rsid w:val="00A842F9"/>
    <w:rsid w:val="00A8450C"/>
    <w:rsid w:val="00A8468F"/>
    <w:rsid w:val="00A847C4"/>
    <w:rsid w:val="00A84A35"/>
    <w:rsid w:val="00A84C09"/>
    <w:rsid w:val="00A84D6B"/>
    <w:rsid w:val="00A84E0F"/>
    <w:rsid w:val="00A84E9E"/>
    <w:rsid w:val="00A84F55"/>
    <w:rsid w:val="00A84FFE"/>
    <w:rsid w:val="00A85045"/>
    <w:rsid w:val="00A85224"/>
    <w:rsid w:val="00A85375"/>
    <w:rsid w:val="00A85880"/>
    <w:rsid w:val="00A858E7"/>
    <w:rsid w:val="00A859F3"/>
    <w:rsid w:val="00A859F5"/>
    <w:rsid w:val="00A85AAA"/>
    <w:rsid w:val="00A85D40"/>
    <w:rsid w:val="00A85FD4"/>
    <w:rsid w:val="00A863D5"/>
    <w:rsid w:val="00A86479"/>
    <w:rsid w:val="00A8648F"/>
    <w:rsid w:val="00A86631"/>
    <w:rsid w:val="00A86661"/>
    <w:rsid w:val="00A86CCF"/>
    <w:rsid w:val="00A87030"/>
    <w:rsid w:val="00A87064"/>
    <w:rsid w:val="00A870A2"/>
    <w:rsid w:val="00A871D8"/>
    <w:rsid w:val="00A871FE"/>
    <w:rsid w:val="00A87239"/>
    <w:rsid w:val="00A876BA"/>
    <w:rsid w:val="00A8771A"/>
    <w:rsid w:val="00A87815"/>
    <w:rsid w:val="00A87874"/>
    <w:rsid w:val="00A8788C"/>
    <w:rsid w:val="00A878AC"/>
    <w:rsid w:val="00A87E15"/>
    <w:rsid w:val="00A87E5A"/>
    <w:rsid w:val="00A9008B"/>
    <w:rsid w:val="00A9021C"/>
    <w:rsid w:val="00A903DD"/>
    <w:rsid w:val="00A905FE"/>
    <w:rsid w:val="00A906B0"/>
    <w:rsid w:val="00A90A72"/>
    <w:rsid w:val="00A90BEC"/>
    <w:rsid w:val="00A90D59"/>
    <w:rsid w:val="00A91262"/>
    <w:rsid w:val="00A916B7"/>
    <w:rsid w:val="00A91708"/>
    <w:rsid w:val="00A917AE"/>
    <w:rsid w:val="00A917B8"/>
    <w:rsid w:val="00A91966"/>
    <w:rsid w:val="00A91D54"/>
    <w:rsid w:val="00A91DFC"/>
    <w:rsid w:val="00A92089"/>
    <w:rsid w:val="00A920B4"/>
    <w:rsid w:val="00A923DF"/>
    <w:rsid w:val="00A9261D"/>
    <w:rsid w:val="00A92D51"/>
    <w:rsid w:val="00A92E39"/>
    <w:rsid w:val="00A93123"/>
    <w:rsid w:val="00A9373D"/>
    <w:rsid w:val="00A93830"/>
    <w:rsid w:val="00A93B27"/>
    <w:rsid w:val="00A93B92"/>
    <w:rsid w:val="00A93CBC"/>
    <w:rsid w:val="00A93DCC"/>
    <w:rsid w:val="00A93E1C"/>
    <w:rsid w:val="00A94127"/>
    <w:rsid w:val="00A9425E"/>
    <w:rsid w:val="00A9433E"/>
    <w:rsid w:val="00A94381"/>
    <w:rsid w:val="00A945B2"/>
    <w:rsid w:val="00A9466B"/>
    <w:rsid w:val="00A948A9"/>
    <w:rsid w:val="00A948D0"/>
    <w:rsid w:val="00A94975"/>
    <w:rsid w:val="00A94C3D"/>
    <w:rsid w:val="00A94E2A"/>
    <w:rsid w:val="00A95051"/>
    <w:rsid w:val="00A9517F"/>
    <w:rsid w:val="00A951DD"/>
    <w:rsid w:val="00A9523E"/>
    <w:rsid w:val="00A95306"/>
    <w:rsid w:val="00A9540C"/>
    <w:rsid w:val="00A9541A"/>
    <w:rsid w:val="00A954CC"/>
    <w:rsid w:val="00A95663"/>
    <w:rsid w:val="00A956EF"/>
    <w:rsid w:val="00A958A5"/>
    <w:rsid w:val="00A95D85"/>
    <w:rsid w:val="00A95E3B"/>
    <w:rsid w:val="00A95EA7"/>
    <w:rsid w:val="00A95F6A"/>
    <w:rsid w:val="00A96019"/>
    <w:rsid w:val="00A9603C"/>
    <w:rsid w:val="00A96080"/>
    <w:rsid w:val="00A9628B"/>
    <w:rsid w:val="00A9643D"/>
    <w:rsid w:val="00A96472"/>
    <w:rsid w:val="00A964F2"/>
    <w:rsid w:val="00A96717"/>
    <w:rsid w:val="00A96778"/>
    <w:rsid w:val="00A967D0"/>
    <w:rsid w:val="00A96AD2"/>
    <w:rsid w:val="00A96E51"/>
    <w:rsid w:val="00A96FBF"/>
    <w:rsid w:val="00A972AB"/>
    <w:rsid w:val="00A972F0"/>
    <w:rsid w:val="00A9736C"/>
    <w:rsid w:val="00A97386"/>
    <w:rsid w:val="00A9743D"/>
    <w:rsid w:val="00A97488"/>
    <w:rsid w:val="00A9761F"/>
    <w:rsid w:val="00A979BF"/>
    <w:rsid w:val="00A97DFF"/>
    <w:rsid w:val="00A97F23"/>
    <w:rsid w:val="00AA0254"/>
    <w:rsid w:val="00AA04A7"/>
    <w:rsid w:val="00AA04E9"/>
    <w:rsid w:val="00AA051F"/>
    <w:rsid w:val="00AA053C"/>
    <w:rsid w:val="00AA0546"/>
    <w:rsid w:val="00AA063C"/>
    <w:rsid w:val="00AA08B9"/>
    <w:rsid w:val="00AA0907"/>
    <w:rsid w:val="00AA0931"/>
    <w:rsid w:val="00AA0A8C"/>
    <w:rsid w:val="00AA0F9A"/>
    <w:rsid w:val="00AA1009"/>
    <w:rsid w:val="00AA11C7"/>
    <w:rsid w:val="00AA1256"/>
    <w:rsid w:val="00AA13D3"/>
    <w:rsid w:val="00AA1433"/>
    <w:rsid w:val="00AA1A31"/>
    <w:rsid w:val="00AA1ED3"/>
    <w:rsid w:val="00AA1EE3"/>
    <w:rsid w:val="00AA20CE"/>
    <w:rsid w:val="00AA226D"/>
    <w:rsid w:val="00AA245E"/>
    <w:rsid w:val="00AA25F5"/>
    <w:rsid w:val="00AA2A30"/>
    <w:rsid w:val="00AA2ADE"/>
    <w:rsid w:val="00AA2B5E"/>
    <w:rsid w:val="00AA2B89"/>
    <w:rsid w:val="00AA2C19"/>
    <w:rsid w:val="00AA2CB9"/>
    <w:rsid w:val="00AA2CD0"/>
    <w:rsid w:val="00AA2DA1"/>
    <w:rsid w:val="00AA2EEF"/>
    <w:rsid w:val="00AA2EFB"/>
    <w:rsid w:val="00AA3053"/>
    <w:rsid w:val="00AA31A0"/>
    <w:rsid w:val="00AA33B4"/>
    <w:rsid w:val="00AA347A"/>
    <w:rsid w:val="00AA3ACC"/>
    <w:rsid w:val="00AA3B2D"/>
    <w:rsid w:val="00AA3C04"/>
    <w:rsid w:val="00AA3DD7"/>
    <w:rsid w:val="00AA3E44"/>
    <w:rsid w:val="00AA3F25"/>
    <w:rsid w:val="00AA3F45"/>
    <w:rsid w:val="00AA3F61"/>
    <w:rsid w:val="00AA3FB5"/>
    <w:rsid w:val="00AA4109"/>
    <w:rsid w:val="00AA4240"/>
    <w:rsid w:val="00AA452A"/>
    <w:rsid w:val="00AA4585"/>
    <w:rsid w:val="00AA46FE"/>
    <w:rsid w:val="00AA483F"/>
    <w:rsid w:val="00AA4B16"/>
    <w:rsid w:val="00AA4CE7"/>
    <w:rsid w:val="00AA4D33"/>
    <w:rsid w:val="00AA4EAF"/>
    <w:rsid w:val="00AA524F"/>
    <w:rsid w:val="00AA5273"/>
    <w:rsid w:val="00AA531E"/>
    <w:rsid w:val="00AA55AB"/>
    <w:rsid w:val="00AA562F"/>
    <w:rsid w:val="00AA5998"/>
    <w:rsid w:val="00AA5A74"/>
    <w:rsid w:val="00AA6179"/>
    <w:rsid w:val="00AA6305"/>
    <w:rsid w:val="00AA64A6"/>
    <w:rsid w:val="00AA6502"/>
    <w:rsid w:val="00AA673B"/>
    <w:rsid w:val="00AA6792"/>
    <w:rsid w:val="00AA6887"/>
    <w:rsid w:val="00AA68AA"/>
    <w:rsid w:val="00AA69E0"/>
    <w:rsid w:val="00AA6AF5"/>
    <w:rsid w:val="00AA6B3B"/>
    <w:rsid w:val="00AA6C53"/>
    <w:rsid w:val="00AA6CF6"/>
    <w:rsid w:val="00AA6E15"/>
    <w:rsid w:val="00AA6FD7"/>
    <w:rsid w:val="00AA71A1"/>
    <w:rsid w:val="00AA7315"/>
    <w:rsid w:val="00AA7324"/>
    <w:rsid w:val="00AA7403"/>
    <w:rsid w:val="00AA7796"/>
    <w:rsid w:val="00AA7813"/>
    <w:rsid w:val="00AA7923"/>
    <w:rsid w:val="00AA79F8"/>
    <w:rsid w:val="00AA7FCD"/>
    <w:rsid w:val="00AB034C"/>
    <w:rsid w:val="00AB0469"/>
    <w:rsid w:val="00AB07A7"/>
    <w:rsid w:val="00AB0A43"/>
    <w:rsid w:val="00AB0AE2"/>
    <w:rsid w:val="00AB0B8D"/>
    <w:rsid w:val="00AB0E69"/>
    <w:rsid w:val="00AB1272"/>
    <w:rsid w:val="00AB1479"/>
    <w:rsid w:val="00AB18F9"/>
    <w:rsid w:val="00AB1981"/>
    <w:rsid w:val="00AB1A16"/>
    <w:rsid w:val="00AB1B34"/>
    <w:rsid w:val="00AB1D09"/>
    <w:rsid w:val="00AB1D81"/>
    <w:rsid w:val="00AB1F0D"/>
    <w:rsid w:val="00AB2164"/>
    <w:rsid w:val="00AB2306"/>
    <w:rsid w:val="00AB240E"/>
    <w:rsid w:val="00AB2829"/>
    <w:rsid w:val="00AB284E"/>
    <w:rsid w:val="00AB28D5"/>
    <w:rsid w:val="00AB2A0E"/>
    <w:rsid w:val="00AB2E4C"/>
    <w:rsid w:val="00AB32F1"/>
    <w:rsid w:val="00AB32F5"/>
    <w:rsid w:val="00AB338B"/>
    <w:rsid w:val="00AB33A6"/>
    <w:rsid w:val="00AB33C6"/>
    <w:rsid w:val="00AB3436"/>
    <w:rsid w:val="00AB351E"/>
    <w:rsid w:val="00AB352A"/>
    <w:rsid w:val="00AB35E0"/>
    <w:rsid w:val="00AB370A"/>
    <w:rsid w:val="00AB37C9"/>
    <w:rsid w:val="00AB3924"/>
    <w:rsid w:val="00AB39C7"/>
    <w:rsid w:val="00AB3A59"/>
    <w:rsid w:val="00AB3AAF"/>
    <w:rsid w:val="00AB3B71"/>
    <w:rsid w:val="00AB3BE2"/>
    <w:rsid w:val="00AB3C89"/>
    <w:rsid w:val="00AB3CB6"/>
    <w:rsid w:val="00AB3FC5"/>
    <w:rsid w:val="00AB402D"/>
    <w:rsid w:val="00AB41D7"/>
    <w:rsid w:val="00AB42FC"/>
    <w:rsid w:val="00AB451B"/>
    <w:rsid w:val="00AB45D4"/>
    <w:rsid w:val="00AB45ED"/>
    <w:rsid w:val="00AB4C00"/>
    <w:rsid w:val="00AB4C5F"/>
    <w:rsid w:val="00AB4CE3"/>
    <w:rsid w:val="00AB4DB7"/>
    <w:rsid w:val="00AB4E76"/>
    <w:rsid w:val="00AB4EE9"/>
    <w:rsid w:val="00AB4FFD"/>
    <w:rsid w:val="00AB5174"/>
    <w:rsid w:val="00AB53E5"/>
    <w:rsid w:val="00AB5454"/>
    <w:rsid w:val="00AB5782"/>
    <w:rsid w:val="00AB5C49"/>
    <w:rsid w:val="00AB5C78"/>
    <w:rsid w:val="00AB5DEF"/>
    <w:rsid w:val="00AB5FDB"/>
    <w:rsid w:val="00AB6149"/>
    <w:rsid w:val="00AB6288"/>
    <w:rsid w:val="00AB62B3"/>
    <w:rsid w:val="00AB62DF"/>
    <w:rsid w:val="00AB6693"/>
    <w:rsid w:val="00AB67E1"/>
    <w:rsid w:val="00AB68F5"/>
    <w:rsid w:val="00AB69B7"/>
    <w:rsid w:val="00AB6A21"/>
    <w:rsid w:val="00AB6BC9"/>
    <w:rsid w:val="00AB6CFA"/>
    <w:rsid w:val="00AB6F45"/>
    <w:rsid w:val="00AB6F64"/>
    <w:rsid w:val="00AB6F71"/>
    <w:rsid w:val="00AB70DF"/>
    <w:rsid w:val="00AB71EF"/>
    <w:rsid w:val="00AB72E6"/>
    <w:rsid w:val="00AB7418"/>
    <w:rsid w:val="00AB75EF"/>
    <w:rsid w:val="00AB79E9"/>
    <w:rsid w:val="00AB7AFD"/>
    <w:rsid w:val="00AB7CAA"/>
    <w:rsid w:val="00AB7CD4"/>
    <w:rsid w:val="00AB7D6A"/>
    <w:rsid w:val="00AB7DF6"/>
    <w:rsid w:val="00AC00F8"/>
    <w:rsid w:val="00AC011B"/>
    <w:rsid w:val="00AC01DA"/>
    <w:rsid w:val="00AC026B"/>
    <w:rsid w:val="00AC02B1"/>
    <w:rsid w:val="00AC0746"/>
    <w:rsid w:val="00AC0771"/>
    <w:rsid w:val="00AC07A1"/>
    <w:rsid w:val="00AC08D1"/>
    <w:rsid w:val="00AC0923"/>
    <w:rsid w:val="00AC0D0C"/>
    <w:rsid w:val="00AC0D5A"/>
    <w:rsid w:val="00AC0D64"/>
    <w:rsid w:val="00AC0EA8"/>
    <w:rsid w:val="00AC10D4"/>
    <w:rsid w:val="00AC12F1"/>
    <w:rsid w:val="00AC14EA"/>
    <w:rsid w:val="00AC1712"/>
    <w:rsid w:val="00AC1723"/>
    <w:rsid w:val="00AC186E"/>
    <w:rsid w:val="00AC197F"/>
    <w:rsid w:val="00AC1A31"/>
    <w:rsid w:val="00AC1A54"/>
    <w:rsid w:val="00AC1BF3"/>
    <w:rsid w:val="00AC1CB1"/>
    <w:rsid w:val="00AC1DE5"/>
    <w:rsid w:val="00AC1F9F"/>
    <w:rsid w:val="00AC2096"/>
    <w:rsid w:val="00AC216D"/>
    <w:rsid w:val="00AC21F2"/>
    <w:rsid w:val="00AC2359"/>
    <w:rsid w:val="00AC2586"/>
    <w:rsid w:val="00AC25AA"/>
    <w:rsid w:val="00AC29F8"/>
    <w:rsid w:val="00AC2CE9"/>
    <w:rsid w:val="00AC2DE6"/>
    <w:rsid w:val="00AC2E49"/>
    <w:rsid w:val="00AC2F3F"/>
    <w:rsid w:val="00AC2F6D"/>
    <w:rsid w:val="00AC3206"/>
    <w:rsid w:val="00AC344F"/>
    <w:rsid w:val="00AC34E6"/>
    <w:rsid w:val="00AC3513"/>
    <w:rsid w:val="00AC3604"/>
    <w:rsid w:val="00AC3938"/>
    <w:rsid w:val="00AC39F5"/>
    <w:rsid w:val="00AC3D00"/>
    <w:rsid w:val="00AC3D8B"/>
    <w:rsid w:val="00AC3F0A"/>
    <w:rsid w:val="00AC445F"/>
    <w:rsid w:val="00AC4690"/>
    <w:rsid w:val="00AC46D2"/>
    <w:rsid w:val="00AC4872"/>
    <w:rsid w:val="00AC4AD8"/>
    <w:rsid w:val="00AC4B20"/>
    <w:rsid w:val="00AC4C2D"/>
    <w:rsid w:val="00AC4C49"/>
    <w:rsid w:val="00AC4EF3"/>
    <w:rsid w:val="00AC506B"/>
    <w:rsid w:val="00AC51D1"/>
    <w:rsid w:val="00AC52B1"/>
    <w:rsid w:val="00AC5658"/>
    <w:rsid w:val="00AC56A4"/>
    <w:rsid w:val="00AC5940"/>
    <w:rsid w:val="00AC59D6"/>
    <w:rsid w:val="00AC5B49"/>
    <w:rsid w:val="00AC5B98"/>
    <w:rsid w:val="00AC5BCF"/>
    <w:rsid w:val="00AC5BF0"/>
    <w:rsid w:val="00AC5C36"/>
    <w:rsid w:val="00AC6136"/>
    <w:rsid w:val="00AC6168"/>
    <w:rsid w:val="00AC6315"/>
    <w:rsid w:val="00AC6382"/>
    <w:rsid w:val="00AC6521"/>
    <w:rsid w:val="00AC65DE"/>
    <w:rsid w:val="00AC66CE"/>
    <w:rsid w:val="00AC67B8"/>
    <w:rsid w:val="00AC6D9E"/>
    <w:rsid w:val="00AC6EAA"/>
    <w:rsid w:val="00AC6F7E"/>
    <w:rsid w:val="00AC716D"/>
    <w:rsid w:val="00AC74D3"/>
    <w:rsid w:val="00AC7573"/>
    <w:rsid w:val="00AC7713"/>
    <w:rsid w:val="00AC7D46"/>
    <w:rsid w:val="00AD0052"/>
    <w:rsid w:val="00AD0098"/>
    <w:rsid w:val="00AD0112"/>
    <w:rsid w:val="00AD01B1"/>
    <w:rsid w:val="00AD0268"/>
    <w:rsid w:val="00AD02EB"/>
    <w:rsid w:val="00AD03CB"/>
    <w:rsid w:val="00AD0472"/>
    <w:rsid w:val="00AD0887"/>
    <w:rsid w:val="00AD0903"/>
    <w:rsid w:val="00AD0995"/>
    <w:rsid w:val="00AD0AE9"/>
    <w:rsid w:val="00AD0B28"/>
    <w:rsid w:val="00AD0B3C"/>
    <w:rsid w:val="00AD0DE2"/>
    <w:rsid w:val="00AD0E0D"/>
    <w:rsid w:val="00AD0E61"/>
    <w:rsid w:val="00AD0F88"/>
    <w:rsid w:val="00AD1000"/>
    <w:rsid w:val="00AD1056"/>
    <w:rsid w:val="00AD10AD"/>
    <w:rsid w:val="00AD127D"/>
    <w:rsid w:val="00AD1342"/>
    <w:rsid w:val="00AD166B"/>
    <w:rsid w:val="00AD17FB"/>
    <w:rsid w:val="00AD1B13"/>
    <w:rsid w:val="00AD1C19"/>
    <w:rsid w:val="00AD1F7C"/>
    <w:rsid w:val="00AD21C5"/>
    <w:rsid w:val="00AD222D"/>
    <w:rsid w:val="00AD2514"/>
    <w:rsid w:val="00AD2545"/>
    <w:rsid w:val="00AD263E"/>
    <w:rsid w:val="00AD2AD1"/>
    <w:rsid w:val="00AD2C06"/>
    <w:rsid w:val="00AD2CF0"/>
    <w:rsid w:val="00AD2D19"/>
    <w:rsid w:val="00AD2F47"/>
    <w:rsid w:val="00AD30D0"/>
    <w:rsid w:val="00AD3130"/>
    <w:rsid w:val="00AD322A"/>
    <w:rsid w:val="00AD39AB"/>
    <w:rsid w:val="00AD3B9F"/>
    <w:rsid w:val="00AD3C6B"/>
    <w:rsid w:val="00AD3D0B"/>
    <w:rsid w:val="00AD3DE7"/>
    <w:rsid w:val="00AD3E9A"/>
    <w:rsid w:val="00AD3F1C"/>
    <w:rsid w:val="00AD4314"/>
    <w:rsid w:val="00AD44F1"/>
    <w:rsid w:val="00AD4745"/>
    <w:rsid w:val="00AD4AC9"/>
    <w:rsid w:val="00AD4AFA"/>
    <w:rsid w:val="00AD4BAF"/>
    <w:rsid w:val="00AD4C08"/>
    <w:rsid w:val="00AD4C5C"/>
    <w:rsid w:val="00AD4D96"/>
    <w:rsid w:val="00AD4F7B"/>
    <w:rsid w:val="00AD518E"/>
    <w:rsid w:val="00AD536F"/>
    <w:rsid w:val="00AD539C"/>
    <w:rsid w:val="00AD53D0"/>
    <w:rsid w:val="00AD554E"/>
    <w:rsid w:val="00AD5EEB"/>
    <w:rsid w:val="00AD64C3"/>
    <w:rsid w:val="00AD65DA"/>
    <w:rsid w:val="00AD666F"/>
    <w:rsid w:val="00AD6783"/>
    <w:rsid w:val="00AD695F"/>
    <w:rsid w:val="00AD69E0"/>
    <w:rsid w:val="00AD6A30"/>
    <w:rsid w:val="00AD6A60"/>
    <w:rsid w:val="00AD6A69"/>
    <w:rsid w:val="00AD6C60"/>
    <w:rsid w:val="00AD6CD8"/>
    <w:rsid w:val="00AD6DB0"/>
    <w:rsid w:val="00AD6E5A"/>
    <w:rsid w:val="00AD7161"/>
    <w:rsid w:val="00AD716F"/>
    <w:rsid w:val="00AD7196"/>
    <w:rsid w:val="00AD7314"/>
    <w:rsid w:val="00AD7471"/>
    <w:rsid w:val="00AD77B4"/>
    <w:rsid w:val="00AD77B5"/>
    <w:rsid w:val="00AD77C6"/>
    <w:rsid w:val="00AD797E"/>
    <w:rsid w:val="00AD7AA8"/>
    <w:rsid w:val="00AD7B76"/>
    <w:rsid w:val="00AD7C99"/>
    <w:rsid w:val="00AD7DC7"/>
    <w:rsid w:val="00AD7E52"/>
    <w:rsid w:val="00AD7F6F"/>
    <w:rsid w:val="00AD7FEB"/>
    <w:rsid w:val="00AE002E"/>
    <w:rsid w:val="00AE029D"/>
    <w:rsid w:val="00AE0895"/>
    <w:rsid w:val="00AE0904"/>
    <w:rsid w:val="00AE096D"/>
    <w:rsid w:val="00AE0DE6"/>
    <w:rsid w:val="00AE0F63"/>
    <w:rsid w:val="00AE10CB"/>
    <w:rsid w:val="00AE11F2"/>
    <w:rsid w:val="00AE128A"/>
    <w:rsid w:val="00AE12D4"/>
    <w:rsid w:val="00AE1704"/>
    <w:rsid w:val="00AE1AD2"/>
    <w:rsid w:val="00AE1C35"/>
    <w:rsid w:val="00AE1D0E"/>
    <w:rsid w:val="00AE1D79"/>
    <w:rsid w:val="00AE1DF7"/>
    <w:rsid w:val="00AE203F"/>
    <w:rsid w:val="00AE23FA"/>
    <w:rsid w:val="00AE2695"/>
    <w:rsid w:val="00AE2A39"/>
    <w:rsid w:val="00AE2A57"/>
    <w:rsid w:val="00AE2A80"/>
    <w:rsid w:val="00AE2AC6"/>
    <w:rsid w:val="00AE2BA5"/>
    <w:rsid w:val="00AE2C49"/>
    <w:rsid w:val="00AE2F77"/>
    <w:rsid w:val="00AE330C"/>
    <w:rsid w:val="00AE350C"/>
    <w:rsid w:val="00AE3611"/>
    <w:rsid w:val="00AE3705"/>
    <w:rsid w:val="00AE3799"/>
    <w:rsid w:val="00AE3C84"/>
    <w:rsid w:val="00AE3DE3"/>
    <w:rsid w:val="00AE3EEB"/>
    <w:rsid w:val="00AE3F61"/>
    <w:rsid w:val="00AE3FB4"/>
    <w:rsid w:val="00AE41ED"/>
    <w:rsid w:val="00AE444A"/>
    <w:rsid w:val="00AE45E1"/>
    <w:rsid w:val="00AE46C3"/>
    <w:rsid w:val="00AE4721"/>
    <w:rsid w:val="00AE4722"/>
    <w:rsid w:val="00AE4731"/>
    <w:rsid w:val="00AE4AFA"/>
    <w:rsid w:val="00AE4B54"/>
    <w:rsid w:val="00AE4BCE"/>
    <w:rsid w:val="00AE4D70"/>
    <w:rsid w:val="00AE5128"/>
    <w:rsid w:val="00AE51A5"/>
    <w:rsid w:val="00AE53F0"/>
    <w:rsid w:val="00AE543C"/>
    <w:rsid w:val="00AE54DB"/>
    <w:rsid w:val="00AE5622"/>
    <w:rsid w:val="00AE56B0"/>
    <w:rsid w:val="00AE57A1"/>
    <w:rsid w:val="00AE582F"/>
    <w:rsid w:val="00AE58DF"/>
    <w:rsid w:val="00AE6003"/>
    <w:rsid w:val="00AE6290"/>
    <w:rsid w:val="00AE63D9"/>
    <w:rsid w:val="00AE640C"/>
    <w:rsid w:val="00AE65E9"/>
    <w:rsid w:val="00AE6637"/>
    <w:rsid w:val="00AE6759"/>
    <w:rsid w:val="00AE6907"/>
    <w:rsid w:val="00AE6C6A"/>
    <w:rsid w:val="00AE6E16"/>
    <w:rsid w:val="00AE6F97"/>
    <w:rsid w:val="00AE6FDE"/>
    <w:rsid w:val="00AE7165"/>
    <w:rsid w:val="00AE721A"/>
    <w:rsid w:val="00AE7332"/>
    <w:rsid w:val="00AE751D"/>
    <w:rsid w:val="00AE7605"/>
    <w:rsid w:val="00AE7655"/>
    <w:rsid w:val="00AE78EC"/>
    <w:rsid w:val="00AE79F5"/>
    <w:rsid w:val="00AE7AA6"/>
    <w:rsid w:val="00AE7B97"/>
    <w:rsid w:val="00AE7BDB"/>
    <w:rsid w:val="00AE7C26"/>
    <w:rsid w:val="00AE7C54"/>
    <w:rsid w:val="00AE7E07"/>
    <w:rsid w:val="00AE7E70"/>
    <w:rsid w:val="00AF00AF"/>
    <w:rsid w:val="00AF010E"/>
    <w:rsid w:val="00AF0139"/>
    <w:rsid w:val="00AF040B"/>
    <w:rsid w:val="00AF052A"/>
    <w:rsid w:val="00AF0A3F"/>
    <w:rsid w:val="00AF0B0B"/>
    <w:rsid w:val="00AF0B0E"/>
    <w:rsid w:val="00AF0BD3"/>
    <w:rsid w:val="00AF0CDA"/>
    <w:rsid w:val="00AF0E06"/>
    <w:rsid w:val="00AF0F16"/>
    <w:rsid w:val="00AF1254"/>
    <w:rsid w:val="00AF1428"/>
    <w:rsid w:val="00AF1788"/>
    <w:rsid w:val="00AF1A1E"/>
    <w:rsid w:val="00AF1AA4"/>
    <w:rsid w:val="00AF1D3D"/>
    <w:rsid w:val="00AF1E13"/>
    <w:rsid w:val="00AF1E1E"/>
    <w:rsid w:val="00AF1E23"/>
    <w:rsid w:val="00AF20B9"/>
    <w:rsid w:val="00AF21B1"/>
    <w:rsid w:val="00AF2251"/>
    <w:rsid w:val="00AF2436"/>
    <w:rsid w:val="00AF27EC"/>
    <w:rsid w:val="00AF29F2"/>
    <w:rsid w:val="00AF2A5B"/>
    <w:rsid w:val="00AF2EF2"/>
    <w:rsid w:val="00AF3192"/>
    <w:rsid w:val="00AF31F4"/>
    <w:rsid w:val="00AF3318"/>
    <w:rsid w:val="00AF34FA"/>
    <w:rsid w:val="00AF3A69"/>
    <w:rsid w:val="00AF3E5E"/>
    <w:rsid w:val="00AF3E90"/>
    <w:rsid w:val="00AF422A"/>
    <w:rsid w:val="00AF425A"/>
    <w:rsid w:val="00AF45D3"/>
    <w:rsid w:val="00AF493B"/>
    <w:rsid w:val="00AF4A86"/>
    <w:rsid w:val="00AF4CF5"/>
    <w:rsid w:val="00AF4D1F"/>
    <w:rsid w:val="00AF4EFE"/>
    <w:rsid w:val="00AF4F7B"/>
    <w:rsid w:val="00AF50AC"/>
    <w:rsid w:val="00AF5145"/>
    <w:rsid w:val="00AF520B"/>
    <w:rsid w:val="00AF52A1"/>
    <w:rsid w:val="00AF5360"/>
    <w:rsid w:val="00AF5409"/>
    <w:rsid w:val="00AF5481"/>
    <w:rsid w:val="00AF5596"/>
    <w:rsid w:val="00AF56DA"/>
    <w:rsid w:val="00AF57BB"/>
    <w:rsid w:val="00AF5833"/>
    <w:rsid w:val="00AF5864"/>
    <w:rsid w:val="00AF5AC9"/>
    <w:rsid w:val="00AF5C11"/>
    <w:rsid w:val="00AF5C78"/>
    <w:rsid w:val="00AF5C87"/>
    <w:rsid w:val="00AF62DB"/>
    <w:rsid w:val="00AF6A09"/>
    <w:rsid w:val="00AF6A4B"/>
    <w:rsid w:val="00AF6B7F"/>
    <w:rsid w:val="00AF6DD7"/>
    <w:rsid w:val="00AF6FE3"/>
    <w:rsid w:val="00AF702F"/>
    <w:rsid w:val="00AF70D4"/>
    <w:rsid w:val="00AF7277"/>
    <w:rsid w:val="00AF72A7"/>
    <w:rsid w:val="00AF73A3"/>
    <w:rsid w:val="00AF75DA"/>
    <w:rsid w:val="00AF76DB"/>
    <w:rsid w:val="00AF76E6"/>
    <w:rsid w:val="00AF77A6"/>
    <w:rsid w:val="00AF7861"/>
    <w:rsid w:val="00AF79AF"/>
    <w:rsid w:val="00AF7A64"/>
    <w:rsid w:val="00AF7AEC"/>
    <w:rsid w:val="00AF7B4D"/>
    <w:rsid w:val="00B00090"/>
    <w:rsid w:val="00B00101"/>
    <w:rsid w:val="00B003E9"/>
    <w:rsid w:val="00B00772"/>
    <w:rsid w:val="00B00877"/>
    <w:rsid w:val="00B00A1A"/>
    <w:rsid w:val="00B00B8F"/>
    <w:rsid w:val="00B00BB7"/>
    <w:rsid w:val="00B00BF2"/>
    <w:rsid w:val="00B00C3E"/>
    <w:rsid w:val="00B00ED4"/>
    <w:rsid w:val="00B00FCC"/>
    <w:rsid w:val="00B01102"/>
    <w:rsid w:val="00B0138F"/>
    <w:rsid w:val="00B01669"/>
    <w:rsid w:val="00B0181E"/>
    <w:rsid w:val="00B01879"/>
    <w:rsid w:val="00B018D8"/>
    <w:rsid w:val="00B018E6"/>
    <w:rsid w:val="00B0191B"/>
    <w:rsid w:val="00B01A8B"/>
    <w:rsid w:val="00B01B38"/>
    <w:rsid w:val="00B01BD3"/>
    <w:rsid w:val="00B01F30"/>
    <w:rsid w:val="00B0200A"/>
    <w:rsid w:val="00B02069"/>
    <w:rsid w:val="00B020AA"/>
    <w:rsid w:val="00B020AF"/>
    <w:rsid w:val="00B020D1"/>
    <w:rsid w:val="00B02274"/>
    <w:rsid w:val="00B023B5"/>
    <w:rsid w:val="00B024E4"/>
    <w:rsid w:val="00B02549"/>
    <w:rsid w:val="00B02566"/>
    <w:rsid w:val="00B026AA"/>
    <w:rsid w:val="00B02857"/>
    <w:rsid w:val="00B02ABD"/>
    <w:rsid w:val="00B02B32"/>
    <w:rsid w:val="00B02BEF"/>
    <w:rsid w:val="00B02CEB"/>
    <w:rsid w:val="00B02EFA"/>
    <w:rsid w:val="00B02F00"/>
    <w:rsid w:val="00B03195"/>
    <w:rsid w:val="00B0330B"/>
    <w:rsid w:val="00B03385"/>
    <w:rsid w:val="00B034CF"/>
    <w:rsid w:val="00B03513"/>
    <w:rsid w:val="00B03870"/>
    <w:rsid w:val="00B03AC9"/>
    <w:rsid w:val="00B03B39"/>
    <w:rsid w:val="00B03E32"/>
    <w:rsid w:val="00B03FAD"/>
    <w:rsid w:val="00B0434B"/>
    <w:rsid w:val="00B0437D"/>
    <w:rsid w:val="00B04479"/>
    <w:rsid w:val="00B046C5"/>
    <w:rsid w:val="00B0486E"/>
    <w:rsid w:val="00B04A5B"/>
    <w:rsid w:val="00B04AE1"/>
    <w:rsid w:val="00B04B47"/>
    <w:rsid w:val="00B05034"/>
    <w:rsid w:val="00B050C3"/>
    <w:rsid w:val="00B05199"/>
    <w:rsid w:val="00B051E0"/>
    <w:rsid w:val="00B05336"/>
    <w:rsid w:val="00B053CE"/>
    <w:rsid w:val="00B05454"/>
    <w:rsid w:val="00B0564F"/>
    <w:rsid w:val="00B05750"/>
    <w:rsid w:val="00B05A9A"/>
    <w:rsid w:val="00B05B74"/>
    <w:rsid w:val="00B05BC0"/>
    <w:rsid w:val="00B05CBA"/>
    <w:rsid w:val="00B05DAE"/>
    <w:rsid w:val="00B060D7"/>
    <w:rsid w:val="00B06144"/>
    <w:rsid w:val="00B063E8"/>
    <w:rsid w:val="00B064EA"/>
    <w:rsid w:val="00B067DB"/>
    <w:rsid w:val="00B068BC"/>
    <w:rsid w:val="00B06A72"/>
    <w:rsid w:val="00B06A94"/>
    <w:rsid w:val="00B06B71"/>
    <w:rsid w:val="00B06CB3"/>
    <w:rsid w:val="00B06D91"/>
    <w:rsid w:val="00B07090"/>
    <w:rsid w:val="00B074A4"/>
    <w:rsid w:val="00B07595"/>
    <w:rsid w:val="00B075DE"/>
    <w:rsid w:val="00B07642"/>
    <w:rsid w:val="00B076C4"/>
    <w:rsid w:val="00B078BE"/>
    <w:rsid w:val="00B079C8"/>
    <w:rsid w:val="00B07BE8"/>
    <w:rsid w:val="00B07D79"/>
    <w:rsid w:val="00B07DEB"/>
    <w:rsid w:val="00B102F3"/>
    <w:rsid w:val="00B1060A"/>
    <w:rsid w:val="00B10774"/>
    <w:rsid w:val="00B107C5"/>
    <w:rsid w:val="00B1091A"/>
    <w:rsid w:val="00B10942"/>
    <w:rsid w:val="00B10AC6"/>
    <w:rsid w:val="00B10E1E"/>
    <w:rsid w:val="00B10E26"/>
    <w:rsid w:val="00B10F44"/>
    <w:rsid w:val="00B110AA"/>
    <w:rsid w:val="00B11AAA"/>
    <w:rsid w:val="00B11EE9"/>
    <w:rsid w:val="00B1216D"/>
    <w:rsid w:val="00B12176"/>
    <w:rsid w:val="00B122DA"/>
    <w:rsid w:val="00B12371"/>
    <w:rsid w:val="00B12377"/>
    <w:rsid w:val="00B123E2"/>
    <w:rsid w:val="00B12470"/>
    <w:rsid w:val="00B12509"/>
    <w:rsid w:val="00B129D5"/>
    <w:rsid w:val="00B12DC4"/>
    <w:rsid w:val="00B12F94"/>
    <w:rsid w:val="00B12FDD"/>
    <w:rsid w:val="00B1307A"/>
    <w:rsid w:val="00B130E6"/>
    <w:rsid w:val="00B1315D"/>
    <w:rsid w:val="00B13161"/>
    <w:rsid w:val="00B1327A"/>
    <w:rsid w:val="00B13394"/>
    <w:rsid w:val="00B135DB"/>
    <w:rsid w:val="00B1366D"/>
    <w:rsid w:val="00B1377D"/>
    <w:rsid w:val="00B138C7"/>
    <w:rsid w:val="00B13BB2"/>
    <w:rsid w:val="00B13FF8"/>
    <w:rsid w:val="00B140C9"/>
    <w:rsid w:val="00B14486"/>
    <w:rsid w:val="00B14688"/>
    <w:rsid w:val="00B14881"/>
    <w:rsid w:val="00B148DD"/>
    <w:rsid w:val="00B14907"/>
    <w:rsid w:val="00B14F74"/>
    <w:rsid w:val="00B1509B"/>
    <w:rsid w:val="00B151A8"/>
    <w:rsid w:val="00B15425"/>
    <w:rsid w:val="00B15497"/>
    <w:rsid w:val="00B1560D"/>
    <w:rsid w:val="00B158D2"/>
    <w:rsid w:val="00B15BF1"/>
    <w:rsid w:val="00B15C5F"/>
    <w:rsid w:val="00B15E65"/>
    <w:rsid w:val="00B16269"/>
    <w:rsid w:val="00B163D3"/>
    <w:rsid w:val="00B163DE"/>
    <w:rsid w:val="00B165D1"/>
    <w:rsid w:val="00B16696"/>
    <w:rsid w:val="00B16C5B"/>
    <w:rsid w:val="00B16CDC"/>
    <w:rsid w:val="00B16F98"/>
    <w:rsid w:val="00B16FC5"/>
    <w:rsid w:val="00B179E5"/>
    <w:rsid w:val="00B17B0E"/>
    <w:rsid w:val="00B17C46"/>
    <w:rsid w:val="00B17CF4"/>
    <w:rsid w:val="00B17EF5"/>
    <w:rsid w:val="00B17F87"/>
    <w:rsid w:val="00B2026E"/>
    <w:rsid w:val="00B202E9"/>
    <w:rsid w:val="00B204A4"/>
    <w:rsid w:val="00B205D5"/>
    <w:rsid w:val="00B207A6"/>
    <w:rsid w:val="00B209BD"/>
    <w:rsid w:val="00B20BBA"/>
    <w:rsid w:val="00B20D2B"/>
    <w:rsid w:val="00B20DD0"/>
    <w:rsid w:val="00B20E33"/>
    <w:rsid w:val="00B21132"/>
    <w:rsid w:val="00B21291"/>
    <w:rsid w:val="00B213B0"/>
    <w:rsid w:val="00B21643"/>
    <w:rsid w:val="00B21770"/>
    <w:rsid w:val="00B21862"/>
    <w:rsid w:val="00B21A47"/>
    <w:rsid w:val="00B21A92"/>
    <w:rsid w:val="00B21F0E"/>
    <w:rsid w:val="00B22370"/>
    <w:rsid w:val="00B22485"/>
    <w:rsid w:val="00B22526"/>
    <w:rsid w:val="00B2254C"/>
    <w:rsid w:val="00B2254D"/>
    <w:rsid w:val="00B2255A"/>
    <w:rsid w:val="00B227C5"/>
    <w:rsid w:val="00B229E0"/>
    <w:rsid w:val="00B22AE2"/>
    <w:rsid w:val="00B22B23"/>
    <w:rsid w:val="00B22B99"/>
    <w:rsid w:val="00B22C70"/>
    <w:rsid w:val="00B22F20"/>
    <w:rsid w:val="00B23045"/>
    <w:rsid w:val="00B2307D"/>
    <w:rsid w:val="00B2307E"/>
    <w:rsid w:val="00B231FE"/>
    <w:rsid w:val="00B232B0"/>
    <w:rsid w:val="00B235FF"/>
    <w:rsid w:val="00B2365F"/>
    <w:rsid w:val="00B237FE"/>
    <w:rsid w:val="00B238E1"/>
    <w:rsid w:val="00B239D0"/>
    <w:rsid w:val="00B239E1"/>
    <w:rsid w:val="00B23AB4"/>
    <w:rsid w:val="00B23B3E"/>
    <w:rsid w:val="00B23B76"/>
    <w:rsid w:val="00B23DDA"/>
    <w:rsid w:val="00B23EE7"/>
    <w:rsid w:val="00B23EF9"/>
    <w:rsid w:val="00B23F32"/>
    <w:rsid w:val="00B2411F"/>
    <w:rsid w:val="00B241FF"/>
    <w:rsid w:val="00B242D2"/>
    <w:rsid w:val="00B24477"/>
    <w:rsid w:val="00B244EE"/>
    <w:rsid w:val="00B24549"/>
    <w:rsid w:val="00B2457C"/>
    <w:rsid w:val="00B247B4"/>
    <w:rsid w:val="00B24809"/>
    <w:rsid w:val="00B24A59"/>
    <w:rsid w:val="00B24D3E"/>
    <w:rsid w:val="00B24FCE"/>
    <w:rsid w:val="00B250AB"/>
    <w:rsid w:val="00B252AD"/>
    <w:rsid w:val="00B252F3"/>
    <w:rsid w:val="00B255B6"/>
    <w:rsid w:val="00B2561D"/>
    <w:rsid w:val="00B25716"/>
    <w:rsid w:val="00B25B6B"/>
    <w:rsid w:val="00B25BD8"/>
    <w:rsid w:val="00B26262"/>
    <w:rsid w:val="00B262F4"/>
    <w:rsid w:val="00B2646B"/>
    <w:rsid w:val="00B26496"/>
    <w:rsid w:val="00B264DD"/>
    <w:rsid w:val="00B266B1"/>
    <w:rsid w:val="00B267A5"/>
    <w:rsid w:val="00B26B0A"/>
    <w:rsid w:val="00B26CF1"/>
    <w:rsid w:val="00B26DCF"/>
    <w:rsid w:val="00B26E37"/>
    <w:rsid w:val="00B270CE"/>
    <w:rsid w:val="00B272BE"/>
    <w:rsid w:val="00B27670"/>
    <w:rsid w:val="00B276DD"/>
    <w:rsid w:val="00B27762"/>
    <w:rsid w:val="00B27CC0"/>
    <w:rsid w:val="00B27CD5"/>
    <w:rsid w:val="00B27FAF"/>
    <w:rsid w:val="00B30085"/>
    <w:rsid w:val="00B30142"/>
    <w:rsid w:val="00B30766"/>
    <w:rsid w:val="00B308F3"/>
    <w:rsid w:val="00B30B04"/>
    <w:rsid w:val="00B30D53"/>
    <w:rsid w:val="00B30DDB"/>
    <w:rsid w:val="00B30E05"/>
    <w:rsid w:val="00B30E69"/>
    <w:rsid w:val="00B31042"/>
    <w:rsid w:val="00B310A1"/>
    <w:rsid w:val="00B31155"/>
    <w:rsid w:val="00B31182"/>
    <w:rsid w:val="00B3156D"/>
    <w:rsid w:val="00B315AF"/>
    <w:rsid w:val="00B3170A"/>
    <w:rsid w:val="00B3171E"/>
    <w:rsid w:val="00B317CD"/>
    <w:rsid w:val="00B318C1"/>
    <w:rsid w:val="00B3190A"/>
    <w:rsid w:val="00B31A05"/>
    <w:rsid w:val="00B31AD3"/>
    <w:rsid w:val="00B31C81"/>
    <w:rsid w:val="00B31D8C"/>
    <w:rsid w:val="00B3201C"/>
    <w:rsid w:val="00B322E0"/>
    <w:rsid w:val="00B32306"/>
    <w:rsid w:val="00B326BC"/>
    <w:rsid w:val="00B32801"/>
    <w:rsid w:val="00B32A15"/>
    <w:rsid w:val="00B32B67"/>
    <w:rsid w:val="00B330B3"/>
    <w:rsid w:val="00B3319B"/>
    <w:rsid w:val="00B3340A"/>
    <w:rsid w:val="00B3345A"/>
    <w:rsid w:val="00B3357B"/>
    <w:rsid w:val="00B3357C"/>
    <w:rsid w:val="00B33712"/>
    <w:rsid w:val="00B33736"/>
    <w:rsid w:val="00B33806"/>
    <w:rsid w:val="00B33954"/>
    <w:rsid w:val="00B339AE"/>
    <w:rsid w:val="00B339B9"/>
    <w:rsid w:val="00B33A69"/>
    <w:rsid w:val="00B33E5A"/>
    <w:rsid w:val="00B33FBE"/>
    <w:rsid w:val="00B34017"/>
    <w:rsid w:val="00B3409D"/>
    <w:rsid w:val="00B3433D"/>
    <w:rsid w:val="00B3457F"/>
    <w:rsid w:val="00B346FD"/>
    <w:rsid w:val="00B347E0"/>
    <w:rsid w:val="00B34872"/>
    <w:rsid w:val="00B34A3E"/>
    <w:rsid w:val="00B34AD1"/>
    <w:rsid w:val="00B34DBB"/>
    <w:rsid w:val="00B34E07"/>
    <w:rsid w:val="00B34F68"/>
    <w:rsid w:val="00B350A3"/>
    <w:rsid w:val="00B352D2"/>
    <w:rsid w:val="00B352E7"/>
    <w:rsid w:val="00B354AD"/>
    <w:rsid w:val="00B35725"/>
    <w:rsid w:val="00B357A8"/>
    <w:rsid w:val="00B35873"/>
    <w:rsid w:val="00B3588C"/>
    <w:rsid w:val="00B358C1"/>
    <w:rsid w:val="00B36015"/>
    <w:rsid w:val="00B360E3"/>
    <w:rsid w:val="00B361CE"/>
    <w:rsid w:val="00B362DD"/>
    <w:rsid w:val="00B363EF"/>
    <w:rsid w:val="00B36688"/>
    <w:rsid w:val="00B36783"/>
    <w:rsid w:val="00B3688B"/>
    <w:rsid w:val="00B368E5"/>
    <w:rsid w:val="00B369A8"/>
    <w:rsid w:val="00B36A4A"/>
    <w:rsid w:val="00B36C1C"/>
    <w:rsid w:val="00B36CCE"/>
    <w:rsid w:val="00B36DEE"/>
    <w:rsid w:val="00B37060"/>
    <w:rsid w:val="00B37159"/>
    <w:rsid w:val="00B37212"/>
    <w:rsid w:val="00B37231"/>
    <w:rsid w:val="00B372C3"/>
    <w:rsid w:val="00B37306"/>
    <w:rsid w:val="00B37640"/>
    <w:rsid w:val="00B37857"/>
    <w:rsid w:val="00B37883"/>
    <w:rsid w:val="00B378F2"/>
    <w:rsid w:val="00B37972"/>
    <w:rsid w:val="00B37C29"/>
    <w:rsid w:val="00B37D1C"/>
    <w:rsid w:val="00B40123"/>
    <w:rsid w:val="00B4013A"/>
    <w:rsid w:val="00B407FD"/>
    <w:rsid w:val="00B40AD9"/>
    <w:rsid w:val="00B40BA5"/>
    <w:rsid w:val="00B40C3B"/>
    <w:rsid w:val="00B40C7E"/>
    <w:rsid w:val="00B40D04"/>
    <w:rsid w:val="00B40E17"/>
    <w:rsid w:val="00B40F81"/>
    <w:rsid w:val="00B40FDE"/>
    <w:rsid w:val="00B41377"/>
    <w:rsid w:val="00B4156C"/>
    <w:rsid w:val="00B41758"/>
    <w:rsid w:val="00B41818"/>
    <w:rsid w:val="00B4181A"/>
    <w:rsid w:val="00B418C1"/>
    <w:rsid w:val="00B41B31"/>
    <w:rsid w:val="00B41D76"/>
    <w:rsid w:val="00B41DCB"/>
    <w:rsid w:val="00B423B2"/>
    <w:rsid w:val="00B42A6B"/>
    <w:rsid w:val="00B42A83"/>
    <w:rsid w:val="00B42AFB"/>
    <w:rsid w:val="00B42D11"/>
    <w:rsid w:val="00B42D58"/>
    <w:rsid w:val="00B42D93"/>
    <w:rsid w:val="00B42DE0"/>
    <w:rsid w:val="00B42E58"/>
    <w:rsid w:val="00B43248"/>
    <w:rsid w:val="00B43525"/>
    <w:rsid w:val="00B43539"/>
    <w:rsid w:val="00B4353C"/>
    <w:rsid w:val="00B436B7"/>
    <w:rsid w:val="00B43732"/>
    <w:rsid w:val="00B439AF"/>
    <w:rsid w:val="00B43A7D"/>
    <w:rsid w:val="00B43AEF"/>
    <w:rsid w:val="00B43BC9"/>
    <w:rsid w:val="00B43BCA"/>
    <w:rsid w:val="00B43D61"/>
    <w:rsid w:val="00B43F7D"/>
    <w:rsid w:val="00B44166"/>
    <w:rsid w:val="00B4430F"/>
    <w:rsid w:val="00B44542"/>
    <w:rsid w:val="00B447CA"/>
    <w:rsid w:val="00B44B4C"/>
    <w:rsid w:val="00B44CBD"/>
    <w:rsid w:val="00B44F36"/>
    <w:rsid w:val="00B44FC7"/>
    <w:rsid w:val="00B45112"/>
    <w:rsid w:val="00B45244"/>
    <w:rsid w:val="00B452FA"/>
    <w:rsid w:val="00B453F5"/>
    <w:rsid w:val="00B454A0"/>
    <w:rsid w:val="00B454D3"/>
    <w:rsid w:val="00B45518"/>
    <w:rsid w:val="00B4576B"/>
    <w:rsid w:val="00B45EA0"/>
    <w:rsid w:val="00B46063"/>
    <w:rsid w:val="00B4607F"/>
    <w:rsid w:val="00B461A8"/>
    <w:rsid w:val="00B46204"/>
    <w:rsid w:val="00B4627B"/>
    <w:rsid w:val="00B46322"/>
    <w:rsid w:val="00B465EA"/>
    <w:rsid w:val="00B46727"/>
    <w:rsid w:val="00B46978"/>
    <w:rsid w:val="00B46B78"/>
    <w:rsid w:val="00B46CDD"/>
    <w:rsid w:val="00B46E41"/>
    <w:rsid w:val="00B46F29"/>
    <w:rsid w:val="00B46FB3"/>
    <w:rsid w:val="00B46FDA"/>
    <w:rsid w:val="00B470C3"/>
    <w:rsid w:val="00B47200"/>
    <w:rsid w:val="00B4723B"/>
    <w:rsid w:val="00B4729F"/>
    <w:rsid w:val="00B472BB"/>
    <w:rsid w:val="00B4742B"/>
    <w:rsid w:val="00B477BF"/>
    <w:rsid w:val="00B478F3"/>
    <w:rsid w:val="00B47908"/>
    <w:rsid w:val="00B47B2F"/>
    <w:rsid w:val="00B47DA3"/>
    <w:rsid w:val="00B47F21"/>
    <w:rsid w:val="00B501DD"/>
    <w:rsid w:val="00B501F5"/>
    <w:rsid w:val="00B50398"/>
    <w:rsid w:val="00B5052E"/>
    <w:rsid w:val="00B50603"/>
    <w:rsid w:val="00B506A3"/>
    <w:rsid w:val="00B5075A"/>
    <w:rsid w:val="00B508B6"/>
    <w:rsid w:val="00B508E4"/>
    <w:rsid w:val="00B50BE1"/>
    <w:rsid w:val="00B50D81"/>
    <w:rsid w:val="00B50DA5"/>
    <w:rsid w:val="00B510C0"/>
    <w:rsid w:val="00B51115"/>
    <w:rsid w:val="00B513DE"/>
    <w:rsid w:val="00B51676"/>
    <w:rsid w:val="00B5199F"/>
    <w:rsid w:val="00B51B2D"/>
    <w:rsid w:val="00B51BE9"/>
    <w:rsid w:val="00B51C87"/>
    <w:rsid w:val="00B51DB5"/>
    <w:rsid w:val="00B5226D"/>
    <w:rsid w:val="00B5243C"/>
    <w:rsid w:val="00B5258E"/>
    <w:rsid w:val="00B52695"/>
    <w:rsid w:val="00B52830"/>
    <w:rsid w:val="00B5289A"/>
    <w:rsid w:val="00B528FA"/>
    <w:rsid w:val="00B52904"/>
    <w:rsid w:val="00B52916"/>
    <w:rsid w:val="00B52D26"/>
    <w:rsid w:val="00B52D9E"/>
    <w:rsid w:val="00B52DBB"/>
    <w:rsid w:val="00B52DD6"/>
    <w:rsid w:val="00B53063"/>
    <w:rsid w:val="00B534A8"/>
    <w:rsid w:val="00B5360D"/>
    <w:rsid w:val="00B536E9"/>
    <w:rsid w:val="00B53A91"/>
    <w:rsid w:val="00B53B19"/>
    <w:rsid w:val="00B53BC5"/>
    <w:rsid w:val="00B53F73"/>
    <w:rsid w:val="00B5400F"/>
    <w:rsid w:val="00B54065"/>
    <w:rsid w:val="00B5438E"/>
    <w:rsid w:val="00B543C1"/>
    <w:rsid w:val="00B543D1"/>
    <w:rsid w:val="00B5471A"/>
    <w:rsid w:val="00B54740"/>
    <w:rsid w:val="00B54789"/>
    <w:rsid w:val="00B54951"/>
    <w:rsid w:val="00B5495C"/>
    <w:rsid w:val="00B54C80"/>
    <w:rsid w:val="00B54DBE"/>
    <w:rsid w:val="00B54DF9"/>
    <w:rsid w:val="00B54E59"/>
    <w:rsid w:val="00B54FCE"/>
    <w:rsid w:val="00B556BA"/>
    <w:rsid w:val="00B55811"/>
    <w:rsid w:val="00B55817"/>
    <w:rsid w:val="00B55842"/>
    <w:rsid w:val="00B5589D"/>
    <w:rsid w:val="00B55ABC"/>
    <w:rsid w:val="00B55B7D"/>
    <w:rsid w:val="00B55D2D"/>
    <w:rsid w:val="00B55DF6"/>
    <w:rsid w:val="00B55F2D"/>
    <w:rsid w:val="00B560CB"/>
    <w:rsid w:val="00B56373"/>
    <w:rsid w:val="00B56627"/>
    <w:rsid w:val="00B566AB"/>
    <w:rsid w:val="00B566FE"/>
    <w:rsid w:val="00B56755"/>
    <w:rsid w:val="00B56BD3"/>
    <w:rsid w:val="00B56BD8"/>
    <w:rsid w:val="00B56BE0"/>
    <w:rsid w:val="00B56D47"/>
    <w:rsid w:val="00B56D98"/>
    <w:rsid w:val="00B5736D"/>
    <w:rsid w:val="00B57381"/>
    <w:rsid w:val="00B576A0"/>
    <w:rsid w:val="00B577C8"/>
    <w:rsid w:val="00B57989"/>
    <w:rsid w:val="00B57AB8"/>
    <w:rsid w:val="00B57AD2"/>
    <w:rsid w:val="00B57E5C"/>
    <w:rsid w:val="00B57F05"/>
    <w:rsid w:val="00B57FA8"/>
    <w:rsid w:val="00B57FCA"/>
    <w:rsid w:val="00B6059B"/>
    <w:rsid w:val="00B60602"/>
    <w:rsid w:val="00B60737"/>
    <w:rsid w:val="00B6079B"/>
    <w:rsid w:val="00B60A37"/>
    <w:rsid w:val="00B60EE0"/>
    <w:rsid w:val="00B60FC2"/>
    <w:rsid w:val="00B610D2"/>
    <w:rsid w:val="00B6137D"/>
    <w:rsid w:val="00B61872"/>
    <w:rsid w:val="00B6197B"/>
    <w:rsid w:val="00B61BBA"/>
    <w:rsid w:val="00B61BE7"/>
    <w:rsid w:val="00B61CC2"/>
    <w:rsid w:val="00B61D6B"/>
    <w:rsid w:val="00B61DC9"/>
    <w:rsid w:val="00B6225F"/>
    <w:rsid w:val="00B624CD"/>
    <w:rsid w:val="00B6268C"/>
    <w:rsid w:val="00B62921"/>
    <w:rsid w:val="00B629A0"/>
    <w:rsid w:val="00B62BA4"/>
    <w:rsid w:val="00B62DEA"/>
    <w:rsid w:val="00B62E25"/>
    <w:rsid w:val="00B62E51"/>
    <w:rsid w:val="00B62E9E"/>
    <w:rsid w:val="00B63844"/>
    <w:rsid w:val="00B63939"/>
    <w:rsid w:val="00B639AF"/>
    <w:rsid w:val="00B63A32"/>
    <w:rsid w:val="00B63AD3"/>
    <w:rsid w:val="00B63BBE"/>
    <w:rsid w:val="00B63C2B"/>
    <w:rsid w:val="00B63E98"/>
    <w:rsid w:val="00B6401E"/>
    <w:rsid w:val="00B64050"/>
    <w:rsid w:val="00B640AE"/>
    <w:rsid w:val="00B640BC"/>
    <w:rsid w:val="00B640E2"/>
    <w:rsid w:val="00B6454F"/>
    <w:rsid w:val="00B64644"/>
    <w:rsid w:val="00B6468C"/>
    <w:rsid w:val="00B647F1"/>
    <w:rsid w:val="00B64962"/>
    <w:rsid w:val="00B6496A"/>
    <w:rsid w:val="00B649CE"/>
    <w:rsid w:val="00B64B6E"/>
    <w:rsid w:val="00B64BE1"/>
    <w:rsid w:val="00B64EBE"/>
    <w:rsid w:val="00B64FC6"/>
    <w:rsid w:val="00B65172"/>
    <w:rsid w:val="00B6537E"/>
    <w:rsid w:val="00B65621"/>
    <w:rsid w:val="00B65785"/>
    <w:rsid w:val="00B65963"/>
    <w:rsid w:val="00B65A9D"/>
    <w:rsid w:val="00B65CC7"/>
    <w:rsid w:val="00B65DE8"/>
    <w:rsid w:val="00B65DFE"/>
    <w:rsid w:val="00B65E2C"/>
    <w:rsid w:val="00B66123"/>
    <w:rsid w:val="00B662C6"/>
    <w:rsid w:val="00B6634D"/>
    <w:rsid w:val="00B66359"/>
    <w:rsid w:val="00B66398"/>
    <w:rsid w:val="00B663E9"/>
    <w:rsid w:val="00B663F9"/>
    <w:rsid w:val="00B664C6"/>
    <w:rsid w:val="00B66617"/>
    <w:rsid w:val="00B66859"/>
    <w:rsid w:val="00B6693F"/>
    <w:rsid w:val="00B6695F"/>
    <w:rsid w:val="00B66963"/>
    <w:rsid w:val="00B669FC"/>
    <w:rsid w:val="00B67268"/>
    <w:rsid w:val="00B672F7"/>
    <w:rsid w:val="00B67490"/>
    <w:rsid w:val="00B675EE"/>
    <w:rsid w:val="00B675FA"/>
    <w:rsid w:val="00B67617"/>
    <w:rsid w:val="00B67864"/>
    <w:rsid w:val="00B6787A"/>
    <w:rsid w:val="00B678BB"/>
    <w:rsid w:val="00B67901"/>
    <w:rsid w:val="00B67915"/>
    <w:rsid w:val="00B67B38"/>
    <w:rsid w:val="00B67D4D"/>
    <w:rsid w:val="00B701CE"/>
    <w:rsid w:val="00B7034B"/>
    <w:rsid w:val="00B70401"/>
    <w:rsid w:val="00B70557"/>
    <w:rsid w:val="00B70610"/>
    <w:rsid w:val="00B7082F"/>
    <w:rsid w:val="00B71088"/>
    <w:rsid w:val="00B7117A"/>
    <w:rsid w:val="00B7141E"/>
    <w:rsid w:val="00B71522"/>
    <w:rsid w:val="00B71630"/>
    <w:rsid w:val="00B717E6"/>
    <w:rsid w:val="00B7180C"/>
    <w:rsid w:val="00B719B3"/>
    <w:rsid w:val="00B71C1F"/>
    <w:rsid w:val="00B71EDC"/>
    <w:rsid w:val="00B72030"/>
    <w:rsid w:val="00B72512"/>
    <w:rsid w:val="00B7252B"/>
    <w:rsid w:val="00B72744"/>
    <w:rsid w:val="00B72920"/>
    <w:rsid w:val="00B72D06"/>
    <w:rsid w:val="00B72E61"/>
    <w:rsid w:val="00B72F84"/>
    <w:rsid w:val="00B7306A"/>
    <w:rsid w:val="00B73114"/>
    <w:rsid w:val="00B7322C"/>
    <w:rsid w:val="00B73297"/>
    <w:rsid w:val="00B73459"/>
    <w:rsid w:val="00B735E4"/>
    <w:rsid w:val="00B736C8"/>
    <w:rsid w:val="00B7376F"/>
    <w:rsid w:val="00B73844"/>
    <w:rsid w:val="00B73A2B"/>
    <w:rsid w:val="00B73B63"/>
    <w:rsid w:val="00B73CD7"/>
    <w:rsid w:val="00B73D5F"/>
    <w:rsid w:val="00B73FFD"/>
    <w:rsid w:val="00B741FF"/>
    <w:rsid w:val="00B74257"/>
    <w:rsid w:val="00B74314"/>
    <w:rsid w:val="00B74593"/>
    <w:rsid w:val="00B745C8"/>
    <w:rsid w:val="00B74672"/>
    <w:rsid w:val="00B7473E"/>
    <w:rsid w:val="00B74783"/>
    <w:rsid w:val="00B74B0F"/>
    <w:rsid w:val="00B74B38"/>
    <w:rsid w:val="00B74C13"/>
    <w:rsid w:val="00B74F91"/>
    <w:rsid w:val="00B752F5"/>
    <w:rsid w:val="00B7551D"/>
    <w:rsid w:val="00B7592E"/>
    <w:rsid w:val="00B75BA2"/>
    <w:rsid w:val="00B75DC8"/>
    <w:rsid w:val="00B76160"/>
    <w:rsid w:val="00B7617E"/>
    <w:rsid w:val="00B762A9"/>
    <w:rsid w:val="00B762C7"/>
    <w:rsid w:val="00B76328"/>
    <w:rsid w:val="00B76568"/>
    <w:rsid w:val="00B7657A"/>
    <w:rsid w:val="00B7662D"/>
    <w:rsid w:val="00B76995"/>
    <w:rsid w:val="00B769F9"/>
    <w:rsid w:val="00B76B26"/>
    <w:rsid w:val="00B76C7B"/>
    <w:rsid w:val="00B76D2E"/>
    <w:rsid w:val="00B76DA7"/>
    <w:rsid w:val="00B770A7"/>
    <w:rsid w:val="00B770A8"/>
    <w:rsid w:val="00B7720F"/>
    <w:rsid w:val="00B772B6"/>
    <w:rsid w:val="00B774FC"/>
    <w:rsid w:val="00B77639"/>
    <w:rsid w:val="00B77669"/>
    <w:rsid w:val="00B777C3"/>
    <w:rsid w:val="00B77951"/>
    <w:rsid w:val="00B77A26"/>
    <w:rsid w:val="00B77CB5"/>
    <w:rsid w:val="00B77D3D"/>
    <w:rsid w:val="00B77DAB"/>
    <w:rsid w:val="00B77EA7"/>
    <w:rsid w:val="00B77F18"/>
    <w:rsid w:val="00B800F9"/>
    <w:rsid w:val="00B802EF"/>
    <w:rsid w:val="00B8047F"/>
    <w:rsid w:val="00B80490"/>
    <w:rsid w:val="00B80590"/>
    <w:rsid w:val="00B808E5"/>
    <w:rsid w:val="00B80C27"/>
    <w:rsid w:val="00B80FC3"/>
    <w:rsid w:val="00B81332"/>
    <w:rsid w:val="00B813F3"/>
    <w:rsid w:val="00B819F2"/>
    <w:rsid w:val="00B81B0F"/>
    <w:rsid w:val="00B81E46"/>
    <w:rsid w:val="00B81EE1"/>
    <w:rsid w:val="00B81FCE"/>
    <w:rsid w:val="00B8201F"/>
    <w:rsid w:val="00B8204A"/>
    <w:rsid w:val="00B82159"/>
    <w:rsid w:val="00B823A8"/>
    <w:rsid w:val="00B82576"/>
    <w:rsid w:val="00B8287C"/>
    <w:rsid w:val="00B82A69"/>
    <w:rsid w:val="00B82BAF"/>
    <w:rsid w:val="00B82D8C"/>
    <w:rsid w:val="00B8307B"/>
    <w:rsid w:val="00B83103"/>
    <w:rsid w:val="00B83116"/>
    <w:rsid w:val="00B83368"/>
    <w:rsid w:val="00B833E1"/>
    <w:rsid w:val="00B8340B"/>
    <w:rsid w:val="00B8344F"/>
    <w:rsid w:val="00B834FB"/>
    <w:rsid w:val="00B835FA"/>
    <w:rsid w:val="00B83649"/>
    <w:rsid w:val="00B836DF"/>
    <w:rsid w:val="00B8370A"/>
    <w:rsid w:val="00B83B5D"/>
    <w:rsid w:val="00B83C59"/>
    <w:rsid w:val="00B83D45"/>
    <w:rsid w:val="00B83E5C"/>
    <w:rsid w:val="00B83ED8"/>
    <w:rsid w:val="00B83F16"/>
    <w:rsid w:val="00B84076"/>
    <w:rsid w:val="00B84095"/>
    <w:rsid w:val="00B840AD"/>
    <w:rsid w:val="00B841D3"/>
    <w:rsid w:val="00B8456D"/>
    <w:rsid w:val="00B846CA"/>
    <w:rsid w:val="00B84A26"/>
    <w:rsid w:val="00B84BB9"/>
    <w:rsid w:val="00B84CB5"/>
    <w:rsid w:val="00B84EEF"/>
    <w:rsid w:val="00B85017"/>
    <w:rsid w:val="00B85139"/>
    <w:rsid w:val="00B85296"/>
    <w:rsid w:val="00B8538C"/>
    <w:rsid w:val="00B855EC"/>
    <w:rsid w:val="00B858BE"/>
    <w:rsid w:val="00B858E7"/>
    <w:rsid w:val="00B85ABC"/>
    <w:rsid w:val="00B85B19"/>
    <w:rsid w:val="00B85C7C"/>
    <w:rsid w:val="00B85C8C"/>
    <w:rsid w:val="00B85D02"/>
    <w:rsid w:val="00B85E97"/>
    <w:rsid w:val="00B862DA"/>
    <w:rsid w:val="00B8654C"/>
    <w:rsid w:val="00B86748"/>
    <w:rsid w:val="00B867BD"/>
    <w:rsid w:val="00B868CE"/>
    <w:rsid w:val="00B868FD"/>
    <w:rsid w:val="00B86AF5"/>
    <w:rsid w:val="00B86ED5"/>
    <w:rsid w:val="00B86FB3"/>
    <w:rsid w:val="00B86FBE"/>
    <w:rsid w:val="00B86FC3"/>
    <w:rsid w:val="00B8702C"/>
    <w:rsid w:val="00B871D6"/>
    <w:rsid w:val="00B87231"/>
    <w:rsid w:val="00B8723A"/>
    <w:rsid w:val="00B8727F"/>
    <w:rsid w:val="00B87471"/>
    <w:rsid w:val="00B877DC"/>
    <w:rsid w:val="00B87931"/>
    <w:rsid w:val="00B87A4A"/>
    <w:rsid w:val="00B87A5C"/>
    <w:rsid w:val="00B87C98"/>
    <w:rsid w:val="00B87CA0"/>
    <w:rsid w:val="00B87F6D"/>
    <w:rsid w:val="00B90024"/>
    <w:rsid w:val="00B90076"/>
    <w:rsid w:val="00B90087"/>
    <w:rsid w:val="00B900D9"/>
    <w:rsid w:val="00B905F6"/>
    <w:rsid w:val="00B9065D"/>
    <w:rsid w:val="00B909E9"/>
    <w:rsid w:val="00B90A93"/>
    <w:rsid w:val="00B90CB8"/>
    <w:rsid w:val="00B90CC7"/>
    <w:rsid w:val="00B90E7B"/>
    <w:rsid w:val="00B91143"/>
    <w:rsid w:val="00B91145"/>
    <w:rsid w:val="00B911EB"/>
    <w:rsid w:val="00B911EE"/>
    <w:rsid w:val="00B913CF"/>
    <w:rsid w:val="00B914AF"/>
    <w:rsid w:val="00B91628"/>
    <w:rsid w:val="00B917BB"/>
    <w:rsid w:val="00B917C8"/>
    <w:rsid w:val="00B91FE9"/>
    <w:rsid w:val="00B92050"/>
    <w:rsid w:val="00B923C6"/>
    <w:rsid w:val="00B925B0"/>
    <w:rsid w:val="00B926FB"/>
    <w:rsid w:val="00B92873"/>
    <w:rsid w:val="00B9290B"/>
    <w:rsid w:val="00B92977"/>
    <w:rsid w:val="00B929B9"/>
    <w:rsid w:val="00B92B24"/>
    <w:rsid w:val="00B92B53"/>
    <w:rsid w:val="00B92B71"/>
    <w:rsid w:val="00B92BAF"/>
    <w:rsid w:val="00B92FE5"/>
    <w:rsid w:val="00B93191"/>
    <w:rsid w:val="00B933DE"/>
    <w:rsid w:val="00B9386A"/>
    <w:rsid w:val="00B939EC"/>
    <w:rsid w:val="00B93E7B"/>
    <w:rsid w:val="00B93EA6"/>
    <w:rsid w:val="00B93F90"/>
    <w:rsid w:val="00B93F94"/>
    <w:rsid w:val="00B93FA0"/>
    <w:rsid w:val="00B9411A"/>
    <w:rsid w:val="00B9421B"/>
    <w:rsid w:val="00B9427E"/>
    <w:rsid w:val="00B94344"/>
    <w:rsid w:val="00B9464C"/>
    <w:rsid w:val="00B947A5"/>
    <w:rsid w:val="00B94803"/>
    <w:rsid w:val="00B9481E"/>
    <w:rsid w:val="00B94869"/>
    <w:rsid w:val="00B94A5B"/>
    <w:rsid w:val="00B94B26"/>
    <w:rsid w:val="00B94C75"/>
    <w:rsid w:val="00B94E7F"/>
    <w:rsid w:val="00B94EB6"/>
    <w:rsid w:val="00B94FD2"/>
    <w:rsid w:val="00B951F4"/>
    <w:rsid w:val="00B9564E"/>
    <w:rsid w:val="00B956A0"/>
    <w:rsid w:val="00B95A0E"/>
    <w:rsid w:val="00B95F9B"/>
    <w:rsid w:val="00B95FFD"/>
    <w:rsid w:val="00B960C8"/>
    <w:rsid w:val="00B960F6"/>
    <w:rsid w:val="00B964EE"/>
    <w:rsid w:val="00B964F2"/>
    <w:rsid w:val="00B96580"/>
    <w:rsid w:val="00B966D3"/>
    <w:rsid w:val="00B96C56"/>
    <w:rsid w:val="00B96E4B"/>
    <w:rsid w:val="00B97308"/>
    <w:rsid w:val="00B9731F"/>
    <w:rsid w:val="00B974D9"/>
    <w:rsid w:val="00B97609"/>
    <w:rsid w:val="00B977CC"/>
    <w:rsid w:val="00B97855"/>
    <w:rsid w:val="00B97965"/>
    <w:rsid w:val="00B97B5C"/>
    <w:rsid w:val="00B97BDB"/>
    <w:rsid w:val="00B97E04"/>
    <w:rsid w:val="00BA0044"/>
    <w:rsid w:val="00BA011B"/>
    <w:rsid w:val="00BA02EB"/>
    <w:rsid w:val="00BA03D5"/>
    <w:rsid w:val="00BA07D6"/>
    <w:rsid w:val="00BA08B0"/>
    <w:rsid w:val="00BA0954"/>
    <w:rsid w:val="00BA097F"/>
    <w:rsid w:val="00BA098F"/>
    <w:rsid w:val="00BA0B20"/>
    <w:rsid w:val="00BA0C1F"/>
    <w:rsid w:val="00BA0CA4"/>
    <w:rsid w:val="00BA0D77"/>
    <w:rsid w:val="00BA0F43"/>
    <w:rsid w:val="00BA1263"/>
    <w:rsid w:val="00BA1439"/>
    <w:rsid w:val="00BA14D0"/>
    <w:rsid w:val="00BA1695"/>
    <w:rsid w:val="00BA16D4"/>
    <w:rsid w:val="00BA1929"/>
    <w:rsid w:val="00BA1A23"/>
    <w:rsid w:val="00BA1A2B"/>
    <w:rsid w:val="00BA1B95"/>
    <w:rsid w:val="00BA1CD0"/>
    <w:rsid w:val="00BA21F4"/>
    <w:rsid w:val="00BA252C"/>
    <w:rsid w:val="00BA2785"/>
    <w:rsid w:val="00BA29B4"/>
    <w:rsid w:val="00BA2B31"/>
    <w:rsid w:val="00BA2B7E"/>
    <w:rsid w:val="00BA2B7F"/>
    <w:rsid w:val="00BA2D3F"/>
    <w:rsid w:val="00BA2DDF"/>
    <w:rsid w:val="00BA2DEF"/>
    <w:rsid w:val="00BA30B1"/>
    <w:rsid w:val="00BA3204"/>
    <w:rsid w:val="00BA3221"/>
    <w:rsid w:val="00BA343D"/>
    <w:rsid w:val="00BA356D"/>
    <w:rsid w:val="00BA3A81"/>
    <w:rsid w:val="00BA419A"/>
    <w:rsid w:val="00BA41E8"/>
    <w:rsid w:val="00BA4377"/>
    <w:rsid w:val="00BA455F"/>
    <w:rsid w:val="00BA4739"/>
    <w:rsid w:val="00BA477E"/>
    <w:rsid w:val="00BA4AF8"/>
    <w:rsid w:val="00BA4B5F"/>
    <w:rsid w:val="00BA4E04"/>
    <w:rsid w:val="00BA4E29"/>
    <w:rsid w:val="00BA4EAE"/>
    <w:rsid w:val="00BA4F7F"/>
    <w:rsid w:val="00BA507F"/>
    <w:rsid w:val="00BA50F3"/>
    <w:rsid w:val="00BA5230"/>
    <w:rsid w:val="00BA5314"/>
    <w:rsid w:val="00BA536A"/>
    <w:rsid w:val="00BA5486"/>
    <w:rsid w:val="00BA5754"/>
    <w:rsid w:val="00BA5A3E"/>
    <w:rsid w:val="00BA5AE5"/>
    <w:rsid w:val="00BA5B02"/>
    <w:rsid w:val="00BA5CE2"/>
    <w:rsid w:val="00BA5DF3"/>
    <w:rsid w:val="00BA5E4F"/>
    <w:rsid w:val="00BA5FFA"/>
    <w:rsid w:val="00BA6067"/>
    <w:rsid w:val="00BA60D1"/>
    <w:rsid w:val="00BA6409"/>
    <w:rsid w:val="00BA648D"/>
    <w:rsid w:val="00BA6504"/>
    <w:rsid w:val="00BA6587"/>
    <w:rsid w:val="00BA6ACC"/>
    <w:rsid w:val="00BA6CC7"/>
    <w:rsid w:val="00BA6E48"/>
    <w:rsid w:val="00BA6EFE"/>
    <w:rsid w:val="00BA6FCC"/>
    <w:rsid w:val="00BA72A9"/>
    <w:rsid w:val="00BA72B0"/>
    <w:rsid w:val="00BA72F6"/>
    <w:rsid w:val="00BA765B"/>
    <w:rsid w:val="00BA77D2"/>
    <w:rsid w:val="00BA7814"/>
    <w:rsid w:val="00BA79CE"/>
    <w:rsid w:val="00BA7A95"/>
    <w:rsid w:val="00BA7F5B"/>
    <w:rsid w:val="00BA7FD2"/>
    <w:rsid w:val="00BB02F9"/>
    <w:rsid w:val="00BB0387"/>
    <w:rsid w:val="00BB06D4"/>
    <w:rsid w:val="00BB07A0"/>
    <w:rsid w:val="00BB08D6"/>
    <w:rsid w:val="00BB0E9A"/>
    <w:rsid w:val="00BB0FCA"/>
    <w:rsid w:val="00BB0FDF"/>
    <w:rsid w:val="00BB113F"/>
    <w:rsid w:val="00BB1298"/>
    <w:rsid w:val="00BB12B1"/>
    <w:rsid w:val="00BB1494"/>
    <w:rsid w:val="00BB15C3"/>
    <w:rsid w:val="00BB16D7"/>
    <w:rsid w:val="00BB195A"/>
    <w:rsid w:val="00BB1A26"/>
    <w:rsid w:val="00BB1A45"/>
    <w:rsid w:val="00BB1AC2"/>
    <w:rsid w:val="00BB1B15"/>
    <w:rsid w:val="00BB1D21"/>
    <w:rsid w:val="00BB1EFC"/>
    <w:rsid w:val="00BB1FBD"/>
    <w:rsid w:val="00BB20B5"/>
    <w:rsid w:val="00BB2113"/>
    <w:rsid w:val="00BB224A"/>
    <w:rsid w:val="00BB2485"/>
    <w:rsid w:val="00BB24C6"/>
    <w:rsid w:val="00BB2612"/>
    <w:rsid w:val="00BB264B"/>
    <w:rsid w:val="00BB29EF"/>
    <w:rsid w:val="00BB2CD3"/>
    <w:rsid w:val="00BB2D08"/>
    <w:rsid w:val="00BB2D3D"/>
    <w:rsid w:val="00BB2E46"/>
    <w:rsid w:val="00BB2E55"/>
    <w:rsid w:val="00BB3010"/>
    <w:rsid w:val="00BB30E1"/>
    <w:rsid w:val="00BB3173"/>
    <w:rsid w:val="00BB3234"/>
    <w:rsid w:val="00BB325E"/>
    <w:rsid w:val="00BB3311"/>
    <w:rsid w:val="00BB3395"/>
    <w:rsid w:val="00BB3543"/>
    <w:rsid w:val="00BB37F1"/>
    <w:rsid w:val="00BB396E"/>
    <w:rsid w:val="00BB39FB"/>
    <w:rsid w:val="00BB3A85"/>
    <w:rsid w:val="00BB3AF8"/>
    <w:rsid w:val="00BB40DD"/>
    <w:rsid w:val="00BB41B1"/>
    <w:rsid w:val="00BB41CD"/>
    <w:rsid w:val="00BB459D"/>
    <w:rsid w:val="00BB46D3"/>
    <w:rsid w:val="00BB472A"/>
    <w:rsid w:val="00BB4906"/>
    <w:rsid w:val="00BB4B79"/>
    <w:rsid w:val="00BB4E17"/>
    <w:rsid w:val="00BB4E2B"/>
    <w:rsid w:val="00BB5093"/>
    <w:rsid w:val="00BB5191"/>
    <w:rsid w:val="00BB520E"/>
    <w:rsid w:val="00BB5287"/>
    <w:rsid w:val="00BB5785"/>
    <w:rsid w:val="00BB57A2"/>
    <w:rsid w:val="00BB58E7"/>
    <w:rsid w:val="00BB5AB0"/>
    <w:rsid w:val="00BB5D6F"/>
    <w:rsid w:val="00BB6386"/>
    <w:rsid w:val="00BB6455"/>
    <w:rsid w:val="00BB654E"/>
    <w:rsid w:val="00BB66D5"/>
    <w:rsid w:val="00BB6777"/>
    <w:rsid w:val="00BB68A0"/>
    <w:rsid w:val="00BB6C55"/>
    <w:rsid w:val="00BB6DC0"/>
    <w:rsid w:val="00BB6DCF"/>
    <w:rsid w:val="00BB6E30"/>
    <w:rsid w:val="00BB6F6C"/>
    <w:rsid w:val="00BB706C"/>
    <w:rsid w:val="00BB74B2"/>
    <w:rsid w:val="00BB74B6"/>
    <w:rsid w:val="00BB74E2"/>
    <w:rsid w:val="00BB76AA"/>
    <w:rsid w:val="00BB76C8"/>
    <w:rsid w:val="00BB76CB"/>
    <w:rsid w:val="00BB784F"/>
    <w:rsid w:val="00BB79E7"/>
    <w:rsid w:val="00BB7AE0"/>
    <w:rsid w:val="00BB7D7A"/>
    <w:rsid w:val="00BB7D9C"/>
    <w:rsid w:val="00BB7F0C"/>
    <w:rsid w:val="00BC0704"/>
    <w:rsid w:val="00BC07EA"/>
    <w:rsid w:val="00BC0D37"/>
    <w:rsid w:val="00BC0E89"/>
    <w:rsid w:val="00BC0E90"/>
    <w:rsid w:val="00BC0EA4"/>
    <w:rsid w:val="00BC0EEC"/>
    <w:rsid w:val="00BC0EF8"/>
    <w:rsid w:val="00BC0FC5"/>
    <w:rsid w:val="00BC0FDC"/>
    <w:rsid w:val="00BC1061"/>
    <w:rsid w:val="00BC119F"/>
    <w:rsid w:val="00BC1594"/>
    <w:rsid w:val="00BC1671"/>
    <w:rsid w:val="00BC184F"/>
    <w:rsid w:val="00BC187D"/>
    <w:rsid w:val="00BC1D9C"/>
    <w:rsid w:val="00BC1F4F"/>
    <w:rsid w:val="00BC2438"/>
    <w:rsid w:val="00BC24B5"/>
    <w:rsid w:val="00BC25A4"/>
    <w:rsid w:val="00BC2835"/>
    <w:rsid w:val="00BC291D"/>
    <w:rsid w:val="00BC2C51"/>
    <w:rsid w:val="00BC2E1B"/>
    <w:rsid w:val="00BC2E2B"/>
    <w:rsid w:val="00BC30FD"/>
    <w:rsid w:val="00BC33A1"/>
    <w:rsid w:val="00BC362E"/>
    <w:rsid w:val="00BC37D1"/>
    <w:rsid w:val="00BC37D2"/>
    <w:rsid w:val="00BC38A1"/>
    <w:rsid w:val="00BC396B"/>
    <w:rsid w:val="00BC3D7E"/>
    <w:rsid w:val="00BC3D7F"/>
    <w:rsid w:val="00BC3F47"/>
    <w:rsid w:val="00BC41ED"/>
    <w:rsid w:val="00BC4224"/>
    <w:rsid w:val="00BC4229"/>
    <w:rsid w:val="00BC4349"/>
    <w:rsid w:val="00BC4578"/>
    <w:rsid w:val="00BC46D6"/>
    <w:rsid w:val="00BC4959"/>
    <w:rsid w:val="00BC4C22"/>
    <w:rsid w:val="00BC4F0C"/>
    <w:rsid w:val="00BC500E"/>
    <w:rsid w:val="00BC517C"/>
    <w:rsid w:val="00BC51A0"/>
    <w:rsid w:val="00BC5372"/>
    <w:rsid w:val="00BC5389"/>
    <w:rsid w:val="00BC53DA"/>
    <w:rsid w:val="00BC55B4"/>
    <w:rsid w:val="00BC5880"/>
    <w:rsid w:val="00BC58EB"/>
    <w:rsid w:val="00BC5C3A"/>
    <w:rsid w:val="00BC5EE6"/>
    <w:rsid w:val="00BC60D9"/>
    <w:rsid w:val="00BC60EA"/>
    <w:rsid w:val="00BC60EC"/>
    <w:rsid w:val="00BC6663"/>
    <w:rsid w:val="00BC6771"/>
    <w:rsid w:val="00BC6B60"/>
    <w:rsid w:val="00BC6C79"/>
    <w:rsid w:val="00BC6F43"/>
    <w:rsid w:val="00BC70F3"/>
    <w:rsid w:val="00BC713B"/>
    <w:rsid w:val="00BC71FA"/>
    <w:rsid w:val="00BC74C0"/>
    <w:rsid w:val="00BC7658"/>
    <w:rsid w:val="00BC776A"/>
    <w:rsid w:val="00BC7805"/>
    <w:rsid w:val="00BC7918"/>
    <w:rsid w:val="00BC7928"/>
    <w:rsid w:val="00BC7B3C"/>
    <w:rsid w:val="00BC7B6B"/>
    <w:rsid w:val="00BC7C35"/>
    <w:rsid w:val="00BC7C9F"/>
    <w:rsid w:val="00BC7E48"/>
    <w:rsid w:val="00BC7E73"/>
    <w:rsid w:val="00BD0028"/>
    <w:rsid w:val="00BD0153"/>
    <w:rsid w:val="00BD015D"/>
    <w:rsid w:val="00BD01E8"/>
    <w:rsid w:val="00BD02D2"/>
    <w:rsid w:val="00BD02DE"/>
    <w:rsid w:val="00BD02ED"/>
    <w:rsid w:val="00BD0581"/>
    <w:rsid w:val="00BD06BB"/>
    <w:rsid w:val="00BD080A"/>
    <w:rsid w:val="00BD0892"/>
    <w:rsid w:val="00BD0A41"/>
    <w:rsid w:val="00BD0C27"/>
    <w:rsid w:val="00BD0F47"/>
    <w:rsid w:val="00BD0F97"/>
    <w:rsid w:val="00BD10F7"/>
    <w:rsid w:val="00BD11A5"/>
    <w:rsid w:val="00BD122F"/>
    <w:rsid w:val="00BD1250"/>
    <w:rsid w:val="00BD19DB"/>
    <w:rsid w:val="00BD1A34"/>
    <w:rsid w:val="00BD1D38"/>
    <w:rsid w:val="00BD2064"/>
    <w:rsid w:val="00BD2081"/>
    <w:rsid w:val="00BD239A"/>
    <w:rsid w:val="00BD2504"/>
    <w:rsid w:val="00BD29E4"/>
    <w:rsid w:val="00BD2C6C"/>
    <w:rsid w:val="00BD2EB2"/>
    <w:rsid w:val="00BD2F86"/>
    <w:rsid w:val="00BD2FEF"/>
    <w:rsid w:val="00BD307E"/>
    <w:rsid w:val="00BD329E"/>
    <w:rsid w:val="00BD34E2"/>
    <w:rsid w:val="00BD3501"/>
    <w:rsid w:val="00BD3683"/>
    <w:rsid w:val="00BD3720"/>
    <w:rsid w:val="00BD383C"/>
    <w:rsid w:val="00BD3870"/>
    <w:rsid w:val="00BD3A63"/>
    <w:rsid w:val="00BD3B70"/>
    <w:rsid w:val="00BD3DDA"/>
    <w:rsid w:val="00BD40E0"/>
    <w:rsid w:val="00BD41C1"/>
    <w:rsid w:val="00BD43A9"/>
    <w:rsid w:val="00BD45A3"/>
    <w:rsid w:val="00BD4784"/>
    <w:rsid w:val="00BD47E8"/>
    <w:rsid w:val="00BD4878"/>
    <w:rsid w:val="00BD4A2F"/>
    <w:rsid w:val="00BD4A37"/>
    <w:rsid w:val="00BD5102"/>
    <w:rsid w:val="00BD530E"/>
    <w:rsid w:val="00BD534C"/>
    <w:rsid w:val="00BD538E"/>
    <w:rsid w:val="00BD563D"/>
    <w:rsid w:val="00BD570B"/>
    <w:rsid w:val="00BD5AB0"/>
    <w:rsid w:val="00BD5BCC"/>
    <w:rsid w:val="00BD5BF2"/>
    <w:rsid w:val="00BD5DC6"/>
    <w:rsid w:val="00BD5E27"/>
    <w:rsid w:val="00BD5F75"/>
    <w:rsid w:val="00BD60AC"/>
    <w:rsid w:val="00BD60EA"/>
    <w:rsid w:val="00BD6428"/>
    <w:rsid w:val="00BD69ED"/>
    <w:rsid w:val="00BD6D38"/>
    <w:rsid w:val="00BD6D44"/>
    <w:rsid w:val="00BD70D1"/>
    <w:rsid w:val="00BD71E4"/>
    <w:rsid w:val="00BD71F1"/>
    <w:rsid w:val="00BD7389"/>
    <w:rsid w:val="00BD746C"/>
    <w:rsid w:val="00BD7885"/>
    <w:rsid w:val="00BD78F9"/>
    <w:rsid w:val="00BD7A2B"/>
    <w:rsid w:val="00BD7AF7"/>
    <w:rsid w:val="00BD7F1D"/>
    <w:rsid w:val="00BE00F3"/>
    <w:rsid w:val="00BE0AAA"/>
    <w:rsid w:val="00BE0D7F"/>
    <w:rsid w:val="00BE0D99"/>
    <w:rsid w:val="00BE0EB7"/>
    <w:rsid w:val="00BE0FF7"/>
    <w:rsid w:val="00BE1059"/>
    <w:rsid w:val="00BE10EB"/>
    <w:rsid w:val="00BE1313"/>
    <w:rsid w:val="00BE132A"/>
    <w:rsid w:val="00BE15AA"/>
    <w:rsid w:val="00BE1900"/>
    <w:rsid w:val="00BE1A42"/>
    <w:rsid w:val="00BE1B4D"/>
    <w:rsid w:val="00BE1D3D"/>
    <w:rsid w:val="00BE1E5D"/>
    <w:rsid w:val="00BE1F5F"/>
    <w:rsid w:val="00BE2055"/>
    <w:rsid w:val="00BE2124"/>
    <w:rsid w:val="00BE22A9"/>
    <w:rsid w:val="00BE24EE"/>
    <w:rsid w:val="00BE25C2"/>
    <w:rsid w:val="00BE2685"/>
    <w:rsid w:val="00BE2782"/>
    <w:rsid w:val="00BE27EA"/>
    <w:rsid w:val="00BE294F"/>
    <w:rsid w:val="00BE29FE"/>
    <w:rsid w:val="00BE2B0C"/>
    <w:rsid w:val="00BE2DDE"/>
    <w:rsid w:val="00BE2F84"/>
    <w:rsid w:val="00BE30FF"/>
    <w:rsid w:val="00BE32DC"/>
    <w:rsid w:val="00BE34D6"/>
    <w:rsid w:val="00BE3796"/>
    <w:rsid w:val="00BE37B3"/>
    <w:rsid w:val="00BE38CD"/>
    <w:rsid w:val="00BE38F5"/>
    <w:rsid w:val="00BE3988"/>
    <w:rsid w:val="00BE43B2"/>
    <w:rsid w:val="00BE44A3"/>
    <w:rsid w:val="00BE483F"/>
    <w:rsid w:val="00BE4934"/>
    <w:rsid w:val="00BE4D0E"/>
    <w:rsid w:val="00BE5284"/>
    <w:rsid w:val="00BE539E"/>
    <w:rsid w:val="00BE5835"/>
    <w:rsid w:val="00BE5999"/>
    <w:rsid w:val="00BE59E7"/>
    <w:rsid w:val="00BE5D02"/>
    <w:rsid w:val="00BE5FD0"/>
    <w:rsid w:val="00BE60BE"/>
    <w:rsid w:val="00BE6192"/>
    <w:rsid w:val="00BE64D7"/>
    <w:rsid w:val="00BE66AF"/>
    <w:rsid w:val="00BE6872"/>
    <w:rsid w:val="00BE69A6"/>
    <w:rsid w:val="00BE6A1D"/>
    <w:rsid w:val="00BE6CEC"/>
    <w:rsid w:val="00BE6E72"/>
    <w:rsid w:val="00BE6EEE"/>
    <w:rsid w:val="00BE6F56"/>
    <w:rsid w:val="00BE6FA0"/>
    <w:rsid w:val="00BE6FE7"/>
    <w:rsid w:val="00BE76C9"/>
    <w:rsid w:val="00BE794A"/>
    <w:rsid w:val="00BE7AB6"/>
    <w:rsid w:val="00BE7C9D"/>
    <w:rsid w:val="00BF0407"/>
    <w:rsid w:val="00BF0511"/>
    <w:rsid w:val="00BF08B4"/>
    <w:rsid w:val="00BF098E"/>
    <w:rsid w:val="00BF09DE"/>
    <w:rsid w:val="00BF0BEB"/>
    <w:rsid w:val="00BF0C6C"/>
    <w:rsid w:val="00BF0E90"/>
    <w:rsid w:val="00BF0F43"/>
    <w:rsid w:val="00BF0F83"/>
    <w:rsid w:val="00BF112F"/>
    <w:rsid w:val="00BF1170"/>
    <w:rsid w:val="00BF1175"/>
    <w:rsid w:val="00BF1343"/>
    <w:rsid w:val="00BF136D"/>
    <w:rsid w:val="00BF13D1"/>
    <w:rsid w:val="00BF1634"/>
    <w:rsid w:val="00BF19A1"/>
    <w:rsid w:val="00BF19BD"/>
    <w:rsid w:val="00BF1A1F"/>
    <w:rsid w:val="00BF1B51"/>
    <w:rsid w:val="00BF1E77"/>
    <w:rsid w:val="00BF1F15"/>
    <w:rsid w:val="00BF21BD"/>
    <w:rsid w:val="00BF2250"/>
    <w:rsid w:val="00BF22E0"/>
    <w:rsid w:val="00BF2419"/>
    <w:rsid w:val="00BF244F"/>
    <w:rsid w:val="00BF277C"/>
    <w:rsid w:val="00BF2A7E"/>
    <w:rsid w:val="00BF2BCF"/>
    <w:rsid w:val="00BF2C16"/>
    <w:rsid w:val="00BF33FF"/>
    <w:rsid w:val="00BF37D1"/>
    <w:rsid w:val="00BF3904"/>
    <w:rsid w:val="00BF3CD9"/>
    <w:rsid w:val="00BF3D0B"/>
    <w:rsid w:val="00BF3DE5"/>
    <w:rsid w:val="00BF3E71"/>
    <w:rsid w:val="00BF3E7A"/>
    <w:rsid w:val="00BF3E84"/>
    <w:rsid w:val="00BF4088"/>
    <w:rsid w:val="00BF40ED"/>
    <w:rsid w:val="00BF42E0"/>
    <w:rsid w:val="00BF4342"/>
    <w:rsid w:val="00BF46BB"/>
    <w:rsid w:val="00BF477D"/>
    <w:rsid w:val="00BF4903"/>
    <w:rsid w:val="00BF4BC3"/>
    <w:rsid w:val="00BF4D29"/>
    <w:rsid w:val="00BF4D92"/>
    <w:rsid w:val="00BF4D93"/>
    <w:rsid w:val="00BF4F3B"/>
    <w:rsid w:val="00BF5044"/>
    <w:rsid w:val="00BF5082"/>
    <w:rsid w:val="00BF5118"/>
    <w:rsid w:val="00BF521D"/>
    <w:rsid w:val="00BF534E"/>
    <w:rsid w:val="00BF53F3"/>
    <w:rsid w:val="00BF5498"/>
    <w:rsid w:val="00BF55A7"/>
    <w:rsid w:val="00BF570D"/>
    <w:rsid w:val="00BF5B9C"/>
    <w:rsid w:val="00BF5C63"/>
    <w:rsid w:val="00BF5D61"/>
    <w:rsid w:val="00BF5D96"/>
    <w:rsid w:val="00BF5F7A"/>
    <w:rsid w:val="00BF5FC5"/>
    <w:rsid w:val="00BF6251"/>
    <w:rsid w:val="00BF6567"/>
    <w:rsid w:val="00BF67B1"/>
    <w:rsid w:val="00BF6887"/>
    <w:rsid w:val="00BF6A92"/>
    <w:rsid w:val="00BF6AFF"/>
    <w:rsid w:val="00BF6EC0"/>
    <w:rsid w:val="00BF7155"/>
    <w:rsid w:val="00BF7568"/>
    <w:rsid w:val="00BF75CE"/>
    <w:rsid w:val="00BF7675"/>
    <w:rsid w:val="00BF768D"/>
    <w:rsid w:val="00BF76FE"/>
    <w:rsid w:val="00BF79DF"/>
    <w:rsid w:val="00BF7A60"/>
    <w:rsid w:val="00BF7B16"/>
    <w:rsid w:val="00BF7D32"/>
    <w:rsid w:val="00C00178"/>
    <w:rsid w:val="00C001E4"/>
    <w:rsid w:val="00C00217"/>
    <w:rsid w:val="00C0027F"/>
    <w:rsid w:val="00C0048D"/>
    <w:rsid w:val="00C00557"/>
    <w:rsid w:val="00C006FE"/>
    <w:rsid w:val="00C007B6"/>
    <w:rsid w:val="00C007DD"/>
    <w:rsid w:val="00C00888"/>
    <w:rsid w:val="00C0090E"/>
    <w:rsid w:val="00C0094F"/>
    <w:rsid w:val="00C00A10"/>
    <w:rsid w:val="00C00AA0"/>
    <w:rsid w:val="00C00E73"/>
    <w:rsid w:val="00C00F40"/>
    <w:rsid w:val="00C00F41"/>
    <w:rsid w:val="00C00F6F"/>
    <w:rsid w:val="00C013A6"/>
    <w:rsid w:val="00C0154C"/>
    <w:rsid w:val="00C01882"/>
    <w:rsid w:val="00C018BF"/>
    <w:rsid w:val="00C0192F"/>
    <w:rsid w:val="00C019F3"/>
    <w:rsid w:val="00C01C0F"/>
    <w:rsid w:val="00C01CBA"/>
    <w:rsid w:val="00C02010"/>
    <w:rsid w:val="00C02107"/>
    <w:rsid w:val="00C02505"/>
    <w:rsid w:val="00C0289E"/>
    <w:rsid w:val="00C02951"/>
    <w:rsid w:val="00C02A9D"/>
    <w:rsid w:val="00C02BDA"/>
    <w:rsid w:val="00C02BEC"/>
    <w:rsid w:val="00C03119"/>
    <w:rsid w:val="00C03537"/>
    <w:rsid w:val="00C03797"/>
    <w:rsid w:val="00C03866"/>
    <w:rsid w:val="00C0391A"/>
    <w:rsid w:val="00C03B18"/>
    <w:rsid w:val="00C03B61"/>
    <w:rsid w:val="00C03C5E"/>
    <w:rsid w:val="00C03D92"/>
    <w:rsid w:val="00C04043"/>
    <w:rsid w:val="00C04413"/>
    <w:rsid w:val="00C04850"/>
    <w:rsid w:val="00C049DC"/>
    <w:rsid w:val="00C04C91"/>
    <w:rsid w:val="00C04D39"/>
    <w:rsid w:val="00C04DEB"/>
    <w:rsid w:val="00C04E63"/>
    <w:rsid w:val="00C04F33"/>
    <w:rsid w:val="00C05063"/>
    <w:rsid w:val="00C05097"/>
    <w:rsid w:val="00C05222"/>
    <w:rsid w:val="00C055D0"/>
    <w:rsid w:val="00C0563C"/>
    <w:rsid w:val="00C058B6"/>
    <w:rsid w:val="00C05A2E"/>
    <w:rsid w:val="00C05A46"/>
    <w:rsid w:val="00C05E7B"/>
    <w:rsid w:val="00C06187"/>
    <w:rsid w:val="00C061AE"/>
    <w:rsid w:val="00C061C4"/>
    <w:rsid w:val="00C06205"/>
    <w:rsid w:val="00C062ED"/>
    <w:rsid w:val="00C063DA"/>
    <w:rsid w:val="00C06412"/>
    <w:rsid w:val="00C065BB"/>
    <w:rsid w:val="00C06614"/>
    <w:rsid w:val="00C0685F"/>
    <w:rsid w:val="00C0691C"/>
    <w:rsid w:val="00C06E3B"/>
    <w:rsid w:val="00C06F2C"/>
    <w:rsid w:val="00C072F6"/>
    <w:rsid w:val="00C0754C"/>
    <w:rsid w:val="00C078DF"/>
    <w:rsid w:val="00C07ABD"/>
    <w:rsid w:val="00C07B1A"/>
    <w:rsid w:val="00C07EA4"/>
    <w:rsid w:val="00C10010"/>
    <w:rsid w:val="00C10242"/>
    <w:rsid w:val="00C104F0"/>
    <w:rsid w:val="00C106E8"/>
    <w:rsid w:val="00C10ADA"/>
    <w:rsid w:val="00C10C6D"/>
    <w:rsid w:val="00C10E6B"/>
    <w:rsid w:val="00C11032"/>
    <w:rsid w:val="00C110B1"/>
    <w:rsid w:val="00C110EB"/>
    <w:rsid w:val="00C111F1"/>
    <w:rsid w:val="00C1123A"/>
    <w:rsid w:val="00C115F1"/>
    <w:rsid w:val="00C117A5"/>
    <w:rsid w:val="00C11960"/>
    <w:rsid w:val="00C11BA2"/>
    <w:rsid w:val="00C11C5A"/>
    <w:rsid w:val="00C11C9B"/>
    <w:rsid w:val="00C11E3D"/>
    <w:rsid w:val="00C120E4"/>
    <w:rsid w:val="00C12254"/>
    <w:rsid w:val="00C12301"/>
    <w:rsid w:val="00C1237F"/>
    <w:rsid w:val="00C1242E"/>
    <w:rsid w:val="00C12479"/>
    <w:rsid w:val="00C1276F"/>
    <w:rsid w:val="00C127E5"/>
    <w:rsid w:val="00C12935"/>
    <w:rsid w:val="00C12B5F"/>
    <w:rsid w:val="00C12BE3"/>
    <w:rsid w:val="00C12C22"/>
    <w:rsid w:val="00C12C9D"/>
    <w:rsid w:val="00C12CC0"/>
    <w:rsid w:val="00C12D00"/>
    <w:rsid w:val="00C12DBD"/>
    <w:rsid w:val="00C12FE2"/>
    <w:rsid w:val="00C1307B"/>
    <w:rsid w:val="00C131F6"/>
    <w:rsid w:val="00C132D5"/>
    <w:rsid w:val="00C133AA"/>
    <w:rsid w:val="00C1356C"/>
    <w:rsid w:val="00C135F1"/>
    <w:rsid w:val="00C13A58"/>
    <w:rsid w:val="00C13BDF"/>
    <w:rsid w:val="00C13D08"/>
    <w:rsid w:val="00C13DCD"/>
    <w:rsid w:val="00C13E7E"/>
    <w:rsid w:val="00C13FD1"/>
    <w:rsid w:val="00C14312"/>
    <w:rsid w:val="00C1435D"/>
    <w:rsid w:val="00C143B5"/>
    <w:rsid w:val="00C144E4"/>
    <w:rsid w:val="00C14504"/>
    <w:rsid w:val="00C14664"/>
    <w:rsid w:val="00C146DD"/>
    <w:rsid w:val="00C146E7"/>
    <w:rsid w:val="00C149C9"/>
    <w:rsid w:val="00C14E68"/>
    <w:rsid w:val="00C1502F"/>
    <w:rsid w:val="00C15424"/>
    <w:rsid w:val="00C15569"/>
    <w:rsid w:val="00C15640"/>
    <w:rsid w:val="00C156D0"/>
    <w:rsid w:val="00C15EE7"/>
    <w:rsid w:val="00C15F2E"/>
    <w:rsid w:val="00C162B2"/>
    <w:rsid w:val="00C166FF"/>
    <w:rsid w:val="00C16804"/>
    <w:rsid w:val="00C168E2"/>
    <w:rsid w:val="00C169AF"/>
    <w:rsid w:val="00C16EEC"/>
    <w:rsid w:val="00C17045"/>
    <w:rsid w:val="00C17142"/>
    <w:rsid w:val="00C17154"/>
    <w:rsid w:val="00C172E5"/>
    <w:rsid w:val="00C173A0"/>
    <w:rsid w:val="00C1740B"/>
    <w:rsid w:val="00C1749A"/>
    <w:rsid w:val="00C178A3"/>
    <w:rsid w:val="00C178D5"/>
    <w:rsid w:val="00C178E9"/>
    <w:rsid w:val="00C17A12"/>
    <w:rsid w:val="00C17C82"/>
    <w:rsid w:val="00C200C9"/>
    <w:rsid w:val="00C202A6"/>
    <w:rsid w:val="00C208E6"/>
    <w:rsid w:val="00C208F7"/>
    <w:rsid w:val="00C209DD"/>
    <w:rsid w:val="00C20A7E"/>
    <w:rsid w:val="00C20CA0"/>
    <w:rsid w:val="00C21484"/>
    <w:rsid w:val="00C215FC"/>
    <w:rsid w:val="00C21646"/>
    <w:rsid w:val="00C2186C"/>
    <w:rsid w:val="00C2186D"/>
    <w:rsid w:val="00C218FE"/>
    <w:rsid w:val="00C21AB9"/>
    <w:rsid w:val="00C21AFC"/>
    <w:rsid w:val="00C21CCD"/>
    <w:rsid w:val="00C22108"/>
    <w:rsid w:val="00C22464"/>
    <w:rsid w:val="00C2263B"/>
    <w:rsid w:val="00C226F0"/>
    <w:rsid w:val="00C227A4"/>
    <w:rsid w:val="00C229AB"/>
    <w:rsid w:val="00C22A36"/>
    <w:rsid w:val="00C22A9A"/>
    <w:rsid w:val="00C22B03"/>
    <w:rsid w:val="00C22C21"/>
    <w:rsid w:val="00C22E67"/>
    <w:rsid w:val="00C22E6B"/>
    <w:rsid w:val="00C22EBA"/>
    <w:rsid w:val="00C22F34"/>
    <w:rsid w:val="00C230E3"/>
    <w:rsid w:val="00C232E1"/>
    <w:rsid w:val="00C2333A"/>
    <w:rsid w:val="00C233B9"/>
    <w:rsid w:val="00C235D5"/>
    <w:rsid w:val="00C23689"/>
    <w:rsid w:val="00C236A8"/>
    <w:rsid w:val="00C23854"/>
    <w:rsid w:val="00C23D24"/>
    <w:rsid w:val="00C23EC3"/>
    <w:rsid w:val="00C23FF0"/>
    <w:rsid w:val="00C241C6"/>
    <w:rsid w:val="00C2440D"/>
    <w:rsid w:val="00C244FC"/>
    <w:rsid w:val="00C2450F"/>
    <w:rsid w:val="00C24560"/>
    <w:rsid w:val="00C2459B"/>
    <w:rsid w:val="00C245B5"/>
    <w:rsid w:val="00C24623"/>
    <w:rsid w:val="00C24AB5"/>
    <w:rsid w:val="00C24BC0"/>
    <w:rsid w:val="00C24C0B"/>
    <w:rsid w:val="00C24D10"/>
    <w:rsid w:val="00C24DAB"/>
    <w:rsid w:val="00C24FB7"/>
    <w:rsid w:val="00C24FD6"/>
    <w:rsid w:val="00C2544C"/>
    <w:rsid w:val="00C25486"/>
    <w:rsid w:val="00C255AA"/>
    <w:rsid w:val="00C255EE"/>
    <w:rsid w:val="00C2562E"/>
    <w:rsid w:val="00C25753"/>
    <w:rsid w:val="00C25908"/>
    <w:rsid w:val="00C25A4B"/>
    <w:rsid w:val="00C25CD6"/>
    <w:rsid w:val="00C26317"/>
    <w:rsid w:val="00C2643F"/>
    <w:rsid w:val="00C264CF"/>
    <w:rsid w:val="00C2665B"/>
    <w:rsid w:val="00C2696C"/>
    <w:rsid w:val="00C269A0"/>
    <w:rsid w:val="00C26A37"/>
    <w:rsid w:val="00C26CCA"/>
    <w:rsid w:val="00C27365"/>
    <w:rsid w:val="00C2746B"/>
    <w:rsid w:val="00C27526"/>
    <w:rsid w:val="00C27678"/>
    <w:rsid w:val="00C276F0"/>
    <w:rsid w:val="00C2785C"/>
    <w:rsid w:val="00C27962"/>
    <w:rsid w:val="00C279BB"/>
    <w:rsid w:val="00C279E3"/>
    <w:rsid w:val="00C27A84"/>
    <w:rsid w:val="00C27B81"/>
    <w:rsid w:val="00C27BA6"/>
    <w:rsid w:val="00C27E7A"/>
    <w:rsid w:val="00C27EFD"/>
    <w:rsid w:val="00C27F0A"/>
    <w:rsid w:val="00C30023"/>
    <w:rsid w:val="00C304D4"/>
    <w:rsid w:val="00C304E5"/>
    <w:rsid w:val="00C30510"/>
    <w:rsid w:val="00C30570"/>
    <w:rsid w:val="00C30977"/>
    <w:rsid w:val="00C30AD9"/>
    <w:rsid w:val="00C30C45"/>
    <w:rsid w:val="00C30DA3"/>
    <w:rsid w:val="00C30DB2"/>
    <w:rsid w:val="00C30DBC"/>
    <w:rsid w:val="00C30E92"/>
    <w:rsid w:val="00C310DE"/>
    <w:rsid w:val="00C31188"/>
    <w:rsid w:val="00C3127D"/>
    <w:rsid w:val="00C31478"/>
    <w:rsid w:val="00C31820"/>
    <w:rsid w:val="00C318DB"/>
    <w:rsid w:val="00C318E8"/>
    <w:rsid w:val="00C31940"/>
    <w:rsid w:val="00C31BC1"/>
    <w:rsid w:val="00C31D7D"/>
    <w:rsid w:val="00C31E4C"/>
    <w:rsid w:val="00C31F54"/>
    <w:rsid w:val="00C31FA6"/>
    <w:rsid w:val="00C32050"/>
    <w:rsid w:val="00C3205E"/>
    <w:rsid w:val="00C32198"/>
    <w:rsid w:val="00C32236"/>
    <w:rsid w:val="00C323F1"/>
    <w:rsid w:val="00C32432"/>
    <w:rsid w:val="00C32548"/>
    <w:rsid w:val="00C32669"/>
    <w:rsid w:val="00C326B4"/>
    <w:rsid w:val="00C327D2"/>
    <w:rsid w:val="00C327DA"/>
    <w:rsid w:val="00C32B54"/>
    <w:rsid w:val="00C32C0A"/>
    <w:rsid w:val="00C32C0C"/>
    <w:rsid w:val="00C32C44"/>
    <w:rsid w:val="00C3311A"/>
    <w:rsid w:val="00C333C5"/>
    <w:rsid w:val="00C335FC"/>
    <w:rsid w:val="00C337E4"/>
    <w:rsid w:val="00C33CE6"/>
    <w:rsid w:val="00C33DF1"/>
    <w:rsid w:val="00C33E6D"/>
    <w:rsid w:val="00C33EF7"/>
    <w:rsid w:val="00C34197"/>
    <w:rsid w:val="00C34237"/>
    <w:rsid w:val="00C342EE"/>
    <w:rsid w:val="00C34384"/>
    <w:rsid w:val="00C343E6"/>
    <w:rsid w:val="00C345AA"/>
    <w:rsid w:val="00C346BB"/>
    <w:rsid w:val="00C346EB"/>
    <w:rsid w:val="00C34789"/>
    <w:rsid w:val="00C34979"/>
    <w:rsid w:val="00C34F1A"/>
    <w:rsid w:val="00C34F43"/>
    <w:rsid w:val="00C350B1"/>
    <w:rsid w:val="00C35244"/>
    <w:rsid w:val="00C355FA"/>
    <w:rsid w:val="00C35633"/>
    <w:rsid w:val="00C35D34"/>
    <w:rsid w:val="00C35D4F"/>
    <w:rsid w:val="00C35DE0"/>
    <w:rsid w:val="00C35F6A"/>
    <w:rsid w:val="00C362AC"/>
    <w:rsid w:val="00C3631A"/>
    <w:rsid w:val="00C363D6"/>
    <w:rsid w:val="00C363E2"/>
    <w:rsid w:val="00C3646C"/>
    <w:rsid w:val="00C365DD"/>
    <w:rsid w:val="00C3669A"/>
    <w:rsid w:val="00C36755"/>
    <w:rsid w:val="00C368E5"/>
    <w:rsid w:val="00C36DA4"/>
    <w:rsid w:val="00C36E96"/>
    <w:rsid w:val="00C36EE7"/>
    <w:rsid w:val="00C36EFF"/>
    <w:rsid w:val="00C370B7"/>
    <w:rsid w:val="00C370CE"/>
    <w:rsid w:val="00C3710C"/>
    <w:rsid w:val="00C3723C"/>
    <w:rsid w:val="00C37446"/>
    <w:rsid w:val="00C37621"/>
    <w:rsid w:val="00C37A33"/>
    <w:rsid w:val="00C37AB3"/>
    <w:rsid w:val="00C400EB"/>
    <w:rsid w:val="00C40184"/>
    <w:rsid w:val="00C40322"/>
    <w:rsid w:val="00C40543"/>
    <w:rsid w:val="00C405BA"/>
    <w:rsid w:val="00C40685"/>
    <w:rsid w:val="00C406AE"/>
    <w:rsid w:val="00C40B88"/>
    <w:rsid w:val="00C40D18"/>
    <w:rsid w:val="00C40D3B"/>
    <w:rsid w:val="00C40D66"/>
    <w:rsid w:val="00C40F4E"/>
    <w:rsid w:val="00C41032"/>
    <w:rsid w:val="00C41043"/>
    <w:rsid w:val="00C41295"/>
    <w:rsid w:val="00C4141F"/>
    <w:rsid w:val="00C41451"/>
    <w:rsid w:val="00C41576"/>
    <w:rsid w:val="00C41599"/>
    <w:rsid w:val="00C415E2"/>
    <w:rsid w:val="00C4174B"/>
    <w:rsid w:val="00C417B8"/>
    <w:rsid w:val="00C41B6A"/>
    <w:rsid w:val="00C41DF1"/>
    <w:rsid w:val="00C4201F"/>
    <w:rsid w:val="00C42850"/>
    <w:rsid w:val="00C42B30"/>
    <w:rsid w:val="00C42BEE"/>
    <w:rsid w:val="00C42E20"/>
    <w:rsid w:val="00C42FAB"/>
    <w:rsid w:val="00C43403"/>
    <w:rsid w:val="00C43772"/>
    <w:rsid w:val="00C43BC3"/>
    <w:rsid w:val="00C43D80"/>
    <w:rsid w:val="00C43E14"/>
    <w:rsid w:val="00C43EB3"/>
    <w:rsid w:val="00C444F2"/>
    <w:rsid w:val="00C445E2"/>
    <w:rsid w:val="00C44611"/>
    <w:rsid w:val="00C44746"/>
    <w:rsid w:val="00C4475E"/>
    <w:rsid w:val="00C44763"/>
    <w:rsid w:val="00C4483A"/>
    <w:rsid w:val="00C44974"/>
    <w:rsid w:val="00C449D5"/>
    <w:rsid w:val="00C44C17"/>
    <w:rsid w:val="00C44F77"/>
    <w:rsid w:val="00C450D6"/>
    <w:rsid w:val="00C450EF"/>
    <w:rsid w:val="00C45204"/>
    <w:rsid w:val="00C4522C"/>
    <w:rsid w:val="00C4524F"/>
    <w:rsid w:val="00C45465"/>
    <w:rsid w:val="00C455A9"/>
    <w:rsid w:val="00C457D7"/>
    <w:rsid w:val="00C45958"/>
    <w:rsid w:val="00C459D1"/>
    <w:rsid w:val="00C45A13"/>
    <w:rsid w:val="00C45AB0"/>
    <w:rsid w:val="00C45AEE"/>
    <w:rsid w:val="00C45B94"/>
    <w:rsid w:val="00C45C8E"/>
    <w:rsid w:val="00C45E32"/>
    <w:rsid w:val="00C45F6A"/>
    <w:rsid w:val="00C46070"/>
    <w:rsid w:val="00C460E4"/>
    <w:rsid w:val="00C46184"/>
    <w:rsid w:val="00C461BE"/>
    <w:rsid w:val="00C46235"/>
    <w:rsid w:val="00C46248"/>
    <w:rsid w:val="00C46457"/>
    <w:rsid w:val="00C466E4"/>
    <w:rsid w:val="00C46A81"/>
    <w:rsid w:val="00C46B7C"/>
    <w:rsid w:val="00C46BC9"/>
    <w:rsid w:val="00C46E56"/>
    <w:rsid w:val="00C47130"/>
    <w:rsid w:val="00C4717E"/>
    <w:rsid w:val="00C4733B"/>
    <w:rsid w:val="00C47388"/>
    <w:rsid w:val="00C475A1"/>
    <w:rsid w:val="00C47A7D"/>
    <w:rsid w:val="00C47AC2"/>
    <w:rsid w:val="00C47AF8"/>
    <w:rsid w:val="00C47B7E"/>
    <w:rsid w:val="00C47E09"/>
    <w:rsid w:val="00C47E6E"/>
    <w:rsid w:val="00C47F0B"/>
    <w:rsid w:val="00C47F22"/>
    <w:rsid w:val="00C47F5C"/>
    <w:rsid w:val="00C5001F"/>
    <w:rsid w:val="00C500B9"/>
    <w:rsid w:val="00C5025B"/>
    <w:rsid w:val="00C5034F"/>
    <w:rsid w:val="00C504D7"/>
    <w:rsid w:val="00C50509"/>
    <w:rsid w:val="00C50604"/>
    <w:rsid w:val="00C506D2"/>
    <w:rsid w:val="00C508B8"/>
    <w:rsid w:val="00C50943"/>
    <w:rsid w:val="00C509B1"/>
    <w:rsid w:val="00C509B3"/>
    <w:rsid w:val="00C50ADC"/>
    <w:rsid w:val="00C50C13"/>
    <w:rsid w:val="00C50D79"/>
    <w:rsid w:val="00C50DD4"/>
    <w:rsid w:val="00C50F00"/>
    <w:rsid w:val="00C512FB"/>
    <w:rsid w:val="00C51399"/>
    <w:rsid w:val="00C516D5"/>
    <w:rsid w:val="00C518C3"/>
    <w:rsid w:val="00C51968"/>
    <w:rsid w:val="00C51B6F"/>
    <w:rsid w:val="00C51F3D"/>
    <w:rsid w:val="00C51F40"/>
    <w:rsid w:val="00C521AD"/>
    <w:rsid w:val="00C52506"/>
    <w:rsid w:val="00C525E9"/>
    <w:rsid w:val="00C52756"/>
    <w:rsid w:val="00C52B7E"/>
    <w:rsid w:val="00C52C23"/>
    <w:rsid w:val="00C52D30"/>
    <w:rsid w:val="00C52D7D"/>
    <w:rsid w:val="00C52E6F"/>
    <w:rsid w:val="00C530E5"/>
    <w:rsid w:val="00C53262"/>
    <w:rsid w:val="00C53479"/>
    <w:rsid w:val="00C534CA"/>
    <w:rsid w:val="00C535B7"/>
    <w:rsid w:val="00C537F7"/>
    <w:rsid w:val="00C53C3A"/>
    <w:rsid w:val="00C540E3"/>
    <w:rsid w:val="00C541F5"/>
    <w:rsid w:val="00C5434A"/>
    <w:rsid w:val="00C5467F"/>
    <w:rsid w:val="00C54ADC"/>
    <w:rsid w:val="00C54C8F"/>
    <w:rsid w:val="00C54F1C"/>
    <w:rsid w:val="00C55035"/>
    <w:rsid w:val="00C556AE"/>
    <w:rsid w:val="00C55702"/>
    <w:rsid w:val="00C558E7"/>
    <w:rsid w:val="00C559C6"/>
    <w:rsid w:val="00C55B7F"/>
    <w:rsid w:val="00C55C50"/>
    <w:rsid w:val="00C55C8F"/>
    <w:rsid w:val="00C55DFA"/>
    <w:rsid w:val="00C55E6E"/>
    <w:rsid w:val="00C55ED4"/>
    <w:rsid w:val="00C5620E"/>
    <w:rsid w:val="00C56391"/>
    <w:rsid w:val="00C56492"/>
    <w:rsid w:val="00C567AA"/>
    <w:rsid w:val="00C567B6"/>
    <w:rsid w:val="00C567FE"/>
    <w:rsid w:val="00C56C78"/>
    <w:rsid w:val="00C56CC2"/>
    <w:rsid w:val="00C56E30"/>
    <w:rsid w:val="00C56EEC"/>
    <w:rsid w:val="00C571C9"/>
    <w:rsid w:val="00C574FA"/>
    <w:rsid w:val="00C576D0"/>
    <w:rsid w:val="00C576DF"/>
    <w:rsid w:val="00C57783"/>
    <w:rsid w:val="00C577C4"/>
    <w:rsid w:val="00C57A98"/>
    <w:rsid w:val="00C57B08"/>
    <w:rsid w:val="00C57BE8"/>
    <w:rsid w:val="00C57CA0"/>
    <w:rsid w:val="00C57CAF"/>
    <w:rsid w:val="00C57DC2"/>
    <w:rsid w:val="00C5B7C0"/>
    <w:rsid w:val="00C60206"/>
    <w:rsid w:val="00C603B0"/>
    <w:rsid w:val="00C60787"/>
    <w:rsid w:val="00C60B2F"/>
    <w:rsid w:val="00C60D05"/>
    <w:rsid w:val="00C60DB4"/>
    <w:rsid w:val="00C60E13"/>
    <w:rsid w:val="00C6103D"/>
    <w:rsid w:val="00C610AA"/>
    <w:rsid w:val="00C611FC"/>
    <w:rsid w:val="00C6165E"/>
    <w:rsid w:val="00C617EF"/>
    <w:rsid w:val="00C61A85"/>
    <w:rsid w:val="00C61B72"/>
    <w:rsid w:val="00C61D0F"/>
    <w:rsid w:val="00C61ED8"/>
    <w:rsid w:val="00C62044"/>
    <w:rsid w:val="00C624E1"/>
    <w:rsid w:val="00C62566"/>
    <w:rsid w:val="00C62B28"/>
    <w:rsid w:val="00C62C92"/>
    <w:rsid w:val="00C62F51"/>
    <w:rsid w:val="00C6311D"/>
    <w:rsid w:val="00C63214"/>
    <w:rsid w:val="00C63275"/>
    <w:rsid w:val="00C63352"/>
    <w:rsid w:val="00C63442"/>
    <w:rsid w:val="00C634BB"/>
    <w:rsid w:val="00C6350F"/>
    <w:rsid w:val="00C637A6"/>
    <w:rsid w:val="00C637C4"/>
    <w:rsid w:val="00C63BE3"/>
    <w:rsid w:val="00C63E32"/>
    <w:rsid w:val="00C64036"/>
    <w:rsid w:val="00C64068"/>
    <w:rsid w:val="00C642C0"/>
    <w:rsid w:val="00C64413"/>
    <w:rsid w:val="00C64483"/>
    <w:rsid w:val="00C64821"/>
    <w:rsid w:val="00C6495E"/>
    <w:rsid w:val="00C649E0"/>
    <w:rsid w:val="00C64D5C"/>
    <w:rsid w:val="00C650C4"/>
    <w:rsid w:val="00C6546D"/>
    <w:rsid w:val="00C654B5"/>
    <w:rsid w:val="00C65717"/>
    <w:rsid w:val="00C6591A"/>
    <w:rsid w:val="00C65935"/>
    <w:rsid w:val="00C65970"/>
    <w:rsid w:val="00C659E1"/>
    <w:rsid w:val="00C65A97"/>
    <w:rsid w:val="00C65D2A"/>
    <w:rsid w:val="00C65E0B"/>
    <w:rsid w:val="00C660A0"/>
    <w:rsid w:val="00C661D2"/>
    <w:rsid w:val="00C662D3"/>
    <w:rsid w:val="00C6641C"/>
    <w:rsid w:val="00C6648E"/>
    <w:rsid w:val="00C665C2"/>
    <w:rsid w:val="00C665CD"/>
    <w:rsid w:val="00C66763"/>
    <w:rsid w:val="00C668C6"/>
    <w:rsid w:val="00C668DD"/>
    <w:rsid w:val="00C66A99"/>
    <w:rsid w:val="00C66EEE"/>
    <w:rsid w:val="00C67110"/>
    <w:rsid w:val="00C6716D"/>
    <w:rsid w:val="00C67196"/>
    <w:rsid w:val="00C6766E"/>
    <w:rsid w:val="00C6768A"/>
    <w:rsid w:val="00C67757"/>
    <w:rsid w:val="00C67B41"/>
    <w:rsid w:val="00C67E3D"/>
    <w:rsid w:val="00C67FE1"/>
    <w:rsid w:val="00C70474"/>
    <w:rsid w:val="00C70619"/>
    <w:rsid w:val="00C70A07"/>
    <w:rsid w:val="00C70B0C"/>
    <w:rsid w:val="00C70B1D"/>
    <w:rsid w:val="00C70B26"/>
    <w:rsid w:val="00C70BD6"/>
    <w:rsid w:val="00C70BF7"/>
    <w:rsid w:val="00C70CE8"/>
    <w:rsid w:val="00C70D41"/>
    <w:rsid w:val="00C70D47"/>
    <w:rsid w:val="00C70D52"/>
    <w:rsid w:val="00C711EF"/>
    <w:rsid w:val="00C7128A"/>
    <w:rsid w:val="00C712F6"/>
    <w:rsid w:val="00C71727"/>
    <w:rsid w:val="00C719E7"/>
    <w:rsid w:val="00C71C0A"/>
    <w:rsid w:val="00C71ED1"/>
    <w:rsid w:val="00C71FDD"/>
    <w:rsid w:val="00C72149"/>
    <w:rsid w:val="00C7236C"/>
    <w:rsid w:val="00C72477"/>
    <w:rsid w:val="00C724B5"/>
    <w:rsid w:val="00C725D9"/>
    <w:rsid w:val="00C726D0"/>
    <w:rsid w:val="00C728B5"/>
    <w:rsid w:val="00C72925"/>
    <w:rsid w:val="00C72CDB"/>
    <w:rsid w:val="00C72F55"/>
    <w:rsid w:val="00C73222"/>
    <w:rsid w:val="00C732CC"/>
    <w:rsid w:val="00C73547"/>
    <w:rsid w:val="00C7356D"/>
    <w:rsid w:val="00C735DC"/>
    <w:rsid w:val="00C736C4"/>
    <w:rsid w:val="00C7373E"/>
    <w:rsid w:val="00C73803"/>
    <w:rsid w:val="00C73865"/>
    <w:rsid w:val="00C73996"/>
    <w:rsid w:val="00C73E59"/>
    <w:rsid w:val="00C73FE3"/>
    <w:rsid w:val="00C740AA"/>
    <w:rsid w:val="00C7428A"/>
    <w:rsid w:val="00C7431F"/>
    <w:rsid w:val="00C74519"/>
    <w:rsid w:val="00C74529"/>
    <w:rsid w:val="00C7460F"/>
    <w:rsid w:val="00C74CBE"/>
    <w:rsid w:val="00C74D7E"/>
    <w:rsid w:val="00C7534E"/>
    <w:rsid w:val="00C753B7"/>
    <w:rsid w:val="00C754F0"/>
    <w:rsid w:val="00C75537"/>
    <w:rsid w:val="00C755A9"/>
    <w:rsid w:val="00C7571B"/>
    <w:rsid w:val="00C7573A"/>
    <w:rsid w:val="00C7573E"/>
    <w:rsid w:val="00C757A9"/>
    <w:rsid w:val="00C757CA"/>
    <w:rsid w:val="00C757D9"/>
    <w:rsid w:val="00C75902"/>
    <w:rsid w:val="00C759DC"/>
    <w:rsid w:val="00C75B83"/>
    <w:rsid w:val="00C75BD5"/>
    <w:rsid w:val="00C75D5C"/>
    <w:rsid w:val="00C75ED4"/>
    <w:rsid w:val="00C75F1E"/>
    <w:rsid w:val="00C75F83"/>
    <w:rsid w:val="00C763CE"/>
    <w:rsid w:val="00C76571"/>
    <w:rsid w:val="00C7674A"/>
    <w:rsid w:val="00C767AE"/>
    <w:rsid w:val="00C7689E"/>
    <w:rsid w:val="00C7691F"/>
    <w:rsid w:val="00C76D07"/>
    <w:rsid w:val="00C76D5C"/>
    <w:rsid w:val="00C76E08"/>
    <w:rsid w:val="00C76FF1"/>
    <w:rsid w:val="00C77131"/>
    <w:rsid w:val="00C77215"/>
    <w:rsid w:val="00C775A1"/>
    <w:rsid w:val="00C77974"/>
    <w:rsid w:val="00C779EE"/>
    <w:rsid w:val="00C77B67"/>
    <w:rsid w:val="00C77CFE"/>
    <w:rsid w:val="00C77EF2"/>
    <w:rsid w:val="00C77F9A"/>
    <w:rsid w:val="00C80299"/>
    <w:rsid w:val="00C8033E"/>
    <w:rsid w:val="00C803F0"/>
    <w:rsid w:val="00C804E5"/>
    <w:rsid w:val="00C80665"/>
    <w:rsid w:val="00C807A5"/>
    <w:rsid w:val="00C808D6"/>
    <w:rsid w:val="00C80AB5"/>
    <w:rsid w:val="00C80CA4"/>
    <w:rsid w:val="00C8112F"/>
    <w:rsid w:val="00C81302"/>
    <w:rsid w:val="00C8133E"/>
    <w:rsid w:val="00C81570"/>
    <w:rsid w:val="00C816A1"/>
    <w:rsid w:val="00C81876"/>
    <w:rsid w:val="00C818C3"/>
    <w:rsid w:val="00C81AC1"/>
    <w:rsid w:val="00C81D8D"/>
    <w:rsid w:val="00C81F71"/>
    <w:rsid w:val="00C81FC6"/>
    <w:rsid w:val="00C822AF"/>
    <w:rsid w:val="00C822B9"/>
    <w:rsid w:val="00C82676"/>
    <w:rsid w:val="00C82BF4"/>
    <w:rsid w:val="00C82EB3"/>
    <w:rsid w:val="00C8352B"/>
    <w:rsid w:val="00C8368D"/>
    <w:rsid w:val="00C83754"/>
    <w:rsid w:val="00C83A0D"/>
    <w:rsid w:val="00C83D00"/>
    <w:rsid w:val="00C83DC4"/>
    <w:rsid w:val="00C83FFD"/>
    <w:rsid w:val="00C8412B"/>
    <w:rsid w:val="00C84787"/>
    <w:rsid w:val="00C84975"/>
    <w:rsid w:val="00C84AD7"/>
    <w:rsid w:val="00C84E48"/>
    <w:rsid w:val="00C8506E"/>
    <w:rsid w:val="00C8510B"/>
    <w:rsid w:val="00C856D4"/>
    <w:rsid w:val="00C85720"/>
    <w:rsid w:val="00C859BA"/>
    <w:rsid w:val="00C85A74"/>
    <w:rsid w:val="00C85ED2"/>
    <w:rsid w:val="00C85FA8"/>
    <w:rsid w:val="00C86112"/>
    <w:rsid w:val="00C86501"/>
    <w:rsid w:val="00C86546"/>
    <w:rsid w:val="00C866E1"/>
    <w:rsid w:val="00C8688E"/>
    <w:rsid w:val="00C869B9"/>
    <w:rsid w:val="00C86BDB"/>
    <w:rsid w:val="00C86CC5"/>
    <w:rsid w:val="00C86D5A"/>
    <w:rsid w:val="00C86E0E"/>
    <w:rsid w:val="00C86EBE"/>
    <w:rsid w:val="00C86F1A"/>
    <w:rsid w:val="00C8738C"/>
    <w:rsid w:val="00C87393"/>
    <w:rsid w:val="00C875AA"/>
    <w:rsid w:val="00C87747"/>
    <w:rsid w:val="00C878ED"/>
    <w:rsid w:val="00C87A38"/>
    <w:rsid w:val="00C87D37"/>
    <w:rsid w:val="00C87DB9"/>
    <w:rsid w:val="00C87EFE"/>
    <w:rsid w:val="00C9038B"/>
    <w:rsid w:val="00C90569"/>
    <w:rsid w:val="00C90601"/>
    <w:rsid w:val="00C90670"/>
    <w:rsid w:val="00C9075F"/>
    <w:rsid w:val="00C9076C"/>
    <w:rsid w:val="00C90792"/>
    <w:rsid w:val="00C90AF9"/>
    <w:rsid w:val="00C9117B"/>
    <w:rsid w:val="00C9118D"/>
    <w:rsid w:val="00C911B4"/>
    <w:rsid w:val="00C911B9"/>
    <w:rsid w:val="00C91249"/>
    <w:rsid w:val="00C913E9"/>
    <w:rsid w:val="00C91C96"/>
    <w:rsid w:val="00C91E4C"/>
    <w:rsid w:val="00C91FB3"/>
    <w:rsid w:val="00C92064"/>
    <w:rsid w:val="00C92279"/>
    <w:rsid w:val="00C924BC"/>
    <w:rsid w:val="00C929BA"/>
    <w:rsid w:val="00C92A71"/>
    <w:rsid w:val="00C92C72"/>
    <w:rsid w:val="00C92DD0"/>
    <w:rsid w:val="00C92F38"/>
    <w:rsid w:val="00C93002"/>
    <w:rsid w:val="00C93043"/>
    <w:rsid w:val="00C9335A"/>
    <w:rsid w:val="00C934A0"/>
    <w:rsid w:val="00C9363C"/>
    <w:rsid w:val="00C9378A"/>
    <w:rsid w:val="00C93A01"/>
    <w:rsid w:val="00C93B4C"/>
    <w:rsid w:val="00C93B7F"/>
    <w:rsid w:val="00C93DF2"/>
    <w:rsid w:val="00C93E09"/>
    <w:rsid w:val="00C93E13"/>
    <w:rsid w:val="00C93E61"/>
    <w:rsid w:val="00C940D0"/>
    <w:rsid w:val="00C942A2"/>
    <w:rsid w:val="00C9437E"/>
    <w:rsid w:val="00C9455E"/>
    <w:rsid w:val="00C94561"/>
    <w:rsid w:val="00C946D7"/>
    <w:rsid w:val="00C946E4"/>
    <w:rsid w:val="00C94926"/>
    <w:rsid w:val="00C94A3F"/>
    <w:rsid w:val="00C94C5D"/>
    <w:rsid w:val="00C94CCF"/>
    <w:rsid w:val="00C94DA9"/>
    <w:rsid w:val="00C94F3E"/>
    <w:rsid w:val="00C9519B"/>
    <w:rsid w:val="00C951AF"/>
    <w:rsid w:val="00C953AB"/>
    <w:rsid w:val="00C953EF"/>
    <w:rsid w:val="00C956E1"/>
    <w:rsid w:val="00C956E7"/>
    <w:rsid w:val="00C95818"/>
    <w:rsid w:val="00C95876"/>
    <w:rsid w:val="00C95977"/>
    <w:rsid w:val="00C95A3E"/>
    <w:rsid w:val="00C95AA1"/>
    <w:rsid w:val="00C95AB7"/>
    <w:rsid w:val="00C95C90"/>
    <w:rsid w:val="00C961B5"/>
    <w:rsid w:val="00C961EE"/>
    <w:rsid w:val="00C9639E"/>
    <w:rsid w:val="00C96840"/>
    <w:rsid w:val="00C968DE"/>
    <w:rsid w:val="00C968F4"/>
    <w:rsid w:val="00C969C0"/>
    <w:rsid w:val="00C96B41"/>
    <w:rsid w:val="00C96CD6"/>
    <w:rsid w:val="00C96E0B"/>
    <w:rsid w:val="00C973AB"/>
    <w:rsid w:val="00C9757D"/>
    <w:rsid w:val="00C975A7"/>
    <w:rsid w:val="00C97697"/>
    <w:rsid w:val="00C979F0"/>
    <w:rsid w:val="00C97D32"/>
    <w:rsid w:val="00C97D6E"/>
    <w:rsid w:val="00C97DCA"/>
    <w:rsid w:val="00C97E1F"/>
    <w:rsid w:val="00C97E8E"/>
    <w:rsid w:val="00CA0127"/>
    <w:rsid w:val="00CA02AF"/>
    <w:rsid w:val="00CA02C3"/>
    <w:rsid w:val="00CA02D8"/>
    <w:rsid w:val="00CA0319"/>
    <w:rsid w:val="00CA0487"/>
    <w:rsid w:val="00CA05A2"/>
    <w:rsid w:val="00CA06C9"/>
    <w:rsid w:val="00CA07A3"/>
    <w:rsid w:val="00CA0817"/>
    <w:rsid w:val="00CA0B30"/>
    <w:rsid w:val="00CA0C5B"/>
    <w:rsid w:val="00CA0DC3"/>
    <w:rsid w:val="00CA0E2F"/>
    <w:rsid w:val="00CA0E37"/>
    <w:rsid w:val="00CA1101"/>
    <w:rsid w:val="00CA12D6"/>
    <w:rsid w:val="00CA139A"/>
    <w:rsid w:val="00CA13C2"/>
    <w:rsid w:val="00CA154A"/>
    <w:rsid w:val="00CA1570"/>
    <w:rsid w:val="00CA15FB"/>
    <w:rsid w:val="00CA1924"/>
    <w:rsid w:val="00CA1C2F"/>
    <w:rsid w:val="00CA1D17"/>
    <w:rsid w:val="00CA1EEE"/>
    <w:rsid w:val="00CA21CC"/>
    <w:rsid w:val="00CA25A2"/>
    <w:rsid w:val="00CA25F8"/>
    <w:rsid w:val="00CA2700"/>
    <w:rsid w:val="00CA291A"/>
    <w:rsid w:val="00CA2AF3"/>
    <w:rsid w:val="00CA2B90"/>
    <w:rsid w:val="00CA2BA3"/>
    <w:rsid w:val="00CA2C51"/>
    <w:rsid w:val="00CA2D90"/>
    <w:rsid w:val="00CA2E6B"/>
    <w:rsid w:val="00CA2EB4"/>
    <w:rsid w:val="00CA3180"/>
    <w:rsid w:val="00CA3279"/>
    <w:rsid w:val="00CA337F"/>
    <w:rsid w:val="00CA33D5"/>
    <w:rsid w:val="00CA372C"/>
    <w:rsid w:val="00CA37EB"/>
    <w:rsid w:val="00CA3C93"/>
    <w:rsid w:val="00CA3CD8"/>
    <w:rsid w:val="00CA421D"/>
    <w:rsid w:val="00CA42A4"/>
    <w:rsid w:val="00CA434F"/>
    <w:rsid w:val="00CA43D0"/>
    <w:rsid w:val="00CA441D"/>
    <w:rsid w:val="00CA4570"/>
    <w:rsid w:val="00CA48E4"/>
    <w:rsid w:val="00CA4B31"/>
    <w:rsid w:val="00CA5001"/>
    <w:rsid w:val="00CA5099"/>
    <w:rsid w:val="00CA52E5"/>
    <w:rsid w:val="00CA5459"/>
    <w:rsid w:val="00CA55A4"/>
    <w:rsid w:val="00CA55AC"/>
    <w:rsid w:val="00CA58E8"/>
    <w:rsid w:val="00CA5919"/>
    <w:rsid w:val="00CA59ED"/>
    <w:rsid w:val="00CA5ADB"/>
    <w:rsid w:val="00CA5D65"/>
    <w:rsid w:val="00CA62DA"/>
    <w:rsid w:val="00CA62E8"/>
    <w:rsid w:val="00CA6309"/>
    <w:rsid w:val="00CA6362"/>
    <w:rsid w:val="00CA6447"/>
    <w:rsid w:val="00CA6592"/>
    <w:rsid w:val="00CA65AF"/>
    <w:rsid w:val="00CA669B"/>
    <w:rsid w:val="00CA69F5"/>
    <w:rsid w:val="00CA6ABA"/>
    <w:rsid w:val="00CA6CC9"/>
    <w:rsid w:val="00CA6DF2"/>
    <w:rsid w:val="00CA6EC8"/>
    <w:rsid w:val="00CA72F6"/>
    <w:rsid w:val="00CA758A"/>
    <w:rsid w:val="00CA7835"/>
    <w:rsid w:val="00CA78DE"/>
    <w:rsid w:val="00CA795C"/>
    <w:rsid w:val="00CA79D1"/>
    <w:rsid w:val="00CA7B64"/>
    <w:rsid w:val="00CA7B81"/>
    <w:rsid w:val="00CA7D4A"/>
    <w:rsid w:val="00CA7DC3"/>
    <w:rsid w:val="00CA7E53"/>
    <w:rsid w:val="00CB0053"/>
    <w:rsid w:val="00CB0191"/>
    <w:rsid w:val="00CB01C0"/>
    <w:rsid w:val="00CB0955"/>
    <w:rsid w:val="00CB0AC0"/>
    <w:rsid w:val="00CB0B89"/>
    <w:rsid w:val="00CB0BE7"/>
    <w:rsid w:val="00CB0C15"/>
    <w:rsid w:val="00CB0E39"/>
    <w:rsid w:val="00CB15EA"/>
    <w:rsid w:val="00CB1637"/>
    <w:rsid w:val="00CB1647"/>
    <w:rsid w:val="00CB18F7"/>
    <w:rsid w:val="00CB1966"/>
    <w:rsid w:val="00CB1BB1"/>
    <w:rsid w:val="00CB1C39"/>
    <w:rsid w:val="00CB1DD7"/>
    <w:rsid w:val="00CB205D"/>
    <w:rsid w:val="00CB20FF"/>
    <w:rsid w:val="00CB22A1"/>
    <w:rsid w:val="00CB22DD"/>
    <w:rsid w:val="00CB2397"/>
    <w:rsid w:val="00CB265C"/>
    <w:rsid w:val="00CB29CC"/>
    <w:rsid w:val="00CB2E2D"/>
    <w:rsid w:val="00CB314B"/>
    <w:rsid w:val="00CB331A"/>
    <w:rsid w:val="00CB34EB"/>
    <w:rsid w:val="00CB358B"/>
    <w:rsid w:val="00CB35C6"/>
    <w:rsid w:val="00CB35E0"/>
    <w:rsid w:val="00CB39FD"/>
    <w:rsid w:val="00CB3B37"/>
    <w:rsid w:val="00CB3CB3"/>
    <w:rsid w:val="00CB3F6B"/>
    <w:rsid w:val="00CB3FAB"/>
    <w:rsid w:val="00CB421F"/>
    <w:rsid w:val="00CB438F"/>
    <w:rsid w:val="00CB453E"/>
    <w:rsid w:val="00CB47D5"/>
    <w:rsid w:val="00CB4904"/>
    <w:rsid w:val="00CB49F7"/>
    <w:rsid w:val="00CB4C0F"/>
    <w:rsid w:val="00CB4CCD"/>
    <w:rsid w:val="00CB4D9B"/>
    <w:rsid w:val="00CB4FA3"/>
    <w:rsid w:val="00CB504C"/>
    <w:rsid w:val="00CB50B6"/>
    <w:rsid w:val="00CB51B2"/>
    <w:rsid w:val="00CB51DD"/>
    <w:rsid w:val="00CB5394"/>
    <w:rsid w:val="00CB552B"/>
    <w:rsid w:val="00CB55F0"/>
    <w:rsid w:val="00CB596B"/>
    <w:rsid w:val="00CB59D0"/>
    <w:rsid w:val="00CB5DC0"/>
    <w:rsid w:val="00CB5E00"/>
    <w:rsid w:val="00CB6018"/>
    <w:rsid w:val="00CB602F"/>
    <w:rsid w:val="00CB6035"/>
    <w:rsid w:val="00CB60DF"/>
    <w:rsid w:val="00CB6295"/>
    <w:rsid w:val="00CB62A2"/>
    <w:rsid w:val="00CB63DF"/>
    <w:rsid w:val="00CB6447"/>
    <w:rsid w:val="00CB65E2"/>
    <w:rsid w:val="00CB66C1"/>
    <w:rsid w:val="00CB67E5"/>
    <w:rsid w:val="00CB69E7"/>
    <w:rsid w:val="00CB6A91"/>
    <w:rsid w:val="00CB6A9D"/>
    <w:rsid w:val="00CB6B61"/>
    <w:rsid w:val="00CB6E64"/>
    <w:rsid w:val="00CB6E6F"/>
    <w:rsid w:val="00CB6F77"/>
    <w:rsid w:val="00CB6FDD"/>
    <w:rsid w:val="00CB7222"/>
    <w:rsid w:val="00CB7269"/>
    <w:rsid w:val="00CB7494"/>
    <w:rsid w:val="00CB7585"/>
    <w:rsid w:val="00CB7C61"/>
    <w:rsid w:val="00CB7FC7"/>
    <w:rsid w:val="00CC00F2"/>
    <w:rsid w:val="00CC01DA"/>
    <w:rsid w:val="00CC03A8"/>
    <w:rsid w:val="00CC0546"/>
    <w:rsid w:val="00CC0597"/>
    <w:rsid w:val="00CC0748"/>
    <w:rsid w:val="00CC0A54"/>
    <w:rsid w:val="00CC0B9A"/>
    <w:rsid w:val="00CC0E36"/>
    <w:rsid w:val="00CC0E3A"/>
    <w:rsid w:val="00CC1079"/>
    <w:rsid w:val="00CC14DF"/>
    <w:rsid w:val="00CC152D"/>
    <w:rsid w:val="00CC1552"/>
    <w:rsid w:val="00CC187E"/>
    <w:rsid w:val="00CC1A95"/>
    <w:rsid w:val="00CC1ADA"/>
    <w:rsid w:val="00CC1CCF"/>
    <w:rsid w:val="00CC1CE3"/>
    <w:rsid w:val="00CC1E37"/>
    <w:rsid w:val="00CC1ECB"/>
    <w:rsid w:val="00CC1F68"/>
    <w:rsid w:val="00CC224A"/>
    <w:rsid w:val="00CC2366"/>
    <w:rsid w:val="00CC24B8"/>
    <w:rsid w:val="00CC2516"/>
    <w:rsid w:val="00CC257B"/>
    <w:rsid w:val="00CC25F0"/>
    <w:rsid w:val="00CC268E"/>
    <w:rsid w:val="00CC26B1"/>
    <w:rsid w:val="00CC28C9"/>
    <w:rsid w:val="00CC2947"/>
    <w:rsid w:val="00CC295F"/>
    <w:rsid w:val="00CC2CEF"/>
    <w:rsid w:val="00CC2D35"/>
    <w:rsid w:val="00CC2EE3"/>
    <w:rsid w:val="00CC2F32"/>
    <w:rsid w:val="00CC307B"/>
    <w:rsid w:val="00CC31CF"/>
    <w:rsid w:val="00CC3223"/>
    <w:rsid w:val="00CC33C0"/>
    <w:rsid w:val="00CC3410"/>
    <w:rsid w:val="00CC36AF"/>
    <w:rsid w:val="00CC36E1"/>
    <w:rsid w:val="00CC3706"/>
    <w:rsid w:val="00CC3809"/>
    <w:rsid w:val="00CC3919"/>
    <w:rsid w:val="00CC3966"/>
    <w:rsid w:val="00CC3A49"/>
    <w:rsid w:val="00CC3AF5"/>
    <w:rsid w:val="00CC3B6E"/>
    <w:rsid w:val="00CC3BB4"/>
    <w:rsid w:val="00CC3E12"/>
    <w:rsid w:val="00CC3FC7"/>
    <w:rsid w:val="00CC4159"/>
    <w:rsid w:val="00CC4198"/>
    <w:rsid w:val="00CC4487"/>
    <w:rsid w:val="00CC45DC"/>
    <w:rsid w:val="00CC461C"/>
    <w:rsid w:val="00CC4693"/>
    <w:rsid w:val="00CC4699"/>
    <w:rsid w:val="00CC4774"/>
    <w:rsid w:val="00CC4F87"/>
    <w:rsid w:val="00CC5723"/>
    <w:rsid w:val="00CC592C"/>
    <w:rsid w:val="00CC5A35"/>
    <w:rsid w:val="00CC5AAD"/>
    <w:rsid w:val="00CC5AC7"/>
    <w:rsid w:val="00CC5BD9"/>
    <w:rsid w:val="00CC5D5B"/>
    <w:rsid w:val="00CC5EEF"/>
    <w:rsid w:val="00CC61E7"/>
    <w:rsid w:val="00CC6269"/>
    <w:rsid w:val="00CC6408"/>
    <w:rsid w:val="00CC641F"/>
    <w:rsid w:val="00CC659D"/>
    <w:rsid w:val="00CC695B"/>
    <w:rsid w:val="00CC6B04"/>
    <w:rsid w:val="00CC6B9B"/>
    <w:rsid w:val="00CC6BA6"/>
    <w:rsid w:val="00CC6C5C"/>
    <w:rsid w:val="00CC6D78"/>
    <w:rsid w:val="00CC708D"/>
    <w:rsid w:val="00CC72C8"/>
    <w:rsid w:val="00CC7592"/>
    <w:rsid w:val="00CC7A0D"/>
    <w:rsid w:val="00CC7C43"/>
    <w:rsid w:val="00CC7EBB"/>
    <w:rsid w:val="00CC7EDC"/>
    <w:rsid w:val="00CD009F"/>
    <w:rsid w:val="00CD0166"/>
    <w:rsid w:val="00CD01E5"/>
    <w:rsid w:val="00CD01FB"/>
    <w:rsid w:val="00CD021A"/>
    <w:rsid w:val="00CD021F"/>
    <w:rsid w:val="00CD038C"/>
    <w:rsid w:val="00CD06B7"/>
    <w:rsid w:val="00CD071B"/>
    <w:rsid w:val="00CD07B8"/>
    <w:rsid w:val="00CD09EB"/>
    <w:rsid w:val="00CD0AA9"/>
    <w:rsid w:val="00CD0B8E"/>
    <w:rsid w:val="00CD0C91"/>
    <w:rsid w:val="00CD0DDD"/>
    <w:rsid w:val="00CD0E9C"/>
    <w:rsid w:val="00CD0EDB"/>
    <w:rsid w:val="00CD101F"/>
    <w:rsid w:val="00CD1214"/>
    <w:rsid w:val="00CD126D"/>
    <w:rsid w:val="00CD13AF"/>
    <w:rsid w:val="00CD140F"/>
    <w:rsid w:val="00CD146B"/>
    <w:rsid w:val="00CD16E4"/>
    <w:rsid w:val="00CD17E4"/>
    <w:rsid w:val="00CD18E4"/>
    <w:rsid w:val="00CD19DD"/>
    <w:rsid w:val="00CD1B5C"/>
    <w:rsid w:val="00CD1C8A"/>
    <w:rsid w:val="00CD1E1C"/>
    <w:rsid w:val="00CD2380"/>
    <w:rsid w:val="00CD25AF"/>
    <w:rsid w:val="00CD26ED"/>
    <w:rsid w:val="00CD27C5"/>
    <w:rsid w:val="00CD2AE2"/>
    <w:rsid w:val="00CD2B8A"/>
    <w:rsid w:val="00CD2C1A"/>
    <w:rsid w:val="00CD2D36"/>
    <w:rsid w:val="00CD2DC8"/>
    <w:rsid w:val="00CD2F9E"/>
    <w:rsid w:val="00CD3045"/>
    <w:rsid w:val="00CD3370"/>
    <w:rsid w:val="00CD36BC"/>
    <w:rsid w:val="00CD37DE"/>
    <w:rsid w:val="00CD38A1"/>
    <w:rsid w:val="00CD3A4B"/>
    <w:rsid w:val="00CD3B73"/>
    <w:rsid w:val="00CD3B7D"/>
    <w:rsid w:val="00CD3B8F"/>
    <w:rsid w:val="00CD3BD8"/>
    <w:rsid w:val="00CD3BEC"/>
    <w:rsid w:val="00CD3FD1"/>
    <w:rsid w:val="00CD403B"/>
    <w:rsid w:val="00CD416C"/>
    <w:rsid w:val="00CD440F"/>
    <w:rsid w:val="00CD456F"/>
    <w:rsid w:val="00CD464D"/>
    <w:rsid w:val="00CD47B2"/>
    <w:rsid w:val="00CD4A5C"/>
    <w:rsid w:val="00CD4B0E"/>
    <w:rsid w:val="00CD4E1E"/>
    <w:rsid w:val="00CD4E28"/>
    <w:rsid w:val="00CD4EF2"/>
    <w:rsid w:val="00CD4F02"/>
    <w:rsid w:val="00CD50CF"/>
    <w:rsid w:val="00CD52B4"/>
    <w:rsid w:val="00CD536E"/>
    <w:rsid w:val="00CD5421"/>
    <w:rsid w:val="00CD566B"/>
    <w:rsid w:val="00CD56E7"/>
    <w:rsid w:val="00CD580A"/>
    <w:rsid w:val="00CD595C"/>
    <w:rsid w:val="00CD5BF2"/>
    <w:rsid w:val="00CD5DCD"/>
    <w:rsid w:val="00CD6021"/>
    <w:rsid w:val="00CD6085"/>
    <w:rsid w:val="00CD6115"/>
    <w:rsid w:val="00CD6264"/>
    <w:rsid w:val="00CD63BD"/>
    <w:rsid w:val="00CD6816"/>
    <w:rsid w:val="00CD698D"/>
    <w:rsid w:val="00CD6B31"/>
    <w:rsid w:val="00CD6B3F"/>
    <w:rsid w:val="00CD6B40"/>
    <w:rsid w:val="00CD6C5E"/>
    <w:rsid w:val="00CD6F55"/>
    <w:rsid w:val="00CD6F5E"/>
    <w:rsid w:val="00CD7068"/>
    <w:rsid w:val="00CD70B6"/>
    <w:rsid w:val="00CD75DC"/>
    <w:rsid w:val="00CD760C"/>
    <w:rsid w:val="00CD779B"/>
    <w:rsid w:val="00CD7811"/>
    <w:rsid w:val="00CD7839"/>
    <w:rsid w:val="00CD7877"/>
    <w:rsid w:val="00CD7B6C"/>
    <w:rsid w:val="00CE00F4"/>
    <w:rsid w:val="00CE0140"/>
    <w:rsid w:val="00CE043F"/>
    <w:rsid w:val="00CE05C9"/>
    <w:rsid w:val="00CE0831"/>
    <w:rsid w:val="00CE08B3"/>
    <w:rsid w:val="00CE0950"/>
    <w:rsid w:val="00CE0A00"/>
    <w:rsid w:val="00CE0CC8"/>
    <w:rsid w:val="00CE0D3D"/>
    <w:rsid w:val="00CE0E50"/>
    <w:rsid w:val="00CE0F75"/>
    <w:rsid w:val="00CE106A"/>
    <w:rsid w:val="00CE129C"/>
    <w:rsid w:val="00CE12A5"/>
    <w:rsid w:val="00CE1504"/>
    <w:rsid w:val="00CE1711"/>
    <w:rsid w:val="00CE17B3"/>
    <w:rsid w:val="00CE1810"/>
    <w:rsid w:val="00CE181A"/>
    <w:rsid w:val="00CE1865"/>
    <w:rsid w:val="00CE192B"/>
    <w:rsid w:val="00CE1B27"/>
    <w:rsid w:val="00CE1CDF"/>
    <w:rsid w:val="00CE21DD"/>
    <w:rsid w:val="00CE25CD"/>
    <w:rsid w:val="00CE26B4"/>
    <w:rsid w:val="00CE28D5"/>
    <w:rsid w:val="00CE2927"/>
    <w:rsid w:val="00CE2AC9"/>
    <w:rsid w:val="00CE2B4A"/>
    <w:rsid w:val="00CE2BF9"/>
    <w:rsid w:val="00CE306E"/>
    <w:rsid w:val="00CE30DE"/>
    <w:rsid w:val="00CE30F1"/>
    <w:rsid w:val="00CE321A"/>
    <w:rsid w:val="00CE335D"/>
    <w:rsid w:val="00CE342E"/>
    <w:rsid w:val="00CE355E"/>
    <w:rsid w:val="00CE35DE"/>
    <w:rsid w:val="00CE36E2"/>
    <w:rsid w:val="00CE393B"/>
    <w:rsid w:val="00CE397C"/>
    <w:rsid w:val="00CE3A53"/>
    <w:rsid w:val="00CE3BCE"/>
    <w:rsid w:val="00CE3C17"/>
    <w:rsid w:val="00CE40B9"/>
    <w:rsid w:val="00CE422D"/>
    <w:rsid w:val="00CE427F"/>
    <w:rsid w:val="00CE43F8"/>
    <w:rsid w:val="00CE4477"/>
    <w:rsid w:val="00CE453B"/>
    <w:rsid w:val="00CE461A"/>
    <w:rsid w:val="00CE472D"/>
    <w:rsid w:val="00CE482E"/>
    <w:rsid w:val="00CE48B8"/>
    <w:rsid w:val="00CE4B44"/>
    <w:rsid w:val="00CE4BC5"/>
    <w:rsid w:val="00CE4C2B"/>
    <w:rsid w:val="00CE4CD3"/>
    <w:rsid w:val="00CE4D9B"/>
    <w:rsid w:val="00CE5003"/>
    <w:rsid w:val="00CE5188"/>
    <w:rsid w:val="00CE5203"/>
    <w:rsid w:val="00CE5211"/>
    <w:rsid w:val="00CE570F"/>
    <w:rsid w:val="00CE5A52"/>
    <w:rsid w:val="00CE5ABA"/>
    <w:rsid w:val="00CE5AEE"/>
    <w:rsid w:val="00CE5C1B"/>
    <w:rsid w:val="00CE5E72"/>
    <w:rsid w:val="00CE5FC2"/>
    <w:rsid w:val="00CE6057"/>
    <w:rsid w:val="00CE606C"/>
    <w:rsid w:val="00CE648A"/>
    <w:rsid w:val="00CE676C"/>
    <w:rsid w:val="00CE6829"/>
    <w:rsid w:val="00CE6AAA"/>
    <w:rsid w:val="00CE6BA3"/>
    <w:rsid w:val="00CE6BB5"/>
    <w:rsid w:val="00CE6EBE"/>
    <w:rsid w:val="00CE6EEB"/>
    <w:rsid w:val="00CE70B3"/>
    <w:rsid w:val="00CE71D3"/>
    <w:rsid w:val="00CE7608"/>
    <w:rsid w:val="00CE77A7"/>
    <w:rsid w:val="00CE7805"/>
    <w:rsid w:val="00CE7833"/>
    <w:rsid w:val="00CE78A0"/>
    <w:rsid w:val="00CE7931"/>
    <w:rsid w:val="00CE799C"/>
    <w:rsid w:val="00CE7CFA"/>
    <w:rsid w:val="00CE7D53"/>
    <w:rsid w:val="00CE7E49"/>
    <w:rsid w:val="00CE7EBA"/>
    <w:rsid w:val="00CF019E"/>
    <w:rsid w:val="00CF03B0"/>
    <w:rsid w:val="00CF03D1"/>
    <w:rsid w:val="00CF06AA"/>
    <w:rsid w:val="00CF09E6"/>
    <w:rsid w:val="00CF0D1C"/>
    <w:rsid w:val="00CF0FFF"/>
    <w:rsid w:val="00CF144D"/>
    <w:rsid w:val="00CF1479"/>
    <w:rsid w:val="00CF147E"/>
    <w:rsid w:val="00CF18F5"/>
    <w:rsid w:val="00CF197D"/>
    <w:rsid w:val="00CF19DF"/>
    <w:rsid w:val="00CF1AA2"/>
    <w:rsid w:val="00CF1BAD"/>
    <w:rsid w:val="00CF1C61"/>
    <w:rsid w:val="00CF1D5F"/>
    <w:rsid w:val="00CF1DCF"/>
    <w:rsid w:val="00CF1FF5"/>
    <w:rsid w:val="00CF2303"/>
    <w:rsid w:val="00CF23BD"/>
    <w:rsid w:val="00CF23C0"/>
    <w:rsid w:val="00CF2405"/>
    <w:rsid w:val="00CF2577"/>
    <w:rsid w:val="00CF2626"/>
    <w:rsid w:val="00CF27AC"/>
    <w:rsid w:val="00CF2BFD"/>
    <w:rsid w:val="00CF2E4B"/>
    <w:rsid w:val="00CF2EB6"/>
    <w:rsid w:val="00CF3057"/>
    <w:rsid w:val="00CF30C0"/>
    <w:rsid w:val="00CF32A5"/>
    <w:rsid w:val="00CF3387"/>
    <w:rsid w:val="00CF3501"/>
    <w:rsid w:val="00CF3505"/>
    <w:rsid w:val="00CF3578"/>
    <w:rsid w:val="00CF359C"/>
    <w:rsid w:val="00CF37AB"/>
    <w:rsid w:val="00CF380A"/>
    <w:rsid w:val="00CF3818"/>
    <w:rsid w:val="00CF39FB"/>
    <w:rsid w:val="00CF3BB8"/>
    <w:rsid w:val="00CF3D70"/>
    <w:rsid w:val="00CF3D90"/>
    <w:rsid w:val="00CF3DBF"/>
    <w:rsid w:val="00CF41AF"/>
    <w:rsid w:val="00CF479C"/>
    <w:rsid w:val="00CF4A67"/>
    <w:rsid w:val="00CF4E36"/>
    <w:rsid w:val="00CF4F3A"/>
    <w:rsid w:val="00CF4F73"/>
    <w:rsid w:val="00CF4FF7"/>
    <w:rsid w:val="00CF51C9"/>
    <w:rsid w:val="00CF528E"/>
    <w:rsid w:val="00CF52AC"/>
    <w:rsid w:val="00CF5404"/>
    <w:rsid w:val="00CF547D"/>
    <w:rsid w:val="00CF5537"/>
    <w:rsid w:val="00CF55D2"/>
    <w:rsid w:val="00CF5AF9"/>
    <w:rsid w:val="00CF5F73"/>
    <w:rsid w:val="00CF604E"/>
    <w:rsid w:val="00CF6259"/>
    <w:rsid w:val="00CF672B"/>
    <w:rsid w:val="00CF69AA"/>
    <w:rsid w:val="00CF6A2A"/>
    <w:rsid w:val="00CF6B25"/>
    <w:rsid w:val="00CF6D99"/>
    <w:rsid w:val="00CF7021"/>
    <w:rsid w:val="00CF71B4"/>
    <w:rsid w:val="00CF7285"/>
    <w:rsid w:val="00CF76BA"/>
    <w:rsid w:val="00CF7A74"/>
    <w:rsid w:val="00CF7C0E"/>
    <w:rsid w:val="00CF7E6D"/>
    <w:rsid w:val="00CF7EC9"/>
    <w:rsid w:val="00CF7F5E"/>
    <w:rsid w:val="00D0023A"/>
    <w:rsid w:val="00D0025B"/>
    <w:rsid w:val="00D003D9"/>
    <w:rsid w:val="00D005B5"/>
    <w:rsid w:val="00D00633"/>
    <w:rsid w:val="00D006CA"/>
    <w:rsid w:val="00D00847"/>
    <w:rsid w:val="00D00B64"/>
    <w:rsid w:val="00D00DDB"/>
    <w:rsid w:val="00D00E2F"/>
    <w:rsid w:val="00D01272"/>
    <w:rsid w:val="00D014BD"/>
    <w:rsid w:val="00D0155C"/>
    <w:rsid w:val="00D016A4"/>
    <w:rsid w:val="00D016C7"/>
    <w:rsid w:val="00D01803"/>
    <w:rsid w:val="00D01893"/>
    <w:rsid w:val="00D018A7"/>
    <w:rsid w:val="00D018CB"/>
    <w:rsid w:val="00D01A67"/>
    <w:rsid w:val="00D01E5F"/>
    <w:rsid w:val="00D0217F"/>
    <w:rsid w:val="00D021EA"/>
    <w:rsid w:val="00D022A5"/>
    <w:rsid w:val="00D024E4"/>
    <w:rsid w:val="00D027F8"/>
    <w:rsid w:val="00D0292A"/>
    <w:rsid w:val="00D029E7"/>
    <w:rsid w:val="00D02A1B"/>
    <w:rsid w:val="00D02B82"/>
    <w:rsid w:val="00D02C88"/>
    <w:rsid w:val="00D02F38"/>
    <w:rsid w:val="00D03068"/>
    <w:rsid w:val="00D030AF"/>
    <w:rsid w:val="00D03355"/>
    <w:rsid w:val="00D034A8"/>
    <w:rsid w:val="00D0355C"/>
    <w:rsid w:val="00D03721"/>
    <w:rsid w:val="00D03906"/>
    <w:rsid w:val="00D039D5"/>
    <w:rsid w:val="00D039E0"/>
    <w:rsid w:val="00D03A40"/>
    <w:rsid w:val="00D03DFA"/>
    <w:rsid w:val="00D03E4A"/>
    <w:rsid w:val="00D03EF0"/>
    <w:rsid w:val="00D03F05"/>
    <w:rsid w:val="00D03F44"/>
    <w:rsid w:val="00D03F7E"/>
    <w:rsid w:val="00D0443B"/>
    <w:rsid w:val="00D0450A"/>
    <w:rsid w:val="00D04592"/>
    <w:rsid w:val="00D045A4"/>
    <w:rsid w:val="00D04CEF"/>
    <w:rsid w:val="00D04F69"/>
    <w:rsid w:val="00D05015"/>
    <w:rsid w:val="00D0502A"/>
    <w:rsid w:val="00D053D8"/>
    <w:rsid w:val="00D0555B"/>
    <w:rsid w:val="00D058B1"/>
    <w:rsid w:val="00D058EB"/>
    <w:rsid w:val="00D05959"/>
    <w:rsid w:val="00D059BA"/>
    <w:rsid w:val="00D05EC5"/>
    <w:rsid w:val="00D06033"/>
    <w:rsid w:val="00D06312"/>
    <w:rsid w:val="00D06459"/>
    <w:rsid w:val="00D0698C"/>
    <w:rsid w:val="00D06BB2"/>
    <w:rsid w:val="00D06BF9"/>
    <w:rsid w:val="00D06C3D"/>
    <w:rsid w:val="00D06C8E"/>
    <w:rsid w:val="00D0735C"/>
    <w:rsid w:val="00D073F7"/>
    <w:rsid w:val="00D0790C"/>
    <w:rsid w:val="00D0790D"/>
    <w:rsid w:val="00D07CB4"/>
    <w:rsid w:val="00D07E55"/>
    <w:rsid w:val="00D1005C"/>
    <w:rsid w:val="00D1008C"/>
    <w:rsid w:val="00D1027F"/>
    <w:rsid w:val="00D10285"/>
    <w:rsid w:val="00D106AA"/>
    <w:rsid w:val="00D1088D"/>
    <w:rsid w:val="00D10A08"/>
    <w:rsid w:val="00D10AD5"/>
    <w:rsid w:val="00D10BBA"/>
    <w:rsid w:val="00D10D04"/>
    <w:rsid w:val="00D10E68"/>
    <w:rsid w:val="00D10FCB"/>
    <w:rsid w:val="00D11067"/>
    <w:rsid w:val="00D112A3"/>
    <w:rsid w:val="00D114E9"/>
    <w:rsid w:val="00D1167A"/>
    <w:rsid w:val="00D1172C"/>
    <w:rsid w:val="00D1173B"/>
    <w:rsid w:val="00D11899"/>
    <w:rsid w:val="00D11AF0"/>
    <w:rsid w:val="00D11B2E"/>
    <w:rsid w:val="00D11B50"/>
    <w:rsid w:val="00D11B8A"/>
    <w:rsid w:val="00D11BE7"/>
    <w:rsid w:val="00D11D05"/>
    <w:rsid w:val="00D11EB3"/>
    <w:rsid w:val="00D1226C"/>
    <w:rsid w:val="00D1243A"/>
    <w:rsid w:val="00D12569"/>
    <w:rsid w:val="00D125A3"/>
    <w:rsid w:val="00D126D2"/>
    <w:rsid w:val="00D12846"/>
    <w:rsid w:val="00D128EA"/>
    <w:rsid w:val="00D128F3"/>
    <w:rsid w:val="00D12C4B"/>
    <w:rsid w:val="00D12F13"/>
    <w:rsid w:val="00D12F57"/>
    <w:rsid w:val="00D12F93"/>
    <w:rsid w:val="00D131C6"/>
    <w:rsid w:val="00D13502"/>
    <w:rsid w:val="00D13648"/>
    <w:rsid w:val="00D13720"/>
    <w:rsid w:val="00D1373C"/>
    <w:rsid w:val="00D13C46"/>
    <w:rsid w:val="00D13D77"/>
    <w:rsid w:val="00D13D84"/>
    <w:rsid w:val="00D1448B"/>
    <w:rsid w:val="00D14731"/>
    <w:rsid w:val="00D14778"/>
    <w:rsid w:val="00D14804"/>
    <w:rsid w:val="00D14821"/>
    <w:rsid w:val="00D148E9"/>
    <w:rsid w:val="00D1519D"/>
    <w:rsid w:val="00D151C8"/>
    <w:rsid w:val="00D1525E"/>
    <w:rsid w:val="00D155AF"/>
    <w:rsid w:val="00D156B6"/>
    <w:rsid w:val="00D1589E"/>
    <w:rsid w:val="00D158CD"/>
    <w:rsid w:val="00D15910"/>
    <w:rsid w:val="00D15A17"/>
    <w:rsid w:val="00D15F03"/>
    <w:rsid w:val="00D15F29"/>
    <w:rsid w:val="00D160B0"/>
    <w:rsid w:val="00D1618E"/>
    <w:rsid w:val="00D163FF"/>
    <w:rsid w:val="00D166CB"/>
    <w:rsid w:val="00D16838"/>
    <w:rsid w:val="00D16A11"/>
    <w:rsid w:val="00D16AF6"/>
    <w:rsid w:val="00D16DC1"/>
    <w:rsid w:val="00D16F89"/>
    <w:rsid w:val="00D16F9C"/>
    <w:rsid w:val="00D16FA5"/>
    <w:rsid w:val="00D17283"/>
    <w:rsid w:val="00D17364"/>
    <w:rsid w:val="00D176B0"/>
    <w:rsid w:val="00D178B1"/>
    <w:rsid w:val="00D17996"/>
    <w:rsid w:val="00D17BA0"/>
    <w:rsid w:val="00D17D9B"/>
    <w:rsid w:val="00D17E67"/>
    <w:rsid w:val="00D2002E"/>
    <w:rsid w:val="00D20381"/>
    <w:rsid w:val="00D203FF"/>
    <w:rsid w:val="00D204F0"/>
    <w:rsid w:val="00D2076D"/>
    <w:rsid w:val="00D20929"/>
    <w:rsid w:val="00D20979"/>
    <w:rsid w:val="00D209C7"/>
    <w:rsid w:val="00D20A26"/>
    <w:rsid w:val="00D20A6D"/>
    <w:rsid w:val="00D20BA3"/>
    <w:rsid w:val="00D20C27"/>
    <w:rsid w:val="00D20E9B"/>
    <w:rsid w:val="00D211B4"/>
    <w:rsid w:val="00D21503"/>
    <w:rsid w:val="00D217B0"/>
    <w:rsid w:val="00D218ED"/>
    <w:rsid w:val="00D21917"/>
    <w:rsid w:val="00D21C0A"/>
    <w:rsid w:val="00D21DBB"/>
    <w:rsid w:val="00D21E30"/>
    <w:rsid w:val="00D220DD"/>
    <w:rsid w:val="00D22119"/>
    <w:rsid w:val="00D22202"/>
    <w:rsid w:val="00D2238B"/>
    <w:rsid w:val="00D223B4"/>
    <w:rsid w:val="00D224A0"/>
    <w:rsid w:val="00D22523"/>
    <w:rsid w:val="00D2288C"/>
    <w:rsid w:val="00D229CC"/>
    <w:rsid w:val="00D22CFC"/>
    <w:rsid w:val="00D22D3A"/>
    <w:rsid w:val="00D22E04"/>
    <w:rsid w:val="00D2302C"/>
    <w:rsid w:val="00D232F4"/>
    <w:rsid w:val="00D234D4"/>
    <w:rsid w:val="00D2355A"/>
    <w:rsid w:val="00D2355B"/>
    <w:rsid w:val="00D2382B"/>
    <w:rsid w:val="00D23894"/>
    <w:rsid w:val="00D238DF"/>
    <w:rsid w:val="00D23B86"/>
    <w:rsid w:val="00D23BAC"/>
    <w:rsid w:val="00D23DB8"/>
    <w:rsid w:val="00D23F08"/>
    <w:rsid w:val="00D23FC5"/>
    <w:rsid w:val="00D240C8"/>
    <w:rsid w:val="00D242A9"/>
    <w:rsid w:val="00D24770"/>
    <w:rsid w:val="00D2486A"/>
    <w:rsid w:val="00D249DF"/>
    <w:rsid w:val="00D24AB8"/>
    <w:rsid w:val="00D24AC2"/>
    <w:rsid w:val="00D24B1D"/>
    <w:rsid w:val="00D24D75"/>
    <w:rsid w:val="00D24D84"/>
    <w:rsid w:val="00D24DCB"/>
    <w:rsid w:val="00D24E4B"/>
    <w:rsid w:val="00D24F5F"/>
    <w:rsid w:val="00D24FB6"/>
    <w:rsid w:val="00D25185"/>
    <w:rsid w:val="00D252B7"/>
    <w:rsid w:val="00D252C5"/>
    <w:rsid w:val="00D25415"/>
    <w:rsid w:val="00D2572A"/>
    <w:rsid w:val="00D259F3"/>
    <w:rsid w:val="00D25C54"/>
    <w:rsid w:val="00D25D6B"/>
    <w:rsid w:val="00D25DA8"/>
    <w:rsid w:val="00D25FBA"/>
    <w:rsid w:val="00D260C3"/>
    <w:rsid w:val="00D26115"/>
    <w:rsid w:val="00D2665C"/>
    <w:rsid w:val="00D26696"/>
    <w:rsid w:val="00D2669D"/>
    <w:rsid w:val="00D269B4"/>
    <w:rsid w:val="00D26A3A"/>
    <w:rsid w:val="00D26B03"/>
    <w:rsid w:val="00D26B5C"/>
    <w:rsid w:val="00D26C0B"/>
    <w:rsid w:val="00D275F7"/>
    <w:rsid w:val="00D27881"/>
    <w:rsid w:val="00D278E1"/>
    <w:rsid w:val="00D279B0"/>
    <w:rsid w:val="00D27A10"/>
    <w:rsid w:val="00D27BD6"/>
    <w:rsid w:val="00D27DB6"/>
    <w:rsid w:val="00D27DDF"/>
    <w:rsid w:val="00D27EA0"/>
    <w:rsid w:val="00D30030"/>
    <w:rsid w:val="00D30274"/>
    <w:rsid w:val="00D303CC"/>
    <w:rsid w:val="00D30912"/>
    <w:rsid w:val="00D30B04"/>
    <w:rsid w:val="00D30CA2"/>
    <w:rsid w:val="00D30DCA"/>
    <w:rsid w:val="00D30DF8"/>
    <w:rsid w:val="00D30F46"/>
    <w:rsid w:val="00D30FF0"/>
    <w:rsid w:val="00D31027"/>
    <w:rsid w:val="00D3124F"/>
    <w:rsid w:val="00D312EE"/>
    <w:rsid w:val="00D3139C"/>
    <w:rsid w:val="00D31578"/>
    <w:rsid w:val="00D316C7"/>
    <w:rsid w:val="00D3191B"/>
    <w:rsid w:val="00D319BF"/>
    <w:rsid w:val="00D31A1A"/>
    <w:rsid w:val="00D31F09"/>
    <w:rsid w:val="00D321C4"/>
    <w:rsid w:val="00D321FF"/>
    <w:rsid w:val="00D32202"/>
    <w:rsid w:val="00D323A6"/>
    <w:rsid w:val="00D323DA"/>
    <w:rsid w:val="00D324FB"/>
    <w:rsid w:val="00D32585"/>
    <w:rsid w:val="00D325DD"/>
    <w:rsid w:val="00D325E9"/>
    <w:rsid w:val="00D3263B"/>
    <w:rsid w:val="00D326E4"/>
    <w:rsid w:val="00D3289B"/>
    <w:rsid w:val="00D328D3"/>
    <w:rsid w:val="00D328E1"/>
    <w:rsid w:val="00D32C78"/>
    <w:rsid w:val="00D32E13"/>
    <w:rsid w:val="00D33015"/>
    <w:rsid w:val="00D33239"/>
    <w:rsid w:val="00D332A8"/>
    <w:rsid w:val="00D3335C"/>
    <w:rsid w:val="00D33369"/>
    <w:rsid w:val="00D333D0"/>
    <w:rsid w:val="00D333ED"/>
    <w:rsid w:val="00D3342C"/>
    <w:rsid w:val="00D334D2"/>
    <w:rsid w:val="00D336CD"/>
    <w:rsid w:val="00D339E5"/>
    <w:rsid w:val="00D33B12"/>
    <w:rsid w:val="00D33E2E"/>
    <w:rsid w:val="00D33F8E"/>
    <w:rsid w:val="00D34015"/>
    <w:rsid w:val="00D3401D"/>
    <w:rsid w:val="00D34046"/>
    <w:rsid w:val="00D34332"/>
    <w:rsid w:val="00D34677"/>
    <w:rsid w:val="00D346B8"/>
    <w:rsid w:val="00D347B0"/>
    <w:rsid w:val="00D3483D"/>
    <w:rsid w:val="00D34857"/>
    <w:rsid w:val="00D348F4"/>
    <w:rsid w:val="00D3497F"/>
    <w:rsid w:val="00D34990"/>
    <w:rsid w:val="00D349C3"/>
    <w:rsid w:val="00D34CB0"/>
    <w:rsid w:val="00D35022"/>
    <w:rsid w:val="00D35030"/>
    <w:rsid w:val="00D35128"/>
    <w:rsid w:val="00D35508"/>
    <w:rsid w:val="00D3587A"/>
    <w:rsid w:val="00D35945"/>
    <w:rsid w:val="00D35A8C"/>
    <w:rsid w:val="00D35C39"/>
    <w:rsid w:val="00D35D23"/>
    <w:rsid w:val="00D35DA5"/>
    <w:rsid w:val="00D363A2"/>
    <w:rsid w:val="00D364C6"/>
    <w:rsid w:val="00D36616"/>
    <w:rsid w:val="00D366F8"/>
    <w:rsid w:val="00D36999"/>
    <w:rsid w:val="00D36A79"/>
    <w:rsid w:val="00D36D2A"/>
    <w:rsid w:val="00D36EF0"/>
    <w:rsid w:val="00D37082"/>
    <w:rsid w:val="00D3713D"/>
    <w:rsid w:val="00D37195"/>
    <w:rsid w:val="00D3731E"/>
    <w:rsid w:val="00D37397"/>
    <w:rsid w:val="00D37504"/>
    <w:rsid w:val="00D37786"/>
    <w:rsid w:val="00D377FF"/>
    <w:rsid w:val="00D37904"/>
    <w:rsid w:val="00D37971"/>
    <w:rsid w:val="00D379FB"/>
    <w:rsid w:val="00D37AE6"/>
    <w:rsid w:val="00D37C90"/>
    <w:rsid w:val="00D37CB1"/>
    <w:rsid w:val="00D37CDD"/>
    <w:rsid w:val="00D37EFA"/>
    <w:rsid w:val="00D37FF7"/>
    <w:rsid w:val="00D40004"/>
    <w:rsid w:val="00D404DA"/>
    <w:rsid w:val="00D4068A"/>
    <w:rsid w:val="00D408EC"/>
    <w:rsid w:val="00D40D63"/>
    <w:rsid w:val="00D40DCE"/>
    <w:rsid w:val="00D40DF0"/>
    <w:rsid w:val="00D40FCB"/>
    <w:rsid w:val="00D41138"/>
    <w:rsid w:val="00D41243"/>
    <w:rsid w:val="00D413A3"/>
    <w:rsid w:val="00D415E9"/>
    <w:rsid w:val="00D41667"/>
    <w:rsid w:val="00D41722"/>
    <w:rsid w:val="00D41919"/>
    <w:rsid w:val="00D4192E"/>
    <w:rsid w:val="00D4197F"/>
    <w:rsid w:val="00D419BF"/>
    <w:rsid w:val="00D41A89"/>
    <w:rsid w:val="00D41B5C"/>
    <w:rsid w:val="00D41D54"/>
    <w:rsid w:val="00D41D82"/>
    <w:rsid w:val="00D41D86"/>
    <w:rsid w:val="00D41EC6"/>
    <w:rsid w:val="00D41F3E"/>
    <w:rsid w:val="00D42026"/>
    <w:rsid w:val="00D4211A"/>
    <w:rsid w:val="00D42134"/>
    <w:rsid w:val="00D422B0"/>
    <w:rsid w:val="00D4279B"/>
    <w:rsid w:val="00D42822"/>
    <w:rsid w:val="00D42987"/>
    <w:rsid w:val="00D42A72"/>
    <w:rsid w:val="00D42B63"/>
    <w:rsid w:val="00D42CE6"/>
    <w:rsid w:val="00D42DAD"/>
    <w:rsid w:val="00D42E37"/>
    <w:rsid w:val="00D42F61"/>
    <w:rsid w:val="00D4305C"/>
    <w:rsid w:val="00D430F7"/>
    <w:rsid w:val="00D430F9"/>
    <w:rsid w:val="00D433BB"/>
    <w:rsid w:val="00D433D2"/>
    <w:rsid w:val="00D4342A"/>
    <w:rsid w:val="00D43491"/>
    <w:rsid w:val="00D43792"/>
    <w:rsid w:val="00D43D4B"/>
    <w:rsid w:val="00D43F37"/>
    <w:rsid w:val="00D43FBD"/>
    <w:rsid w:val="00D44002"/>
    <w:rsid w:val="00D44071"/>
    <w:rsid w:val="00D4447C"/>
    <w:rsid w:val="00D444EE"/>
    <w:rsid w:val="00D44742"/>
    <w:rsid w:val="00D4483B"/>
    <w:rsid w:val="00D44A59"/>
    <w:rsid w:val="00D44BCE"/>
    <w:rsid w:val="00D44BF0"/>
    <w:rsid w:val="00D44C88"/>
    <w:rsid w:val="00D44EE8"/>
    <w:rsid w:val="00D4506B"/>
    <w:rsid w:val="00D450A8"/>
    <w:rsid w:val="00D450CA"/>
    <w:rsid w:val="00D45168"/>
    <w:rsid w:val="00D452CA"/>
    <w:rsid w:val="00D4530D"/>
    <w:rsid w:val="00D45565"/>
    <w:rsid w:val="00D4570B"/>
    <w:rsid w:val="00D45718"/>
    <w:rsid w:val="00D4592D"/>
    <w:rsid w:val="00D4595A"/>
    <w:rsid w:val="00D45AD4"/>
    <w:rsid w:val="00D45AF3"/>
    <w:rsid w:val="00D45B3D"/>
    <w:rsid w:val="00D45D60"/>
    <w:rsid w:val="00D4602F"/>
    <w:rsid w:val="00D4613C"/>
    <w:rsid w:val="00D46161"/>
    <w:rsid w:val="00D46183"/>
    <w:rsid w:val="00D464A0"/>
    <w:rsid w:val="00D464D2"/>
    <w:rsid w:val="00D466C9"/>
    <w:rsid w:val="00D466FA"/>
    <w:rsid w:val="00D46772"/>
    <w:rsid w:val="00D46996"/>
    <w:rsid w:val="00D46FC8"/>
    <w:rsid w:val="00D4731D"/>
    <w:rsid w:val="00D4734D"/>
    <w:rsid w:val="00D47544"/>
    <w:rsid w:val="00D4762C"/>
    <w:rsid w:val="00D4773A"/>
    <w:rsid w:val="00D4788D"/>
    <w:rsid w:val="00D47AC3"/>
    <w:rsid w:val="00D47F9A"/>
    <w:rsid w:val="00D500AC"/>
    <w:rsid w:val="00D50784"/>
    <w:rsid w:val="00D50C8B"/>
    <w:rsid w:val="00D50E95"/>
    <w:rsid w:val="00D50E9E"/>
    <w:rsid w:val="00D50F6A"/>
    <w:rsid w:val="00D5110D"/>
    <w:rsid w:val="00D51349"/>
    <w:rsid w:val="00D5142B"/>
    <w:rsid w:val="00D5143C"/>
    <w:rsid w:val="00D51626"/>
    <w:rsid w:val="00D516E4"/>
    <w:rsid w:val="00D517B7"/>
    <w:rsid w:val="00D51AE8"/>
    <w:rsid w:val="00D51BDA"/>
    <w:rsid w:val="00D51BF4"/>
    <w:rsid w:val="00D52392"/>
    <w:rsid w:val="00D52401"/>
    <w:rsid w:val="00D5247A"/>
    <w:rsid w:val="00D5250E"/>
    <w:rsid w:val="00D52969"/>
    <w:rsid w:val="00D52B2A"/>
    <w:rsid w:val="00D5312A"/>
    <w:rsid w:val="00D5317D"/>
    <w:rsid w:val="00D5344E"/>
    <w:rsid w:val="00D53520"/>
    <w:rsid w:val="00D5388B"/>
    <w:rsid w:val="00D53A13"/>
    <w:rsid w:val="00D53A96"/>
    <w:rsid w:val="00D53AA0"/>
    <w:rsid w:val="00D53B44"/>
    <w:rsid w:val="00D53C23"/>
    <w:rsid w:val="00D53C96"/>
    <w:rsid w:val="00D53DDC"/>
    <w:rsid w:val="00D5414B"/>
    <w:rsid w:val="00D5423A"/>
    <w:rsid w:val="00D542AF"/>
    <w:rsid w:val="00D54521"/>
    <w:rsid w:val="00D54661"/>
    <w:rsid w:val="00D54675"/>
    <w:rsid w:val="00D546FE"/>
    <w:rsid w:val="00D547C1"/>
    <w:rsid w:val="00D5485A"/>
    <w:rsid w:val="00D54C1F"/>
    <w:rsid w:val="00D54CE1"/>
    <w:rsid w:val="00D554AD"/>
    <w:rsid w:val="00D55848"/>
    <w:rsid w:val="00D5599E"/>
    <w:rsid w:val="00D55C3D"/>
    <w:rsid w:val="00D55D6F"/>
    <w:rsid w:val="00D55EA6"/>
    <w:rsid w:val="00D55F90"/>
    <w:rsid w:val="00D560AE"/>
    <w:rsid w:val="00D5658F"/>
    <w:rsid w:val="00D565E9"/>
    <w:rsid w:val="00D566A2"/>
    <w:rsid w:val="00D56A75"/>
    <w:rsid w:val="00D56A85"/>
    <w:rsid w:val="00D56BA7"/>
    <w:rsid w:val="00D56C10"/>
    <w:rsid w:val="00D56E8A"/>
    <w:rsid w:val="00D57087"/>
    <w:rsid w:val="00D571C9"/>
    <w:rsid w:val="00D572EA"/>
    <w:rsid w:val="00D5732B"/>
    <w:rsid w:val="00D5774E"/>
    <w:rsid w:val="00D578E3"/>
    <w:rsid w:val="00D5799B"/>
    <w:rsid w:val="00D57A8C"/>
    <w:rsid w:val="00D57B0C"/>
    <w:rsid w:val="00D57B65"/>
    <w:rsid w:val="00D57B78"/>
    <w:rsid w:val="00D57F38"/>
    <w:rsid w:val="00D57FCA"/>
    <w:rsid w:val="00D6023B"/>
    <w:rsid w:val="00D6028B"/>
    <w:rsid w:val="00D60410"/>
    <w:rsid w:val="00D604BA"/>
    <w:rsid w:val="00D6056C"/>
    <w:rsid w:val="00D6057B"/>
    <w:rsid w:val="00D60688"/>
    <w:rsid w:val="00D608DC"/>
    <w:rsid w:val="00D60907"/>
    <w:rsid w:val="00D60A04"/>
    <w:rsid w:val="00D60B89"/>
    <w:rsid w:val="00D60BDF"/>
    <w:rsid w:val="00D60BF6"/>
    <w:rsid w:val="00D60CD8"/>
    <w:rsid w:val="00D60DAB"/>
    <w:rsid w:val="00D60E98"/>
    <w:rsid w:val="00D61145"/>
    <w:rsid w:val="00D61216"/>
    <w:rsid w:val="00D61481"/>
    <w:rsid w:val="00D61612"/>
    <w:rsid w:val="00D61866"/>
    <w:rsid w:val="00D6190D"/>
    <w:rsid w:val="00D61B36"/>
    <w:rsid w:val="00D61D93"/>
    <w:rsid w:val="00D61EF8"/>
    <w:rsid w:val="00D6230A"/>
    <w:rsid w:val="00D6252E"/>
    <w:rsid w:val="00D625A3"/>
    <w:rsid w:val="00D6270A"/>
    <w:rsid w:val="00D6279C"/>
    <w:rsid w:val="00D627BE"/>
    <w:rsid w:val="00D628DD"/>
    <w:rsid w:val="00D62A10"/>
    <w:rsid w:val="00D62E96"/>
    <w:rsid w:val="00D633FD"/>
    <w:rsid w:val="00D6347F"/>
    <w:rsid w:val="00D6352C"/>
    <w:rsid w:val="00D635DD"/>
    <w:rsid w:val="00D638A4"/>
    <w:rsid w:val="00D63917"/>
    <w:rsid w:val="00D63A79"/>
    <w:rsid w:val="00D63AE7"/>
    <w:rsid w:val="00D63D8B"/>
    <w:rsid w:val="00D63EE7"/>
    <w:rsid w:val="00D641BE"/>
    <w:rsid w:val="00D6430D"/>
    <w:rsid w:val="00D64361"/>
    <w:rsid w:val="00D643F8"/>
    <w:rsid w:val="00D64405"/>
    <w:rsid w:val="00D647F5"/>
    <w:rsid w:val="00D648D7"/>
    <w:rsid w:val="00D64A6B"/>
    <w:rsid w:val="00D64B7F"/>
    <w:rsid w:val="00D64D5E"/>
    <w:rsid w:val="00D64F0C"/>
    <w:rsid w:val="00D64F7A"/>
    <w:rsid w:val="00D65145"/>
    <w:rsid w:val="00D653BC"/>
    <w:rsid w:val="00D65410"/>
    <w:rsid w:val="00D65673"/>
    <w:rsid w:val="00D65B04"/>
    <w:rsid w:val="00D65B18"/>
    <w:rsid w:val="00D65B82"/>
    <w:rsid w:val="00D65C1B"/>
    <w:rsid w:val="00D65D91"/>
    <w:rsid w:val="00D65E69"/>
    <w:rsid w:val="00D65E73"/>
    <w:rsid w:val="00D6631D"/>
    <w:rsid w:val="00D664A8"/>
    <w:rsid w:val="00D664C6"/>
    <w:rsid w:val="00D66543"/>
    <w:rsid w:val="00D6679B"/>
    <w:rsid w:val="00D66925"/>
    <w:rsid w:val="00D669CD"/>
    <w:rsid w:val="00D66B65"/>
    <w:rsid w:val="00D66E36"/>
    <w:rsid w:val="00D66E91"/>
    <w:rsid w:val="00D66F83"/>
    <w:rsid w:val="00D671F4"/>
    <w:rsid w:val="00D675AA"/>
    <w:rsid w:val="00D67688"/>
    <w:rsid w:val="00D67C80"/>
    <w:rsid w:val="00D67F2E"/>
    <w:rsid w:val="00D67FB6"/>
    <w:rsid w:val="00D70426"/>
    <w:rsid w:val="00D70525"/>
    <w:rsid w:val="00D7085E"/>
    <w:rsid w:val="00D70914"/>
    <w:rsid w:val="00D7095B"/>
    <w:rsid w:val="00D70E3F"/>
    <w:rsid w:val="00D70E84"/>
    <w:rsid w:val="00D70EA8"/>
    <w:rsid w:val="00D70F58"/>
    <w:rsid w:val="00D70FB2"/>
    <w:rsid w:val="00D71272"/>
    <w:rsid w:val="00D7133A"/>
    <w:rsid w:val="00D713E9"/>
    <w:rsid w:val="00D71483"/>
    <w:rsid w:val="00D714EF"/>
    <w:rsid w:val="00D715A0"/>
    <w:rsid w:val="00D715DA"/>
    <w:rsid w:val="00D719B9"/>
    <w:rsid w:val="00D719CE"/>
    <w:rsid w:val="00D71A04"/>
    <w:rsid w:val="00D71B27"/>
    <w:rsid w:val="00D71B39"/>
    <w:rsid w:val="00D71B79"/>
    <w:rsid w:val="00D71C4E"/>
    <w:rsid w:val="00D71D23"/>
    <w:rsid w:val="00D71F62"/>
    <w:rsid w:val="00D721F0"/>
    <w:rsid w:val="00D724AD"/>
    <w:rsid w:val="00D72549"/>
    <w:rsid w:val="00D727A4"/>
    <w:rsid w:val="00D72A50"/>
    <w:rsid w:val="00D72A8B"/>
    <w:rsid w:val="00D72ABB"/>
    <w:rsid w:val="00D72B40"/>
    <w:rsid w:val="00D72B67"/>
    <w:rsid w:val="00D72CED"/>
    <w:rsid w:val="00D72EC2"/>
    <w:rsid w:val="00D73126"/>
    <w:rsid w:val="00D733AC"/>
    <w:rsid w:val="00D733BB"/>
    <w:rsid w:val="00D7362F"/>
    <w:rsid w:val="00D737EE"/>
    <w:rsid w:val="00D7387E"/>
    <w:rsid w:val="00D7393B"/>
    <w:rsid w:val="00D73A71"/>
    <w:rsid w:val="00D73C9B"/>
    <w:rsid w:val="00D73CB8"/>
    <w:rsid w:val="00D73EDA"/>
    <w:rsid w:val="00D73F18"/>
    <w:rsid w:val="00D740D1"/>
    <w:rsid w:val="00D74200"/>
    <w:rsid w:val="00D74221"/>
    <w:rsid w:val="00D74443"/>
    <w:rsid w:val="00D7456E"/>
    <w:rsid w:val="00D74BA2"/>
    <w:rsid w:val="00D74ED0"/>
    <w:rsid w:val="00D7543A"/>
    <w:rsid w:val="00D755A6"/>
    <w:rsid w:val="00D755DE"/>
    <w:rsid w:val="00D75840"/>
    <w:rsid w:val="00D75969"/>
    <w:rsid w:val="00D75D40"/>
    <w:rsid w:val="00D75E65"/>
    <w:rsid w:val="00D75F6D"/>
    <w:rsid w:val="00D761DA"/>
    <w:rsid w:val="00D76361"/>
    <w:rsid w:val="00D76482"/>
    <w:rsid w:val="00D764A1"/>
    <w:rsid w:val="00D7678D"/>
    <w:rsid w:val="00D76983"/>
    <w:rsid w:val="00D76985"/>
    <w:rsid w:val="00D769E2"/>
    <w:rsid w:val="00D76AC9"/>
    <w:rsid w:val="00D76C98"/>
    <w:rsid w:val="00D76DBE"/>
    <w:rsid w:val="00D76DD1"/>
    <w:rsid w:val="00D76E40"/>
    <w:rsid w:val="00D77391"/>
    <w:rsid w:val="00D773A5"/>
    <w:rsid w:val="00D7745E"/>
    <w:rsid w:val="00D77570"/>
    <w:rsid w:val="00D77601"/>
    <w:rsid w:val="00D77602"/>
    <w:rsid w:val="00D77998"/>
    <w:rsid w:val="00D77B3D"/>
    <w:rsid w:val="00D77BAD"/>
    <w:rsid w:val="00D77F34"/>
    <w:rsid w:val="00D805C6"/>
    <w:rsid w:val="00D807D7"/>
    <w:rsid w:val="00D80937"/>
    <w:rsid w:val="00D80A19"/>
    <w:rsid w:val="00D80AAB"/>
    <w:rsid w:val="00D81095"/>
    <w:rsid w:val="00D81118"/>
    <w:rsid w:val="00D815DF"/>
    <w:rsid w:val="00D81703"/>
    <w:rsid w:val="00D8185D"/>
    <w:rsid w:val="00D81876"/>
    <w:rsid w:val="00D819D9"/>
    <w:rsid w:val="00D81D0F"/>
    <w:rsid w:val="00D8209C"/>
    <w:rsid w:val="00D825E4"/>
    <w:rsid w:val="00D82886"/>
    <w:rsid w:val="00D82888"/>
    <w:rsid w:val="00D829AE"/>
    <w:rsid w:val="00D82A0C"/>
    <w:rsid w:val="00D82CA5"/>
    <w:rsid w:val="00D82CF0"/>
    <w:rsid w:val="00D82CF1"/>
    <w:rsid w:val="00D82F9F"/>
    <w:rsid w:val="00D831AA"/>
    <w:rsid w:val="00D83291"/>
    <w:rsid w:val="00D836A8"/>
    <w:rsid w:val="00D83AE5"/>
    <w:rsid w:val="00D84065"/>
    <w:rsid w:val="00D841B1"/>
    <w:rsid w:val="00D84313"/>
    <w:rsid w:val="00D844FA"/>
    <w:rsid w:val="00D8451F"/>
    <w:rsid w:val="00D84624"/>
    <w:rsid w:val="00D848C4"/>
    <w:rsid w:val="00D848D1"/>
    <w:rsid w:val="00D84901"/>
    <w:rsid w:val="00D84943"/>
    <w:rsid w:val="00D84BAD"/>
    <w:rsid w:val="00D84CCE"/>
    <w:rsid w:val="00D85058"/>
    <w:rsid w:val="00D850D5"/>
    <w:rsid w:val="00D850EE"/>
    <w:rsid w:val="00D85593"/>
    <w:rsid w:val="00D85823"/>
    <w:rsid w:val="00D85A30"/>
    <w:rsid w:val="00D85C3C"/>
    <w:rsid w:val="00D85C63"/>
    <w:rsid w:val="00D85D51"/>
    <w:rsid w:val="00D85D65"/>
    <w:rsid w:val="00D85E16"/>
    <w:rsid w:val="00D85F29"/>
    <w:rsid w:val="00D860FA"/>
    <w:rsid w:val="00D86280"/>
    <w:rsid w:val="00D86336"/>
    <w:rsid w:val="00D86485"/>
    <w:rsid w:val="00D864F0"/>
    <w:rsid w:val="00D86609"/>
    <w:rsid w:val="00D8692B"/>
    <w:rsid w:val="00D86A68"/>
    <w:rsid w:val="00D86C6C"/>
    <w:rsid w:val="00D86D85"/>
    <w:rsid w:val="00D86E00"/>
    <w:rsid w:val="00D86FA3"/>
    <w:rsid w:val="00D870B4"/>
    <w:rsid w:val="00D872E1"/>
    <w:rsid w:val="00D872FA"/>
    <w:rsid w:val="00D874EC"/>
    <w:rsid w:val="00D87564"/>
    <w:rsid w:val="00D876DD"/>
    <w:rsid w:val="00D87718"/>
    <w:rsid w:val="00D87AD2"/>
    <w:rsid w:val="00D87BEB"/>
    <w:rsid w:val="00D87DD8"/>
    <w:rsid w:val="00D87E2D"/>
    <w:rsid w:val="00D87FB1"/>
    <w:rsid w:val="00D9027C"/>
    <w:rsid w:val="00D903D5"/>
    <w:rsid w:val="00D905AF"/>
    <w:rsid w:val="00D90697"/>
    <w:rsid w:val="00D90734"/>
    <w:rsid w:val="00D90860"/>
    <w:rsid w:val="00D9096B"/>
    <w:rsid w:val="00D909E9"/>
    <w:rsid w:val="00D90AF8"/>
    <w:rsid w:val="00D90BDE"/>
    <w:rsid w:val="00D90BEB"/>
    <w:rsid w:val="00D90C71"/>
    <w:rsid w:val="00D90D95"/>
    <w:rsid w:val="00D90F5D"/>
    <w:rsid w:val="00D9121B"/>
    <w:rsid w:val="00D9130C"/>
    <w:rsid w:val="00D91457"/>
    <w:rsid w:val="00D91665"/>
    <w:rsid w:val="00D916AE"/>
    <w:rsid w:val="00D91BA9"/>
    <w:rsid w:val="00D91BEC"/>
    <w:rsid w:val="00D91D3C"/>
    <w:rsid w:val="00D92116"/>
    <w:rsid w:val="00D92419"/>
    <w:rsid w:val="00D9259B"/>
    <w:rsid w:val="00D9259C"/>
    <w:rsid w:val="00D9264D"/>
    <w:rsid w:val="00D926AB"/>
    <w:rsid w:val="00D92B90"/>
    <w:rsid w:val="00D92C90"/>
    <w:rsid w:val="00D92DCE"/>
    <w:rsid w:val="00D92E04"/>
    <w:rsid w:val="00D92F99"/>
    <w:rsid w:val="00D9302F"/>
    <w:rsid w:val="00D932CD"/>
    <w:rsid w:val="00D93307"/>
    <w:rsid w:val="00D93449"/>
    <w:rsid w:val="00D934AF"/>
    <w:rsid w:val="00D934BE"/>
    <w:rsid w:val="00D93504"/>
    <w:rsid w:val="00D936B0"/>
    <w:rsid w:val="00D9384D"/>
    <w:rsid w:val="00D93872"/>
    <w:rsid w:val="00D93B1A"/>
    <w:rsid w:val="00D93F3E"/>
    <w:rsid w:val="00D94005"/>
    <w:rsid w:val="00D94152"/>
    <w:rsid w:val="00D94278"/>
    <w:rsid w:val="00D94323"/>
    <w:rsid w:val="00D946F4"/>
    <w:rsid w:val="00D946F9"/>
    <w:rsid w:val="00D9490B"/>
    <w:rsid w:val="00D949A5"/>
    <w:rsid w:val="00D94A67"/>
    <w:rsid w:val="00D94BA2"/>
    <w:rsid w:val="00D94F49"/>
    <w:rsid w:val="00D94F97"/>
    <w:rsid w:val="00D94FAA"/>
    <w:rsid w:val="00D95007"/>
    <w:rsid w:val="00D950F7"/>
    <w:rsid w:val="00D950FC"/>
    <w:rsid w:val="00D95221"/>
    <w:rsid w:val="00D954C8"/>
    <w:rsid w:val="00D959A0"/>
    <w:rsid w:val="00D95BAA"/>
    <w:rsid w:val="00D95D94"/>
    <w:rsid w:val="00D95DD2"/>
    <w:rsid w:val="00D95DD9"/>
    <w:rsid w:val="00D95E3E"/>
    <w:rsid w:val="00D961E2"/>
    <w:rsid w:val="00D9625E"/>
    <w:rsid w:val="00D96328"/>
    <w:rsid w:val="00D9633B"/>
    <w:rsid w:val="00D9635D"/>
    <w:rsid w:val="00D9638F"/>
    <w:rsid w:val="00D9655D"/>
    <w:rsid w:val="00D9674B"/>
    <w:rsid w:val="00D96970"/>
    <w:rsid w:val="00D96DB0"/>
    <w:rsid w:val="00D96DDE"/>
    <w:rsid w:val="00D96E16"/>
    <w:rsid w:val="00D96F72"/>
    <w:rsid w:val="00D970B9"/>
    <w:rsid w:val="00D9711E"/>
    <w:rsid w:val="00D97170"/>
    <w:rsid w:val="00D971D9"/>
    <w:rsid w:val="00D97735"/>
    <w:rsid w:val="00D9783C"/>
    <w:rsid w:val="00D97B13"/>
    <w:rsid w:val="00D97C94"/>
    <w:rsid w:val="00D97E0E"/>
    <w:rsid w:val="00D97E8F"/>
    <w:rsid w:val="00D97FDD"/>
    <w:rsid w:val="00DA0178"/>
    <w:rsid w:val="00DA0379"/>
    <w:rsid w:val="00DA046A"/>
    <w:rsid w:val="00DA0477"/>
    <w:rsid w:val="00DA04A0"/>
    <w:rsid w:val="00DA058D"/>
    <w:rsid w:val="00DA086A"/>
    <w:rsid w:val="00DA0B8E"/>
    <w:rsid w:val="00DA0C5B"/>
    <w:rsid w:val="00DA0D23"/>
    <w:rsid w:val="00DA104F"/>
    <w:rsid w:val="00DA1193"/>
    <w:rsid w:val="00DA11B4"/>
    <w:rsid w:val="00DA1491"/>
    <w:rsid w:val="00DA173E"/>
    <w:rsid w:val="00DA1853"/>
    <w:rsid w:val="00DA235A"/>
    <w:rsid w:val="00DA2377"/>
    <w:rsid w:val="00DA25A0"/>
    <w:rsid w:val="00DA26F7"/>
    <w:rsid w:val="00DA27AC"/>
    <w:rsid w:val="00DA27C2"/>
    <w:rsid w:val="00DA29A9"/>
    <w:rsid w:val="00DA2AFB"/>
    <w:rsid w:val="00DA2CA6"/>
    <w:rsid w:val="00DA2DEC"/>
    <w:rsid w:val="00DA3302"/>
    <w:rsid w:val="00DA36EC"/>
    <w:rsid w:val="00DA36FC"/>
    <w:rsid w:val="00DA3B35"/>
    <w:rsid w:val="00DA3B8F"/>
    <w:rsid w:val="00DA3BFC"/>
    <w:rsid w:val="00DA3D93"/>
    <w:rsid w:val="00DA3E23"/>
    <w:rsid w:val="00DA405B"/>
    <w:rsid w:val="00DA4068"/>
    <w:rsid w:val="00DA4263"/>
    <w:rsid w:val="00DA4542"/>
    <w:rsid w:val="00DA46AA"/>
    <w:rsid w:val="00DA47BD"/>
    <w:rsid w:val="00DA48D4"/>
    <w:rsid w:val="00DA48EF"/>
    <w:rsid w:val="00DA493D"/>
    <w:rsid w:val="00DA4A26"/>
    <w:rsid w:val="00DA4A4E"/>
    <w:rsid w:val="00DA4AD8"/>
    <w:rsid w:val="00DA4B02"/>
    <w:rsid w:val="00DA4CFB"/>
    <w:rsid w:val="00DA4E5D"/>
    <w:rsid w:val="00DA4F47"/>
    <w:rsid w:val="00DA4FD1"/>
    <w:rsid w:val="00DA500C"/>
    <w:rsid w:val="00DA527D"/>
    <w:rsid w:val="00DA549D"/>
    <w:rsid w:val="00DA5517"/>
    <w:rsid w:val="00DA56C1"/>
    <w:rsid w:val="00DA56E1"/>
    <w:rsid w:val="00DA5891"/>
    <w:rsid w:val="00DA58A8"/>
    <w:rsid w:val="00DA59D2"/>
    <w:rsid w:val="00DA5D8D"/>
    <w:rsid w:val="00DA5E14"/>
    <w:rsid w:val="00DA5E5A"/>
    <w:rsid w:val="00DA5EFD"/>
    <w:rsid w:val="00DA5FB6"/>
    <w:rsid w:val="00DA61D3"/>
    <w:rsid w:val="00DA63E3"/>
    <w:rsid w:val="00DA6532"/>
    <w:rsid w:val="00DA655A"/>
    <w:rsid w:val="00DA6708"/>
    <w:rsid w:val="00DA6A37"/>
    <w:rsid w:val="00DA6BAB"/>
    <w:rsid w:val="00DA6C9D"/>
    <w:rsid w:val="00DA6CB2"/>
    <w:rsid w:val="00DA6E7B"/>
    <w:rsid w:val="00DA6F16"/>
    <w:rsid w:val="00DA6F78"/>
    <w:rsid w:val="00DA7004"/>
    <w:rsid w:val="00DA70B4"/>
    <w:rsid w:val="00DA7220"/>
    <w:rsid w:val="00DA725C"/>
    <w:rsid w:val="00DA75DF"/>
    <w:rsid w:val="00DA7783"/>
    <w:rsid w:val="00DA79FB"/>
    <w:rsid w:val="00DA7E73"/>
    <w:rsid w:val="00DA7E76"/>
    <w:rsid w:val="00DA7F28"/>
    <w:rsid w:val="00DB007C"/>
    <w:rsid w:val="00DB010A"/>
    <w:rsid w:val="00DB0287"/>
    <w:rsid w:val="00DB02A6"/>
    <w:rsid w:val="00DB02CB"/>
    <w:rsid w:val="00DB0420"/>
    <w:rsid w:val="00DB0492"/>
    <w:rsid w:val="00DB07E6"/>
    <w:rsid w:val="00DB0B13"/>
    <w:rsid w:val="00DB0C0E"/>
    <w:rsid w:val="00DB0C29"/>
    <w:rsid w:val="00DB0C2A"/>
    <w:rsid w:val="00DB0CF8"/>
    <w:rsid w:val="00DB0DDE"/>
    <w:rsid w:val="00DB0F66"/>
    <w:rsid w:val="00DB0FFF"/>
    <w:rsid w:val="00DB10F3"/>
    <w:rsid w:val="00DB1269"/>
    <w:rsid w:val="00DB12A1"/>
    <w:rsid w:val="00DB12B7"/>
    <w:rsid w:val="00DB14DA"/>
    <w:rsid w:val="00DB15AA"/>
    <w:rsid w:val="00DB18A7"/>
    <w:rsid w:val="00DB1B35"/>
    <w:rsid w:val="00DB1BB6"/>
    <w:rsid w:val="00DB2035"/>
    <w:rsid w:val="00DB2083"/>
    <w:rsid w:val="00DB2165"/>
    <w:rsid w:val="00DB21F0"/>
    <w:rsid w:val="00DB255E"/>
    <w:rsid w:val="00DB27FF"/>
    <w:rsid w:val="00DB281D"/>
    <w:rsid w:val="00DB2852"/>
    <w:rsid w:val="00DB2967"/>
    <w:rsid w:val="00DB2C8D"/>
    <w:rsid w:val="00DB2CFF"/>
    <w:rsid w:val="00DB3054"/>
    <w:rsid w:val="00DB331D"/>
    <w:rsid w:val="00DB340A"/>
    <w:rsid w:val="00DB343D"/>
    <w:rsid w:val="00DB34CA"/>
    <w:rsid w:val="00DB3534"/>
    <w:rsid w:val="00DB37F3"/>
    <w:rsid w:val="00DB3979"/>
    <w:rsid w:val="00DB3EF3"/>
    <w:rsid w:val="00DB4057"/>
    <w:rsid w:val="00DB4094"/>
    <w:rsid w:val="00DB44BB"/>
    <w:rsid w:val="00DB48C7"/>
    <w:rsid w:val="00DB494E"/>
    <w:rsid w:val="00DB4BA0"/>
    <w:rsid w:val="00DB4F19"/>
    <w:rsid w:val="00DB5198"/>
    <w:rsid w:val="00DB51BC"/>
    <w:rsid w:val="00DB51C8"/>
    <w:rsid w:val="00DB5262"/>
    <w:rsid w:val="00DB53BC"/>
    <w:rsid w:val="00DB56BD"/>
    <w:rsid w:val="00DB57D1"/>
    <w:rsid w:val="00DB57EE"/>
    <w:rsid w:val="00DB594B"/>
    <w:rsid w:val="00DB596C"/>
    <w:rsid w:val="00DB5B0F"/>
    <w:rsid w:val="00DB5CFD"/>
    <w:rsid w:val="00DB5DCC"/>
    <w:rsid w:val="00DB5E8A"/>
    <w:rsid w:val="00DB5F16"/>
    <w:rsid w:val="00DB5F20"/>
    <w:rsid w:val="00DB5F22"/>
    <w:rsid w:val="00DB5FED"/>
    <w:rsid w:val="00DB631E"/>
    <w:rsid w:val="00DB6707"/>
    <w:rsid w:val="00DB676F"/>
    <w:rsid w:val="00DB6C23"/>
    <w:rsid w:val="00DB6D7F"/>
    <w:rsid w:val="00DB6E93"/>
    <w:rsid w:val="00DB704F"/>
    <w:rsid w:val="00DB70B4"/>
    <w:rsid w:val="00DB7148"/>
    <w:rsid w:val="00DB7169"/>
    <w:rsid w:val="00DB71DB"/>
    <w:rsid w:val="00DB7309"/>
    <w:rsid w:val="00DB737F"/>
    <w:rsid w:val="00DB73F5"/>
    <w:rsid w:val="00DB7541"/>
    <w:rsid w:val="00DB7A29"/>
    <w:rsid w:val="00DB7AF1"/>
    <w:rsid w:val="00DC000F"/>
    <w:rsid w:val="00DC00B2"/>
    <w:rsid w:val="00DC0360"/>
    <w:rsid w:val="00DC0763"/>
    <w:rsid w:val="00DC079D"/>
    <w:rsid w:val="00DC0B17"/>
    <w:rsid w:val="00DC0B34"/>
    <w:rsid w:val="00DC0E02"/>
    <w:rsid w:val="00DC0E0B"/>
    <w:rsid w:val="00DC0E8D"/>
    <w:rsid w:val="00DC0F08"/>
    <w:rsid w:val="00DC140D"/>
    <w:rsid w:val="00DC143E"/>
    <w:rsid w:val="00DC16C6"/>
    <w:rsid w:val="00DC199C"/>
    <w:rsid w:val="00DC1A0F"/>
    <w:rsid w:val="00DC1C3B"/>
    <w:rsid w:val="00DC1C9D"/>
    <w:rsid w:val="00DC1D91"/>
    <w:rsid w:val="00DC1FF1"/>
    <w:rsid w:val="00DC208A"/>
    <w:rsid w:val="00DC22C4"/>
    <w:rsid w:val="00DC2314"/>
    <w:rsid w:val="00DC23CF"/>
    <w:rsid w:val="00DC2439"/>
    <w:rsid w:val="00DC24C6"/>
    <w:rsid w:val="00DC2657"/>
    <w:rsid w:val="00DC265E"/>
    <w:rsid w:val="00DC26EE"/>
    <w:rsid w:val="00DC279F"/>
    <w:rsid w:val="00DC2915"/>
    <w:rsid w:val="00DC2A01"/>
    <w:rsid w:val="00DC2A23"/>
    <w:rsid w:val="00DC2A50"/>
    <w:rsid w:val="00DC2B70"/>
    <w:rsid w:val="00DC2ECC"/>
    <w:rsid w:val="00DC3181"/>
    <w:rsid w:val="00DC3570"/>
    <w:rsid w:val="00DC39C4"/>
    <w:rsid w:val="00DC3C56"/>
    <w:rsid w:val="00DC3D37"/>
    <w:rsid w:val="00DC3F21"/>
    <w:rsid w:val="00DC4184"/>
    <w:rsid w:val="00DC41AB"/>
    <w:rsid w:val="00DC431B"/>
    <w:rsid w:val="00DC4545"/>
    <w:rsid w:val="00DC4575"/>
    <w:rsid w:val="00DC47C9"/>
    <w:rsid w:val="00DC47F9"/>
    <w:rsid w:val="00DC4A96"/>
    <w:rsid w:val="00DC4BAF"/>
    <w:rsid w:val="00DC4BE0"/>
    <w:rsid w:val="00DC4EB9"/>
    <w:rsid w:val="00DC5280"/>
    <w:rsid w:val="00DC52D9"/>
    <w:rsid w:val="00DC55FF"/>
    <w:rsid w:val="00DC56C5"/>
    <w:rsid w:val="00DC5712"/>
    <w:rsid w:val="00DC5728"/>
    <w:rsid w:val="00DC583B"/>
    <w:rsid w:val="00DC5AFD"/>
    <w:rsid w:val="00DC5B99"/>
    <w:rsid w:val="00DC5E36"/>
    <w:rsid w:val="00DC60EF"/>
    <w:rsid w:val="00DC61D0"/>
    <w:rsid w:val="00DC6202"/>
    <w:rsid w:val="00DC66AE"/>
    <w:rsid w:val="00DC66B7"/>
    <w:rsid w:val="00DC68D6"/>
    <w:rsid w:val="00DC6AC1"/>
    <w:rsid w:val="00DC6B35"/>
    <w:rsid w:val="00DC6F69"/>
    <w:rsid w:val="00DC719C"/>
    <w:rsid w:val="00DC71C3"/>
    <w:rsid w:val="00DC7255"/>
    <w:rsid w:val="00DC728D"/>
    <w:rsid w:val="00DC7303"/>
    <w:rsid w:val="00DC7365"/>
    <w:rsid w:val="00DC742F"/>
    <w:rsid w:val="00DC7439"/>
    <w:rsid w:val="00DC7472"/>
    <w:rsid w:val="00DC7525"/>
    <w:rsid w:val="00DC7677"/>
    <w:rsid w:val="00DC770D"/>
    <w:rsid w:val="00DC7762"/>
    <w:rsid w:val="00DC77CF"/>
    <w:rsid w:val="00DC7AE8"/>
    <w:rsid w:val="00DC7B69"/>
    <w:rsid w:val="00DC7E13"/>
    <w:rsid w:val="00DC7E37"/>
    <w:rsid w:val="00DD0025"/>
    <w:rsid w:val="00DD020E"/>
    <w:rsid w:val="00DD03D9"/>
    <w:rsid w:val="00DD0553"/>
    <w:rsid w:val="00DD06F2"/>
    <w:rsid w:val="00DD074D"/>
    <w:rsid w:val="00DD09FC"/>
    <w:rsid w:val="00DD0AC1"/>
    <w:rsid w:val="00DD0ACF"/>
    <w:rsid w:val="00DD0B80"/>
    <w:rsid w:val="00DD0FC0"/>
    <w:rsid w:val="00DD10A2"/>
    <w:rsid w:val="00DD1129"/>
    <w:rsid w:val="00DD11DA"/>
    <w:rsid w:val="00DD11FB"/>
    <w:rsid w:val="00DD13A2"/>
    <w:rsid w:val="00DD1517"/>
    <w:rsid w:val="00DD16CF"/>
    <w:rsid w:val="00DD175A"/>
    <w:rsid w:val="00DD1809"/>
    <w:rsid w:val="00DD197A"/>
    <w:rsid w:val="00DD19B1"/>
    <w:rsid w:val="00DD1C80"/>
    <w:rsid w:val="00DD1CC4"/>
    <w:rsid w:val="00DD1EC7"/>
    <w:rsid w:val="00DD217C"/>
    <w:rsid w:val="00DD21BE"/>
    <w:rsid w:val="00DD23AA"/>
    <w:rsid w:val="00DD23CD"/>
    <w:rsid w:val="00DD2A20"/>
    <w:rsid w:val="00DD2B3F"/>
    <w:rsid w:val="00DD2C20"/>
    <w:rsid w:val="00DD2D9A"/>
    <w:rsid w:val="00DD2E2A"/>
    <w:rsid w:val="00DD2F2C"/>
    <w:rsid w:val="00DD30BA"/>
    <w:rsid w:val="00DD34FA"/>
    <w:rsid w:val="00DD3526"/>
    <w:rsid w:val="00DD3532"/>
    <w:rsid w:val="00DD3760"/>
    <w:rsid w:val="00DD3BCC"/>
    <w:rsid w:val="00DD3DB1"/>
    <w:rsid w:val="00DD3ED7"/>
    <w:rsid w:val="00DD3F3A"/>
    <w:rsid w:val="00DD4034"/>
    <w:rsid w:val="00DD439D"/>
    <w:rsid w:val="00DD43B5"/>
    <w:rsid w:val="00DD47BF"/>
    <w:rsid w:val="00DD48F0"/>
    <w:rsid w:val="00DD49AD"/>
    <w:rsid w:val="00DD4C15"/>
    <w:rsid w:val="00DD4E23"/>
    <w:rsid w:val="00DD5126"/>
    <w:rsid w:val="00DD5212"/>
    <w:rsid w:val="00DD53D7"/>
    <w:rsid w:val="00DD5429"/>
    <w:rsid w:val="00DD548D"/>
    <w:rsid w:val="00DD566E"/>
    <w:rsid w:val="00DD573C"/>
    <w:rsid w:val="00DD577C"/>
    <w:rsid w:val="00DD57E3"/>
    <w:rsid w:val="00DD58C7"/>
    <w:rsid w:val="00DD59C5"/>
    <w:rsid w:val="00DD5AD4"/>
    <w:rsid w:val="00DD5DC7"/>
    <w:rsid w:val="00DD5E6D"/>
    <w:rsid w:val="00DD5F0E"/>
    <w:rsid w:val="00DD611F"/>
    <w:rsid w:val="00DD6127"/>
    <w:rsid w:val="00DD62B3"/>
    <w:rsid w:val="00DD62CA"/>
    <w:rsid w:val="00DD64BB"/>
    <w:rsid w:val="00DD683D"/>
    <w:rsid w:val="00DD6C23"/>
    <w:rsid w:val="00DD6C98"/>
    <w:rsid w:val="00DD6D5E"/>
    <w:rsid w:val="00DD6DCA"/>
    <w:rsid w:val="00DD6EC3"/>
    <w:rsid w:val="00DD70F2"/>
    <w:rsid w:val="00DD70F5"/>
    <w:rsid w:val="00DD7318"/>
    <w:rsid w:val="00DD74C1"/>
    <w:rsid w:val="00DD74D3"/>
    <w:rsid w:val="00DD75CB"/>
    <w:rsid w:val="00DD75DD"/>
    <w:rsid w:val="00DD7930"/>
    <w:rsid w:val="00DD7A43"/>
    <w:rsid w:val="00DD7A77"/>
    <w:rsid w:val="00DD7B78"/>
    <w:rsid w:val="00DD7B99"/>
    <w:rsid w:val="00DD7EE2"/>
    <w:rsid w:val="00DD7EFC"/>
    <w:rsid w:val="00DE0017"/>
    <w:rsid w:val="00DE0128"/>
    <w:rsid w:val="00DE027B"/>
    <w:rsid w:val="00DE05E6"/>
    <w:rsid w:val="00DE07BF"/>
    <w:rsid w:val="00DE08AE"/>
    <w:rsid w:val="00DE08CD"/>
    <w:rsid w:val="00DE09BF"/>
    <w:rsid w:val="00DE0A5B"/>
    <w:rsid w:val="00DE0C81"/>
    <w:rsid w:val="00DE0D9A"/>
    <w:rsid w:val="00DE0E0B"/>
    <w:rsid w:val="00DE0E0C"/>
    <w:rsid w:val="00DE0F8D"/>
    <w:rsid w:val="00DE1204"/>
    <w:rsid w:val="00DE145E"/>
    <w:rsid w:val="00DE1514"/>
    <w:rsid w:val="00DE163B"/>
    <w:rsid w:val="00DE166D"/>
    <w:rsid w:val="00DE1803"/>
    <w:rsid w:val="00DE196E"/>
    <w:rsid w:val="00DE1A3C"/>
    <w:rsid w:val="00DE1A47"/>
    <w:rsid w:val="00DE1ADB"/>
    <w:rsid w:val="00DE1BC7"/>
    <w:rsid w:val="00DE1C4E"/>
    <w:rsid w:val="00DE1D57"/>
    <w:rsid w:val="00DE1E2D"/>
    <w:rsid w:val="00DE1E3F"/>
    <w:rsid w:val="00DE1FC8"/>
    <w:rsid w:val="00DE2008"/>
    <w:rsid w:val="00DE214F"/>
    <w:rsid w:val="00DE21EB"/>
    <w:rsid w:val="00DE262E"/>
    <w:rsid w:val="00DE27AC"/>
    <w:rsid w:val="00DE27CE"/>
    <w:rsid w:val="00DE2883"/>
    <w:rsid w:val="00DE28F3"/>
    <w:rsid w:val="00DE293F"/>
    <w:rsid w:val="00DE2A78"/>
    <w:rsid w:val="00DE2A7A"/>
    <w:rsid w:val="00DE2A88"/>
    <w:rsid w:val="00DE2B82"/>
    <w:rsid w:val="00DE2BA0"/>
    <w:rsid w:val="00DE2DA0"/>
    <w:rsid w:val="00DE2E34"/>
    <w:rsid w:val="00DE3215"/>
    <w:rsid w:val="00DE3481"/>
    <w:rsid w:val="00DE3817"/>
    <w:rsid w:val="00DE3838"/>
    <w:rsid w:val="00DE3D5B"/>
    <w:rsid w:val="00DE4185"/>
    <w:rsid w:val="00DE424B"/>
    <w:rsid w:val="00DE43B0"/>
    <w:rsid w:val="00DE4414"/>
    <w:rsid w:val="00DE4434"/>
    <w:rsid w:val="00DE45E6"/>
    <w:rsid w:val="00DE4626"/>
    <w:rsid w:val="00DE4747"/>
    <w:rsid w:val="00DE47D2"/>
    <w:rsid w:val="00DE4860"/>
    <w:rsid w:val="00DE4BD3"/>
    <w:rsid w:val="00DE4FC7"/>
    <w:rsid w:val="00DE5446"/>
    <w:rsid w:val="00DE54E6"/>
    <w:rsid w:val="00DE550E"/>
    <w:rsid w:val="00DE55C4"/>
    <w:rsid w:val="00DE55E9"/>
    <w:rsid w:val="00DE568A"/>
    <w:rsid w:val="00DE57E9"/>
    <w:rsid w:val="00DE58DC"/>
    <w:rsid w:val="00DE5BC1"/>
    <w:rsid w:val="00DE5CE7"/>
    <w:rsid w:val="00DE5E29"/>
    <w:rsid w:val="00DE5F56"/>
    <w:rsid w:val="00DE695A"/>
    <w:rsid w:val="00DE6AC7"/>
    <w:rsid w:val="00DE6ADD"/>
    <w:rsid w:val="00DE6BFA"/>
    <w:rsid w:val="00DE6E02"/>
    <w:rsid w:val="00DE6E89"/>
    <w:rsid w:val="00DE6FEB"/>
    <w:rsid w:val="00DE6FF7"/>
    <w:rsid w:val="00DE7084"/>
    <w:rsid w:val="00DE7298"/>
    <w:rsid w:val="00DE72CB"/>
    <w:rsid w:val="00DE73D3"/>
    <w:rsid w:val="00DE7534"/>
    <w:rsid w:val="00DE76AE"/>
    <w:rsid w:val="00DE7729"/>
    <w:rsid w:val="00DE77E3"/>
    <w:rsid w:val="00DE7975"/>
    <w:rsid w:val="00DE7984"/>
    <w:rsid w:val="00DE7A3E"/>
    <w:rsid w:val="00DE7C39"/>
    <w:rsid w:val="00DE7CA6"/>
    <w:rsid w:val="00DE7EB8"/>
    <w:rsid w:val="00DF0034"/>
    <w:rsid w:val="00DF0095"/>
    <w:rsid w:val="00DF026C"/>
    <w:rsid w:val="00DF05B4"/>
    <w:rsid w:val="00DF068D"/>
    <w:rsid w:val="00DF0C05"/>
    <w:rsid w:val="00DF0CEB"/>
    <w:rsid w:val="00DF0E2F"/>
    <w:rsid w:val="00DF1032"/>
    <w:rsid w:val="00DF120D"/>
    <w:rsid w:val="00DF150C"/>
    <w:rsid w:val="00DF15FD"/>
    <w:rsid w:val="00DF17C8"/>
    <w:rsid w:val="00DF1B54"/>
    <w:rsid w:val="00DF1F51"/>
    <w:rsid w:val="00DF2026"/>
    <w:rsid w:val="00DF20CB"/>
    <w:rsid w:val="00DF231D"/>
    <w:rsid w:val="00DF235B"/>
    <w:rsid w:val="00DF26E8"/>
    <w:rsid w:val="00DF283B"/>
    <w:rsid w:val="00DF2B37"/>
    <w:rsid w:val="00DF2D99"/>
    <w:rsid w:val="00DF2F6C"/>
    <w:rsid w:val="00DF3168"/>
    <w:rsid w:val="00DF32DC"/>
    <w:rsid w:val="00DF330B"/>
    <w:rsid w:val="00DF34EC"/>
    <w:rsid w:val="00DF37D0"/>
    <w:rsid w:val="00DF38CE"/>
    <w:rsid w:val="00DF393F"/>
    <w:rsid w:val="00DF3A6C"/>
    <w:rsid w:val="00DF3B54"/>
    <w:rsid w:val="00DF3BD2"/>
    <w:rsid w:val="00DF3BE4"/>
    <w:rsid w:val="00DF3EF6"/>
    <w:rsid w:val="00DF3F88"/>
    <w:rsid w:val="00DF4018"/>
    <w:rsid w:val="00DF40C7"/>
    <w:rsid w:val="00DF4835"/>
    <w:rsid w:val="00DF488F"/>
    <w:rsid w:val="00DF48C6"/>
    <w:rsid w:val="00DF4C2E"/>
    <w:rsid w:val="00DF4D15"/>
    <w:rsid w:val="00DF4DA8"/>
    <w:rsid w:val="00DF4E15"/>
    <w:rsid w:val="00DF4F2F"/>
    <w:rsid w:val="00DF52D8"/>
    <w:rsid w:val="00DF5424"/>
    <w:rsid w:val="00DF562F"/>
    <w:rsid w:val="00DF56A6"/>
    <w:rsid w:val="00DF57C9"/>
    <w:rsid w:val="00DF5900"/>
    <w:rsid w:val="00DF5951"/>
    <w:rsid w:val="00DF5B22"/>
    <w:rsid w:val="00DF5C8F"/>
    <w:rsid w:val="00DF5CDF"/>
    <w:rsid w:val="00DF5E2E"/>
    <w:rsid w:val="00DF5E3F"/>
    <w:rsid w:val="00DF5E7C"/>
    <w:rsid w:val="00DF5EFC"/>
    <w:rsid w:val="00DF60DD"/>
    <w:rsid w:val="00DF662D"/>
    <w:rsid w:val="00DF688A"/>
    <w:rsid w:val="00DF691E"/>
    <w:rsid w:val="00DF6BC1"/>
    <w:rsid w:val="00DF6CC8"/>
    <w:rsid w:val="00DF6CF9"/>
    <w:rsid w:val="00DF6E4E"/>
    <w:rsid w:val="00DF6EF2"/>
    <w:rsid w:val="00DF6FB5"/>
    <w:rsid w:val="00DF724F"/>
    <w:rsid w:val="00DF76D0"/>
    <w:rsid w:val="00DF7BA5"/>
    <w:rsid w:val="00DF7BB4"/>
    <w:rsid w:val="00DF7C3C"/>
    <w:rsid w:val="00DF7F14"/>
    <w:rsid w:val="00DF7F59"/>
    <w:rsid w:val="00E0009A"/>
    <w:rsid w:val="00E00128"/>
    <w:rsid w:val="00E003A9"/>
    <w:rsid w:val="00E0040E"/>
    <w:rsid w:val="00E00615"/>
    <w:rsid w:val="00E00649"/>
    <w:rsid w:val="00E0080F"/>
    <w:rsid w:val="00E00812"/>
    <w:rsid w:val="00E008CD"/>
    <w:rsid w:val="00E00AB5"/>
    <w:rsid w:val="00E00B3A"/>
    <w:rsid w:val="00E00CB0"/>
    <w:rsid w:val="00E00CE0"/>
    <w:rsid w:val="00E00E06"/>
    <w:rsid w:val="00E00E10"/>
    <w:rsid w:val="00E00E6A"/>
    <w:rsid w:val="00E01047"/>
    <w:rsid w:val="00E0113A"/>
    <w:rsid w:val="00E01155"/>
    <w:rsid w:val="00E011D7"/>
    <w:rsid w:val="00E01720"/>
    <w:rsid w:val="00E017EE"/>
    <w:rsid w:val="00E0181E"/>
    <w:rsid w:val="00E01876"/>
    <w:rsid w:val="00E018E6"/>
    <w:rsid w:val="00E01B67"/>
    <w:rsid w:val="00E01BEB"/>
    <w:rsid w:val="00E01C8C"/>
    <w:rsid w:val="00E01CBB"/>
    <w:rsid w:val="00E01F37"/>
    <w:rsid w:val="00E020D1"/>
    <w:rsid w:val="00E02218"/>
    <w:rsid w:val="00E02330"/>
    <w:rsid w:val="00E0273E"/>
    <w:rsid w:val="00E02A89"/>
    <w:rsid w:val="00E02B5B"/>
    <w:rsid w:val="00E02DF8"/>
    <w:rsid w:val="00E0304C"/>
    <w:rsid w:val="00E03081"/>
    <w:rsid w:val="00E030E7"/>
    <w:rsid w:val="00E03229"/>
    <w:rsid w:val="00E03246"/>
    <w:rsid w:val="00E03468"/>
    <w:rsid w:val="00E034E7"/>
    <w:rsid w:val="00E03617"/>
    <w:rsid w:val="00E03A09"/>
    <w:rsid w:val="00E03CD3"/>
    <w:rsid w:val="00E03E49"/>
    <w:rsid w:val="00E0404B"/>
    <w:rsid w:val="00E04227"/>
    <w:rsid w:val="00E04262"/>
    <w:rsid w:val="00E04289"/>
    <w:rsid w:val="00E0436E"/>
    <w:rsid w:val="00E047F7"/>
    <w:rsid w:val="00E048A3"/>
    <w:rsid w:val="00E04926"/>
    <w:rsid w:val="00E04E52"/>
    <w:rsid w:val="00E04EC3"/>
    <w:rsid w:val="00E04F59"/>
    <w:rsid w:val="00E04FEA"/>
    <w:rsid w:val="00E0540F"/>
    <w:rsid w:val="00E05486"/>
    <w:rsid w:val="00E05800"/>
    <w:rsid w:val="00E0581D"/>
    <w:rsid w:val="00E05991"/>
    <w:rsid w:val="00E05EEF"/>
    <w:rsid w:val="00E05FB6"/>
    <w:rsid w:val="00E0603D"/>
    <w:rsid w:val="00E062D5"/>
    <w:rsid w:val="00E0653F"/>
    <w:rsid w:val="00E06A09"/>
    <w:rsid w:val="00E06B2A"/>
    <w:rsid w:val="00E06D09"/>
    <w:rsid w:val="00E06D6A"/>
    <w:rsid w:val="00E06D84"/>
    <w:rsid w:val="00E06E6A"/>
    <w:rsid w:val="00E06F5E"/>
    <w:rsid w:val="00E073FB"/>
    <w:rsid w:val="00E07501"/>
    <w:rsid w:val="00E07518"/>
    <w:rsid w:val="00E07707"/>
    <w:rsid w:val="00E07A1C"/>
    <w:rsid w:val="00E07A64"/>
    <w:rsid w:val="00E07AA7"/>
    <w:rsid w:val="00E07B21"/>
    <w:rsid w:val="00E07B2D"/>
    <w:rsid w:val="00E07BFA"/>
    <w:rsid w:val="00E07C17"/>
    <w:rsid w:val="00E07D7F"/>
    <w:rsid w:val="00E07D89"/>
    <w:rsid w:val="00E0A5E5"/>
    <w:rsid w:val="00E100CF"/>
    <w:rsid w:val="00E10357"/>
    <w:rsid w:val="00E103BF"/>
    <w:rsid w:val="00E104EB"/>
    <w:rsid w:val="00E10595"/>
    <w:rsid w:val="00E1059A"/>
    <w:rsid w:val="00E10711"/>
    <w:rsid w:val="00E109A4"/>
    <w:rsid w:val="00E10ACB"/>
    <w:rsid w:val="00E112D5"/>
    <w:rsid w:val="00E11571"/>
    <w:rsid w:val="00E1161F"/>
    <w:rsid w:val="00E116A9"/>
    <w:rsid w:val="00E11744"/>
    <w:rsid w:val="00E11A7D"/>
    <w:rsid w:val="00E11B6A"/>
    <w:rsid w:val="00E11BA4"/>
    <w:rsid w:val="00E11D1B"/>
    <w:rsid w:val="00E11D66"/>
    <w:rsid w:val="00E11D79"/>
    <w:rsid w:val="00E12250"/>
    <w:rsid w:val="00E1240E"/>
    <w:rsid w:val="00E12449"/>
    <w:rsid w:val="00E1247E"/>
    <w:rsid w:val="00E1250D"/>
    <w:rsid w:val="00E12674"/>
    <w:rsid w:val="00E129B1"/>
    <w:rsid w:val="00E12A41"/>
    <w:rsid w:val="00E12A78"/>
    <w:rsid w:val="00E12A8B"/>
    <w:rsid w:val="00E12AA9"/>
    <w:rsid w:val="00E12B40"/>
    <w:rsid w:val="00E12D33"/>
    <w:rsid w:val="00E12E22"/>
    <w:rsid w:val="00E130B7"/>
    <w:rsid w:val="00E13372"/>
    <w:rsid w:val="00E135E7"/>
    <w:rsid w:val="00E13AAC"/>
    <w:rsid w:val="00E13BAA"/>
    <w:rsid w:val="00E13C39"/>
    <w:rsid w:val="00E13D3B"/>
    <w:rsid w:val="00E13EC2"/>
    <w:rsid w:val="00E13EE5"/>
    <w:rsid w:val="00E13F70"/>
    <w:rsid w:val="00E14002"/>
    <w:rsid w:val="00E14456"/>
    <w:rsid w:val="00E14530"/>
    <w:rsid w:val="00E147EC"/>
    <w:rsid w:val="00E1493D"/>
    <w:rsid w:val="00E14A7A"/>
    <w:rsid w:val="00E14BDC"/>
    <w:rsid w:val="00E14D86"/>
    <w:rsid w:val="00E1508B"/>
    <w:rsid w:val="00E150DA"/>
    <w:rsid w:val="00E15386"/>
    <w:rsid w:val="00E153F6"/>
    <w:rsid w:val="00E1549E"/>
    <w:rsid w:val="00E15520"/>
    <w:rsid w:val="00E155D1"/>
    <w:rsid w:val="00E156B3"/>
    <w:rsid w:val="00E156F4"/>
    <w:rsid w:val="00E1585B"/>
    <w:rsid w:val="00E15BEF"/>
    <w:rsid w:val="00E15C72"/>
    <w:rsid w:val="00E15CA8"/>
    <w:rsid w:val="00E15DB3"/>
    <w:rsid w:val="00E15E7B"/>
    <w:rsid w:val="00E1608D"/>
    <w:rsid w:val="00E160A2"/>
    <w:rsid w:val="00E1610F"/>
    <w:rsid w:val="00E16133"/>
    <w:rsid w:val="00E161E2"/>
    <w:rsid w:val="00E16303"/>
    <w:rsid w:val="00E16412"/>
    <w:rsid w:val="00E1646C"/>
    <w:rsid w:val="00E164BF"/>
    <w:rsid w:val="00E16602"/>
    <w:rsid w:val="00E16709"/>
    <w:rsid w:val="00E167D4"/>
    <w:rsid w:val="00E167E6"/>
    <w:rsid w:val="00E169D8"/>
    <w:rsid w:val="00E169D9"/>
    <w:rsid w:val="00E16A3A"/>
    <w:rsid w:val="00E16BA9"/>
    <w:rsid w:val="00E16CC4"/>
    <w:rsid w:val="00E16CEA"/>
    <w:rsid w:val="00E17112"/>
    <w:rsid w:val="00E17114"/>
    <w:rsid w:val="00E17230"/>
    <w:rsid w:val="00E17305"/>
    <w:rsid w:val="00E175C1"/>
    <w:rsid w:val="00E175CF"/>
    <w:rsid w:val="00E17688"/>
    <w:rsid w:val="00E176AF"/>
    <w:rsid w:val="00E17712"/>
    <w:rsid w:val="00E177C1"/>
    <w:rsid w:val="00E177DC"/>
    <w:rsid w:val="00E17853"/>
    <w:rsid w:val="00E17B41"/>
    <w:rsid w:val="00E17BED"/>
    <w:rsid w:val="00E17CF6"/>
    <w:rsid w:val="00E17DFE"/>
    <w:rsid w:val="00E17E57"/>
    <w:rsid w:val="00E17FAD"/>
    <w:rsid w:val="00E20158"/>
    <w:rsid w:val="00E2039C"/>
    <w:rsid w:val="00E203C7"/>
    <w:rsid w:val="00E205D0"/>
    <w:rsid w:val="00E206E1"/>
    <w:rsid w:val="00E20B84"/>
    <w:rsid w:val="00E20DDC"/>
    <w:rsid w:val="00E20F50"/>
    <w:rsid w:val="00E20F6C"/>
    <w:rsid w:val="00E21496"/>
    <w:rsid w:val="00E214D3"/>
    <w:rsid w:val="00E216AB"/>
    <w:rsid w:val="00E21763"/>
    <w:rsid w:val="00E219DD"/>
    <w:rsid w:val="00E21C8D"/>
    <w:rsid w:val="00E21CD4"/>
    <w:rsid w:val="00E21F64"/>
    <w:rsid w:val="00E221EF"/>
    <w:rsid w:val="00E22288"/>
    <w:rsid w:val="00E22338"/>
    <w:rsid w:val="00E22352"/>
    <w:rsid w:val="00E2239D"/>
    <w:rsid w:val="00E2249E"/>
    <w:rsid w:val="00E22551"/>
    <w:rsid w:val="00E225A3"/>
    <w:rsid w:val="00E227EF"/>
    <w:rsid w:val="00E229CC"/>
    <w:rsid w:val="00E22A02"/>
    <w:rsid w:val="00E22A1D"/>
    <w:rsid w:val="00E22D3C"/>
    <w:rsid w:val="00E22E48"/>
    <w:rsid w:val="00E22F68"/>
    <w:rsid w:val="00E230FF"/>
    <w:rsid w:val="00E2317C"/>
    <w:rsid w:val="00E2322B"/>
    <w:rsid w:val="00E2331D"/>
    <w:rsid w:val="00E235A5"/>
    <w:rsid w:val="00E2365D"/>
    <w:rsid w:val="00E23976"/>
    <w:rsid w:val="00E23987"/>
    <w:rsid w:val="00E23AAF"/>
    <w:rsid w:val="00E23B16"/>
    <w:rsid w:val="00E23CA1"/>
    <w:rsid w:val="00E240BF"/>
    <w:rsid w:val="00E24230"/>
    <w:rsid w:val="00E242E5"/>
    <w:rsid w:val="00E243E7"/>
    <w:rsid w:val="00E243F4"/>
    <w:rsid w:val="00E24C5B"/>
    <w:rsid w:val="00E24D8C"/>
    <w:rsid w:val="00E24E4D"/>
    <w:rsid w:val="00E24E86"/>
    <w:rsid w:val="00E252EA"/>
    <w:rsid w:val="00E25586"/>
    <w:rsid w:val="00E259B7"/>
    <w:rsid w:val="00E25AB2"/>
    <w:rsid w:val="00E25AE4"/>
    <w:rsid w:val="00E25B17"/>
    <w:rsid w:val="00E25CD1"/>
    <w:rsid w:val="00E25CDB"/>
    <w:rsid w:val="00E25DCB"/>
    <w:rsid w:val="00E2602A"/>
    <w:rsid w:val="00E2625A"/>
    <w:rsid w:val="00E26371"/>
    <w:rsid w:val="00E264BE"/>
    <w:rsid w:val="00E264D4"/>
    <w:rsid w:val="00E265DB"/>
    <w:rsid w:val="00E2670D"/>
    <w:rsid w:val="00E26E8B"/>
    <w:rsid w:val="00E26F54"/>
    <w:rsid w:val="00E27058"/>
    <w:rsid w:val="00E270A0"/>
    <w:rsid w:val="00E270D1"/>
    <w:rsid w:val="00E27461"/>
    <w:rsid w:val="00E274FD"/>
    <w:rsid w:val="00E276C0"/>
    <w:rsid w:val="00E2790D"/>
    <w:rsid w:val="00E27B9B"/>
    <w:rsid w:val="00E27BB2"/>
    <w:rsid w:val="00E27C6F"/>
    <w:rsid w:val="00E27C85"/>
    <w:rsid w:val="00E27D25"/>
    <w:rsid w:val="00E30082"/>
    <w:rsid w:val="00E30124"/>
    <w:rsid w:val="00E3037A"/>
    <w:rsid w:val="00E304F1"/>
    <w:rsid w:val="00E30502"/>
    <w:rsid w:val="00E30520"/>
    <w:rsid w:val="00E30551"/>
    <w:rsid w:val="00E3062C"/>
    <w:rsid w:val="00E3073F"/>
    <w:rsid w:val="00E3099C"/>
    <w:rsid w:val="00E30A84"/>
    <w:rsid w:val="00E30B0D"/>
    <w:rsid w:val="00E30E43"/>
    <w:rsid w:val="00E3116C"/>
    <w:rsid w:val="00E31424"/>
    <w:rsid w:val="00E3158A"/>
    <w:rsid w:val="00E31724"/>
    <w:rsid w:val="00E317F9"/>
    <w:rsid w:val="00E31828"/>
    <w:rsid w:val="00E319E7"/>
    <w:rsid w:val="00E319F6"/>
    <w:rsid w:val="00E31A36"/>
    <w:rsid w:val="00E31B12"/>
    <w:rsid w:val="00E31C81"/>
    <w:rsid w:val="00E31CB6"/>
    <w:rsid w:val="00E32208"/>
    <w:rsid w:val="00E32255"/>
    <w:rsid w:val="00E3233F"/>
    <w:rsid w:val="00E325F1"/>
    <w:rsid w:val="00E326EA"/>
    <w:rsid w:val="00E32A3A"/>
    <w:rsid w:val="00E32CD0"/>
    <w:rsid w:val="00E32FA8"/>
    <w:rsid w:val="00E33288"/>
    <w:rsid w:val="00E334D7"/>
    <w:rsid w:val="00E336CF"/>
    <w:rsid w:val="00E339DC"/>
    <w:rsid w:val="00E33ADF"/>
    <w:rsid w:val="00E33B64"/>
    <w:rsid w:val="00E33C6B"/>
    <w:rsid w:val="00E33FED"/>
    <w:rsid w:val="00E341B0"/>
    <w:rsid w:val="00E34341"/>
    <w:rsid w:val="00E3437F"/>
    <w:rsid w:val="00E346E8"/>
    <w:rsid w:val="00E34B17"/>
    <w:rsid w:val="00E34B78"/>
    <w:rsid w:val="00E34CBF"/>
    <w:rsid w:val="00E34D78"/>
    <w:rsid w:val="00E34F0C"/>
    <w:rsid w:val="00E35222"/>
    <w:rsid w:val="00E3522D"/>
    <w:rsid w:val="00E3522E"/>
    <w:rsid w:val="00E353AB"/>
    <w:rsid w:val="00E35461"/>
    <w:rsid w:val="00E3555B"/>
    <w:rsid w:val="00E35683"/>
    <w:rsid w:val="00E356A3"/>
    <w:rsid w:val="00E35785"/>
    <w:rsid w:val="00E358C1"/>
    <w:rsid w:val="00E35B01"/>
    <w:rsid w:val="00E35DF0"/>
    <w:rsid w:val="00E35F02"/>
    <w:rsid w:val="00E36199"/>
    <w:rsid w:val="00E3622E"/>
    <w:rsid w:val="00E3633E"/>
    <w:rsid w:val="00E363AC"/>
    <w:rsid w:val="00E36436"/>
    <w:rsid w:val="00E3643D"/>
    <w:rsid w:val="00E3649C"/>
    <w:rsid w:val="00E36604"/>
    <w:rsid w:val="00E368E7"/>
    <w:rsid w:val="00E36D4C"/>
    <w:rsid w:val="00E37175"/>
    <w:rsid w:val="00E374D7"/>
    <w:rsid w:val="00E37692"/>
    <w:rsid w:val="00E379F0"/>
    <w:rsid w:val="00E37B1A"/>
    <w:rsid w:val="00E4009B"/>
    <w:rsid w:val="00E4017C"/>
    <w:rsid w:val="00E40223"/>
    <w:rsid w:val="00E40253"/>
    <w:rsid w:val="00E40573"/>
    <w:rsid w:val="00E407DB"/>
    <w:rsid w:val="00E40ABB"/>
    <w:rsid w:val="00E40ABC"/>
    <w:rsid w:val="00E40C3E"/>
    <w:rsid w:val="00E40CEB"/>
    <w:rsid w:val="00E40D6B"/>
    <w:rsid w:val="00E40E35"/>
    <w:rsid w:val="00E41452"/>
    <w:rsid w:val="00E41460"/>
    <w:rsid w:val="00E414C1"/>
    <w:rsid w:val="00E41845"/>
    <w:rsid w:val="00E4195A"/>
    <w:rsid w:val="00E419C0"/>
    <w:rsid w:val="00E41A74"/>
    <w:rsid w:val="00E41CAC"/>
    <w:rsid w:val="00E41CE1"/>
    <w:rsid w:val="00E41EF4"/>
    <w:rsid w:val="00E421F3"/>
    <w:rsid w:val="00E423C7"/>
    <w:rsid w:val="00E42563"/>
    <w:rsid w:val="00E4258B"/>
    <w:rsid w:val="00E425B0"/>
    <w:rsid w:val="00E42847"/>
    <w:rsid w:val="00E42B8D"/>
    <w:rsid w:val="00E42C34"/>
    <w:rsid w:val="00E42CB4"/>
    <w:rsid w:val="00E42F88"/>
    <w:rsid w:val="00E42F9D"/>
    <w:rsid w:val="00E432AC"/>
    <w:rsid w:val="00E433A7"/>
    <w:rsid w:val="00E43492"/>
    <w:rsid w:val="00E434BF"/>
    <w:rsid w:val="00E435E1"/>
    <w:rsid w:val="00E4364E"/>
    <w:rsid w:val="00E43806"/>
    <w:rsid w:val="00E43898"/>
    <w:rsid w:val="00E439A3"/>
    <w:rsid w:val="00E43CC9"/>
    <w:rsid w:val="00E43D6B"/>
    <w:rsid w:val="00E43E1C"/>
    <w:rsid w:val="00E43E5C"/>
    <w:rsid w:val="00E43E5D"/>
    <w:rsid w:val="00E44260"/>
    <w:rsid w:val="00E445D1"/>
    <w:rsid w:val="00E4465B"/>
    <w:rsid w:val="00E44758"/>
    <w:rsid w:val="00E4488C"/>
    <w:rsid w:val="00E44971"/>
    <w:rsid w:val="00E449DE"/>
    <w:rsid w:val="00E44AF0"/>
    <w:rsid w:val="00E44BBF"/>
    <w:rsid w:val="00E44BE8"/>
    <w:rsid w:val="00E44CA2"/>
    <w:rsid w:val="00E44DEC"/>
    <w:rsid w:val="00E44EED"/>
    <w:rsid w:val="00E44F07"/>
    <w:rsid w:val="00E45233"/>
    <w:rsid w:val="00E4524E"/>
    <w:rsid w:val="00E4552F"/>
    <w:rsid w:val="00E45870"/>
    <w:rsid w:val="00E45CA3"/>
    <w:rsid w:val="00E45F0C"/>
    <w:rsid w:val="00E45F7B"/>
    <w:rsid w:val="00E46243"/>
    <w:rsid w:val="00E46262"/>
    <w:rsid w:val="00E46344"/>
    <w:rsid w:val="00E46602"/>
    <w:rsid w:val="00E46699"/>
    <w:rsid w:val="00E4696E"/>
    <w:rsid w:val="00E46A4C"/>
    <w:rsid w:val="00E46B64"/>
    <w:rsid w:val="00E46BBA"/>
    <w:rsid w:val="00E46BCA"/>
    <w:rsid w:val="00E46DDE"/>
    <w:rsid w:val="00E4733A"/>
    <w:rsid w:val="00E4745D"/>
    <w:rsid w:val="00E475E6"/>
    <w:rsid w:val="00E4777A"/>
    <w:rsid w:val="00E47890"/>
    <w:rsid w:val="00E47A7A"/>
    <w:rsid w:val="00E47B83"/>
    <w:rsid w:val="00E47DAA"/>
    <w:rsid w:val="00E47E83"/>
    <w:rsid w:val="00E5016D"/>
    <w:rsid w:val="00E50172"/>
    <w:rsid w:val="00E501B5"/>
    <w:rsid w:val="00E502CB"/>
    <w:rsid w:val="00E503B3"/>
    <w:rsid w:val="00E50467"/>
    <w:rsid w:val="00E504AD"/>
    <w:rsid w:val="00E504F0"/>
    <w:rsid w:val="00E506C2"/>
    <w:rsid w:val="00E507CB"/>
    <w:rsid w:val="00E5084F"/>
    <w:rsid w:val="00E50865"/>
    <w:rsid w:val="00E50C8F"/>
    <w:rsid w:val="00E50DE9"/>
    <w:rsid w:val="00E50EEC"/>
    <w:rsid w:val="00E50F88"/>
    <w:rsid w:val="00E512B1"/>
    <w:rsid w:val="00E512E1"/>
    <w:rsid w:val="00E5192A"/>
    <w:rsid w:val="00E51BF2"/>
    <w:rsid w:val="00E51C3D"/>
    <w:rsid w:val="00E51CD7"/>
    <w:rsid w:val="00E51D3A"/>
    <w:rsid w:val="00E51EF2"/>
    <w:rsid w:val="00E520A6"/>
    <w:rsid w:val="00E52126"/>
    <w:rsid w:val="00E521BF"/>
    <w:rsid w:val="00E521FE"/>
    <w:rsid w:val="00E52340"/>
    <w:rsid w:val="00E52362"/>
    <w:rsid w:val="00E52437"/>
    <w:rsid w:val="00E525B8"/>
    <w:rsid w:val="00E529F1"/>
    <w:rsid w:val="00E52E06"/>
    <w:rsid w:val="00E52F2C"/>
    <w:rsid w:val="00E52FA4"/>
    <w:rsid w:val="00E531C1"/>
    <w:rsid w:val="00E531DA"/>
    <w:rsid w:val="00E531F7"/>
    <w:rsid w:val="00E5330A"/>
    <w:rsid w:val="00E533D3"/>
    <w:rsid w:val="00E5367A"/>
    <w:rsid w:val="00E5367B"/>
    <w:rsid w:val="00E536AA"/>
    <w:rsid w:val="00E537B8"/>
    <w:rsid w:val="00E53A7E"/>
    <w:rsid w:val="00E53B5D"/>
    <w:rsid w:val="00E53BEA"/>
    <w:rsid w:val="00E53F10"/>
    <w:rsid w:val="00E5407B"/>
    <w:rsid w:val="00E54115"/>
    <w:rsid w:val="00E54303"/>
    <w:rsid w:val="00E5459B"/>
    <w:rsid w:val="00E545C8"/>
    <w:rsid w:val="00E54646"/>
    <w:rsid w:val="00E5469A"/>
    <w:rsid w:val="00E54800"/>
    <w:rsid w:val="00E54D53"/>
    <w:rsid w:val="00E54D9A"/>
    <w:rsid w:val="00E54E0E"/>
    <w:rsid w:val="00E54E38"/>
    <w:rsid w:val="00E54F0B"/>
    <w:rsid w:val="00E54F16"/>
    <w:rsid w:val="00E55038"/>
    <w:rsid w:val="00E551B4"/>
    <w:rsid w:val="00E55223"/>
    <w:rsid w:val="00E552E7"/>
    <w:rsid w:val="00E55575"/>
    <w:rsid w:val="00E55880"/>
    <w:rsid w:val="00E55B21"/>
    <w:rsid w:val="00E55F5F"/>
    <w:rsid w:val="00E561E3"/>
    <w:rsid w:val="00E5629B"/>
    <w:rsid w:val="00E5638D"/>
    <w:rsid w:val="00E565E6"/>
    <w:rsid w:val="00E568BC"/>
    <w:rsid w:val="00E56974"/>
    <w:rsid w:val="00E56A07"/>
    <w:rsid w:val="00E56A27"/>
    <w:rsid w:val="00E56BD9"/>
    <w:rsid w:val="00E56ED8"/>
    <w:rsid w:val="00E57092"/>
    <w:rsid w:val="00E57183"/>
    <w:rsid w:val="00E572E0"/>
    <w:rsid w:val="00E573A2"/>
    <w:rsid w:val="00E57422"/>
    <w:rsid w:val="00E576C4"/>
    <w:rsid w:val="00E5783F"/>
    <w:rsid w:val="00E57848"/>
    <w:rsid w:val="00E57866"/>
    <w:rsid w:val="00E57D28"/>
    <w:rsid w:val="00E57E8A"/>
    <w:rsid w:val="00E57ECE"/>
    <w:rsid w:val="00E57FF3"/>
    <w:rsid w:val="00E60075"/>
    <w:rsid w:val="00E600A7"/>
    <w:rsid w:val="00E600AD"/>
    <w:rsid w:val="00E6025E"/>
    <w:rsid w:val="00E602A4"/>
    <w:rsid w:val="00E603D7"/>
    <w:rsid w:val="00E60508"/>
    <w:rsid w:val="00E605DB"/>
    <w:rsid w:val="00E606BC"/>
    <w:rsid w:val="00E607EC"/>
    <w:rsid w:val="00E6082A"/>
    <w:rsid w:val="00E609E3"/>
    <w:rsid w:val="00E609F3"/>
    <w:rsid w:val="00E60DE4"/>
    <w:rsid w:val="00E60E36"/>
    <w:rsid w:val="00E60EAE"/>
    <w:rsid w:val="00E60FCC"/>
    <w:rsid w:val="00E61067"/>
    <w:rsid w:val="00E610F1"/>
    <w:rsid w:val="00E612AA"/>
    <w:rsid w:val="00E6136C"/>
    <w:rsid w:val="00E616AE"/>
    <w:rsid w:val="00E617AD"/>
    <w:rsid w:val="00E61978"/>
    <w:rsid w:val="00E61AB9"/>
    <w:rsid w:val="00E61AC4"/>
    <w:rsid w:val="00E61CAB"/>
    <w:rsid w:val="00E61D52"/>
    <w:rsid w:val="00E61DA7"/>
    <w:rsid w:val="00E61DC3"/>
    <w:rsid w:val="00E61DD3"/>
    <w:rsid w:val="00E61F32"/>
    <w:rsid w:val="00E624B9"/>
    <w:rsid w:val="00E624F0"/>
    <w:rsid w:val="00E62AB2"/>
    <w:rsid w:val="00E62AEB"/>
    <w:rsid w:val="00E62DC6"/>
    <w:rsid w:val="00E62EC2"/>
    <w:rsid w:val="00E62FEF"/>
    <w:rsid w:val="00E630F8"/>
    <w:rsid w:val="00E635B2"/>
    <w:rsid w:val="00E637CC"/>
    <w:rsid w:val="00E63810"/>
    <w:rsid w:val="00E6381A"/>
    <w:rsid w:val="00E6386D"/>
    <w:rsid w:val="00E638DB"/>
    <w:rsid w:val="00E63978"/>
    <w:rsid w:val="00E63A59"/>
    <w:rsid w:val="00E63D38"/>
    <w:rsid w:val="00E63D3C"/>
    <w:rsid w:val="00E63FB0"/>
    <w:rsid w:val="00E641C7"/>
    <w:rsid w:val="00E64298"/>
    <w:rsid w:val="00E642B0"/>
    <w:rsid w:val="00E6452D"/>
    <w:rsid w:val="00E645DE"/>
    <w:rsid w:val="00E6479D"/>
    <w:rsid w:val="00E6483E"/>
    <w:rsid w:val="00E6493B"/>
    <w:rsid w:val="00E64A3E"/>
    <w:rsid w:val="00E64C5F"/>
    <w:rsid w:val="00E64DD5"/>
    <w:rsid w:val="00E64F08"/>
    <w:rsid w:val="00E65102"/>
    <w:rsid w:val="00E652B5"/>
    <w:rsid w:val="00E6538E"/>
    <w:rsid w:val="00E653D0"/>
    <w:rsid w:val="00E6571E"/>
    <w:rsid w:val="00E657D4"/>
    <w:rsid w:val="00E65BBA"/>
    <w:rsid w:val="00E65C54"/>
    <w:rsid w:val="00E65DF6"/>
    <w:rsid w:val="00E65EB7"/>
    <w:rsid w:val="00E65FB5"/>
    <w:rsid w:val="00E6606D"/>
    <w:rsid w:val="00E66154"/>
    <w:rsid w:val="00E66759"/>
    <w:rsid w:val="00E66802"/>
    <w:rsid w:val="00E66AB1"/>
    <w:rsid w:val="00E66DD6"/>
    <w:rsid w:val="00E66E6D"/>
    <w:rsid w:val="00E66F74"/>
    <w:rsid w:val="00E67263"/>
    <w:rsid w:val="00E672F8"/>
    <w:rsid w:val="00E67309"/>
    <w:rsid w:val="00E6747B"/>
    <w:rsid w:val="00E67699"/>
    <w:rsid w:val="00E677C7"/>
    <w:rsid w:val="00E677D5"/>
    <w:rsid w:val="00E679D7"/>
    <w:rsid w:val="00E67D52"/>
    <w:rsid w:val="00E67DFE"/>
    <w:rsid w:val="00E67E12"/>
    <w:rsid w:val="00E702B7"/>
    <w:rsid w:val="00E7091E"/>
    <w:rsid w:val="00E70966"/>
    <w:rsid w:val="00E70A5F"/>
    <w:rsid w:val="00E70AC9"/>
    <w:rsid w:val="00E70AE8"/>
    <w:rsid w:val="00E70CC0"/>
    <w:rsid w:val="00E70E27"/>
    <w:rsid w:val="00E7152D"/>
    <w:rsid w:val="00E71648"/>
    <w:rsid w:val="00E717E5"/>
    <w:rsid w:val="00E718B9"/>
    <w:rsid w:val="00E7190D"/>
    <w:rsid w:val="00E71948"/>
    <w:rsid w:val="00E71A2C"/>
    <w:rsid w:val="00E71B66"/>
    <w:rsid w:val="00E71C13"/>
    <w:rsid w:val="00E71F43"/>
    <w:rsid w:val="00E71F8F"/>
    <w:rsid w:val="00E7203C"/>
    <w:rsid w:val="00E720F1"/>
    <w:rsid w:val="00E7247E"/>
    <w:rsid w:val="00E72527"/>
    <w:rsid w:val="00E727B4"/>
    <w:rsid w:val="00E727CA"/>
    <w:rsid w:val="00E72B04"/>
    <w:rsid w:val="00E72B52"/>
    <w:rsid w:val="00E72DD3"/>
    <w:rsid w:val="00E730E8"/>
    <w:rsid w:val="00E73117"/>
    <w:rsid w:val="00E731BA"/>
    <w:rsid w:val="00E73256"/>
    <w:rsid w:val="00E7325E"/>
    <w:rsid w:val="00E73262"/>
    <w:rsid w:val="00E7338B"/>
    <w:rsid w:val="00E735C5"/>
    <w:rsid w:val="00E738DD"/>
    <w:rsid w:val="00E738E5"/>
    <w:rsid w:val="00E739DF"/>
    <w:rsid w:val="00E73DB8"/>
    <w:rsid w:val="00E73E62"/>
    <w:rsid w:val="00E73ECF"/>
    <w:rsid w:val="00E73F1A"/>
    <w:rsid w:val="00E742EA"/>
    <w:rsid w:val="00E74391"/>
    <w:rsid w:val="00E743D5"/>
    <w:rsid w:val="00E743F5"/>
    <w:rsid w:val="00E7485E"/>
    <w:rsid w:val="00E748E6"/>
    <w:rsid w:val="00E7491B"/>
    <w:rsid w:val="00E749E0"/>
    <w:rsid w:val="00E74BA3"/>
    <w:rsid w:val="00E74EBD"/>
    <w:rsid w:val="00E75389"/>
    <w:rsid w:val="00E755F2"/>
    <w:rsid w:val="00E75924"/>
    <w:rsid w:val="00E759A4"/>
    <w:rsid w:val="00E75A2D"/>
    <w:rsid w:val="00E75B21"/>
    <w:rsid w:val="00E75BBF"/>
    <w:rsid w:val="00E75BD4"/>
    <w:rsid w:val="00E75D00"/>
    <w:rsid w:val="00E75F53"/>
    <w:rsid w:val="00E760B7"/>
    <w:rsid w:val="00E76128"/>
    <w:rsid w:val="00E7616B"/>
    <w:rsid w:val="00E76385"/>
    <w:rsid w:val="00E76565"/>
    <w:rsid w:val="00E76653"/>
    <w:rsid w:val="00E7666B"/>
    <w:rsid w:val="00E768DF"/>
    <w:rsid w:val="00E769ED"/>
    <w:rsid w:val="00E76A47"/>
    <w:rsid w:val="00E76AD5"/>
    <w:rsid w:val="00E76D20"/>
    <w:rsid w:val="00E76D3E"/>
    <w:rsid w:val="00E76E23"/>
    <w:rsid w:val="00E76EA1"/>
    <w:rsid w:val="00E76F90"/>
    <w:rsid w:val="00E770F4"/>
    <w:rsid w:val="00E77374"/>
    <w:rsid w:val="00E7753D"/>
    <w:rsid w:val="00E7757B"/>
    <w:rsid w:val="00E777CF"/>
    <w:rsid w:val="00E778EC"/>
    <w:rsid w:val="00E77C98"/>
    <w:rsid w:val="00E77D7C"/>
    <w:rsid w:val="00E77DF6"/>
    <w:rsid w:val="00E80040"/>
    <w:rsid w:val="00E800A5"/>
    <w:rsid w:val="00E8010B"/>
    <w:rsid w:val="00E802D3"/>
    <w:rsid w:val="00E8035E"/>
    <w:rsid w:val="00E803C9"/>
    <w:rsid w:val="00E80545"/>
    <w:rsid w:val="00E8062B"/>
    <w:rsid w:val="00E80899"/>
    <w:rsid w:val="00E809C6"/>
    <w:rsid w:val="00E80A82"/>
    <w:rsid w:val="00E80BC7"/>
    <w:rsid w:val="00E80BE7"/>
    <w:rsid w:val="00E80F00"/>
    <w:rsid w:val="00E80F95"/>
    <w:rsid w:val="00E81180"/>
    <w:rsid w:val="00E8129D"/>
    <w:rsid w:val="00E813D1"/>
    <w:rsid w:val="00E81549"/>
    <w:rsid w:val="00E816DC"/>
    <w:rsid w:val="00E81833"/>
    <w:rsid w:val="00E81843"/>
    <w:rsid w:val="00E81CB2"/>
    <w:rsid w:val="00E81E23"/>
    <w:rsid w:val="00E81E55"/>
    <w:rsid w:val="00E81F8E"/>
    <w:rsid w:val="00E81FCD"/>
    <w:rsid w:val="00E82058"/>
    <w:rsid w:val="00E822D1"/>
    <w:rsid w:val="00E8239C"/>
    <w:rsid w:val="00E8256D"/>
    <w:rsid w:val="00E82768"/>
    <w:rsid w:val="00E8276A"/>
    <w:rsid w:val="00E8284F"/>
    <w:rsid w:val="00E82954"/>
    <w:rsid w:val="00E8295B"/>
    <w:rsid w:val="00E82AAC"/>
    <w:rsid w:val="00E82F85"/>
    <w:rsid w:val="00E83286"/>
    <w:rsid w:val="00E832ED"/>
    <w:rsid w:val="00E8330B"/>
    <w:rsid w:val="00E834D8"/>
    <w:rsid w:val="00E834E1"/>
    <w:rsid w:val="00E8367B"/>
    <w:rsid w:val="00E836C7"/>
    <w:rsid w:val="00E837DB"/>
    <w:rsid w:val="00E83A81"/>
    <w:rsid w:val="00E83C49"/>
    <w:rsid w:val="00E84368"/>
    <w:rsid w:val="00E8439D"/>
    <w:rsid w:val="00E84430"/>
    <w:rsid w:val="00E845BF"/>
    <w:rsid w:val="00E845D0"/>
    <w:rsid w:val="00E84C53"/>
    <w:rsid w:val="00E84D43"/>
    <w:rsid w:val="00E84DAE"/>
    <w:rsid w:val="00E84DC1"/>
    <w:rsid w:val="00E84F26"/>
    <w:rsid w:val="00E85236"/>
    <w:rsid w:val="00E8550F"/>
    <w:rsid w:val="00E85668"/>
    <w:rsid w:val="00E85763"/>
    <w:rsid w:val="00E85844"/>
    <w:rsid w:val="00E8591F"/>
    <w:rsid w:val="00E85959"/>
    <w:rsid w:val="00E8597A"/>
    <w:rsid w:val="00E85DBE"/>
    <w:rsid w:val="00E85FCA"/>
    <w:rsid w:val="00E8614D"/>
    <w:rsid w:val="00E863CE"/>
    <w:rsid w:val="00E864DC"/>
    <w:rsid w:val="00E865C5"/>
    <w:rsid w:val="00E86875"/>
    <w:rsid w:val="00E869F5"/>
    <w:rsid w:val="00E86A0C"/>
    <w:rsid w:val="00E86B0A"/>
    <w:rsid w:val="00E86B19"/>
    <w:rsid w:val="00E86C87"/>
    <w:rsid w:val="00E86CAD"/>
    <w:rsid w:val="00E86F7D"/>
    <w:rsid w:val="00E873A0"/>
    <w:rsid w:val="00E873BE"/>
    <w:rsid w:val="00E8742C"/>
    <w:rsid w:val="00E874CE"/>
    <w:rsid w:val="00E8763E"/>
    <w:rsid w:val="00E876C8"/>
    <w:rsid w:val="00E87726"/>
    <w:rsid w:val="00E8774B"/>
    <w:rsid w:val="00E8776A"/>
    <w:rsid w:val="00E877EA"/>
    <w:rsid w:val="00E878B8"/>
    <w:rsid w:val="00E87A90"/>
    <w:rsid w:val="00E87AA2"/>
    <w:rsid w:val="00E87ADA"/>
    <w:rsid w:val="00E87BE2"/>
    <w:rsid w:val="00E87D06"/>
    <w:rsid w:val="00E87D66"/>
    <w:rsid w:val="00E87F11"/>
    <w:rsid w:val="00E900A6"/>
    <w:rsid w:val="00E90127"/>
    <w:rsid w:val="00E90231"/>
    <w:rsid w:val="00E9032F"/>
    <w:rsid w:val="00E90435"/>
    <w:rsid w:val="00E9046C"/>
    <w:rsid w:val="00E90493"/>
    <w:rsid w:val="00E906C0"/>
    <w:rsid w:val="00E906E3"/>
    <w:rsid w:val="00E90722"/>
    <w:rsid w:val="00E90745"/>
    <w:rsid w:val="00E9077B"/>
    <w:rsid w:val="00E907EB"/>
    <w:rsid w:val="00E90874"/>
    <w:rsid w:val="00E908A1"/>
    <w:rsid w:val="00E908D0"/>
    <w:rsid w:val="00E90B84"/>
    <w:rsid w:val="00E90C0C"/>
    <w:rsid w:val="00E90DFD"/>
    <w:rsid w:val="00E9112D"/>
    <w:rsid w:val="00E91617"/>
    <w:rsid w:val="00E919EC"/>
    <w:rsid w:val="00E91A2B"/>
    <w:rsid w:val="00E91C03"/>
    <w:rsid w:val="00E91C5A"/>
    <w:rsid w:val="00E91D6F"/>
    <w:rsid w:val="00E91EC5"/>
    <w:rsid w:val="00E91F7A"/>
    <w:rsid w:val="00E920D0"/>
    <w:rsid w:val="00E9217B"/>
    <w:rsid w:val="00E92181"/>
    <w:rsid w:val="00E921A2"/>
    <w:rsid w:val="00E922F9"/>
    <w:rsid w:val="00E92404"/>
    <w:rsid w:val="00E9242A"/>
    <w:rsid w:val="00E927FD"/>
    <w:rsid w:val="00E92835"/>
    <w:rsid w:val="00E92876"/>
    <w:rsid w:val="00E92C2B"/>
    <w:rsid w:val="00E92E05"/>
    <w:rsid w:val="00E92E10"/>
    <w:rsid w:val="00E93006"/>
    <w:rsid w:val="00E930BB"/>
    <w:rsid w:val="00E931A0"/>
    <w:rsid w:val="00E93239"/>
    <w:rsid w:val="00E93269"/>
    <w:rsid w:val="00E9338B"/>
    <w:rsid w:val="00E9360D"/>
    <w:rsid w:val="00E93641"/>
    <w:rsid w:val="00E93C09"/>
    <w:rsid w:val="00E93C4A"/>
    <w:rsid w:val="00E93F4F"/>
    <w:rsid w:val="00E94144"/>
    <w:rsid w:val="00E94468"/>
    <w:rsid w:val="00E94502"/>
    <w:rsid w:val="00E94BED"/>
    <w:rsid w:val="00E9511A"/>
    <w:rsid w:val="00E9534E"/>
    <w:rsid w:val="00E9578E"/>
    <w:rsid w:val="00E9595D"/>
    <w:rsid w:val="00E95A12"/>
    <w:rsid w:val="00E95A38"/>
    <w:rsid w:val="00E95AA3"/>
    <w:rsid w:val="00E95D43"/>
    <w:rsid w:val="00E95DA3"/>
    <w:rsid w:val="00E9603E"/>
    <w:rsid w:val="00E962EE"/>
    <w:rsid w:val="00E963A8"/>
    <w:rsid w:val="00E9663E"/>
    <w:rsid w:val="00E96A04"/>
    <w:rsid w:val="00E96DBD"/>
    <w:rsid w:val="00E97010"/>
    <w:rsid w:val="00E97083"/>
    <w:rsid w:val="00E9716B"/>
    <w:rsid w:val="00E9724E"/>
    <w:rsid w:val="00E9741C"/>
    <w:rsid w:val="00E9756C"/>
    <w:rsid w:val="00E9767B"/>
    <w:rsid w:val="00E976A7"/>
    <w:rsid w:val="00E9780A"/>
    <w:rsid w:val="00E9794F"/>
    <w:rsid w:val="00E97C6A"/>
    <w:rsid w:val="00E97D53"/>
    <w:rsid w:val="00E97E61"/>
    <w:rsid w:val="00E97EA6"/>
    <w:rsid w:val="00EA0008"/>
    <w:rsid w:val="00EA00D7"/>
    <w:rsid w:val="00EA0309"/>
    <w:rsid w:val="00EA052B"/>
    <w:rsid w:val="00EA07B8"/>
    <w:rsid w:val="00EA09E8"/>
    <w:rsid w:val="00EA0A8D"/>
    <w:rsid w:val="00EA0BF0"/>
    <w:rsid w:val="00EA0C4F"/>
    <w:rsid w:val="00EA12EC"/>
    <w:rsid w:val="00EA132F"/>
    <w:rsid w:val="00EA13C8"/>
    <w:rsid w:val="00EA1424"/>
    <w:rsid w:val="00EA14F1"/>
    <w:rsid w:val="00EA15A2"/>
    <w:rsid w:val="00EA1976"/>
    <w:rsid w:val="00EA1AE8"/>
    <w:rsid w:val="00EA1D26"/>
    <w:rsid w:val="00EA1DEF"/>
    <w:rsid w:val="00EA1DF0"/>
    <w:rsid w:val="00EA2098"/>
    <w:rsid w:val="00EA2130"/>
    <w:rsid w:val="00EA2449"/>
    <w:rsid w:val="00EA27F3"/>
    <w:rsid w:val="00EA2BCA"/>
    <w:rsid w:val="00EA2DB4"/>
    <w:rsid w:val="00EA2E5C"/>
    <w:rsid w:val="00EA2F5F"/>
    <w:rsid w:val="00EA32B2"/>
    <w:rsid w:val="00EA3706"/>
    <w:rsid w:val="00EA37BD"/>
    <w:rsid w:val="00EA3877"/>
    <w:rsid w:val="00EA388C"/>
    <w:rsid w:val="00EA3A04"/>
    <w:rsid w:val="00EA3BD6"/>
    <w:rsid w:val="00EA3D05"/>
    <w:rsid w:val="00EA3DE5"/>
    <w:rsid w:val="00EA4283"/>
    <w:rsid w:val="00EA433B"/>
    <w:rsid w:val="00EA443D"/>
    <w:rsid w:val="00EA48A7"/>
    <w:rsid w:val="00EA4AF6"/>
    <w:rsid w:val="00EA4C55"/>
    <w:rsid w:val="00EA4E41"/>
    <w:rsid w:val="00EA4E4B"/>
    <w:rsid w:val="00EA4EB6"/>
    <w:rsid w:val="00EA531B"/>
    <w:rsid w:val="00EA5405"/>
    <w:rsid w:val="00EA5455"/>
    <w:rsid w:val="00EA54A9"/>
    <w:rsid w:val="00EA55A5"/>
    <w:rsid w:val="00EA5612"/>
    <w:rsid w:val="00EA585F"/>
    <w:rsid w:val="00EA5A14"/>
    <w:rsid w:val="00EA5CBC"/>
    <w:rsid w:val="00EA5D30"/>
    <w:rsid w:val="00EA5F64"/>
    <w:rsid w:val="00EA5F77"/>
    <w:rsid w:val="00EA61E6"/>
    <w:rsid w:val="00EA6340"/>
    <w:rsid w:val="00EA64EA"/>
    <w:rsid w:val="00EA65C1"/>
    <w:rsid w:val="00EA6819"/>
    <w:rsid w:val="00EA681C"/>
    <w:rsid w:val="00EA682F"/>
    <w:rsid w:val="00EA6888"/>
    <w:rsid w:val="00EA68A9"/>
    <w:rsid w:val="00EA6B79"/>
    <w:rsid w:val="00EA6BE3"/>
    <w:rsid w:val="00EA6DEB"/>
    <w:rsid w:val="00EA711E"/>
    <w:rsid w:val="00EA7478"/>
    <w:rsid w:val="00EA76D8"/>
    <w:rsid w:val="00EA7991"/>
    <w:rsid w:val="00EA7D0B"/>
    <w:rsid w:val="00EA7DA2"/>
    <w:rsid w:val="00EA7F24"/>
    <w:rsid w:val="00EA7F2A"/>
    <w:rsid w:val="00EA7F37"/>
    <w:rsid w:val="00EAB501"/>
    <w:rsid w:val="00EADC51"/>
    <w:rsid w:val="00EB00EA"/>
    <w:rsid w:val="00EB03D7"/>
    <w:rsid w:val="00EB053C"/>
    <w:rsid w:val="00EB05D9"/>
    <w:rsid w:val="00EB05F8"/>
    <w:rsid w:val="00EB0632"/>
    <w:rsid w:val="00EB0841"/>
    <w:rsid w:val="00EB0862"/>
    <w:rsid w:val="00EB0909"/>
    <w:rsid w:val="00EB0A61"/>
    <w:rsid w:val="00EB0BF2"/>
    <w:rsid w:val="00EB0F19"/>
    <w:rsid w:val="00EB0F2A"/>
    <w:rsid w:val="00EB1171"/>
    <w:rsid w:val="00EB1217"/>
    <w:rsid w:val="00EB14F8"/>
    <w:rsid w:val="00EB15E5"/>
    <w:rsid w:val="00EB15FD"/>
    <w:rsid w:val="00EB17A4"/>
    <w:rsid w:val="00EB1859"/>
    <w:rsid w:val="00EB18B8"/>
    <w:rsid w:val="00EB1935"/>
    <w:rsid w:val="00EB196E"/>
    <w:rsid w:val="00EB19A7"/>
    <w:rsid w:val="00EB1A3A"/>
    <w:rsid w:val="00EB1DA0"/>
    <w:rsid w:val="00EB1DD0"/>
    <w:rsid w:val="00EB1EAC"/>
    <w:rsid w:val="00EB20A2"/>
    <w:rsid w:val="00EB20A8"/>
    <w:rsid w:val="00EB2155"/>
    <w:rsid w:val="00EB2220"/>
    <w:rsid w:val="00EB22BC"/>
    <w:rsid w:val="00EB22C7"/>
    <w:rsid w:val="00EB23D0"/>
    <w:rsid w:val="00EB246F"/>
    <w:rsid w:val="00EB24E4"/>
    <w:rsid w:val="00EB2500"/>
    <w:rsid w:val="00EB25EC"/>
    <w:rsid w:val="00EB268C"/>
    <w:rsid w:val="00EB2ABB"/>
    <w:rsid w:val="00EB2B60"/>
    <w:rsid w:val="00EB2CC3"/>
    <w:rsid w:val="00EB2DE4"/>
    <w:rsid w:val="00EB2E53"/>
    <w:rsid w:val="00EB2EBC"/>
    <w:rsid w:val="00EB31F4"/>
    <w:rsid w:val="00EB3257"/>
    <w:rsid w:val="00EB34FE"/>
    <w:rsid w:val="00EB378E"/>
    <w:rsid w:val="00EB38BD"/>
    <w:rsid w:val="00EB392D"/>
    <w:rsid w:val="00EB3AC8"/>
    <w:rsid w:val="00EB3C13"/>
    <w:rsid w:val="00EB3C97"/>
    <w:rsid w:val="00EB4083"/>
    <w:rsid w:val="00EB4163"/>
    <w:rsid w:val="00EB4271"/>
    <w:rsid w:val="00EB429D"/>
    <w:rsid w:val="00EB4473"/>
    <w:rsid w:val="00EB45F1"/>
    <w:rsid w:val="00EB46C7"/>
    <w:rsid w:val="00EB4A68"/>
    <w:rsid w:val="00EB4B2E"/>
    <w:rsid w:val="00EB50CA"/>
    <w:rsid w:val="00EB5172"/>
    <w:rsid w:val="00EB524D"/>
    <w:rsid w:val="00EB53B0"/>
    <w:rsid w:val="00EB565A"/>
    <w:rsid w:val="00EB58A2"/>
    <w:rsid w:val="00EB58AF"/>
    <w:rsid w:val="00EB58FB"/>
    <w:rsid w:val="00EB5961"/>
    <w:rsid w:val="00EB598A"/>
    <w:rsid w:val="00EB59F4"/>
    <w:rsid w:val="00EB5A6C"/>
    <w:rsid w:val="00EB5B44"/>
    <w:rsid w:val="00EB5C1B"/>
    <w:rsid w:val="00EB5C77"/>
    <w:rsid w:val="00EB5CA4"/>
    <w:rsid w:val="00EB5D00"/>
    <w:rsid w:val="00EB5DF4"/>
    <w:rsid w:val="00EB5E0E"/>
    <w:rsid w:val="00EB5E8B"/>
    <w:rsid w:val="00EB61B9"/>
    <w:rsid w:val="00EB6430"/>
    <w:rsid w:val="00EB6995"/>
    <w:rsid w:val="00EB6B74"/>
    <w:rsid w:val="00EB6C65"/>
    <w:rsid w:val="00EB6D8F"/>
    <w:rsid w:val="00EB6E75"/>
    <w:rsid w:val="00EB6F3E"/>
    <w:rsid w:val="00EB7033"/>
    <w:rsid w:val="00EB71BB"/>
    <w:rsid w:val="00EB71E1"/>
    <w:rsid w:val="00EB7411"/>
    <w:rsid w:val="00EB7BA7"/>
    <w:rsid w:val="00EB7C11"/>
    <w:rsid w:val="00EB7C6A"/>
    <w:rsid w:val="00EC007D"/>
    <w:rsid w:val="00EC0122"/>
    <w:rsid w:val="00EC01D2"/>
    <w:rsid w:val="00EC0281"/>
    <w:rsid w:val="00EC033C"/>
    <w:rsid w:val="00EC036A"/>
    <w:rsid w:val="00EC04EA"/>
    <w:rsid w:val="00EC0696"/>
    <w:rsid w:val="00EC0874"/>
    <w:rsid w:val="00EC09F1"/>
    <w:rsid w:val="00EC0BFE"/>
    <w:rsid w:val="00EC0E06"/>
    <w:rsid w:val="00EC0E24"/>
    <w:rsid w:val="00EC102B"/>
    <w:rsid w:val="00EC1050"/>
    <w:rsid w:val="00EC10A0"/>
    <w:rsid w:val="00EC1288"/>
    <w:rsid w:val="00EC12D3"/>
    <w:rsid w:val="00EC13BF"/>
    <w:rsid w:val="00EC13D8"/>
    <w:rsid w:val="00EC1AFF"/>
    <w:rsid w:val="00EC1C61"/>
    <w:rsid w:val="00EC1CDD"/>
    <w:rsid w:val="00EC1D3A"/>
    <w:rsid w:val="00EC1D3C"/>
    <w:rsid w:val="00EC1D46"/>
    <w:rsid w:val="00EC1DB7"/>
    <w:rsid w:val="00EC1E3D"/>
    <w:rsid w:val="00EC1F41"/>
    <w:rsid w:val="00EC20EC"/>
    <w:rsid w:val="00EC22EB"/>
    <w:rsid w:val="00EC22F9"/>
    <w:rsid w:val="00EC2446"/>
    <w:rsid w:val="00EC2794"/>
    <w:rsid w:val="00EC27AC"/>
    <w:rsid w:val="00EC28E1"/>
    <w:rsid w:val="00EC2B69"/>
    <w:rsid w:val="00EC2B6F"/>
    <w:rsid w:val="00EC2DB0"/>
    <w:rsid w:val="00EC2DB5"/>
    <w:rsid w:val="00EC33EF"/>
    <w:rsid w:val="00EC34A1"/>
    <w:rsid w:val="00EC3500"/>
    <w:rsid w:val="00EC367C"/>
    <w:rsid w:val="00EC3C7A"/>
    <w:rsid w:val="00EC3D71"/>
    <w:rsid w:val="00EC3D8C"/>
    <w:rsid w:val="00EC3E41"/>
    <w:rsid w:val="00EC3F1B"/>
    <w:rsid w:val="00EC3FD2"/>
    <w:rsid w:val="00EC404C"/>
    <w:rsid w:val="00EC4203"/>
    <w:rsid w:val="00EC42D2"/>
    <w:rsid w:val="00EC434C"/>
    <w:rsid w:val="00EC44E4"/>
    <w:rsid w:val="00EC4577"/>
    <w:rsid w:val="00EC47F4"/>
    <w:rsid w:val="00EC4CA0"/>
    <w:rsid w:val="00EC4EDD"/>
    <w:rsid w:val="00EC514D"/>
    <w:rsid w:val="00EC5151"/>
    <w:rsid w:val="00EC53C4"/>
    <w:rsid w:val="00EC53C7"/>
    <w:rsid w:val="00EC5426"/>
    <w:rsid w:val="00EC5534"/>
    <w:rsid w:val="00EC55BF"/>
    <w:rsid w:val="00EC5668"/>
    <w:rsid w:val="00EC58BD"/>
    <w:rsid w:val="00EC5A5E"/>
    <w:rsid w:val="00EC5BE5"/>
    <w:rsid w:val="00EC5CE6"/>
    <w:rsid w:val="00EC5D7A"/>
    <w:rsid w:val="00EC5FEA"/>
    <w:rsid w:val="00EC61F2"/>
    <w:rsid w:val="00EC6351"/>
    <w:rsid w:val="00EC673C"/>
    <w:rsid w:val="00EC6921"/>
    <w:rsid w:val="00EC6A47"/>
    <w:rsid w:val="00EC6B0B"/>
    <w:rsid w:val="00EC6C0F"/>
    <w:rsid w:val="00EC6D3C"/>
    <w:rsid w:val="00EC6DC0"/>
    <w:rsid w:val="00EC6F99"/>
    <w:rsid w:val="00EC6FCF"/>
    <w:rsid w:val="00EC7278"/>
    <w:rsid w:val="00EC74B5"/>
    <w:rsid w:val="00EC753A"/>
    <w:rsid w:val="00EC7661"/>
    <w:rsid w:val="00EC78F4"/>
    <w:rsid w:val="00EC7C41"/>
    <w:rsid w:val="00ED0149"/>
    <w:rsid w:val="00ED05EA"/>
    <w:rsid w:val="00ED09E2"/>
    <w:rsid w:val="00ED0A43"/>
    <w:rsid w:val="00ED0A5E"/>
    <w:rsid w:val="00ED0A8B"/>
    <w:rsid w:val="00ED0B6B"/>
    <w:rsid w:val="00ED0C00"/>
    <w:rsid w:val="00ED0C3F"/>
    <w:rsid w:val="00ED0D11"/>
    <w:rsid w:val="00ED0D5C"/>
    <w:rsid w:val="00ED0DBA"/>
    <w:rsid w:val="00ED108B"/>
    <w:rsid w:val="00ED10B5"/>
    <w:rsid w:val="00ED10E7"/>
    <w:rsid w:val="00ED1159"/>
    <w:rsid w:val="00ED128C"/>
    <w:rsid w:val="00ED136B"/>
    <w:rsid w:val="00ED1824"/>
    <w:rsid w:val="00ED184D"/>
    <w:rsid w:val="00ED1A64"/>
    <w:rsid w:val="00ED1B95"/>
    <w:rsid w:val="00ED1BA9"/>
    <w:rsid w:val="00ED1E77"/>
    <w:rsid w:val="00ED1F92"/>
    <w:rsid w:val="00ED1FCA"/>
    <w:rsid w:val="00ED210F"/>
    <w:rsid w:val="00ED2114"/>
    <w:rsid w:val="00ED2143"/>
    <w:rsid w:val="00ED264C"/>
    <w:rsid w:val="00ED26E7"/>
    <w:rsid w:val="00ED274F"/>
    <w:rsid w:val="00ED2880"/>
    <w:rsid w:val="00ED29B4"/>
    <w:rsid w:val="00ED29D7"/>
    <w:rsid w:val="00ED304D"/>
    <w:rsid w:val="00ED332B"/>
    <w:rsid w:val="00ED33D5"/>
    <w:rsid w:val="00ED3502"/>
    <w:rsid w:val="00ED3604"/>
    <w:rsid w:val="00ED3684"/>
    <w:rsid w:val="00ED383B"/>
    <w:rsid w:val="00ED3BC5"/>
    <w:rsid w:val="00ED3C63"/>
    <w:rsid w:val="00ED3CFE"/>
    <w:rsid w:val="00ED3D0E"/>
    <w:rsid w:val="00ED3E42"/>
    <w:rsid w:val="00ED4117"/>
    <w:rsid w:val="00ED42AB"/>
    <w:rsid w:val="00ED43F0"/>
    <w:rsid w:val="00ED46EA"/>
    <w:rsid w:val="00ED4881"/>
    <w:rsid w:val="00ED4C3F"/>
    <w:rsid w:val="00ED4D04"/>
    <w:rsid w:val="00ED4E06"/>
    <w:rsid w:val="00ED4EBD"/>
    <w:rsid w:val="00ED4FEC"/>
    <w:rsid w:val="00ED5087"/>
    <w:rsid w:val="00ED5093"/>
    <w:rsid w:val="00ED519C"/>
    <w:rsid w:val="00ED51BD"/>
    <w:rsid w:val="00ED52D2"/>
    <w:rsid w:val="00ED5558"/>
    <w:rsid w:val="00ED56B4"/>
    <w:rsid w:val="00ED5BB5"/>
    <w:rsid w:val="00ED5CE3"/>
    <w:rsid w:val="00ED5D12"/>
    <w:rsid w:val="00ED60D3"/>
    <w:rsid w:val="00ED636B"/>
    <w:rsid w:val="00ED666F"/>
    <w:rsid w:val="00ED680F"/>
    <w:rsid w:val="00ED6A8D"/>
    <w:rsid w:val="00ED6C5E"/>
    <w:rsid w:val="00ED6EBA"/>
    <w:rsid w:val="00ED6FC0"/>
    <w:rsid w:val="00ED6FC5"/>
    <w:rsid w:val="00ED7000"/>
    <w:rsid w:val="00ED701C"/>
    <w:rsid w:val="00ED70CC"/>
    <w:rsid w:val="00ED7436"/>
    <w:rsid w:val="00ED74BB"/>
    <w:rsid w:val="00ED751D"/>
    <w:rsid w:val="00ED75A4"/>
    <w:rsid w:val="00ED762A"/>
    <w:rsid w:val="00ED772C"/>
    <w:rsid w:val="00ED77CE"/>
    <w:rsid w:val="00ED7883"/>
    <w:rsid w:val="00ED7AD9"/>
    <w:rsid w:val="00ED7B2A"/>
    <w:rsid w:val="00ED7C8C"/>
    <w:rsid w:val="00ED7E31"/>
    <w:rsid w:val="00ED7EC0"/>
    <w:rsid w:val="00EE00D2"/>
    <w:rsid w:val="00EE032E"/>
    <w:rsid w:val="00EE03E4"/>
    <w:rsid w:val="00EE062B"/>
    <w:rsid w:val="00EE06EA"/>
    <w:rsid w:val="00EE07AE"/>
    <w:rsid w:val="00EE08A5"/>
    <w:rsid w:val="00EE0BBF"/>
    <w:rsid w:val="00EE0FA0"/>
    <w:rsid w:val="00EE0FBD"/>
    <w:rsid w:val="00EE1187"/>
    <w:rsid w:val="00EE13F2"/>
    <w:rsid w:val="00EE196E"/>
    <w:rsid w:val="00EE1E2E"/>
    <w:rsid w:val="00EE2200"/>
    <w:rsid w:val="00EE2622"/>
    <w:rsid w:val="00EE2642"/>
    <w:rsid w:val="00EE2697"/>
    <w:rsid w:val="00EE270D"/>
    <w:rsid w:val="00EE272F"/>
    <w:rsid w:val="00EE2738"/>
    <w:rsid w:val="00EE2834"/>
    <w:rsid w:val="00EE2B7C"/>
    <w:rsid w:val="00EE2D65"/>
    <w:rsid w:val="00EE2F6D"/>
    <w:rsid w:val="00EE3226"/>
    <w:rsid w:val="00EE32C8"/>
    <w:rsid w:val="00EE3399"/>
    <w:rsid w:val="00EE33FF"/>
    <w:rsid w:val="00EE341B"/>
    <w:rsid w:val="00EE35C5"/>
    <w:rsid w:val="00EE36C8"/>
    <w:rsid w:val="00EE373A"/>
    <w:rsid w:val="00EE3774"/>
    <w:rsid w:val="00EE3B6E"/>
    <w:rsid w:val="00EE3C1A"/>
    <w:rsid w:val="00EE3D58"/>
    <w:rsid w:val="00EE3D9F"/>
    <w:rsid w:val="00EE3FCD"/>
    <w:rsid w:val="00EE4118"/>
    <w:rsid w:val="00EE41AE"/>
    <w:rsid w:val="00EE4221"/>
    <w:rsid w:val="00EE436F"/>
    <w:rsid w:val="00EE44CE"/>
    <w:rsid w:val="00EE47A9"/>
    <w:rsid w:val="00EE49C1"/>
    <w:rsid w:val="00EE4AB1"/>
    <w:rsid w:val="00EE4FA1"/>
    <w:rsid w:val="00EE4FCD"/>
    <w:rsid w:val="00EE52AA"/>
    <w:rsid w:val="00EE53BE"/>
    <w:rsid w:val="00EE589B"/>
    <w:rsid w:val="00EE5924"/>
    <w:rsid w:val="00EE598E"/>
    <w:rsid w:val="00EE5A13"/>
    <w:rsid w:val="00EE5C67"/>
    <w:rsid w:val="00EE5D65"/>
    <w:rsid w:val="00EE5DED"/>
    <w:rsid w:val="00EE5FD5"/>
    <w:rsid w:val="00EE6203"/>
    <w:rsid w:val="00EE6717"/>
    <w:rsid w:val="00EE688D"/>
    <w:rsid w:val="00EE695D"/>
    <w:rsid w:val="00EE70AD"/>
    <w:rsid w:val="00EE7219"/>
    <w:rsid w:val="00EE7244"/>
    <w:rsid w:val="00EE7310"/>
    <w:rsid w:val="00EE732D"/>
    <w:rsid w:val="00EE751B"/>
    <w:rsid w:val="00EE755F"/>
    <w:rsid w:val="00EE7632"/>
    <w:rsid w:val="00EE764D"/>
    <w:rsid w:val="00EE776C"/>
    <w:rsid w:val="00EE77AF"/>
    <w:rsid w:val="00EE7805"/>
    <w:rsid w:val="00EE796C"/>
    <w:rsid w:val="00EE7C8B"/>
    <w:rsid w:val="00EE7E9F"/>
    <w:rsid w:val="00EE7EE0"/>
    <w:rsid w:val="00EF0035"/>
    <w:rsid w:val="00EF003B"/>
    <w:rsid w:val="00EF014F"/>
    <w:rsid w:val="00EF0269"/>
    <w:rsid w:val="00EF0587"/>
    <w:rsid w:val="00EF068E"/>
    <w:rsid w:val="00EF06CD"/>
    <w:rsid w:val="00EF0898"/>
    <w:rsid w:val="00EF08EB"/>
    <w:rsid w:val="00EF0CE3"/>
    <w:rsid w:val="00EF0D41"/>
    <w:rsid w:val="00EF0FC7"/>
    <w:rsid w:val="00EF0FD2"/>
    <w:rsid w:val="00EF0FFE"/>
    <w:rsid w:val="00EF1167"/>
    <w:rsid w:val="00EF11F6"/>
    <w:rsid w:val="00EF1357"/>
    <w:rsid w:val="00EF13D6"/>
    <w:rsid w:val="00EF1733"/>
    <w:rsid w:val="00EF1D9C"/>
    <w:rsid w:val="00EF1F0D"/>
    <w:rsid w:val="00EF20F5"/>
    <w:rsid w:val="00EF21EA"/>
    <w:rsid w:val="00EF2228"/>
    <w:rsid w:val="00EF2354"/>
    <w:rsid w:val="00EF23DB"/>
    <w:rsid w:val="00EF2445"/>
    <w:rsid w:val="00EF245D"/>
    <w:rsid w:val="00EF24B2"/>
    <w:rsid w:val="00EF26A0"/>
    <w:rsid w:val="00EF27E0"/>
    <w:rsid w:val="00EF2894"/>
    <w:rsid w:val="00EF2CDB"/>
    <w:rsid w:val="00EF2EF5"/>
    <w:rsid w:val="00EF3216"/>
    <w:rsid w:val="00EF343D"/>
    <w:rsid w:val="00EF36D9"/>
    <w:rsid w:val="00EF3788"/>
    <w:rsid w:val="00EF381B"/>
    <w:rsid w:val="00EF38AB"/>
    <w:rsid w:val="00EF3CA0"/>
    <w:rsid w:val="00EF3EB3"/>
    <w:rsid w:val="00EF3F0F"/>
    <w:rsid w:val="00EF4089"/>
    <w:rsid w:val="00EF4326"/>
    <w:rsid w:val="00EF44E8"/>
    <w:rsid w:val="00EF46A3"/>
    <w:rsid w:val="00EF46D9"/>
    <w:rsid w:val="00EF471B"/>
    <w:rsid w:val="00EF47D8"/>
    <w:rsid w:val="00EF47F3"/>
    <w:rsid w:val="00EF49F0"/>
    <w:rsid w:val="00EF4A23"/>
    <w:rsid w:val="00EF4B18"/>
    <w:rsid w:val="00EF4B4B"/>
    <w:rsid w:val="00EF4C65"/>
    <w:rsid w:val="00EF4CAA"/>
    <w:rsid w:val="00EF4E36"/>
    <w:rsid w:val="00EF4FF2"/>
    <w:rsid w:val="00EF5052"/>
    <w:rsid w:val="00EF51E9"/>
    <w:rsid w:val="00EF51FA"/>
    <w:rsid w:val="00EF55B6"/>
    <w:rsid w:val="00EF5701"/>
    <w:rsid w:val="00EF5AE2"/>
    <w:rsid w:val="00EF5C8A"/>
    <w:rsid w:val="00EF649E"/>
    <w:rsid w:val="00EF6567"/>
    <w:rsid w:val="00EF6590"/>
    <w:rsid w:val="00EF65F8"/>
    <w:rsid w:val="00EF679D"/>
    <w:rsid w:val="00EF6A4A"/>
    <w:rsid w:val="00EF6B38"/>
    <w:rsid w:val="00EF6C54"/>
    <w:rsid w:val="00EF6D94"/>
    <w:rsid w:val="00EF6E8B"/>
    <w:rsid w:val="00EF7090"/>
    <w:rsid w:val="00EF70BF"/>
    <w:rsid w:val="00EF70C9"/>
    <w:rsid w:val="00EF70E9"/>
    <w:rsid w:val="00EF7136"/>
    <w:rsid w:val="00EF718B"/>
    <w:rsid w:val="00EF728A"/>
    <w:rsid w:val="00EF7402"/>
    <w:rsid w:val="00EF74C5"/>
    <w:rsid w:val="00EF765E"/>
    <w:rsid w:val="00EF7783"/>
    <w:rsid w:val="00EF7D24"/>
    <w:rsid w:val="00EF7E5E"/>
    <w:rsid w:val="00EF7E73"/>
    <w:rsid w:val="00EF7F93"/>
    <w:rsid w:val="00F00048"/>
    <w:rsid w:val="00F00069"/>
    <w:rsid w:val="00F000A0"/>
    <w:rsid w:val="00F000B0"/>
    <w:rsid w:val="00F00381"/>
    <w:rsid w:val="00F003F9"/>
    <w:rsid w:val="00F00465"/>
    <w:rsid w:val="00F004AC"/>
    <w:rsid w:val="00F005CB"/>
    <w:rsid w:val="00F0063F"/>
    <w:rsid w:val="00F00898"/>
    <w:rsid w:val="00F00974"/>
    <w:rsid w:val="00F00A9A"/>
    <w:rsid w:val="00F00A9D"/>
    <w:rsid w:val="00F00DE3"/>
    <w:rsid w:val="00F00E99"/>
    <w:rsid w:val="00F00F4F"/>
    <w:rsid w:val="00F01026"/>
    <w:rsid w:val="00F010BF"/>
    <w:rsid w:val="00F0124C"/>
    <w:rsid w:val="00F01261"/>
    <w:rsid w:val="00F013E7"/>
    <w:rsid w:val="00F0172A"/>
    <w:rsid w:val="00F01865"/>
    <w:rsid w:val="00F01A35"/>
    <w:rsid w:val="00F01D77"/>
    <w:rsid w:val="00F01DEA"/>
    <w:rsid w:val="00F01E0F"/>
    <w:rsid w:val="00F01E18"/>
    <w:rsid w:val="00F01F89"/>
    <w:rsid w:val="00F020B2"/>
    <w:rsid w:val="00F024BC"/>
    <w:rsid w:val="00F024C1"/>
    <w:rsid w:val="00F027E2"/>
    <w:rsid w:val="00F027E3"/>
    <w:rsid w:val="00F02809"/>
    <w:rsid w:val="00F02ABB"/>
    <w:rsid w:val="00F02C7A"/>
    <w:rsid w:val="00F02D06"/>
    <w:rsid w:val="00F02E1E"/>
    <w:rsid w:val="00F02F88"/>
    <w:rsid w:val="00F0307A"/>
    <w:rsid w:val="00F030B1"/>
    <w:rsid w:val="00F031B6"/>
    <w:rsid w:val="00F03240"/>
    <w:rsid w:val="00F0324D"/>
    <w:rsid w:val="00F033A9"/>
    <w:rsid w:val="00F03483"/>
    <w:rsid w:val="00F03857"/>
    <w:rsid w:val="00F0392E"/>
    <w:rsid w:val="00F03ABC"/>
    <w:rsid w:val="00F03C1D"/>
    <w:rsid w:val="00F03D80"/>
    <w:rsid w:val="00F03EC5"/>
    <w:rsid w:val="00F03EF4"/>
    <w:rsid w:val="00F040F0"/>
    <w:rsid w:val="00F04352"/>
    <w:rsid w:val="00F043BD"/>
    <w:rsid w:val="00F0441E"/>
    <w:rsid w:val="00F04794"/>
    <w:rsid w:val="00F04A9A"/>
    <w:rsid w:val="00F04CC7"/>
    <w:rsid w:val="00F04DEB"/>
    <w:rsid w:val="00F04E46"/>
    <w:rsid w:val="00F04FD9"/>
    <w:rsid w:val="00F0508E"/>
    <w:rsid w:val="00F05381"/>
    <w:rsid w:val="00F055E3"/>
    <w:rsid w:val="00F0585A"/>
    <w:rsid w:val="00F05CA1"/>
    <w:rsid w:val="00F05DE2"/>
    <w:rsid w:val="00F05F11"/>
    <w:rsid w:val="00F05F84"/>
    <w:rsid w:val="00F05F8B"/>
    <w:rsid w:val="00F0615C"/>
    <w:rsid w:val="00F0646D"/>
    <w:rsid w:val="00F064F6"/>
    <w:rsid w:val="00F068F9"/>
    <w:rsid w:val="00F06B09"/>
    <w:rsid w:val="00F06B34"/>
    <w:rsid w:val="00F06B5E"/>
    <w:rsid w:val="00F06B9A"/>
    <w:rsid w:val="00F06BF9"/>
    <w:rsid w:val="00F06BFC"/>
    <w:rsid w:val="00F06C2D"/>
    <w:rsid w:val="00F06D50"/>
    <w:rsid w:val="00F06D64"/>
    <w:rsid w:val="00F07049"/>
    <w:rsid w:val="00F070EA"/>
    <w:rsid w:val="00F0734F"/>
    <w:rsid w:val="00F074D8"/>
    <w:rsid w:val="00F074E1"/>
    <w:rsid w:val="00F07692"/>
    <w:rsid w:val="00F0773E"/>
    <w:rsid w:val="00F077F8"/>
    <w:rsid w:val="00F07941"/>
    <w:rsid w:val="00F07D6C"/>
    <w:rsid w:val="00F07E4C"/>
    <w:rsid w:val="00F101D9"/>
    <w:rsid w:val="00F1029E"/>
    <w:rsid w:val="00F103C7"/>
    <w:rsid w:val="00F10438"/>
    <w:rsid w:val="00F104DF"/>
    <w:rsid w:val="00F105FA"/>
    <w:rsid w:val="00F10639"/>
    <w:rsid w:val="00F1075A"/>
    <w:rsid w:val="00F10983"/>
    <w:rsid w:val="00F10BCD"/>
    <w:rsid w:val="00F10C58"/>
    <w:rsid w:val="00F10EB3"/>
    <w:rsid w:val="00F114CA"/>
    <w:rsid w:val="00F114E7"/>
    <w:rsid w:val="00F1196D"/>
    <w:rsid w:val="00F11A1D"/>
    <w:rsid w:val="00F11A74"/>
    <w:rsid w:val="00F11B45"/>
    <w:rsid w:val="00F11B6B"/>
    <w:rsid w:val="00F11B86"/>
    <w:rsid w:val="00F11CCB"/>
    <w:rsid w:val="00F121AA"/>
    <w:rsid w:val="00F121DF"/>
    <w:rsid w:val="00F1221A"/>
    <w:rsid w:val="00F12504"/>
    <w:rsid w:val="00F12A6B"/>
    <w:rsid w:val="00F12C59"/>
    <w:rsid w:val="00F12DE1"/>
    <w:rsid w:val="00F12F42"/>
    <w:rsid w:val="00F1340C"/>
    <w:rsid w:val="00F134D0"/>
    <w:rsid w:val="00F13648"/>
    <w:rsid w:val="00F1370F"/>
    <w:rsid w:val="00F137C9"/>
    <w:rsid w:val="00F1389E"/>
    <w:rsid w:val="00F138AC"/>
    <w:rsid w:val="00F13BB8"/>
    <w:rsid w:val="00F13DBB"/>
    <w:rsid w:val="00F13E5E"/>
    <w:rsid w:val="00F13EAB"/>
    <w:rsid w:val="00F13EEE"/>
    <w:rsid w:val="00F13FAF"/>
    <w:rsid w:val="00F14097"/>
    <w:rsid w:val="00F145D7"/>
    <w:rsid w:val="00F14621"/>
    <w:rsid w:val="00F14949"/>
    <w:rsid w:val="00F14B2D"/>
    <w:rsid w:val="00F14E12"/>
    <w:rsid w:val="00F14E6F"/>
    <w:rsid w:val="00F14F2B"/>
    <w:rsid w:val="00F1527E"/>
    <w:rsid w:val="00F152D3"/>
    <w:rsid w:val="00F1565D"/>
    <w:rsid w:val="00F15689"/>
    <w:rsid w:val="00F156FF"/>
    <w:rsid w:val="00F15843"/>
    <w:rsid w:val="00F15986"/>
    <w:rsid w:val="00F15C04"/>
    <w:rsid w:val="00F160FB"/>
    <w:rsid w:val="00F16288"/>
    <w:rsid w:val="00F16301"/>
    <w:rsid w:val="00F16388"/>
    <w:rsid w:val="00F16496"/>
    <w:rsid w:val="00F164B3"/>
    <w:rsid w:val="00F16AC4"/>
    <w:rsid w:val="00F16B71"/>
    <w:rsid w:val="00F16BB3"/>
    <w:rsid w:val="00F16C48"/>
    <w:rsid w:val="00F16C90"/>
    <w:rsid w:val="00F16E89"/>
    <w:rsid w:val="00F16EB3"/>
    <w:rsid w:val="00F17289"/>
    <w:rsid w:val="00F172F3"/>
    <w:rsid w:val="00F173C9"/>
    <w:rsid w:val="00F17434"/>
    <w:rsid w:val="00F1746E"/>
    <w:rsid w:val="00F17649"/>
    <w:rsid w:val="00F17FAB"/>
    <w:rsid w:val="00F17FD9"/>
    <w:rsid w:val="00F201C4"/>
    <w:rsid w:val="00F2026A"/>
    <w:rsid w:val="00F20335"/>
    <w:rsid w:val="00F205BA"/>
    <w:rsid w:val="00F206FA"/>
    <w:rsid w:val="00F208B3"/>
    <w:rsid w:val="00F20A8A"/>
    <w:rsid w:val="00F20B67"/>
    <w:rsid w:val="00F20BBB"/>
    <w:rsid w:val="00F20C6C"/>
    <w:rsid w:val="00F2114F"/>
    <w:rsid w:val="00F21167"/>
    <w:rsid w:val="00F2116D"/>
    <w:rsid w:val="00F21339"/>
    <w:rsid w:val="00F21385"/>
    <w:rsid w:val="00F214F2"/>
    <w:rsid w:val="00F21606"/>
    <w:rsid w:val="00F21976"/>
    <w:rsid w:val="00F21A27"/>
    <w:rsid w:val="00F21A9C"/>
    <w:rsid w:val="00F21C1D"/>
    <w:rsid w:val="00F21C78"/>
    <w:rsid w:val="00F21D78"/>
    <w:rsid w:val="00F21E5F"/>
    <w:rsid w:val="00F21F64"/>
    <w:rsid w:val="00F21F6A"/>
    <w:rsid w:val="00F22080"/>
    <w:rsid w:val="00F22108"/>
    <w:rsid w:val="00F221C2"/>
    <w:rsid w:val="00F2246A"/>
    <w:rsid w:val="00F22566"/>
    <w:rsid w:val="00F226FD"/>
    <w:rsid w:val="00F2285A"/>
    <w:rsid w:val="00F22A3C"/>
    <w:rsid w:val="00F22B6B"/>
    <w:rsid w:val="00F22F97"/>
    <w:rsid w:val="00F22FFE"/>
    <w:rsid w:val="00F2312A"/>
    <w:rsid w:val="00F23146"/>
    <w:rsid w:val="00F231BD"/>
    <w:rsid w:val="00F231E6"/>
    <w:rsid w:val="00F23861"/>
    <w:rsid w:val="00F23A73"/>
    <w:rsid w:val="00F23B73"/>
    <w:rsid w:val="00F23F0F"/>
    <w:rsid w:val="00F23F84"/>
    <w:rsid w:val="00F23FA1"/>
    <w:rsid w:val="00F2413D"/>
    <w:rsid w:val="00F241C1"/>
    <w:rsid w:val="00F24353"/>
    <w:rsid w:val="00F24616"/>
    <w:rsid w:val="00F2469B"/>
    <w:rsid w:val="00F24C7D"/>
    <w:rsid w:val="00F24C8B"/>
    <w:rsid w:val="00F25128"/>
    <w:rsid w:val="00F2513C"/>
    <w:rsid w:val="00F2519E"/>
    <w:rsid w:val="00F2539B"/>
    <w:rsid w:val="00F25494"/>
    <w:rsid w:val="00F254F4"/>
    <w:rsid w:val="00F25553"/>
    <w:rsid w:val="00F257F9"/>
    <w:rsid w:val="00F258D5"/>
    <w:rsid w:val="00F25AA9"/>
    <w:rsid w:val="00F25B29"/>
    <w:rsid w:val="00F25BF5"/>
    <w:rsid w:val="00F25CC2"/>
    <w:rsid w:val="00F25E0A"/>
    <w:rsid w:val="00F25EBE"/>
    <w:rsid w:val="00F25F0A"/>
    <w:rsid w:val="00F2600E"/>
    <w:rsid w:val="00F262BC"/>
    <w:rsid w:val="00F2653D"/>
    <w:rsid w:val="00F26706"/>
    <w:rsid w:val="00F26801"/>
    <w:rsid w:val="00F2699A"/>
    <w:rsid w:val="00F26A67"/>
    <w:rsid w:val="00F26AC7"/>
    <w:rsid w:val="00F26FB9"/>
    <w:rsid w:val="00F2788E"/>
    <w:rsid w:val="00F27A3B"/>
    <w:rsid w:val="00F27CE2"/>
    <w:rsid w:val="00F30275"/>
    <w:rsid w:val="00F302CD"/>
    <w:rsid w:val="00F3048C"/>
    <w:rsid w:val="00F30624"/>
    <w:rsid w:val="00F30796"/>
    <w:rsid w:val="00F308AF"/>
    <w:rsid w:val="00F30A90"/>
    <w:rsid w:val="00F30D0F"/>
    <w:rsid w:val="00F3144D"/>
    <w:rsid w:val="00F31638"/>
    <w:rsid w:val="00F316BB"/>
    <w:rsid w:val="00F317CF"/>
    <w:rsid w:val="00F31980"/>
    <w:rsid w:val="00F319CF"/>
    <w:rsid w:val="00F31A4C"/>
    <w:rsid w:val="00F31A6B"/>
    <w:rsid w:val="00F31A84"/>
    <w:rsid w:val="00F31AD1"/>
    <w:rsid w:val="00F31B30"/>
    <w:rsid w:val="00F31D2C"/>
    <w:rsid w:val="00F31DB7"/>
    <w:rsid w:val="00F31E27"/>
    <w:rsid w:val="00F31E4A"/>
    <w:rsid w:val="00F31E95"/>
    <w:rsid w:val="00F31FA5"/>
    <w:rsid w:val="00F320FB"/>
    <w:rsid w:val="00F32134"/>
    <w:rsid w:val="00F32391"/>
    <w:rsid w:val="00F3244D"/>
    <w:rsid w:val="00F32548"/>
    <w:rsid w:val="00F32606"/>
    <w:rsid w:val="00F326E2"/>
    <w:rsid w:val="00F33081"/>
    <w:rsid w:val="00F331FE"/>
    <w:rsid w:val="00F33200"/>
    <w:rsid w:val="00F332B8"/>
    <w:rsid w:val="00F334DC"/>
    <w:rsid w:val="00F3376B"/>
    <w:rsid w:val="00F338DB"/>
    <w:rsid w:val="00F33E8E"/>
    <w:rsid w:val="00F344CA"/>
    <w:rsid w:val="00F344D8"/>
    <w:rsid w:val="00F345A6"/>
    <w:rsid w:val="00F34869"/>
    <w:rsid w:val="00F34871"/>
    <w:rsid w:val="00F3492F"/>
    <w:rsid w:val="00F34B3F"/>
    <w:rsid w:val="00F34DC7"/>
    <w:rsid w:val="00F34DDE"/>
    <w:rsid w:val="00F34F99"/>
    <w:rsid w:val="00F350CC"/>
    <w:rsid w:val="00F3515B"/>
    <w:rsid w:val="00F351B5"/>
    <w:rsid w:val="00F351C6"/>
    <w:rsid w:val="00F35357"/>
    <w:rsid w:val="00F35574"/>
    <w:rsid w:val="00F355AB"/>
    <w:rsid w:val="00F3582D"/>
    <w:rsid w:val="00F35888"/>
    <w:rsid w:val="00F35928"/>
    <w:rsid w:val="00F35B50"/>
    <w:rsid w:val="00F35DFA"/>
    <w:rsid w:val="00F35E9D"/>
    <w:rsid w:val="00F35F88"/>
    <w:rsid w:val="00F35FA7"/>
    <w:rsid w:val="00F36143"/>
    <w:rsid w:val="00F365AC"/>
    <w:rsid w:val="00F3660C"/>
    <w:rsid w:val="00F3670C"/>
    <w:rsid w:val="00F3687E"/>
    <w:rsid w:val="00F36933"/>
    <w:rsid w:val="00F36A54"/>
    <w:rsid w:val="00F36A68"/>
    <w:rsid w:val="00F36A6A"/>
    <w:rsid w:val="00F36B05"/>
    <w:rsid w:val="00F36DAA"/>
    <w:rsid w:val="00F36DD6"/>
    <w:rsid w:val="00F36F0E"/>
    <w:rsid w:val="00F3768B"/>
    <w:rsid w:val="00F379C5"/>
    <w:rsid w:val="00F379DC"/>
    <w:rsid w:val="00F37AB4"/>
    <w:rsid w:val="00F37AF9"/>
    <w:rsid w:val="00F37D39"/>
    <w:rsid w:val="00F37D64"/>
    <w:rsid w:val="00F37E77"/>
    <w:rsid w:val="00F40002"/>
    <w:rsid w:val="00F404DE"/>
    <w:rsid w:val="00F405B1"/>
    <w:rsid w:val="00F405D8"/>
    <w:rsid w:val="00F406CC"/>
    <w:rsid w:val="00F40838"/>
    <w:rsid w:val="00F40E20"/>
    <w:rsid w:val="00F4103C"/>
    <w:rsid w:val="00F41098"/>
    <w:rsid w:val="00F410A4"/>
    <w:rsid w:val="00F41217"/>
    <w:rsid w:val="00F4142A"/>
    <w:rsid w:val="00F41448"/>
    <w:rsid w:val="00F41551"/>
    <w:rsid w:val="00F415E8"/>
    <w:rsid w:val="00F41709"/>
    <w:rsid w:val="00F4179D"/>
    <w:rsid w:val="00F4181B"/>
    <w:rsid w:val="00F41AB4"/>
    <w:rsid w:val="00F41DE6"/>
    <w:rsid w:val="00F41ED5"/>
    <w:rsid w:val="00F4227C"/>
    <w:rsid w:val="00F423C3"/>
    <w:rsid w:val="00F4252E"/>
    <w:rsid w:val="00F42548"/>
    <w:rsid w:val="00F4257F"/>
    <w:rsid w:val="00F427DE"/>
    <w:rsid w:val="00F42812"/>
    <w:rsid w:val="00F42888"/>
    <w:rsid w:val="00F42BD0"/>
    <w:rsid w:val="00F42CE0"/>
    <w:rsid w:val="00F42CE6"/>
    <w:rsid w:val="00F4322F"/>
    <w:rsid w:val="00F433AB"/>
    <w:rsid w:val="00F4370E"/>
    <w:rsid w:val="00F4389C"/>
    <w:rsid w:val="00F43C9C"/>
    <w:rsid w:val="00F43CF7"/>
    <w:rsid w:val="00F43CFC"/>
    <w:rsid w:val="00F43D63"/>
    <w:rsid w:val="00F43E00"/>
    <w:rsid w:val="00F44013"/>
    <w:rsid w:val="00F441F2"/>
    <w:rsid w:val="00F4428C"/>
    <w:rsid w:val="00F4431E"/>
    <w:rsid w:val="00F44763"/>
    <w:rsid w:val="00F44A83"/>
    <w:rsid w:val="00F45064"/>
    <w:rsid w:val="00F452AF"/>
    <w:rsid w:val="00F453B2"/>
    <w:rsid w:val="00F456A8"/>
    <w:rsid w:val="00F45858"/>
    <w:rsid w:val="00F45B18"/>
    <w:rsid w:val="00F45C04"/>
    <w:rsid w:val="00F45CD1"/>
    <w:rsid w:val="00F45D1A"/>
    <w:rsid w:val="00F45DE5"/>
    <w:rsid w:val="00F45FE5"/>
    <w:rsid w:val="00F461CE"/>
    <w:rsid w:val="00F46361"/>
    <w:rsid w:val="00F46466"/>
    <w:rsid w:val="00F4666E"/>
    <w:rsid w:val="00F466E2"/>
    <w:rsid w:val="00F467CF"/>
    <w:rsid w:val="00F467FE"/>
    <w:rsid w:val="00F4682C"/>
    <w:rsid w:val="00F46994"/>
    <w:rsid w:val="00F469FC"/>
    <w:rsid w:val="00F46B92"/>
    <w:rsid w:val="00F46C0D"/>
    <w:rsid w:val="00F46D27"/>
    <w:rsid w:val="00F46FBE"/>
    <w:rsid w:val="00F47306"/>
    <w:rsid w:val="00F475EB"/>
    <w:rsid w:val="00F476B7"/>
    <w:rsid w:val="00F4773F"/>
    <w:rsid w:val="00F47B61"/>
    <w:rsid w:val="00F47C35"/>
    <w:rsid w:val="00F47FD5"/>
    <w:rsid w:val="00F500B2"/>
    <w:rsid w:val="00F5010B"/>
    <w:rsid w:val="00F5012C"/>
    <w:rsid w:val="00F504B8"/>
    <w:rsid w:val="00F504D4"/>
    <w:rsid w:val="00F50655"/>
    <w:rsid w:val="00F507F0"/>
    <w:rsid w:val="00F50942"/>
    <w:rsid w:val="00F50A38"/>
    <w:rsid w:val="00F50A4E"/>
    <w:rsid w:val="00F50AF1"/>
    <w:rsid w:val="00F50EA3"/>
    <w:rsid w:val="00F50ED7"/>
    <w:rsid w:val="00F50FD5"/>
    <w:rsid w:val="00F511EC"/>
    <w:rsid w:val="00F51215"/>
    <w:rsid w:val="00F513D9"/>
    <w:rsid w:val="00F51401"/>
    <w:rsid w:val="00F51577"/>
    <w:rsid w:val="00F517D0"/>
    <w:rsid w:val="00F519E9"/>
    <w:rsid w:val="00F51FF2"/>
    <w:rsid w:val="00F51FFB"/>
    <w:rsid w:val="00F52272"/>
    <w:rsid w:val="00F523CF"/>
    <w:rsid w:val="00F528BF"/>
    <w:rsid w:val="00F52985"/>
    <w:rsid w:val="00F52A59"/>
    <w:rsid w:val="00F52C78"/>
    <w:rsid w:val="00F52D1D"/>
    <w:rsid w:val="00F52ED5"/>
    <w:rsid w:val="00F52F8F"/>
    <w:rsid w:val="00F52F92"/>
    <w:rsid w:val="00F53014"/>
    <w:rsid w:val="00F530CB"/>
    <w:rsid w:val="00F53104"/>
    <w:rsid w:val="00F53129"/>
    <w:rsid w:val="00F5356A"/>
    <w:rsid w:val="00F535B4"/>
    <w:rsid w:val="00F535B8"/>
    <w:rsid w:val="00F5386B"/>
    <w:rsid w:val="00F5402B"/>
    <w:rsid w:val="00F54136"/>
    <w:rsid w:val="00F545AF"/>
    <w:rsid w:val="00F54746"/>
    <w:rsid w:val="00F5487E"/>
    <w:rsid w:val="00F549C8"/>
    <w:rsid w:val="00F54AD8"/>
    <w:rsid w:val="00F54AF0"/>
    <w:rsid w:val="00F54B4B"/>
    <w:rsid w:val="00F54FE0"/>
    <w:rsid w:val="00F55028"/>
    <w:rsid w:val="00F552A5"/>
    <w:rsid w:val="00F553EB"/>
    <w:rsid w:val="00F554B7"/>
    <w:rsid w:val="00F55680"/>
    <w:rsid w:val="00F5570A"/>
    <w:rsid w:val="00F55986"/>
    <w:rsid w:val="00F55A10"/>
    <w:rsid w:val="00F55B09"/>
    <w:rsid w:val="00F55BCC"/>
    <w:rsid w:val="00F55DB9"/>
    <w:rsid w:val="00F55E02"/>
    <w:rsid w:val="00F564F4"/>
    <w:rsid w:val="00F56551"/>
    <w:rsid w:val="00F56616"/>
    <w:rsid w:val="00F566A8"/>
    <w:rsid w:val="00F568DE"/>
    <w:rsid w:val="00F568ED"/>
    <w:rsid w:val="00F56B74"/>
    <w:rsid w:val="00F56BE4"/>
    <w:rsid w:val="00F56BEF"/>
    <w:rsid w:val="00F56EA2"/>
    <w:rsid w:val="00F570DC"/>
    <w:rsid w:val="00F5715F"/>
    <w:rsid w:val="00F5731F"/>
    <w:rsid w:val="00F57328"/>
    <w:rsid w:val="00F57346"/>
    <w:rsid w:val="00F5753C"/>
    <w:rsid w:val="00F57775"/>
    <w:rsid w:val="00F577E4"/>
    <w:rsid w:val="00F577F4"/>
    <w:rsid w:val="00F57AC8"/>
    <w:rsid w:val="00F57AFA"/>
    <w:rsid w:val="00F57B15"/>
    <w:rsid w:val="00F57BD3"/>
    <w:rsid w:val="00F57E98"/>
    <w:rsid w:val="00F57FDD"/>
    <w:rsid w:val="00F600F1"/>
    <w:rsid w:val="00F603ED"/>
    <w:rsid w:val="00F604DD"/>
    <w:rsid w:val="00F60511"/>
    <w:rsid w:val="00F605B6"/>
    <w:rsid w:val="00F6077E"/>
    <w:rsid w:val="00F6091C"/>
    <w:rsid w:val="00F60A4A"/>
    <w:rsid w:val="00F60BD0"/>
    <w:rsid w:val="00F60C6F"/>
    <w:rsid w:val="00F60D5C"/>
    <w:rsid w:val="00F60F49"/>
    <w:rsid w:val="00F61222"/>
    <w:rsid w:val="00F614DD"/>
    <w:rsid w:val="00F61A78"/>
    <w:rsid w:val="00F61EDD"/>
    <w:rsid w:val="00F61F83"/>
    <w:rsid w:val="00F62339"/>
    <w:rsid w:val="00F6233E"/>
    <w:rsid w:val="00F6244F"/>
    <w:rsid w:val="00F62766"/>
    <w:rsid w:val="00F628ED"/>
    <w:rsid w:val="00F62ECA"/>
    <w:rsid w:val="00F6321E"/>
    <w:rsid w:val="00F63277"/>
    <w:rsid w:val="00F633AB"/>
    <w:rsid w:val="00F63535"/>
    <w:rsid w:val="00F63799"/>
    <w:rsid w:val="00F637B4"/>
    <w:rsid w:val="00F63911"/>
    <w:rsid w:val="00F63AE5"/>
    <w:rsid w:val="00F63BBA"/>
    <w:rsid w:val="00F63BE1"/>
    <w:rsid w:val="00F63BF5"/>
    <w:rsid w:val="00F63D99"/>
    <w:rsid w:val="00F63E20"/>
    <w:rsid w:val="00F63F3D"/>
    <w:rsid w:val="00F640FA"/>
    <w:rsid w:val="00F64182"/>
    <w:rsid w:val="00F64278"/>
    <w:rsid w:val="00F64392"/>
    <w:rsid w:val="00F643C3"/>
    <w:rsid w:val="00F6443A"/>
    <w:rsid w:val="00F6484E"/>
    <w:rsid w:val="00F64B72"/>
    <w:rsid w:val="00F64BAA"/>
    <w:rsid w:val="00F64BCD"/>
    <w:rsid w:val="00F64EFA"/>
    <w:rsid w:val="00F64F9E"/>
    <w:rsid w:val="00F653C6"/>
    <w:rsid w:val="00F653C9"/>
    <w:rsid w:val="00F65482"/>
    <w:rsid w:val="00F655AE"/>
    <w:rsid w:val="00F65793"/>
    <w:rsid w:val="00F657E0"/>
    <w:rsid w:val="00F659ED"/>
    <w:rsid w:val="00F65A0F"/>
    <w:rsid w:val="00F65AFD"/>
    <w:rsid w:val="00F65CFE"/>
    <w:rsid w:val="00F664ED"/>
    <w:rsid w:val="00F66507"/>
    <w:rsid w:val="00F666E2"/>
    <w:rsid w:val="00F667AA"/>
    <w:rsid w:val="00F6682B"/>
    <w:rsid w:val="00F668FC"/>
    <w:rsid w:val="00F66993"/>
    <w:rsid w:val="00F669DB"/>
    <w:rsid w:val="00F66ABF"/>
    <w:rsid w:val="00F66B5A"/>
    <w:rsid w:val="00F66C12"/>
    <w:rsid w:val="00F66CB2"/>
    <w:rsid w:val="00F671AB"/>
    <w:rsid w:val="00F671D8"/>
    <w:rsid w:val="00F67621"/>
    <w:rsid w:val="00F67827"/>
    <w:rsid w:val="00F67CEC"/>
    <w:rsid w:val="00F67DAD"/>
    <w:rsid w:val="00F67E24"/>
    <w:rsid w:val="00F67EC8"/>
    <w:rsid w:val="00F67F3F"/>
    <w:rsid w:val="00F70185"/>
    <w:rsid w:val="00F70378"/>
    <w:rsid w:val="00F703CD"/>
    <w:rsid w:val="00F708F2"/>
    <w:rsid w:val="00F70B24"/>
    <w:rsid w:val="00F70B77"/>
    <w:rsid w:val="00F70C41"/>
    <w:rsid w:val="00F70CAD"/>
    <w:rsid w:val="00F715DA"/>
    <w:rsid w:val="00F71874"/>
    <w:rsid w:val="00F718CB"/>
    <w:rsid w:val="00F718FE"/>
    <w:rsid w:val="00F71995"/>
    <w:rsid w:val="00F719E1"/>
    <w:rsid w:val="00F71AC3"/>
    <w:rsid w:val="00F71AD6"/>
    <w:rsid w:val="00F71AEC"/>
    <w:rsid w:val="00F71BF7"/>
    <w:rsid w:val="00F71C2E"/>
    <w:rsid w:val="00F71CE0"/>
    <w:rsid w:val="00F71FED"/>
    <w:rsid w:val="00F720B2"/>
    <w:rsid w:val="00F720F0"/>
    <w:rsid w:val="00F722E1"/>
    <w:rsid w:val="00F727EB"/>
    <w:rsid w:val="00F7291B"/>
    <w:rsid w:val="00F72956"/>
    <w:rsid w:val="00F72AC7"/>
    <w:rsid w:val="00F72B43"/>
    <w:rsid w:val="00F72BDF"/>
    <w:rsid w:val="00F72BE4"/>
    <w:rsid w:val="00F72E29"/>
    <w:rsid w:val="00F72F26"/>
    <w:rsid w:val="00F72FC9"/>
    <w:rsid w:val="00F73006"/>
    <w:rsid w:val="00F731C8"/>
    <w:rsid w:val="00F73241"/>
    <w:rsid w:val="00F7328F"/>
    <w:rsid w:val="00F733E7"/>
    <w:rsid w:val="00F7345C"/>
    <w:rsid w:val="00F735D2"/>
    <w:rsid w:val="00F736CB"/>
    <w:rsid w:val="00F7387D"/>
    <w:rsid w:val="00F73C1D"/>
    <w:rsid w:val="00F73ED4"/>
    <w:rsid w:val="00F73F6D"/>
    <w:rsid w:val="00F73FD1"/>
    <w:rsid w:val="00F74611"/>
    <w:rsid w:val="00F746B9"/>
    <w:rsid w:val="00F747D8"/>
    <w:rsid w:val="00F7483B"/>
    <w:rsid w:val="00F74C1E"/>
    <w:rsid w:val="00F74DE4"/>
    <w:rsid w:val="00F74E38"/>
    <w:rsid w:val="00F74E3E"/>
    <w:rsid w:val="00F74FA1"/>
    <w:rsid w:val="00F7507E"/>
    <w:rsid w:val="00F75186"/>
    <w:rsid w:val="00F7529A"/>
    <w:rsid w:val="00F759B9"/>
    <w:rsid w:val="00F75C31"/>
    <w:rsid w:val="00F75C79"/>
    <w:rsid w:val="00F75DEB"/>
    <w:rsid w:val="00F75FC8"/>
    <w:rsid w:val="00F7627E"/>
    <w:rsid w:val="00F762F2"/>
    <w:rsid w:val="00F76324"/>
    <w:rsid w:val="00F7637E"/>
    <w:rsid w:val="00F7643C"/>
    <w:rsid w:val="00F7654F"/>
    <w:rsid w:val="00F76562"/>
    <w:rsid w:val="00F766A5"/>
    <w:rsid w:val="00F76813"/>
    <w:rsid w:val="00F76A58"/>
    <w:rsid w:val="00F76B09"/>
    <w:rsid w:val="00F76B45"/>
    <w:rsid w:val="00F76CD8"/>
    <w:rsid w:val="00F76FC4"/>
    <w:rsid w:val="00F77031"/>
    <w:rsid w:val="00F7712B"/>
    <w:rsid w:val="00F776DF"/>
    <w:rsid w:val="00F777B4"/>
    <w:rsid w:val="00F7789D"/>
    <w:rsid w:val="00F77CFD"/>
    <w:rsid w:val="00F77D0B"/>
    <w:rsid w:val="00F77D14"/>
    <w:rsid w:val="00F80029"/>
    <w:rsid w:val="00F805C0"/>
    <w:rsid w:val="00F805EA"/>
    <w:rsid w:val="00F8072A"/>
    <w:rsid w:val="00F80BDC"/>
    <w:rsid w:val="00F80CC5"/>
    <w:rsid w:val="00F80CCA"/>
    <w:rsid w:val="00F80E92"/>
    <w:rsid w:val="00F80FB0"/>
    <w:rsid w:val="00F8113D"/>
    <w:rsid w:val="00F815C1"/>
    <w:rsid w:val="00F81702"/>
    <w:rsid w:val="00F81907"/>
    <w:rsid w:val="00F8196C"/>
    <w:rsid w:val="00F81AE3"/>
    <w:rsid w:val="00F81B1E"/>
    <w:rsid w:val="00F81D25"/>
    <w:rsid w:val="00F81D43"/>
    <w:rsid w:val="00F81D54"/>
    <w:rsid w:val="00F82124"/>
    <w:rsid w:val="00F823FE"/>
    <w:rsid w:val="00F8253A"/>
    <w:rsid w:val="00F82665"/>
    <w:rsid w:val="00F8270A"/>
    <w:rsid w:val="00F82A73"/>
    <w:rsid w:val="00F82B14"/>
    <w:rsid w:val="00F82BEA"/>
    <w:rsid w:val="00F82C42"/>
    <w:rsid w:val="00F82D26"/>
    <w:rsid w:val="00F82D4C"/>
    <w:rsid w:val="00F82F3F"/>
    <w:rsid w:val="00F82F6F"/>
    <w:rsid w:val="00F83000"/>
    <w:rsid w:val="00F83310"/>
    <w:rsid w:val="00F83315"/>
    <w:rsid w:val="00F83411"/>
    <w:rsid w:val="00F83534"/>
    <w:rsid w:val="00F835A5"/>
    <w:rsid w:val="00F835D2"/>
    <w:rsid w:val="00F83649"/>
    <w:rsid w:val="00F83699"/>
    <w:rsid w:val="00F836D9"/>
    <w:rsid w:val="00F83713"/>
    <w:rsid w:val="00F838FB"/>
    <w:rsid w:val="00F83B99"/>
    <w:rsid w:val="00F83DE7"/>
    <w:rsid w:val="00F83E2B"/>
    <w:rsid w:val="00F83F2F"/>
    <w:rsid w:val="00F83F48"/>
    <w:rsid w:val="00F84135"/>
    <w:rsid w:val="00F846E1"/>
    <w:rsid w:val="00F84752"/>
    <w:rsid w:val="00F8499E"/>
    <w:rsid w:val="00F84C00"/>
    <w:rsid w:val="00F84D40"/>
    <w:rsid w:val="00F85018"/>
    <w:rsid w:val="00F85568"/>
    <w:rsid w:val="00F855C8"/>
    <w:rsid w:val="00F85677"/>
    <w:rsid w:val="00F8570F"/>
    <w:rsid w:val="00F85716"/>
    <w:rsid w:val="00F85B7D"/>
    <w:rsid w:val="00F85C81"/>
    <w:rsid w:val="00F85DD4"/>
    <w:rsid w:val="00F85E4D"/>
    <w:rsid w:val="00F85E53"/>
    <w:rsid w:val="00F85E7D"/>
    <w:rsid w:val="00F85F71"/>
    <w:rsid w:val="00F85F86"/>
    <w:rsid w:val="00F86182"/>
    <w:rsid w:val="00F86318"/>
    <w:rsid w:val="00F86494"/>
    <w:rsid w:val="00F86523"/>
    <w:rsid w:val="00F86780"/>
    <w:rsid w:val="00F868B6"/>
    <w:rsid w:val="00F8695E"/>
    <w:rsid w:val="00F86C46"/>
    <w:rsid w:val="00F86F72"/>
    <w:rsid w:val="00F86FF4"/>
    <w:rsid w:val="00F87008"/>
    <w:rsid w:val="00F87093"/>
    <w:rsid w:val="00F870E1"/>
    <w:rsid w:val="00F871B0"/>
    <w:rsid w:val="00F87480"/>
    <w:rsid w:val="00F87569"/>
    <w:rsid w:val="00F875C7"/>
    <w:rsid w:val="00F8770E"/>
    <w:rsid w:val="00F877B6"/>
    <w:rsid w:val="00F878C0"/>
    <w:rsid w:val="00F87C6D"/>
    <w:rsid w:val="00F87D15"/>
    <w:rsid w:val="00F87DE1"/>
    <w:rsid w:val="00F901DD"/>
    <w:rsid w:val="00F90209"/>
    <w:rsid w:val="00F904B5"/>
    <w:rsid w:val="00F904C9"/>
    <w:rsid w:val="00F905CC"/>
    <w:rsid w:val="00F9062D"/>
    <w:rsid w:val="00F908CF"/>
    <w:rsid w:val="00F908ED"/>
    <w:rsid w:val="00F90911"/>
    <w:rsid w:val="00F90AAD"/>
    <w:rsid w:val="00F90CB7"/>
    <w:rsid w:val="00F90F95"/>
    <w:rsid w:val="00F910B2"/>
    <w:rsid w:val="00F911AC"/>
    <w:rsid w:val="00F9123A"/>
    <w:rsid w:val="00F91853"/>
    <w:rsid w:val="00F919D0"/>
    <w:rsid w:val="00F91AEA"/>
    <w:rsid w:val="00F91E11"/>
    <w:rsid w:val="00F91F15"/>
    <w:rsid w:val="00F91FF7"/>
    <w:rsid w:val="00F92076"/>
    <w:rsid w:val="00F9208D"/>
    <w:rsid w:val="00F920AA"/>
    <w:rsid w:val="00F921AC"/>
    <w:rsid w:val="00F921BD"/>
    <w:rsid w:val="00F9232D"/>
    <w:rsid w:val="00F924F6"/>
    <w:rsid w:val="00F92516"/>
    <w:rsid w:val="00F92713"/>
    <w:rsid w:val="00F92736"/>
    <w:rsid w:val="00F9273D"/>
    <w:rsid w:val="00F927A0"/>
    <w:rsid w:val="00F92B15"/>
    <w:rsid w:val="00F92E80"/>
    <w:rsid w:val="00F92F56"/>
    <w:rsid w:val="00F930BD"/>
    <w:rsid w:val="00F93103"/>
    <w:rsid w:val="00F93261"/>
    <w:rsid w:val="00F93329"/>
    <w:rsid w:val="00F934E3"/>
    <w:rsid w:val="00F9351C"/>
    <w:rsid w:val="00F937AB"/>
    <w:rsid w:val="00F93800"/>
    <w:rsid w:val="00F939CB"/>
    <w:rsid w:val="00F939F7"/>
    <w:rsid w:val="00F94088"/>
    <w:rsid w:val="00F940FD"/>
    <w:rsid w:val="00F9432A"/>
    <w:rsid w:val="00F9449B"/>
    <w:rsid w:val="00F9467E"/>
    <w:rsid w:val="00F94840"/>
    <w:rsid w:val="00F94C18"/>
    <w:rsid w:val="00F94DDD"/>
    <w:rsid w:val="00F94FE1"/>
    <w:rsid w:val="00F95100"/>
    <w:rsid w:val="00F95201"/>
    <w:rsid w:val="00F9532B"/>
    <w:rsid w:val="00F95345"/>
    <w:rsid w:val="00F95770"/>
    <w:rsid w:val="00F95878"/>
    <w:rsid w:val="00F95984"/>
    <w:rsid w:val="00F95A21"/>
    <w:rsid w:val="00F95AB0"/>
    <w:rsid w:val="00F95C46"/>
    <w:rsid w:val="00F95D19"/>
    <w:rsid w:val="00F96047"/>
    <w:rsid w:val="00F96138"/>
    <w:rsid w:val="00F96191"/>
    <w:rsid w:val="00F9619A"/>
    <w:rsid w:val="00F962AC"/>
    <w:rsid w:val="00F96475"/>
    <w:rsid w:val="00F96830"/>
    <w:rsid w:val="00F96867"/>
    <w:rsid w:val="00F96873"/>
    <w:rsid w:val="00F9689D"/>
    <w:rsid w:val="00F96F67"/>
    <w:rsid w:val="00F972A4"/>
    <w:rsid w:val="00F972B9"/>
    <w:rsid w:val="00F972DF"/>
    <w:rsid w:val="00F97368"/>
    <w:rsid w:val="00F97571"/>
    <w:rsid w:val="00F97609"/>
    <w:rsid w:val="00F9776F"/>
    <w:rsid w:val="00F97796"/>
    <w:rsid w:val="00F97B28"/>
    <w:rsid w:val="00F97BB4"/>
    <w:rsid w:val="00F97C9E"/>
    <w:rsid w:val="00F97F08"/>
    <w:rsid w:val="00F97F3A"/>
    <w:rsid w:val="00FA0134"/>
    <w:rsid w:val="00FA01BE"/>
    <w:rsid w:val="00FA02FE"/>
    <w:rsid w:val="00FA05B2"/>
    <w:rsid w:val="00FA06D9"/>
    <w:rsid w:val="00FA0770"/>
    <w:rsid w:val="00FA099B"/>
    <w:rsid w:val="00FA0AB9"/>
    <w:rsid w:val="00FA0AE7"/>
    <w:rsid w:val="00FA0B22"/>
    <w:rsid w:val="00FA0B44"/>
    <w:rsid w:val="00FA0BBE"/>
    <w:rsid w:val="00FA0CB2"/>
    <w:rsid w:val="00FA0CCB"/>
    <w:rsid w:val="00FA0E6C"/>
    <w:rsid w:val="00FA158E"/>
    <w:rsid w:val="00FA16DD"/>
    <w:rsid w:val="00FA1720"/>
    <w:rsid w:val="00FA182A"/>
    <w:rsid w:val="00FA1926"/>
    <w:rsid w:val="00FA1A10"/>
    <w:rsid w:val="00FA1D1B"/>
    <w:rsid w:val="00FA1EE8"/>
    <w:rsid w:val="00FA2041"/>
    <w:rsid w:val="00FA221B"/>
    <w:rsid w:val="00FA2295"/>
    <w:rsid w:val="00FA22F6"/>
    <w:rsid w:val="00FA2479"/>
    <w:rsid w:val="00FA24AA"/>
    <w:rsid w:val="00FA24C4"/>
    <w:rsid w:val="00FA24FD"/>
    <w:rsid w:val="00FA25B6"/>
    <w:rsid w:val="00FA26E9"/>
    <w:rsid w:val="00FA27A0"/>
    <w:rsid w:val="00FA2935"/>
    <w:rsid w:val="00FA2A76"/>
    <w:rsid w:val="00FA2B0C"/>
    <w:rsid w:val="00FA2FAD"/>
    <w:rsid w:val="00FA317A"/>
    <w:rsid w:val="00FA3601"/>
    <w:rsid w:val="00FA36B1"/>
    <w:rsid w:val="00FA3AB1"/>
    <w:rsid w:val="00FA3E4B"/>
    <w:rsid w:val="00FA3E76"/>
    <w:rsid w:val="00FA3E86"/>
    <w:rsid w:val="00FA3E93"/>
    <w:rsid w:val="00FA4003"/>
    <w:rsid w:val="00FA403C"/>
    <w:rsid w:val="00FA4051"/>
    <w:rsid w:val="00FA4150"/>
    <w:rsid w:val="00FA42BD"/>
    <w:rsid w:val="00FA482C"/>
    <w:rsid w:val="00FA483D"/>
    <w:rsid w:val="00FA499F"/>
    <w:rsid w:val="00FA4AE6"/>
    <w:rsid w:val="00FA4B4A"/>
    <w:rsid w:val="00FA4CB7"/>
    <w:rsid w:val="00FA4CD4"/>
    <w:rsid w:val="00FA4D60"/>
    <w:rsid w:val="00FA4E2F"/>
    <w:rsid w:val="00FA5175"/>
    <w:rsid w:val="00FA547E"/>
    <w:rsid w:val="00FA56C1"/>
    <w:rsid w:val="00FA593D"/>
    <w:rsid w:val="00FA5A3E"/>
    <w:rsid w:val="00FA5BA0"/>
    <w:rsid w:val="00FA5C6E"/>
    <w:rsid w:val="00FA5FF7"/>
    <w:rsid w:val="00FA607E"/>
    <w:rsid w:val="00FA6257"/>
    <w:rsid w:val="00FA6302"/>
    <w:rsid w:val="00FA684F"/>
    <w:rsid w:val="00FA694B"/>
    <w:rsid w:val="00FA69CC"/>
    <w:rsid w:val="00FA6A01"/>
    <w:rsid w:val="00FA6C2A"/>
    <w:rsid w:val="00FA6FE7"/>
    <w:rsid w:val="00FA7004"/>
    <w:rsid w:val="00FA728F"/>
    <w:rsid w:val="00FA75A1"/>
    <w:rsid w:val="00FA75B9"/>
    <w:rsid w:val="00FA76C7"/>
    <w:rsid w:val="00FA76FD"/>
    <w:rsid w:val="00FA7CC8"/>
    <w:rsid w:val="00FB000D"/>
    <w:rsid w:val="00FB0033"/>
    <w:rsid w:val="00FB00B6"/>
    <w:rsid w:val="00FB0485"/>
    <w:rsid w:val="00FB04A3"/>
    <w:rsid w:val="00FB04A4"/>
    <w:rsid w:val="00FB04E0"/>
    <w:rsid w:val="00FB04F2"/>
    <w:rsid w:val="00FB050D"/>
    <w:rsid w:val="00FB069B"/>
    <w:rsid w:val="00FB0957"/>
    <w:rsid w:val="00FB09DE"/>
    <w:rsid w:val="00FB0B64"/>
    <w:rsid w:val="00FB0C73"/>
    <w:rsid w:val="00FB0EE8"/>
    <w:rsid w:val="00FB0F1D"/>
    <w:rsid w:val="00FB112D"/>
    <w:rsid w:val="00FB1538"/>
    <w:rsid w:val="00FB1771"/>
    <w:rsid w:val="00FB17DB"/>
    <w:rsid w:val="00FB1822"/>
    <w:rsid w:val="00FB1E96"/>
    <w:rsid w:val="00FB21A1"/>
    <w:rsid w:val="00FB220B"/>
    <w:rsid w:val="00FB22F3"/>
    <w:rsid w:val="00FB24AF"/>
    <w:rsid w:val="00FB2609"/>
    <w:rsid w:val="00FB2670"/>
    <w:rsid w:val="00FB2736"/>
    <w:rsid w:val="00FB2764"/>
    <w:rsid w:val="00FB2767"/>
    <w:rsid w:val="00FB27B2"/>
    <w:rsid w:val="00FB2AFD"/>
    <w:rsid w:val="00FB2B40"/>
    <w:rsid w:val="00FB2E59"/>
    <w:rsid w:val="00FB30AD"/>
    <w:rsid w:val="00FB3112"/>
    <w:rsid w:val="00FB325E"/>
    <w:rsid w:val="00FB32AA"/>
    <w:rsid w:val="00FB3392"/>
    <w:rsid w:val="00FB34C3"/>
    <w:rsid w:val="00FB355B"/>
    <w:rsid w:val="00FB379C"/>
    <w:rsid w:val="00FB3831"/>
    <w:rsid w:val="00FB3A90"/>
    <w:rsid w:val="00FB3BAE"/>
    <w:rsid w:val="00FB3BC2"/>
    <w:rsid w:val="00FB4014"/>
    <w:rsid w:val="00FB4197"/>
    <w:rsid w:val="00FB434E"/>
    <w:rsid w:val="00FB4837"/>
    <w:rsid w:val="00FB48B7"/>
    <w:rsid w:val="00FB4AEA"/>
    <w:rsid w:val="00FB4B4A"/>
    <w:rsid w:val="00FB4C3B"/>
    <w:rsid w:val="00FB4CC7"/>
    <w:rsid w:val="00FB4F21"/>
    <w:rsid w:val="00FB543D"/>
    <w:rsid w:val="00FB5811"/>
    <w:rsid w:val="00FB5875"/>
    <w:rsid w:val="00FB58BD"/>
    <w:rsid w:val="00FB5BEC"/>
    <w:rsid w:val="00FB5CF4"/>
    <w:rsid w:val="00FB5DAA"/>
    <w:rsid w:val="00FB5EB3"/>
    <w:rsid w:val="00FB5F73"/>
    <w:rsid w:val="00FB6533"/>
    <w:rsid w:val="00FB663A"/>
    <w:rsid w:val="00FB6695"/>
    <w:rsid w:val="00FB67EB"/>
    <w:rsid w:val="00FB67FE"/>
    <w:rsid w:val="00FB68F5"/>
    <w:rsid w:val="00FB690E"/>
    <w:rsid w:val="00FB6C97"/>
    <w:rsid w:val="00FB6DC8"/>
    <w:rsid w:val="00FB6F29"/>
    <w:rsid w:val="00FB6F64"/>
    <w:rsid w:val="00FB6FB3"/>
    <w:rsid w:val="00FB71C8"/>
    <w:rsid w:val="00FB7348"/>
    <w:rsid w:val="00FB742E"/>
    <w:rsid w:val="00FB74DE"/>
    <w:rsid w:val="00FB760F"/>
    <w:rsid w:val="00FB76DA"/>
    <w:rsid w:val="00FB791E"/>
    <w:rsid w:val="00FB7983"/>
    <w:rsid w:val="00FB7F4E"/>
    <w:rsid w:val="00FB7F8C"/>
    <w:rsid w:val="00FC01B6"/>
    <w:rsid w:val="00FC029F"/>
    <w:rsid w:val="00FC03F9"/>
    <w:rsid w:val="00FC0420"/>
    <w:rsid w:val="00FC04ED"/>
    <w:rsid w:val="00FC0523"/>
    <w:rsid w:val="00FC06D7"/>
    <w:rsid w:val="00FC0849"/>
    <w:rsid w:val="00FC090D"/>
    <w:rsid w:val="00FC09AF"/>
    <w:rsid w:val="00FC0AC6"/>
    <w:rsid w:val="00FC0C08"/>
    <w:rsid w:val="00FC0C70"/>
    <w:rsid w:val="00FC0D2F"/>
    <w:rsid w:val="00FC0D9E"/>
    <w:rsid w:val="00FC121F"/>
    <w:rsid w:val="00FC13D0"/>
    <w:rsid w:val="00FC17C5"/>
    <w:rsid w:val="00FC191B"/>
    <w:rsid w:val="00FC1B01"/>
    <w:rsid w:val="00FC1CA9"/>
    <w:rsid w:val="00FC1CB5"/>
    <w:rsid w:val="00FC1CE7"/>
    <w:rsid w:val="00FC1DD0"/>
    <w:rsid w:val="00FC20E6"/>
    <w:rsid w:val="00FC239C"/>
    <w:rsid w:val="00FC247E"/>
    <w:rsid w:val="00FC26BE"/>
    <w:rsid w:val="00FC26E6"/>
    <w:rsid w:val="00FC2712"/>
    <w:rsid w:val="00FC2897"/>
    <w:rsid w:val="00FC2907"/>
    <w:rsid w:val="00FC2DC9"/>
    <w:rsid w:val="00FC2E3D"/>
    <w:rsid w:val="00FC2EB1"/>
    <w:rsid w:val="00FC2EFD"/>
    <w:rsid w:val="00FC2F81"/>
    <w:rsid w:val="00FC33D2"/>
    <w:rsid w:val="00FC3411"/>
    <w:rsid w:val="00FC355A"/>
    <w:rsid w:val="00FC3597"/>
    <w:rsid w:val="00FC359A"/>
    <w:rsid w:val="00FC362F"/>
    <w:rsid w:val="00FC3754"/>
    <w:rsid w:val="00FC385F"/>
    <w:rsid w:val="00FC38F8"/>
    <w:rsid w:val="00FC3C60"/>
    <w:rsid w:val="00FC3C80"/>
    <w:rsid w:val="00FC3F14"/>
    <w:rsid w:val="00FC3F64"/>
    <w:rsid w:val="00FC41BD"/>
    <w:rsid w:val="00FC41E8"/>
    <w:rsid w:val="00FC435F"/>
    <w:rsid w:val="00FC4440"/>
    <w:rsid w:val="00FC4450"/>
    <w:rsid w:val="00FC44CD"/>
    <w:rsid w:val="00FC4577"/>
    <w:rsid w:val="00FC485B"/>
    <w:rsid w:val="00FC4AB9"/>
    <w:rsid w:val="00FC4B8B"/>
    <w:rsid w:val="00FC4CF4"/>
    <w:rsid w:val="00FC4D5B"/>
    <w:rsid w:val="00FC4E77"/>
    <w:rsid w:val="00FC4E9A"/>
    <w:rsid w:val="00FC5156"/>
    <w:rsid w:val="00FC51CB"/>
    <w:rsid w:val="00FC56CD"/>
    <w:rsid w:val="00FC57D7"/>
    <w:rsid w:val="00FC5851"/>
    <w:rsid w:val="00FC5B50"/>
    <w:rsid w:val="00FC5BBF"/>
    <w:rsid w:val="00FC5BDB"/>
    <w:rsid w:val="00FC5D4D"/>
    <w:rsid w:val="00FC5DFD"/>
    <w:rsid w:val="00FC5F27"/>
    <w:rsid w:val="00FC602B"/>
    <w:rsid w:val="00FC613B"/>
    <w:rsid w:val="00FC6297"/>
    <w:rsid w:val="00FC62AA"/>
    <w:rsid w:val="00FC653F"/>
    <w:rsid w:val="00FC67D3"/>
    <w:rsid w:val="00FC684F"/>
    <w:rsid w:val="00FC6878"/>
    <w:rsid w:val="00FC6AE1"/>
    <w:rsid w:val="00FC6AFD"/>
    <w:rsid w:val="00FC6C9F"/>
    <w:rsid w:val="00FC6CCD"/>
    <w:rsid w:val="00FC6E90"/>
    <w:rsid w:val="00FC6F2C"/>
    <w:rsid w:val="00FC6F3E"/>
    <w:rsid w:val="00FC6F48"/>
    <w:rsid w:val="00FC6FAF"/>
    <w:rsid w:val="00FC72A1"/>
    <w:rsid w:val="00FC731D"/>
    <w:rsid w:val="00FC73D2"/>
    <w:rsid w:val="00FC7492"/>
    <w:rsid w:val="00FC74E2"/>
    <w:rsid w:val="00FC7636"/>
    <w:rsid w:val="00FC781E"/>
    <w:rsid w:val="00FC792B"/>
    <w:rsid w:val="00FC7A93"/>
    <w:rsid w:val="00FC7CDD"/>
    <w:rsid w:val="00FC7DDA"/>
    <w:rsid w:val="00FD0227"/>
    <w:rsid w:val="00FD02D6"/>
    <w:rsid w:val="00FD03FC"/>
    <w:rsid w:val="00FD0490"/>
    <w:rsid w:val="00FD0549"/>
    <w:rsid w:val="00FD061E"/>
    <w:rsid w:val="00FD070E"/>
    <w:rsid w:val="00FD099A"/>
    <w:rsid w:val="00FD0A1B"/>
    <w:rsid w:val="00FD0AF4"/>
    <w:rsid w:val="00FD0D89"/>
    <w:rsid w:val="00FD0E33"/>
    <w:rsid w:val="00FD0E60"/>
    <w:rsid w:val="00FD0F09"/>
    <w:rsid w:val="00FD1171"/>
    <w:rsid w:val="00FD1639"/>
    <w:rsid w:val="00FD1B0C"/>
    <w:rsid w:val="00FD1B43"/>
    <w:rsid w:val="00FD1CD1"/>
    <w:rsid w:val="00FD1DF9"/>
    <w:rsid w:val="00FD1EF4"/>
    <w:rsid w:val="00FD20E8"/>
    <w:rsid w:val="00FD244F"/>
    <w:rsid w:val="00FD24E1"/>
    <w:rsid w:val="00FD2607"/>
    <w:rsid w:val="00FD2635"/>
    <w:rsid w:val="00FD265D"/>
    <w:rsid w:val="00FD26B5"/>
    <w:rsid w:val="00FD27C3"/>
    <w:rsid w:val="00FD28D9"/>
    <w:rsid w:val="00FD2A90"/>
    <w:rsid w:val="00FD2C9E"/>
    <w:rsid w:val="00FD2EF5"/>
    <w:rsid w:val="00FD2F3A"/>
    <w:rsid w:val="00FD3269"/>
    <w:rsid w:val="00FD3295"/>
    <w:rsid w:val="00FD334F"/>
    <w:rsid w:val="00FD3410"/>
    <w:rsid w:val="00FD3537"/>
    <w:rsid w:val="00FD3ADD"/>
    <w:rsid w:val="00FD3B55"/>
    <w:rsid w:val="00FD3D06"/>
    <w:rsid w:val="00FD3F7E"/>
    <w:rsid w:val="00FD4195"/>
    <w:rsid w:val="00FD43E0"/>
    <w:rsid w:val="00FD4712"/>
    <w:rsid w:val="00FD4907"/>
    <w:rsid w:val="00FD4E4E"/>
    <w:rsid w:val="00FD4F5C"/>
    <w:rsid w:val="00FD4F6E"/>
    <w:rsid w:val="00FD5006"/>
    <w:rsid w:val="00FD5035"/>
    <w:rsid w:val="00FD553A"/>
    <w:rsid w:val="00FD56EC"/>
    <w:rsid w:val="00FD583F"/>
    <w:rsid w:val="00FD59EF"/>
    <w:rsid w:val="00FD5AD3"/>
    <w:rsid w:val="00FD5C2C"/>
    <w:rsid w:val="00FD5CEA"/>
    <w:rsid w:val="00FD5E04"/>
    <w:rsid w:val="00FD5E66"/>
    <w:rsid w:val="00FD5F16"/>
    <w:rsid w:val="00FD6278"/>
    <w:rsid w:val="00FD6342"/>
    <w:rsid w:val="00FD655A"/>
    <w:rsid w:val="00FD6849"/>
    <w:rsid w:val="00FD6887"/>
    <w:rsid w:val="00FD69F6"/>
    <w:rsid w:val="00FD6A5C"/>
    <w:rsid w:val="00FD6C28"/>
    <w:rsid w:val="00FD6C65"/>
    <w:rsid w:val="00FD6DC6"/>
    <w:rsid w:val="00FD6E60"/>
    <w:rsid w:val="00FD6E61"/>
    <w:rsid w:val="00FD6E67"/>
    <w:rsid w:val="00FD6E99"/>
    <w:rsid w:val="00FD6EDF"/>
    <w:rsid w:val="00FD70A3"/>
    <w:rsid w:val="00FD70EE"/>
    <w:rsid w:val="00FD722D"/>
    <w:rsid w:val="00FD7300"/>
    <w:rsid w:val="00FD7417"/>
    <w:rsid w:val="00FD7A12"/>
    <w:rsid w:val="00FD7B7F"/>
    <w:rsid w:val="00FD7C86"/>
    <w:rsid w:val="00FD7CE2"/>
    <w:rsid w:val="00FD7D63"/>
    <w:rsid w:val="00FD7E7E"/>
    <w:rsid w:val="00FD7F21"/>
    <w:rsid w:val="00FD7FF1"/>
    <w:rsid w:val="00FE0046"/>
    <w:rsid w:val="00FE0363"/>
    <w:rsid w:val="00FE0464"/>
    <w:rsid w:val="00FE0489"/>
    <w:rsid w:val="00FE0563"/>
    <w:rsid w:val="00FE0635"/>
    <w:rsid w:val="00FE07C0"/>
    <w:rsid w:val="00FE0A4E"/>
    <w:rsid w:val="00FE0BB1"/>
    <w:rsid w:val="00FE0C52"/>
    <w:rsid w:val="00FE0CCB"/>
    <w:rsid w:val="00FE0E3C"/>
    <w:rsid w:val="00FE0E51"/>
    <w:rsid w:val="00FE0E77"/>
    <w:rsid w:val="00FE0ECA"/>
    <w:rsid w:val="00FE100D"/>
    <w:rsid w:val="00FE119E"/>
    <w:rsid w:val="00FE1208"/>
    <w:rsid w:val="00FE1491"/>
    <w:rsid w:val="00FE15CC"/>
    <w:rsid w:val="00FE1630"/>
    <w:rsid w:val="00FE1710"/>
    <w:rsid w:val="00FE1993"/>
    <w:rsid w:val="00FE1A47"/>
    <w:rsid w:val="00FE1C31"/>
    <w:rsid w:val="00FE1D98"/>
    <w:rsid w:val="00FE1F2A"/>
    <w:rsid w:val="00FE1F89"/>
    <w:rsid w:val="00FE206D"/>
    <w:rsid w:val="00FE2084"/>
    <w:rsid w:val="00FE2266"/>
    <w:rsid w:val="00FE27A3"/>
    <w:rsid w:val="00FE28B0"/>
    <w:rsid w:val="00FE2D1F"/>
    <w:rsid w:val="00FE3000"/>
    <w:rsid w:val="00FE307F"/>
    <w:rsid w:val="00FE3157"/>
    <w:rsid w:val="00FE3182"/>
    <w:rsid w:val="00FE3458"/>
    <w:rsid w:val="00FE35AA"/>
    <w:rsid w:val="00FE36E5"/>
    <w:rsid w:val="00FE39C7"/>
    <w:rsid w:val="00FE3C46"/>
    <w:rsid w:val="00FE3D3C"/>
    <w:rsid w:val="00FE404E"/>
    <w:rsid w:val="00FE40CC"/>
    <w:rsid w:val="00FE43D5"/>
    <w:rsid w:val="00FE44CF"/>
    <w:rsid w:val="00FE4510"/>
    <w:rsid w:val="00FE45BE"/>
    <w:rsid w:val="00FE460E"/>
    <w:rsid w:val="00FE49E7"/>
    <w:rsid w:val="00FE4D1C"/>
    <w:rsid w:val="00FE4D80"/>
    <w:rsid w:val="00FE4E4F"/>
    <w:rsid w:val="00FE4EC9"/>
    <w:rsid w:val="00FE5132"/>
    <w:rsid w:val="00FE517B"/>
    <w:rsid w:val="00FE52A0"/>
    <w:rsid w:val="00FE55DA"/>
    <w:rsid w:val="00FE5607"/>
    <w:rsid w:val="00FE5681"/>
    <w:rsid w:val="00FE57B3"/>
    <w:rsid w:val="00FE59BC"/>
    <w:rsid w:val="00FE5C28"/>
    <w:rsid w:val="00FE5CC9"/>
    <w:rsid w:val="00FE5EBF"/>
    <w:rsid w:val="00FE600C"/>
    <w:rsid w:val="00FE6091"/>
    <w:rsid w:val="00FE6139"/>
    <w:rsid w:val="00FE61B5"/>
    <w:rsid w:val="00FE62AC"/>
    <w:rsid w:val="00FE636F"/>
    <w:rsid w:val="00FE644B"/>
    <w:rsid w:val="00FE64B6"/>
    <w:rsid w:val="00FE66CD"/>
    <w:rsid w:val="00FE66D6"/>
    <w:rsid w:val="00FE6C6E"/>
    <w:rsid w:val="00FE6D88"/>
    <w:rsid w:val="00FE73AC"/>
    <w:rsid w:val="00FE74DA"/>
    <w:rsid w:val="00FE74F9"/>
    <w:rsid w:val="00FE79F1"/>
    <w:rsid w:val="00FE7A70"/>
    <w:rsid w:val="00FE7ACF"/>
    <w:rsid w:val="00FE7BC8"/>
    <w:rsid w:val="00FE7C31"/>
    <w:rsid w:val="00FE7FFD"/>
    <w:rsid w:val="00FF004E"/>
    <w:rsid w:val="00FF0269"/>
    <w:rsid w:val="00FF03EE"/>
    <w:rsid w:val="00FF0571"/>
    <w:rsid w:val="00FF0ADE"/>
    <w:rsid w:val="00FF13B4"/>
    <w:rsid w:val="00FF147A"/>
    <w:rsid w:val="00FF173B"/>
    <w:rsid w:val="00FF18A2"/>
    <w:rsid w:val="00FF1C86"/>
    <w:rsid w:val="00FF1CC7"/>
    <w:rsid w:val="00FF1CE3"/>
    <w:rsid w:val="00FF1E46"/>
    <w:rsid w:val="00FF1E99"/>
    <w:rsid w:val="00FF1F73"/>
    <w:rsid w:val="00FF1F8A"/>
    <w:rsid w:val="00FF22B7"/>
    <w:rsid w:val="00FF2393"/>
    <w:rsid w:val="00FF2A86"/>
    <w:rsid w:val="00FF2AC0"/>
    <w:rsid w:val="00FF2B55"/>
    <w:rsid w:val="00FF2D9D"/>
    <w:rsid w:val="00FF2E06"/>
    <w:rsid w:val="00FF3086"/>
    <w:rsid w:val="00FF32A7"/>
    <w:rsid w:val="00FF35F8"/>
    <w:rsid w:val="00FF3608"/>
    <w:rsid w:val="00FF3772"/>
    <w:rsid w:val="00FF3A5F"/>
    <w:rsid w:val="00FF3B8C"/>
    <w:rsid w:val="00FF3D36"/>
    <w:rsid w:val="00FF3D8F"/>
    <w:rsid w:val="00FF3DB2"/>
    <w:rsid w:val="00FF3DF4"/>
    <w:rsid w:val="00FF3E01"/>
    <w:rsid w:val="00FF3FFA"/>
    <w:rsid w:val="00FF42AA"/>
    <w:rsid w:val="00FF48C9"/>
    <w:rsid w:val="00FF48CD"/>
    <w:rsid w:val="00FF4ACD"/>
    <w:rsid w:val="00FF4BF9"/>
    <w:rsid w:val="00FF50F4"/>
    <w:rsid w:val="00FF5132"/>
    <w:rsid w:val="00FF53F8"/>
    <w:rsid w:val="00FF54FD"/>
    <w:rsid w:val="00FF5538"/>
    <w:rsid w:val="00FF56EF"/>
    <w:rsid w:val="00FF573B"/>
    <w:rsid w:val="00FF59CA"/>
    <w:rsid w:val="00FF5A78"/>
    <w:rsid w:val="00FF5B10"/>
    <w:rsid w:val="00FF5BA6"/>
    <w:rsid w:val="00FF5CF4"/>
    <w:rsid w:val="00FF5DD3"/>
    <w:rsid w:val="00FF5E69"/>
    <w:rsid w:val="00FF5FA8"/>
    <w:rsid w:val="00FF5FB0"/>
    <w:rsid w:val="00FF5FCC"/>
    <w:rsid w:val="00FF6059"/>
    <w:rsid w:val="00FF6259"/>
    <w:rsid w:val="00FF65B8"/>
    <w:rsid w:val="00FF6933"/>
    <w:rsid w:val="00FF6A0A"/>
    <w:rsid w:val="00FF6A87"/>
    <w:rsid w:val="00FF6A88"/>
    <w:rsid w:val="00FF6CCA"/>
    <w:rsid w:val="00FF6D5D"/>
    <w:rsid w:val="00FF6E50"/>
    <w:rsid w:val="00FF71C0"/>
    <w:rsid w:val="00FF71E8"/>
    <w:rsid w:val="00FF7237"/>
    <w:rsid w:val="00FF7354"/>
    <w:rsid w:val="00FF7366"/>
    <w:rsid w:val="00FF7555"/>
    <w:rsid w:val="00FF77B5"/>
    <w:rsid w:val="00FF7BBC"/>
    <w:rsid w:val="00FF7C80"/>
    <w:rsid w:val="0104BD16"/>
    <w:rsid w:val="01123DB6"/>
    <w:rsid w:val="011394A9"/>
    <w:rsid w:val="0119D373"/>
    <w:rsid w:val="0134543A"/>
    <w:rsid w:val="014C704E"/>
    <w:rsid w:val="01682CF6"/>
    <w:rsid w:val="016DA60B"/>
    <w:rsid w:val="01A9C418"/>
    <w:rsid w:val="01BCCACB"/>
    <w:rsid w:val="01DE89FD"/>
    <w:rsid w:val="01E08CBA"/>
    <w:rsid w:val="01F3114C"/>
    <w:rsid w:val="01F9059E"/>
    <w:rsid w:val="01FBB6E7"/>
    <w:rsid w:val="02015C23"/>
    <w:rsid w:val="0210BF6E"/>
    <w:rsid w:val="0228838F"/>
    <w:rsid w:val="026B3439"/>
    <w:rsid w:val="027634CB"/>
    <w:rsid w:val="027D4166"/>
    <w:rsid w:val="0284772F"/>
    <w:rsid w:val="028F5881"/>
    <w:rsid w:val="02A8C49A"/>
    <w:rsid w:val="02BD2D66"/>
    <w:rsid w:val="02C58514"/>
    <w:rsid w:val="02DBE8C3"/>
    <w:rsid w:val="03057F3D"/>
    <w:rsid w:val="031B43F5"/>
    <w:rsid w:val="0323FB01"/>
    <w:rsid w:val="032B8312"/>
    <w:rsid w:val="032EC0D3"/>
    <w:rsid w:val="0347A3D5"/>
    <w:rsid w:val="037C2FC6"/>
    <w:rsid w:val="03847C33"/>
    <w:rsid w:val="03A3F9ED"/>
    <w:rsid w:val="03C57818"/>
    <w:rsid w:val="03E82D94"/>
    <w:rsid w:val="03EF06C1"/>
    <w:rsid w:val="03FC1D52"/>
    <w:rsid w:val="03FD289B"/>
    <w:rsid w:val="0432AA7D"/>
    <w:rsid w:val="04A1225E"/>
    <w:rsid w:val="04EA8FBD"/>
    <w:rsid w:val="04FB35C9"/>
    <w:rsid w:val="0513F67E"/>
    <w:rsid w:val="0517D218"/>
    <w:rsid w:val="0529CCA9"/>
    <w:rsid w:val="053512D6"/>
    <w:rsid w:val="05420243"/>
    <w:rsid w:val="059B9BB6"/>
    <w:rsid w:val="05B6FD5B"/>
    <w:rsid w:val="05C4BBC3"/>
    <w:rsid w:val="05D90390"/>
    <w:rsid w:val="05E3586B"/>
    <w:rsid w:val="060CC337"/>
    <w:rsid w:val="065FD127"/>
    <w:rsid w:val="066A27FD"/>
    <w:rsid w:val="0680A199"/>
    <w:rsid w:val="068128FC"/>
    <w:rsid w:val="069EE199"/>
    <w:rsid w:val="06A6A5D8"/>
    <w:rsid w:val="06A914FE"/>
    <w:rsid w:val="06B2AE70"/>
    <w:rsid w:val="06BF9A26"/>
    <w:rsid w:val="06C9C79E"/>
    <w:rsid w:val="06D37C4D"/>
    <w:rsid w:val="071578E2"/>
    <w:rsid w:val="0725C574"/>
    <w:rsid w:val="0733930E"/>
    <w:rsid w:val="07405F7B"/>
    <w:rsid w:val="074D60E5"/>
    <w:rsid w:val="0758DECC"/>
    <w:rsid w:val="07B5BECE"/>
    <w:rsid w:val="07B8D3DA"/>
    <w:rsid w:val="07F4EF32"/>
    <w:rsid w:val="082128B0"/>
    <w:rsid w:val="083860E8"/>
    <w:rsid w:val="084BF983"/>
    <w:rsid w:val="085F81AE"/>
    <w:rsid w:val="086051E5"/>
    <w:rsid w:val="08689AD3"/>
    <w:rsid w:val="08772DEB"/>
    <w:rsid w:val="087AF9E5"/>
    <w:rsid w:val="0882BD84"/>
    <w:rsid w:val="089276C3"/>
    <w:rsid w:val="0897263C"/>
    <w:rsid w:val="089D17CF"/>
    <w:rsid w:val="08E2D861"/>
    <w:rsid w:val="08F1075C"/>
    <w:rsid w:val="08F9D0FD"/>
    <w:rsid w:val="0900A268"/>
    <w:rsid w:val="0902C8AE"/>
    <w:rsid w:val="0907F2FC"/>
    <w:rsid w:val="090AF3BB"/>
    <w:rsid w:val="0910293C"/>
    <w:rsid w:val="091B1BFB"/>
    <w:rsid w:val="09223F04"/>
    <w:rsid w:val="0927A5C0"/>
    <w:rsid w:val="09399F37"/>
    <w:rsid w:val="093E2D17"/>
    <w:rsid w:val="094B2954"/>
    <w:rsid w:val="095BFE32"/>
    <w:rsid w:val="095C2668"/>
    <w:rsid w:val="0985DA0F"/>
    <w:rsid w:val="09B383D9"/>
    <w:rsid w:val="09B710E1"/>
    <w:rsid w:val="09D7916D"/>
    <w:rsid w:val="0A2420F9"/>
    <w:rsid w:val="0A296793"/>
    <w:rsid w:val="0A588F33"/>
    <w:rsid w:val="0A58AA8D"/>
    <w:rsid w:val="0A605544"/>
    <w:rsid w:val="0A910928"/>
    <w:rsid w:val="0ACA3AFE"/>
    <w:rsid w:val="0AD249D8"/>
    <w:rsid w:val="0AE138DC"/>
    <w:rsid w:val="0AE595C3"/>
    <w:rsid w:val="0AE791F0"/>
    <w:rsid w:val="0AF38049"/>
    <w:rsid w:val="0AFDCCCE"/>
    <w:rsid w:val="0B098C60"/>
    <w:rsid w:val="0B0A5368"/>
    <w:rsid w:val="0B1BD821"/>
    <w:rsid w:val="0B2BA1D7"/>
    <w:rsid w:val="0B2F063A"/>
    <w:rsid w:val="0B3836BC"/>
    <w:rsid w:val="0B3AE263"/>
    <w:rsid w:val="0B3C3E40"/>
    <w:rsid w:val="0B5D6CF9"/>
    <w:rsid w:val="0B61B88C"/>
    <w:rsid w:val="0B6FC239"/>
    <w:rsid w:val="0B729977"/>
    <w:rsid w:val="0B817692"/>
    <w:rsid w:val="0B8C9050"/>
    <w:rsid w:val="0B93F664"/>
    <w:rsid w:val="0BA34D1C"/>
    <w:rsid w:val="0BD80AF7"/>
    <w:rsid w:val="0BDB195E"/>
    <w:rsid w:val="0BE0B8B9"/>
    <w:rsid w:val="0BF275A2"/>
    <w:rsid w:val="0C0EE143"/>
    <w:rsid w:val="0C1E16C7"/>
    <w:rsid w:val="0C345C0D"/>
    <w:rsid w:val="0C3CE19F"/>
    <w:rsid w:val="0C5E5BFB"/>
    <w:rsid w:val="0C723C8A"/>
    <w:rsid w:val="0C7C72CE"/>
    <w:rsid w:val="0C83A908"/>
    <w:rsid w:val="0C88CFA8"/>
    <w:rsid w:val="0C967ED5"/>
    <w:rsid w:val="0C96CD43"/>
    <w:rsid w:val="0CC3C68E"/>
    <w:rsid w:val="0CC936ED"/>
    <w:rsid w:val="0CD6F06A"/>
    <w:rsid w:val="0CD7AB90"/>
    <w:rsid w:val="0CEE24A8"/>
    <w:rsid w:val="0CF75E62"/>
    <w:rsid w:val="0CF9F48D"/>
    <w:rsid w:val="0D072763"/>
    <w:rsid w:val="0D114617"/>
    <w:rsid w:val="0D24F4C7"/>
    <w:rsid w:val="0D5B1C87"/>
    <w:rsid w:val="0D849077"/>
    <w:rsid w:val="0D9D93C3"/>
    <w:rsid w:val="0DB34084"/>
    <w:rsid w:val="0DF895FD"/>
    <w:rsid w:val="0E00F5DB"/>
    <w:rsid w:val="0E0A1CD5"/>
    <w:rsid w:val="0E141930"/>
    <w:rsid w:val="0E1B3EB8"/>
    <w:rsid w:val="0E2D543C"/>
    <w:rsid w:val="0E4E48D8"/>
    <w:rsid w:val="0E4FA615"/>
    <w:rsid w:val="0E8D90CA"/>
    <w:rsid w:val="0E925B1E"/>
    <w:rsid w:val="0EA969D2"/>
    <w:rsid w:val="0EC86EEF"/>
    <w:rsid w:val="0EFF9C2B"/>
    <w:rsid w:val="0F05EE80"/>
    <w:rsid w:val="0F09F992"/>
    <w:rsid w:val="0F11A85C"/>
    <w:rsid w:val="0F22D9B9"/>
    <w:rsid w:val="0F3C5DDD"/>
    <w:rsid w:val="0F46D040"/>
    <w:rsid w:val="0F4BBD92"/>
    <w:rsid w:val="0F5330BF"/>
    <w:rsid w:val="0F56F557"/>
    <w:rsid w:val="0F5F2B15"/>
    <w:rsid w:val="0F703769"/>
    <w:rsid w:val="0F72C0EE"/>
    <w:rsid w:val="0FB13605"/>
    <w:rsid w:val="0FC00F20"/>
    <w:rsid w:val="0FC26947"/>
    <w:rsid w:val="0FDA2649"/>
    <w:rsid w:val="0FE1EAFE"/>
    <w:rsid w:val="0FEF4437"/>
    <w:rsid w:val="0FF04FED"/>
    <w:rsid w:val="0FF9B534"/>
    <w:rsid w:val="0FFCFFC3"/>
    <w:rsid w:val="100F5982"/>
    <w:rsid w:val="10157FE9"/>
    <w:rsid w:val="10208B5F"/>
    <w:rsid w:val="1031F376"/>
    <w:rsid w:val="105A2D70"/>
    <w:rsid w:val="105C987B"/>
    <w:rsid w:val="105C9A64"/>
    <w:rsid w:val="1089ED55"/>
    <w:rsid w:val="108A9633"/>
    <w:rsid w:val="109B9DCE"/>
    <w:rsid w:val="10A0DD1A"/>
    <w:rsid w:val="10A1BE27"/>
    <w:rsid w:val="10B94666"/>
    <w:rsid w:val="10D5F2CC"/>
    <w:rsid w:val="110A9603"/>
    <w:rsid w:val="11105286"/>
    <w:rsid w:val="1119D30A"/>
    <w:rsid w:val="111F0CBF"/>
    <w:rsid w:val="11225D3F"/>
    <w:rsid w:val="112B9844"/>
    <w:rsid w:val="11327C8E"/>
    <w:rsid w:val="1135710F"/>
    <w:rsid w:val="113AB0A3"/>
    <w:rsid w:val="114A7144"/>
    <w:rsid w:val="115EF440"/>
    <w:rsid w:val="11735415"/>
    <w:rsid w:val="1175B6A3"/>
    <w:rsid w:val="118BC3DE"/>
    <w:rsid w:val="11998853"/>
    <w:rsid w:val="11E33743"/>
    <w:rsid w:val="120F8419"/>
    <w:rsid w:val="1211F53A"/>
    <w:rsid w:val="1226ED7E"/>
    <w:rsid w:val="123759C4"/>
    <w:rsid w:val="123B0EE4"/>
    <w:rsid w:val="12948ABB"/>
    <w:rsid w:val="1298673E"/>
    <w:rsid w:val="12A481EF"/>
    <w:rsid w:val="12BFB4AA"/>
    <w:rsid w:val="12DA3548"/>
    <w:rsid w:val="12F786F3"/>
    <w:rsid w:val="12FE4F56"/>
    <w:rsid w:val="12FF9D99"/>
    <w:rsid w:val="131C122E"/>
    <w:rsid w:val="131EBE9D"/>
    <w:rsid w:val="13365DE5"/>
    <w:rsid w:val="13429C17"/>
    <w:rsid w:val="13760943"/>
    <w:rsid w:val="138B8030"/>
    <w:rsid w:val="13C0B1E9"/>
    <w:rsid w:val="13E66997"/>
    <w:rsid w:val="13FEF378"/>
    <w:rsid w:val="14178F1E"/>
    <w:rsid w:val="144F2118"/>
    <w:rsid w:val="145170FC"/>
    <w:rsid w:val="145D0EE3"/>
    <w:rsid w:val="1470A85D"/>
    <w:rsid w:val="147B8FEC"/>
    <w:rsid w:val="148B5853"/>
    <w:rsid w:val="148C9E4B"/>
    <w:rsid w:val="1495F5BD"/>
    <w:rsid w:val="1499FB52"/>
    <w:rsid w:val="14A949C6"/>
    <w:rsid w:val="14AB0665"/>
    <w:rsid w:val="14AB42D1"/>
    <w:rsid w:val="14B6EFC7"/>
    <w:rsid w:val="1505F77B"/>
    <w:rsid w:val="150F3BC3"/>
    <w:rsid w:val="151F0B7D"/>
    <w:rsid w:val="154A1984"/>
    <w:rsid w:val="1561B84B"/>
    <w:rsid w:val="15719D25"/>
    <w:rsid w:val="1571D980"/>
    <w:rsid w:val="1573F8E3"/>
    <w:rsid w:val="157D7E83"/>
    <w:rsid w:val="1584FC4F"/>
    <w:rsid w:val="15856B19"/>
    <w:rsid w:val="1588C093"/>
    <w:rsid w:val="15892F88"/>
    <w:rsid w:val="158FCB04"/>
    <w:rsid w:val="15905924"/>
    <w:rsid w:val="159E452D"/>
    <w:rsid w:val="15A0ACD3"/>
    <w:rsid w:val="15A8A311"/>
    <w:rsid w:val="15B44538"/>
    <w:rsid w:val="15D35157"/>
    <w:rsid w:val="15E761B2"/>
    <w:rsid w:val="15EDC710"/>
    <w:rsid w:val="15FD5F9E"/>
    <w:rsid w:val="16004848"/>
    <w:rsid w:val="160A8DEF"/>
    <w:rsid w:val="16195ED6"/>
    <w:rsid w:val="16300DC1"/>
    <w:rsid w:val="1637B6BC"/>
    <w:rsid w:val="163FBA33"/>
    <w:rsid w:val="1642A4C6"/>
    <w:rsid w:val="1653F073"/>
    <w:rsid w:val="16578F54"/>
    <w:rsid w:val="1669391D"/>
    <w:rsid w:val="1690D2F9"/>
    <w:rsid w:val="1691F364"/>
    <w:rsid w:val="16CE1045"/>
    <w:rsid w:val="16D01AD7"/>
    <w:rsid w:val="16D5FB39"/>
    <w:rsid w:val="16DD7BB0"/>
    <w:rsid w:val="16F2E48D"/>
    <w:rsid w:val="16F53A1D"/>
    <w:rsid w:val="17294467"/>
    <w:rsid w:val="173E3C7C"/>
    <w:rsid w:val="173E8942"/>
    <w:rsid w:val="17511B11"/>
    <w:rsid w:val="1754F86E"/>
    <w:rsid w:val="1760DBFE"/>
    <w:rsid w:val="176AB2BB"/>
    <w:rsid w:val="176E9F78"/>
    <w:rsid w:val="176EE93B"/>
    <w:rsid w:val="1790E36E"/>
    <w:rsid w:val="179274DD"/>
    <w:rsid w:val="17AE1BA4"/>
    <w:rsid w:val="17C4AE32"/>
    <w:rsid w:val="17C8273A"/>
    <w:rsid w:val="17DAFF5F"/>
    <w:rsid w:val="17DB9854"/>
    <w:rsid w:val="17EF88AB"/>
    <w:rsid w:val="17F2D513"/>
    <w:rsid w:val="1818D0D2"/>
    <w:rsid w:val="181E3389"/>
    <w:rsid w:val="182CBD2D"/>
    <w:rsid w:val="183A8EE1"/>
    <w:rsid w:val="183D738F"/>
    <w:rsid w:val="183E0858"/>
    <w:rsid w:val="184A0353"/>
    <w:rsid w:val="1850B558"/>
    <w:rsid w:val="187FF5C7"/>
    <w:rsid w:val="18A799D0"/>
    <w:rsid w:val="18B5B8AF"/>
    <w:rsid w:val="18C0C745"/>
    <w:rsid w:val="18C7B20E"/>
    <w:rsid w:val="18DC1AD0"/>
    <w:rsid w:val="18E8E8CC"/>
    <w:rsid w:val="18E9BB9A"/>
    <w:rsid w:val="191AB94E"/>
    <w:rsid w:val="192C2C19"/>
    <w:rsid w:val="193A7FD4"/>
    <w:rsid w:val="193C7DD1"/>
    <w:rsid w:val="1968C846"/>
    <w:rsid w:val="197661E3"/>
    <w:rsid w:val="198ED325"/>
    <w:rsid w:val="1994AD4E"/>
    <w:rsid w:val="19ACCC8F"/>
    <w:rsid w:val="19D7A561"/>
    <w:rsid w:val="19E98B66"/>
    <w:rsid w:val="19F8C5C1"/>
    <w:rsid w:val="19FE6690"/>
    <w:rsid w:val="1A0383B6"/>
    <w:rsid w:val="1A36A411"/>
    <w:rsid w:val="1A3B8441"/>
    <w:rsid w:val="1A6CA346"/>
    <w:rsid w:val="1A7623BD"/>
    <w:rsid w:val="1A8BA8C9"/>
    <w:rsid w:val="1A9FB441"/>
    <w:rsid w:val="1AA2C2D5"/>
    <w:rsid w:val="1AD94EBD"/>
    <w:rsid w:val="1ADCA7F7"/>
    <w:rsid w:val="1AE8E280"/>
    <w:rsid w:val="1AEF917D"/>
    <w:rsid w:val="1B1E3225"/>
    <w:rsid w:val="1B20729F"/>
    <w:rsid w:val="1B24FE7E"/>
    <w:rsid w:val="1B263526"/>
    <w:rsid w:val="1B368CE1"/>
    <w:rsid w:val="1B6EC0DD"/>
    <w:rsid w:val="1B74581E"/>
    <w:rsid w:val="1B76AC23"/>
    <w:rsid w:val="1B7E1AFA"/>
    <w:rsid w:val="1B7FDBD5"/>
    <w:rsid w:val="1B811230"/>
    <w:rsid w:val="1B96EC73"/>
    <w:rsid w:val="1BC3BF28"/>
    <w:rsid w:val="1BD1CFB4"/>
    <w:rsid w:val="1BF1D8A2"/>
    <w:rsid w:val="1C0A8FB3"/>
    <w:rsid w:val="1C175CB8"/>
    <w:rsid w:val="1C226F68"/>
    <w:rsid w:val="1C35A129"/>
    <w:rsid w:val="1C3CE80D"/>
    <w:rsid w:val="1C54D55C"/>
    <w:rsid w:val="1C586D57"/>
    <w:rsid w:val="1C631677"/>
    <w:rsid w:val="1C6331D9"/>
    <w:rsid w:val="1C6959A2"/>
    <w:rsid w:val="1C7303B8"/>
    <w:rsid w:val="1C7B2C89"/>
    <w:rsid w:val="1CAFC3AA"/>
    <w:rsid w:val="1CCE8DD6"/>
    <w:rsid w:val="1CCF51B7"/>
    <w:rsid w:val="1CCF7062"/>
    <w:rsid w:val="1CE702A1"/>
    <w:rsid w:val="1CF27532"/>
    <w:rsid w:val="1CF83D74"/>
    <w:rsid w:val="1D0AF283"/>
    <w:rsid w:val="1D273209"/>
    <w:rsid w:val="1D781016"/>
    <w:rsid w:val="1D792807"/>
    <w:rsid w:val="1E0F641B"/>
    <w:rsid w:val="1E268997"/>
    <w:rsid w:val="1E2C36F4"/>
    <w:rsid w:val="1E3F4FBE"/>
    <w:rsid w:val="1E431E40"/>
    <w:rsid w:val="1E66778A"/>
    <w:rsid w:val="1E736C36"/>
    <w:rsid w:val="1E8A1D63"/>
    <w:rsid w:val="1E8DA7E5"/>
    <w:rsid w:val="1E9844AC"/>
    <w:rsid w:val="1EA16D27"/>
    <w:rsid w:val="1ED8B655"/>
    <w:rsid w:val="1ED8EBD9"/>
    <w:rsid w:val="1EFB2E1C"/>
    <w:rsid w:val="1F07D8F1"/>
    <w:rsid w:val="1F0B35C2"/>
    <w:rsid w:val="1F0E8AA8"/>
    <w:rsid w:val="1F11749C"/>
    <w:rsid w:val="1F1F60FD"/>
    <w:rsid w:val="1F21A658"/>
    <w:rsid w:val="1F2C4901"/>
    <w:rsid w:val="1F4DE76A"/>
    <w:rsid w:val="1F55BD99"/>
    <w:rsid w:val="1F57A2BB"/>
    <w:rsid w:val="1F780C1A"/>
    <w:rsid w:val="1F8C6BDD"/>
    <w:rsid w:val="1FC4669E"/>
    <w:rsid w:val="1FC4A9EF"/>
    <w:rsid w:val="1FC548A3"/>
    <w:rsid w:val="1FC80222"/>
    <w:rsid w:val="1FDF3169"/>
    <w:rsid w:val="1FDF846C"/>
    <w:rsid w:val="1FE2B2A7"/>
    <w:rsid w:val="1FE7F17D"/>
    <w:rsid w:val="1FEE5F7E"/>
    <w:rsid w:val="1FF350A6"/>
    <w:rsid w:val="1FFE2BF4"/>
    <w:rsid w:val="20047486"/>
    <w:rsid w:val="2004AAE9"/>
    <w:rsid w:val="201AA181"/>
    <w:rsid w:val="201DF1F4"/>
    <w:rsid w:val="20224D00"/>
    <w:rsid w:val="203D410A"/>
    <w:rsid w:val="204225D7"/>
    <w:rsid w:val="205ADBBB"/>
    <w:rsid w:val="205E5E26"/>
    <w:rsid w:val="2065DDF6"/>
    <w:rsid w:val="209E1F6D"/>
    <w:rsid w:val="20B9A03E"/>
    <w:rsid w:val="20BE7DC2"/>
    <w:rsid w:val="20D1A274"/>
    <w:rsid w:val="20D81CBF"/>
    <w:rsid w:val="20E2FF4A"/>
    <w:rsid w:val="20F2E180"/>
    <w:rsid w:val="20FF58BF"/>
    <w:rsid w:val="2128B6B4"/>
    <w:rsid w:val="21391023"/>
    <w:rsid w:val="2144CBDE"/>
    <w:rsid w:val="215C14E0"/>
    <w:rsid w:val="216055CA"/>
    <w:rsid w:val="216ACF02"/>
    <w:rsid w:val="219DE264"/>
    <w:rsid w:val="21A2FE80"/>
    <w:rsid w:val="21B5731D"/>
    <w:rsid w:val="21C0737C"/>
    <w:rsid w:val="21C4B394"/>
    <w:rsid w:val="21CF2FA1"/>
    <w:rsid w:val="21CF47FD"/>
    <w:rsid w:val="21D5B915"/>
    <w:rsid w:val="2209A65A"/>
    <w:rsid w:val="22190B66"/>
    <w:rsid w:val="22197A85"/>
    <w:rsid w:val="2241BAFF"/>
    <w:rsid w:val="2253B34A"/>
    <w:rsid w:val="2257BC76"/>
    <w:rsid w:val="22676A38"/>
    <w:rsid w:val="2270CEEB"/>
    <w:rsid w:val="22937C19"/>
    <w:rsid w:val="22A31959"/>
    <w:rsid w:val="22A9E61D"/>
    <w:rsid w:val="22B2CA7C"/>
    <w:rsid w:val="22C0B8D2"/>
    <w:rsid w:val="22C8E85E"/>
    <w:rsid w:val="22EFFBC1"/>
    <w:rsid w:val="2301CCAF"/>
    <w:rsid w:val="230BF805"/>
    <w:rsid w:val="230CC7D1"/>
    <w:rsid w:val="231D511F"/>
    <w:rsid w:val="231FFE51"/>
    <w:rsid w:val="235491A7"/>
    <w:rsid w:val="2396FF07"/>
    <w:rsid w:val="2397F66E"/>
    <w:rsid w:val="239C36A8"/>
    <w:rsid w:val="23A3EAB9"/>
    <w:rsid w:val="23A62006"/>
    <w:rsid w:val="23C4CD93"/>
    <w:rsid w:val="23F34F99"/>
    <w:rsid w:val="2416E85F"/>
    <w:rsid w:val="242B750D"/>
    <w:rsid w:val="242D5DFC"/>
    <w:rsid w:val="2467AE5D"/>
    <w:rsid w:val="246A9138"/>
    <w:rsid w:val="247442B8"/>
    <w:rsid w:val="2478A539"/>
    <w:rsid w:val="247AA064"/>
    <w:rsid w:val="24B9085D"/>
    <w:rsid w:val="24C3420B"/>
    <w:rsid w:val="24D1807F"/>
    <w:rsid w:val="24D2C565"/>
    <w:rsid w:val="24FB0DA3"/>
    <w:rsid w:val="2501134D"/>
    <w:rsid w:val="2505AF7E"/>
    <w:rsid w:val="251F4248"/>
    <w:rsid w:val="252BD0B8"/>
    <w:rsid w:val="2532D41F"/>
    <w:rsid w:val="25345A95"/>
    <w:rsid w:val="254B051D"/>
    <w:rsid w:val="25557C64"/>
    <w:rsid w:val="25578D93"/>
    <w:rsid w:val="2565D350"/>
    <w:rsid w:val="25699EA3"/>
    <w:rsid w:val="257B3737"/>
    <w:rsid w:val="258BD756"/>
    <w:rsid w:val="259EDA95"/>
    <w:rsid w:val="25C290E3"/>
    <w:rsid w:val="25E7D03E"/>
    <w:rsid w:val="26141908"/>
    <w:rsid w:val="261C5A44"/>
    <w:rsid w:val="2631F7E2"/>
    <w:rsid w:val="2634FA31"/>
    <w:rsid w:val="265D31EB"/>
    <w:rsid w:val="26684389"/>
    <w:rsid w:val="268E831C"/>
    <w:rsid w:val="269211B5"/>
    <w:rsid w:val="26BEC4AF"/>
    <w:rsid w:val="26CC4399"/>
    <w:rsid w:val="26D1E602"/>
    <w:rsid w:val="26E2D9C8"/>
    <w:rsid w:val="26E72C00"/>
    <w:rsid w:val="270A528A"/>
    <w:rsid w:val="2717F491"/>
    <w:rsid w:val="2722C99C"/>
    <w:rsid w:val="2738E60B"/>
    <w:rsid w:val="273EF609"/>
    <w:rsid w:val="276034D3"/>
    <w:rsid w:val="276FA97B"/>
    <w:rsid w:val="2770656F"/>
    <w:rsid w:val="278E19DE"/>
    <w:rsid w:val="2797DE35"/>
    <w:rsid w:val="27AC39A5"/>
    <w:rsid w:val="27B46C99"/>
    <w:rsid w:val="27B98215"/>
    <w:rsid w:val="27BBFDDE"/>
    <w:rsid w:val="27C178F6"/>
    <w:rsid w:val="27C6AB3D"/>
    <w:rsid w:val="27CB86ED"/>
    <w:rsid w:val="27D8C181"/>
    <w:rsid w:val="27FD4900"/>
    <w:rsid w:val="2838E8D6"/>
    <w:rsid w:val="286D88D6"/>
    <w:rsid w:val="2876BD11"/>
    <w:rsid w:val="288661D1"/>
    <w:rsid w:val="288E7875"/>
    <w:rsid w:val="28928F7B"/>
    <w:rsid w:val="2899BB88"/>
    <w:rsid w:val="289AE8B1"/>
    <w:rsid w:val="289E5932"/>
    <w:rsid w:val="28BB4F67"/>
    <w:rsid w:val="28BEB7D6"/>
    <w:rsid w:val="28D4B3E1"/>
    <w:rsid w:val="28F32DCB"/>
    <w:rsid w:val="28F91D66"/>
    <w:rsid w:val="29165ED8"/>
    <w:rsid w:val="296E712C"/>
    <w:rsid w:val="29868470"/>
    <w:rsid w:val="2986E90B"/>
    <w:rsid w:val="2999576F"/>
    <w:rsid w:val="299D1223"/>
    <w:rsid w:val="29A1968D"/>
    <w:rsid w:val="29A5334B"/>
    <w:rsid w:val="29BD5FB3"/>
    <w:rsid w:val="29EB927E"/>
    <w:rsid w:val="29FC310E"/>
    <w:rsid w:val="2A02638B"/>
    <w:rsid w:val="2A3AAA7C"/>
    <w:rsid w:val="2A44AED4"/>
    <w:rsid w:val="2A77464F"/>
    <w:rsid w:val="2A7E60D8"/>
    <w:rsid w:val="2A8C2A8F"/>
    <w:rsid w:val="2A9C4AA2"/>
    <w:rsid w:val="2AA65699"/>
    <w:rsid w:val="2AB05C96"/>
    <w:rsid w:val="2ABF8EBD"/>
    <w:rsid w:val="2AD58ABC"/>
    <w:rsid w:val="2AE63D6E"/>
    <w:rsid w:val="2B18F784"/>
    <w:rsid w:val="2B30782A"/>
    <w:rsid w:val="2B372A43"/>
    <w:rsid w:val="2B4CD468"/>
    <w:rsid w:val="2B5EA572"/>
    <w:rsid w:val="2B61CB48"/>
    <w:rsid w:val="2B67239A"/>
    <w:rsid w:val="2B696657"/>
    <w:rsid w:val="2B700C48"/>
    <w:rsid w:val="2B8058EC"/>
    <w:rsid w:val="2B8806F8"/>
    <w:rsid w:val="2B8D55E8"/>
    <w:rsid w:val="2BC5D451"/>
    <w:rsid w:val="2BC8A41E"/>
    <w:rsid w:val="2BCDF316"/>
    <w:rsid w:val="2BD77B14"/>
    <w:rsid w:val="2C17B8B5"/>
    <w:rsid w:val="2C25009A"/>
    <w:rsid w:val="2C281766"/>
    <w:rsid w:val="2C2E70AD"/>
    <w:rsid w:val="2C45B191"/>
    <w:rsid w:val="2C47A220"/>
    <w:rsid w:val="2C513AAF"/>
    <w:rsid w:val="2C5F0C1E"/>
    <w:rsid w:val="2C75350E"/>
    <w:rsid w:val="2C83BE91"/>
    <w:rsid w:val="2C91261D"/>
    <w:rsid w:val="2C946FD6"/>
    <w:rsid w:val="2C969E19"/>
    <w:rsid w:val="2C9C50EA"/>
    <w:rsid w:val="2CA575C4"/>
    <w:rsid w:val="2CA7BE5C"/>
    <w:rsid w:val="2CA8C0C3"/>
    <w:rsid w:val="2CBDC846"/>
    <w:rsid w:val="2CDF8E79"/>
    <w:rsid w:val="2CDFD86C"/>
    <w:rsid w:val="2CE9FD21"/>
    <w:rsid w:val="2D10B080"/>
    <w:rsid w:val="2D49B1F2"/>
    <w:rsid w:val="2D6BF0F6"/>
    <w:rsid w:val="2D6C384F"/>
    <w:rsid w:val="2D710EAB"/>
    <w:rsid w:val="2D82846A"/>
    <w:rsid w:val="2D9A91D8"/>
    <w:rsid w:val="2DACACB8"/>
    <w:rsid w:val="2DBC1117"/>
    <w:rsid w:val="2DE50B22"/>
    <w:rsid w:val="2DE663F8"/>
    <w:rsid w:val="2DEFA540"/>
    <w:rsid w:val="2DF8A62D"/>
    <w:rsid w:val="2E001061"/>
    <w:rsid w:val="2E1AC283"/>
    <w:rsid w:val="2E2E50F2"/>
    <w:rsid w:val="2E3CA7F3"/>
    <w:rsid w:val="2E40813B"/>
    <w:rsid w:val="2E61C107"/>
    <w:rsid w:val="2E6FE5AD"/>
    <w:rsid w:val="2EAE2E57"/>
    <w:rsid w:val="2EBF97FF"/>
    <w:rsid w:val="2EC13583"/>
    <w:rsid w:val="2ECBE987"/>
    <w:rsid w:val="2ED12F92"/>
    <w:rsid w:val="2ED909D5"/>
    <w:rsid w:val="2EFE0AC7"/>
    <w:rsid w:val="2F1D34EC"/>
    <w:rsid w:val="2F2A7D09"/>
    <w:rsid w:val="2F2F3965"/>
    <w:rsid w:val="2F30C0B3"/>
    <w:rsid w:val="2F37D1D4"/>
    <w:rsid w:val="2F45997F"/>
    <w:rsid w:val="2F4A60B9"/>
    <w:rsid w:val="2F50F4F5"/>
    <w:rsid w:val="2F61E45A"/>
    <w:rsid w:val="2F68B9EA"/>
    <w:rsid w:val="2F6F238F"/>
    <w:rsid w:val="2F8605B8"/>
    <w:rsid w:val="2F8B0EBE"/>
    <w:rsid w:val="2F9DF851"/>
    <w:rsid w:val="2FA83681"/>
    <w:rsid w:val="2FADD0DE"/>
    <w:rsid w:val="2FB086C3"/>
    <w:rsid w:val="2FB2FC1A"/>
    <w:rsid w:val="2FC29BBB"/>
    <w:rsid w:val="2FC7F5B8"/>
    <w:rsid w:val="2FD24B0A"/>
    <w:rsid w:val="2FD5742A"/>
    <w:rsid w:val="2FDA564A"/>
    <w:rsid w:val="2FE43563"/>
    <w:rsid w:val="2FEC7995"/>
    <w:rsid w:val="3005EA55"/>
    <w:rsid w:val="3006950F"/>
    <w:rsid w:val="3007DBDD"/>
    <w:rsid w:val="302BD079"/>
    <w:rsid w:val="30396CBA"/>
    <w:rsid w:val="304ABF43"/>
    <w:rsid w:val="30507AD1"/>
    <w:rsid w:val="305DAE9B"/>
    <w:rsid w:val="306929C0"/>
    <w:rsid w:val="307079F9"/>
    <w:rsid w:val="3074A64E"/>
    <w:rsid w:val="3095AE7B"/>
    <w:rsid w:val="30A238F8"/>
    <w:rsid w:val="30A4D9CD"/>
    <w:rsid w:val="30C17F31"/>
    <w:rsid w:val="30C25EA5"/>
    <w:rsid w:val="30D9F364"/>
    <w:rsid w:val="30FFE291"/>
    <w:rsid w:val="311965B9"/>
    <w:rsid w:val="313B16A0"/>
    <w:rsid w:val="31442E44"/>
    <w:rsid w:val="3151576B"/>
    <w:rsid w:val="3160F063"/>
    <w:rsid w:val="31665C1B"/>
    <w:rsid w:val="318699EA"/>
    <w:rsid w:val="319B4315"/>
    <w:rsid w:val="31A544FE"/>
    <w:rsid w:val="31CECD07"/>
    <w:rsid w:val="31F1FFFD"/>
    <w:rsid w:val="32038AE8"/>
    <w:rsid w:val="32081CDB"/>
    <w:rsid w:val="3210FC84"/>
    <w:rsid w:val="322CF53A"/>
    <w:rsid w:val="3253DF5B"/>
    <w:rsid w:val="32543DCE"/>
    <w:rsid w:val="325DFF9A"/>
    <w:rsid w:val="32692DDE"/>
    <w:rsid w:val="326C8FFD"/>
    <w:rsid w:val="328DC378"/>
    <w:rsid w:val="32947E56"/>
    <w:rsid w:val="3298802A"/>
    <w:rsid w:val="3299E00D"/>
    <w:rsid w:val="32B3BEDE"/>
    <w:rsid w:val="32B7D233"/>
    <w:rsid w:val="32C2DE97"/>
    <w:rsid w:val="32CE9FDA"/>
    <w:rsid w:val="32D5196F"/>
    <w:rsid w:val="32D663D6"/>
    <w:rsid w:val="32DFD9D1"/>
    <w:rsid w:val="332098F7"/>
    <w:rsid w:val="333F5A58"/>
    <w:rsid w:val="33417E69"/>
    <w:rsid w:val="3346CEC1"/>
    <w:rsid w:val="336CAB79"/>
    <w:rsid w:val="33832C52"/>
    <w:rsid w:val="338AA3D3"/>
    <w:rsid w:val="3391FEFF"/>
    <w:rsid w:val="33B3A002"/>
    <w:rsid w:val="33D785D3"/>
    <w:rsid w:val="33DD1F70"/>
    <w:rsid w:val="33DDC18E"/>
    <w:rsid w:val="340FB978"/>
    <w:rsid w:val="3414B496"/>
    <w:rsid w:val="3452A559"/>
    <w:rsid w:val="345C75F2"/>
    <w:rsid w:val="34747719"/>
    <w:rsid w:val="348078F1"/>
    <w:rsid w:val="34A34033"/>
    <w:rsid w:val="34B50621"/>
    <w:rsid w:val="34C1C95D"/>
    <w:rsid w:val="34C4D114"/>
    <w:rsid w:val="34C7CB9B"/>
    <w:rsid w:val="34E17CF2"/>
    <w:rsid w:val="34F9B98B"/>
    <w:rsid w:val="34FD9F9A"/>
    <w:rsid w:val="352EF3F6"/>
    <w:rsid w:val="353DFC32"/>
    <w:rsid w:val="3549333B"/>
    <w:rsid w:val="3552F97D"/>
    <w:rsid w:val="357C56DA"/>
    <w:rsid w:val="35A22BA6"/>
    <w:rsid w:val="35A98DEF"/>
    <w:rsid w:val="35AEC4B9"/>
    <w:rsid w:val="35B50849"/>
    <w:rsid w:val="35C2B410"/>
    <w:rsid w:val="35D5FE80"/>
    <w:rsid w:val="35D9E5F5"/>
    <w:rsid w:val="35E33968"/>
    <w:rsid w:val="35EC8458"/>
    <w:rsid w:val="3601CB9B"/>
    <w:rsid w:val="361EC98D"/>
    <w:rsid w:val="363B3EE4"/>
    <w:rsid w:val="3666D574"/>
    <w:rsid w:val="3667D3E4"/>
    <w:rsid w:val="367D1008"/>
    <w:rsid w:val="367EF769"/>
    <w:rsid w:val="36986897"/>
    <w:rsid w:val="36B86C45"/>
    <w:rsid w:val="36BFC119"/>
    <w:rsid w:val="36C3BC8C"/>
    <w:rsid w:val="36CE2F73"/>
    <w:rsid w:val="36D1EB90"/>
    <w:rsid w:val="36D68E18"/>
    <w:rsid w:val="36DDC4B5"/>
    <w:rsid w:val="36EDCDDC"/>
    <w:rsid w:val="36F4FC31"/>
    <w:rsid w:val="36F8761F"/>
    <w:rsid w:val="3703C8BA"/>
    <w:rsid w:val="374FC324"/>
    <w:rsid w:val="376B0F81"/>
    <w:rsid w:val="376EA430"/>
    <w:rsid w:val="378C6F66"/>
    <w:rsid w:val="37928C5C"/>
    <w:rsid w:val="37ADE226"/>
    <w:rsid w:val="37B59E5A"/>
    <w:rsid w:val="37BBF83B"/>
    <w:rsid w:val="383C2E58"/>
    <w:rsid w:val="384A58BE"/>
    <w:rsid w:val="386655F8"/>
    <w:rsid w:val="3888FFB1"/>
    <w:rsid w:val="388A6A76"/>
    <w:rsid w:val="38B40049"/>
    <w:rsid w:val="38C24394"/>
    <w:rsid w:val="38D16780"/>
    <w:rsid w:val="38D836AD"/>
    <w:rsid w:val="38E31385"/>
    <w:rsid w:val="390F7A45"/>
    <w:rsid w:val="39313E72"/>
    <w:rsid w:val="393C9E95"/>
    <w:rsid w:val="39442C15"/>
    <w:rsid w:val="39508A71"/>
    <w:rsid w:val="39588F2C"/>
    <w:rsid w:val="395AC207"/>
    <w:rsid w:val="395F29E2"/>
    <w:rsid w:val="39687BFE"/>
    <w:rsid w:val="396B61BE"/>
    <w:rsid w:val="39CADF95"/>
    <w:rsid w:val="39D55131"/>
    <w:rsid w:val="39EF2682"/>
    <w:rsid w:val="39FF4C58"/>
    <w:rsid w:val="3A1AB9EB"/>
    <w:rsid w:val="3A21E71C"/>
    <w:rsid w:val="3A2E1C2D"/>
    <w:rsid w:val="3A2EEC94"/>
    <w:rsid w:val="3A540F42"/>
    <w:rsid w:val="3A5DA061"/>
    <w:rsid w:val="3A7433E4"/>
    <w:rsid w:val="3A88C61F"/>
    <w:rsid w:val="3ACB8F89"/>
    <w:rsid w:val="3AF260CE"/>
    <w:rsid w:val="3AFD73B6"/>
    <w:rsid w:val="3AFFC63D"/>
    <w:rsid w:val="3B051A3D"/>
    <w:rsid w:val="3B060B9D"/>
    <w:rsid w:val="3B0CA93B"/>
    <w:rsid w:val="3B24E1F0"/>
    <w:rsid w:val="3B47D7F9"/>
    <w:rsid w:val="3B56DB75"/>
    <w:rsid w:val="3B59D96D"/>
    <w:rsid w:val="3B9866B1"/>
    <w:rsid w:val="3B9D5FFE"/>
    <w:rsid w:val="3BD354FA"/>
    <w:rsid w:val="3BD85B12"/>
    <w:rsid w:val="3C04938E"/>
    <w:rsid w:val="3C4D4A85"/>
    <w:rsid w:val="3C62B5F1"/>
    <w:rsid w:val="3C7A607F"/>
    <w:rsid w:val="3CBA6812"/>
    <w:rsid w:val="3CC943C9"/>
    <w:rsid w:val="3CD4D2D9"/>
    <w:rsid w:val="3CE8BC80"/>
    <w:rsid w:val="3CFD750F"/>
    <w:rsid w:val="3D1AD83E"/>
    <w:rsid w:val="3D1B61E1"/>
    <w:rsid w:val="3D20C762"/>
    <w:rsid w:val="3D2EADBA"/>
    <w:rsid w:val="3D33F5A7"/>
    <w:rsid w:val="3D3DE059"/>
    <w:rsid w:val="3D674879"/>
    <w:rsid w:val="3D6FCCC1"/>
    <w:rsid w:val="3D986429"/>
    <w:rsid w:val="3DC3E401"/>
    <w:rsid w:val="3DCE54FD"/>
    <w:rsid w:val="3DE80CBF"/>
    <w:rsid w:val="3DE8DF1C"/>
    <w:rsid w:val="3DEB1F50"/>
    <w:rsid w:val="3DEC52A3"/>
    <w:rsid w:val="3DF3229E"/>
    <w:rsid w:val="3E056945"/>
    <w:rsid w:val="3E08DB6C"/>
    <w:rsid w:val="3E3202C8"/>
    <w:rsid w:val="3E535251"/>
    <w:rsid w:val="3E5C6D97"/>
    <w:rsid w:val="3E64600F"/>
    <w:rsid w:val="3E74358D"/>
    <w:rsid w:val="3E7E41C2"/>
    <w:rsid w:val="3E9E0111"/>
    <w:rsid w:val="3EC1E51A"/>
    <w:rsid w:val="3EC2C10A"/>
    <w:rsid w:val="3EE54D22"/>
    <w:rsid w:val="3EEE60A7"/>
    <w:rsid w:val="3F0D0472"/>
    <w:rsid w:val="3F2D451A"/>
    <w:rsid w:val="3F4A6A97"/>
    <w:rsid w:val="3F5C6090"/>
    <w:rsid w:val="3F7851F8"/>
    <w:rsid w:val="3F87A05B"/>
    <w:rsid w:val="3FA30356"/>
    <w:rsid w:val="3FA67A16"/>
    <w:rsid w:val="3FB01F1E"/>
    <w:rsid w:val="3FC4538A"/>
    <w:rsid w:val="3FD0F9B8"/>
    <w:rsid w:val="3FE5CD22"/>
    <w:rsid w:val="3FF6C962"/>
    <w:rsid w:val="3FFFFEA8"/>
    <w:rsid w:val="400C4F31"/>
    <w:rsid w:val="401AC0A6"/>
    <w:rsid w:val="403A480E"/>
    <w:rsid w:val="40472064"/>
    <w:rsid w:val="40774CA3"/>
    <w:rsid w:val="408CB708"/>
    <w:rsid w:val="4094D122"/>
    <w:rsid w:val="40A1A8CD"/>
    <w:rsid w:val="40AA0584"/>
    <w:rsid w:val="40B279DC"/>
    <w:rsid w:val="40CD8474"/>
    <w:rsid w:val="40D09314"/>
    <w:rsid w:val="40D391D9"/>
    <w:rsid w:val="40DC75C7"/>
    <w:rsid w:val="40F4935A"/>
    <w:rsid w:val="40F5F869"/>
    <w:rsid w:val="411F1A5F"/>
    <w:rsid w:val="412E5AAE"/>
    <w:rsid w:val="413220E7"/>
    <w:rsid w:val="4168B813"/>
    <w:rsid w:val="4180DF95"/>
    <w:rsid w:val="419F7262"/>
    <w:rsid w:val="41AC925B"/>
    <w:rsid w:val="41B17E9B"/>
    <w:rsid w:val="41B40CBF"/>
    <w:rsid w:val="41B42FB7"/>
    <w:rsid w:val="41B86E31"/>
    <w:rsid w:val="41BA78C9"/>
    <w:rsid w:val="41C53C76"/>
    <w:rsid w:val="41CC747D"/>
    <w:rsid w:val="41D2659C"/>
    <w:rsid w:val="41F221F2"/>
    <w:rsid w:val="41F57536"/>
    <w:rsid w:val="41FAB2EF"/>
    <w:rsid w:val="420E4804"/>
    <w:rsid w:val="421272A2"/>
    <w:rsid w:val="42254DB0"/>
    <w:rsid w:val="423060DD"/>
    <w:rsid w:val="42340395"/>
    <w:rsid w:val="424B6BDD"/>
    <w:rsid w:val="4257EFD1"/>
    <w:rsid w:val="42827273"/>
    <w:rsid w:val="428B651C"/>
    <w:rsid w:val="428DC6B8"/>
    <w:rsid w:val="429D1FF4"/>
    <w:rsid w:val="42AAC00D"/>
    <w:rsid w:val="42AE2E6A"/>
    <w:rsid w:val="42B046A8"/>
    <w:rsid w:val="42DCC309"/>
    <w:rsid w:val="42F4C58A"/>
    <w:rsid w:val="42FB6AF0"/>
    <w:rsid w:val="43060C28"/>
    <w:rsid w:val="43356C1E"/>
    <w:rsid w:val="43384AAA"/>
    <w:rsid w:val="4347A0F3"/>
    <w:rsid w:val="434A6E93"/>
    <w:rsid w:val="43667732"/>
    <w:rsid w:val="437B0BA8"/>
    <w:rsid w:val="438CB964"/>
    <w:rsid w:val="43982980"/>
    <w:rsid w:val="43AB8C0C"/>
    <w:rsid w:val="43B33983"/>
    <w:rsid w:val="43BC34D7"/>
    <w:rsid w:val="43BF1D0C"/>
    <w:rsid w:val="43F0F705"/>
    <w:rsid w:val="4415852B"/>
    <w:rsid w:val="44194E4E"/>
    <w:rsid w:val="44229784"/>
    <w:rsid w:val="44230D7A"/>
    <w:rsid w:val="442730FF"/>
    <w:rsid w:val="442AFB71"/>
    <w:rsid w:val="44318954"/>
    <w:rsid w:val="444B603D"/>
    <w:rsid w:val="447EC3BD"/>
    <w:rsid w:val="44A14900"/>
    <w:rsid w:val="44B82426"/>
    <w:rsid w:val="44D32F53"/>
    <w:rsid w:val="44DEEA29"/>
    <w:rsid w:val="44F022B2"/>
    <w:rsid w:val="44F42A1D"/>
    <w:rsid w:val="44FE2128"/>
    <w:rsid w:val="450549A8"/>
    <w:rsid w:val="4524210E"/>
    <w:rsid w:val="45256F3E"/>
    <w:rsid w:val="4529BDF9"/>
    <w:rsid w:val="453444DE"/>
    <w:rsid w:val="453DB32F"/>
    <w:rsid w:val="45770EEE"/>
    <w:rsid w:val="45967FC1"/>
    <w:rsid w:val="45A50FA5"/>
    <w:rsid w:val="45ABCCB5"/>
    <w:rsid w:val="45BE2056"/>
    <w:rsid w:val="45D325F9"/>
    <w:rsid w:val="45D64231"/>
    <w:rsid w:val="45EA5706"/>
    <w:rsid w:val="4601A0B3"/>
    <w:rsid w:val="4602B50A"/>
    <w:rsid w:val="461CED1B"/>
    <w:rsid w:val="4637D99E"/>
    <w:rsid w:val="46874163"/>
    <w:rsid w:val="46987D9F"/>
    <w:rsid w:val="469D62CB"/>
    <w:rsid w:val="46A8553E"/>
    <w:rsid w:val="46BE63BD"/>
    <w:rsid w:val="46CFA1AD"/>
    <w:rsid w:val="46D94507"/>
    <w:rsid w:val="46DC1DD2"/>
    <w:rsid w:val="46DEB400"/>
    <w:rsid w:val="470066C6"/>
    <w:rsid w:val="473872DE"/>
    <w:rsid w:val="474B9A1E"/>
    <w:rsid w:val="47571DA8"/>
    <w:rsid w:val="475759E7"/>
    <w:rsid w:val="475F58C4"/>
    <w:rsid w:val="47758E3F"/>
    <w:rsid w:val="477CCA9E"/>
    <w:rsid w:val="4781D314"/>
    <w:rsid w:val="4797EBE2"/>
    <w:rsid w:val="47A01068"/>
    <w:rsid w:val="47A22F0F"/>
    <w:rsid w:val="47ACE92D"/>
    <w:rsid w:val="47BE8E6E"/>
    <w:rsid w:val="47D3C681"/>
    <w:rsid w:val="47E6D9D7"/>
    <w:rsid w:val="481F866A"/>
    <w:rsid w:val="48216AC7"/>
    <w:rsid w:val="48561CA3"/>
    <w:rsid w:val="486A8F38"/>
    <w:rsid w:val="487ADC25"/>
    <w:rsid w:val="489B1566"/>
    <w:rsid w:val="489C3BF0"/>
    <w:rsid w:val="48CBF41C"/>
    <w:rsid w:val="48D93CE6"/>
    <w:rsid w:val="48F21F35"/>
    <w:rsid w:val="4909F24C"/>
    <w:rsid w:val="4915FF26"/>
    <w:rsid w:val="4942A18B"/>
    <w:rsid w:val="49469C4E"/>
    <w:rsid w:val="49609A33"/>
    <w:rsid w:val="49620CDB"/>
    <w:rsid w:val="496D188D"/>
    <w:rsid w:val="4979288A"/>
    <w:rsid w:val="49813C66"/>
    <w:rsid w:val="49937450"/>
    <w:rsid w:val="49C7BDA3"/>
    <w:rsid w:val="49CAE071"/>
    <w:rsid w:val="49EF7F0F"/>
    <w:rsid w:val="4A349A8C"/>
    <w:rsid w:val="4A6976A8"/>
    <w:rsid w:val="4A78E9A5"/>
    <w:rsid w:val="4A820E4F"/>
    <w:rsid w:val="4A8BBE10"/>
    <w:rsid w:val="4AA295A8"/>
    <w:rsid w:val="4AC38A61"/>
    <w:rsid w:val="4ACCCF59"/>
    <w:rsid w:val="4AE0D9A9"/>
    <w:rsid w:val="4AE9E72D"/>
    <w:rsid w:val="4B0CF726"/>
    <w:rsid w:val="4B16746F"/>
    <w:rsid w:val="4B251C06"/>
    <w:rsid w:val="4B3E0DB6"/>
    <w:rsid w:val="4B5376A7"/>
    <w:rsid w:val="4B5EBB83"/>
    <w:rsid w:val="4B67CD26"/>
    <w:rsid w:val="4B75CB6B"/>
    <w:rsid w:val="4BA57C0B"/>
    <w:rsid w:val="4BAF56C7"/>
    <w:rsid w:val="4BC16CD1"/>
    <w:rsid w:val="4BC7B67A"/>
    <w:rsid w:val="4BD74D6B"/>
    <w:rsid w:val="4BDBBC18"/>
    <w:rsid w:val="4BF265EA"/>
    <w:rsid w:val="4BF7770D"/>
    <w:rsid w:val="4C16B981"/>
    <w:rsid w:val="4C1E95DC"/>
    <w:rsid w:val="4C310ED5"/>
    <w:rsid w:val="4C35EF53"/>
    <w:rsid w:val="4C430526"/>
    <w:rsid w:val="4C4CA80A"/>
    <w:rsid w:val="4C4EB38F"/>
    <w:rsid w:val="4C5CF700"/>
    <w:rsid w:val="4C5E1014"/>
    <w:rsid w:val="4C6E5217"/>
    <w:rsid w:val="4C74FC60"/>
    <w:rsid w:val="4C868CAD"/>
    <w:rsid w:val="4C9D83B5"/>
    <w:rsid w:val="4CB5123C"/>
    <w:rsid w:val="4CE2F34A"/>
    <w:rsid w:val="4CE33B59"/>
    <w:rsid w:val="4D062E3C"/>
    <w:rsid w:val="4D07532A"/>
    <w:rsid w:val="4D0A872F"/>
    <w:rsid w:val="4D27FB58"/>
    <w:rsid w:val="4D2D2E5F"/>
    <w:rsid w:val="4D3A2038"/>
    <w:rsid w:val="4D3FA82D"/>
    <w:rsid w:val="4D42AEB6"/>
    <w:rsid w:val="4D443454"/>
    <w:rsid w:val="4D4954A0"/>
    <w:rsid w:val="4D64C7A5"/>
    <w:rsid w:val="4D86850B"/>
    <w:rsid w:val="4DBD9AF4"/>
    <w:rsid w:val="4DCF37C4"/>
    <w:rsid w:val="4DE9F462"/>
    <w:rsid w:val="4DFF6699"/>
    <w:rsid w:val="4E28E80B"/>
    <w:rsid w:val="4E3E058C"/>
    <w:rsid w:val="4E409E95"/>
    <w:rsid w:val="4E4CB22C"/>
    <w:rsid w:val="4E6D4716"/>
    <w:rsid w:val="4E6E41F2"/>
    <w:rsid w:val="4E6ECFD5"/>
    <w:rsid w:val="4E860997"/>
    <w:rsid w:val="4E87C17A"/>
    <w:rsid w:val="4E94015A"/>
    <w:rsid w:val="4EA75F89"/>
    <w:rsid w:val="4EA76B70"/>
    <w:rsid w:val="4EB1F04E"/>
    <w:rsid w:val="4EB74C45"/>
    <w:rsid w:val="4ECBFFDB"/>
    <w:rsid w:val="4ED79C94"/>
    <w:rsid w:val="4EF0562A"/>
    <w:rsid w:val="4F1A774C"/>
    <w:rsid w:val="4F2375F6"/>
    <w:rsid w:val="4F2C175E"/>
    <w:rsid w:val="4F3157A8"/>
    <w:rsid w:val="4F3E554E"/>
    <w:rsid w:val="4F79E635"/>
    <w:rsid w:val="4F85737D"/>
    <w:rsid w:val="4F901051"/>
    <w:rsid w:val="4FA6B910"/>
    <w:rsid w:val="4FA91D9F"/>
    <w:rsid w:val="4FAD63E6"/>
    <w:rsid w:val="4FC4EF63"/>
    <w:rsid w:val="4FC7DCCE"/>
    <w:rsid w:val="4FF8F2FF"/>
    <w:rsid w:val="4FFE3AEF"/>
    <w:rsid w:val="5004332F"/>
    <w:rsid w:val="500E0124"/>
    <w:rsid w:val="501B8437"/>
    <w:rsid w:val="503398B8"/>
    <w:rsid w:val="50590776"/>
    <w:rsid w:val="5069CDE4"/>
    <w:rsid w:val="5074B91C"/>
    <w:rsid w:val="508C1F08"/>
    <w:rsid w:val="509E4059"/>
    <w:rsid w:val="50B5CC4F"/>
    <w:rsid w:val="5113D946"/>
    <w:rsid w:val="512155C1"/>
    <w:rsid w:val="512DBFA3"/>
    <w:rsid w:val="516D7DE2"/>
    <w:rsid w:val="519B021C"/>
    <w:rsid w:val="51A32AAA"/>
    <w:rsid w:val="51B685B4"/>
    <w:rsid w:val="51C135EF"/>
    <w:rsid w:val="51C44901"/>
    <w:rsid w:val="51C6497F"/>
    <w:rsid w:val="5212755E"/>
    <w:rsid w:val="5213680A"/>
    <w:rsid w:val="5219C27C"/>
    <w:rsid w:val="521A8433"/>
    <w:rsid w:val="5266B95E"/>
    <w:rsid w:val="526D4019"/>
    <w:rsid w:val="5298F75A"/>
    <w:rsid w:val="52B79E69"/>
    <w:rsid w:val="52B82E5A"/>
    <w:rsid w:val="52C3B0F2"/>
    <w:rsid w:val="52D97A94"/>
    <w:rsid w:val="52E76D73"/>
    <w:rsid w:val="52F80744"/>
    <w:rsid w:val="5302E2A0"/>
    <w:rsid w:val="5332B6E6"/>
    <w:rsid w:val="53377F24"/>
    <w:rsid w:val="5377FD4A"/>
    <w:rsid w:val="538F712A"/>
    <w:rsid w:val="5392C3E6"/>
    <w:rsid w:val="5395AB7C"/>
    <w:rsid w:val="539B8648"/>
    <w:rsid w:val="53A48116"/>
    <w:rsid w:val="53BEA9C6"/>
    <w:rsid w:val="540C6911"/>
    <w:rsid w:val="54159557"/>
    <w:rsid w:val="5416CB18"/>
    <w:rsid w:val="5438E634"/>
    <w:rsid w:val="5447A476"/>
    <w:rsid w:val="5454BFE3"/>
    <w:rsid w:val="5461E3C8"/>
    <w:rsid w:val="546E766A"/>
    <w:rsid w:val="548839F6"/>
    <w:rsid w:val="54A07183"/>
    <w:rsid w:val="54A3AD5B"/>
    <w:rsid w:val="54AA61C6"/>
    <w:rsid w:val="54AE08F6"/>
    <w:rsid w:val="54B699CB"/>
    <w:rsid w:val="54C73FE6"/>
    <w:rsid w:val="54F081CD"/>
    <w:rsid w:val="54F80B3F"/>
    <w:rsid w:val="54FC7106"/>
    <w:rsid w:val="55030275"/>
    <w:rsid w:val="5507A1FF"/>
    <w:rsid w:val="550D0AC2"/>
    <w:rsid w:val="551F893D"/>
    <w:rsid w:val="553B8674"/>
    <w:rsid w:val="5563DF93"/>
    <w:rsid w:val="55A87C88"/>
    <w:rsid w:val="55A9EFC6"/>
    <w:rsid w:val="55E83E3D"/>
    <w:rsid w:val="55EAF879"/>
    <w:rsid w:val="55EDCBFE"/>
    <w:rsid w:val="5607D4DE"/>
    <w:rsid w:val="5612DB60"/>
    <w:rsid w:val="5613E65A"/>
    <w:rsid w:val="56396762"/>
    <w:rsid w:val="564527A5"/>
    <w:rsid w:val="56469070"/>
    <w:rsid w:val="56550BF5"/>
    <w:rsid w:val="5669F6FC"/>
    <w:rsid w:val="566FC71D"/>
    <w:rsid w:val="5679562A"/>
    <w:rsid w:val="5685E164"/>
    <w:rsid w:val="56A8605D"/>
    <w:rsid w:val="56AAAD3B"/>
    <w:rsid w:val="56B82F60"/>
    <w:rsid w:val="56D16799"/>
    <w:rsid w:val="56D76F39"/>
    <w:rsid w:val="56F03340"/>
    <w:rsid w:val="56F39079"/>
    <w:rsid w:val="56F9DEBA"/>
    <w:rsid w:val="57010258"/>
    <w:rsid w:val="570EF803"/>
    <w:rsid w:val="571F12A9"/>
    <w:rsid w:val="576D04AD"/>
    <w:rsid w:val="577A4F3A"/>
    <w:rsid w:val="579C7079"/>
    <w:rsid w:val="57C7AFE4"/>
    <w:rsid w:val="57CDF251"/>
    <w:rsid w:val="57EF8F95"/>
    <w:rsid w:val="580307E9"/>
    <w:rsid w:val="58076B50"/>
    <w:rsid w:val="5821CA99"/>
    <w:rsid w:val="58371423"/>
    <w:rsid w:val="583E945F"/>
    <w:rsid w:val="5840B441"/>
    <w:rsid w:val="58497DAF"/>
    <w:rsid w:val="585029E7"/>
    <w:rsid w:val="585E2B6B"/>
    <w:rsid w:val="585E97CA"/>
    <w:rsid w:val="5870F577"/>
    <w:rsid w:val="5872D4E6"/>
    <w:rsid w:val="58935ED1"/>
    <w:rsid w:val="589DA713"/>
    <w:rsid w:val="58A331E8"/>
    <w:rsid w:val="58A8F4B5"/>
    <w:rsid w:val="58BAAC8B"/>
    <w:rsid w:val="58BD5921"/>
    <w:rsid w:val="58F100FD"/>
    <w:rsid w:val="590B48E9"/>
    <w:rsid w:val="59133BC0"/>
    <w:rsid w:val="591B5AFB"/>
    <w:rsid w:val="5922C142"/>
    <w:rsid w:val="59245336"/>
    <w:rsid w:val="5935AA4D"/>
    <w:rsid w:val="5935B819"/>
    <w:rsid w:val="593D6C28"/>
    <w:rsid w:val="59464C01"/>
    <w:rsid w:val="595B5CBD"/>
    <w:rsid w:val="596BC977"/>
    <w:rsid w:val="5985A835"/>
    <w:rsid w:val="59896E0A"/>
    <w:rsid w:val="59AACC27"/>
    <w:rsid w:val="59B7DB51"/>
    <w:rsid w:val="59BED7AB"/>
    <w:rsid w:val="59E52618"/>
    <w:rsid w:val="59F6591F"/>
    <w:rsid w:val="5A0763C3"/>
    <w:rsid w:val="5A1038AF"/>
    <w:rsid w:val="5A2E44C3"/>
    <w:rsid w:val="5A3F4534"/>
    <w:rsid w:val="5A573C83"/>
    <w:rsid w:val="5A67D57A"/>
    <w:rsid w:val="5A6912D1"/>
    <w:rsid w:val="5A8E88FB"/>
    <w:rsid w:val="5A8F95B7"/>
    <w:rsid w:val="5ACAD33A"/>
    <w:rsid w:val="5ACB0BE6"/>
    <w:rsid w:val="5AE169AC"/>
    <w:rsid w:val="5B032607"/>
    <w:rsid w:val="5B0C7D0F"/>
    <w:rsid w:val="5B262676"/>
    <w:rsid w:val="5B3B7045"/>
    <w:rsid w:val="5B442A66"/>
    <w:rsid w:val="5B51626C"/>
    <w:rsid w:val="5B54F14F"/>
    <w:rsid w:val="5B550AEF"/>
    <w:rsid w:val="5B6E316A"/>
    <w:rsid w:val="5B7929CB"/>
    <w:rsid w:val="5B8570B8"/>
    <w:rsid w:val="5B8D270E"/>
    <w:rsid w:val="5B918E21"/>
    <w:rsid w:val="5B9313F1"/>
    <w:rsid w:val="5B95A432"/>
    <w:rsid w:val="5B9C3562"/>
    <w:rsid w:val="5BC1A46C"/>
    <w:rsid w:val="5BCE4050"/>
    <w:rsid w:val="5BD241CD"/>
    <w:rsid w:val="5BDA5468"/>
    <w:rsid w:val="5BDC0396"/>
    <w:rsid w:val="5BEE2E76"/>
    <w:rsid w:val="5C0B491D"/>
    <w:rsid w:val="5C3583A2"/>
    <w:rsid w:val="5C939661"/>
    <w:rsid w:val="5CCEA0E8"/>
    <w:rsid w:val="5CDED9B9"/>
    <w:rsid w:val="5CE2E85B"/>
    <w:rsid w:val="5CFB1BDF"/>
    <w:rsid w:val="5D0E8A73"/>
    <w:rsid w:val="5D0EDE73"/>
    <w:rsid w:val="5D1ECCD9"/>
    <w:rsid w:val="5D34CF93"/>
    <w:rsid w:val="5D36E5DB"/>
    <w:rsid w:val="5D46C483"/>
    <w:rsid w:val="5D56FC40"/>
    <w:rsid w:val="5D7F2FEC"/>
    <w:rsid w:val="5D86442D"/>
    <w:rsid w:val="5D919B1E"/>
    <w:rsid w:val="5D9EE524"/>
    <w:rsid w:val="5DBE24A2"/>
    <w:rsid w:val="5DC65145"/>
    <w:rsid w:val="5DD37887"/>
    <w:rsid w:val="5E0BFC35"/>
    <w:rsid w:val="5E35776D"/>
    <w:rsid w:val="5E56B51E"/>
    <w:rsid w:val="5E5B38CC"/>
    <w:rsid w:val="5E668F2D"/>
    <w:rsid w:val="5E68E3C0"/>
    <w:rsid w:val="5E6F0CD7"/>
    <w:rsid w:val="5EA34F01"/>
    <w:rsid w:val="5EAEEE5B"/>
    <w:rsid w:val="5EB56DB9"/>
    <w:rsid w:val="5EC148E4"/>
    <w:rsid w:val="5EC4B623"/>
    <w:rsid w:val="5EEE6850"/>
    <w:rsid w:val="5EF281E2"/>
    <w:rsid w:val="5EFFB665"/>
    <w:rsid w:val="5F0B2430"/>
    <w:rsid w:val="5F0BDAF0"/>
    <w:rsid w:val="5F18852E"/>
    <w:rsid w:val="5F1FA5DA"/>
    <w:rsid w:val="5F21D0AF"/>
    <w:rsid w:val="5F64457E"/>
    <w:rsid w:val="5F69D23E"/>
    <w:rsid w:val="5F7D8E20"/>
    <w:rsid w:val="5FACE2A6"/>
    <w:rsid w:val="5FBC17D8"/>
    <w:rsid w:val="5FCA1E0A"/>
    <w:rsid w:val="5FE7E08E"/>
    <w:rsid w:val="5FF1A0C1"/>
    <w:rsid w:val="601236C3"/>
    <w:rsid w:val="6020B69A"/>
    <w:rsid w:val="60880C0B"/>
    <w:rsid w:val="60921948"/>
    <w:rsid w:val="60A2B374"/>
    <w:rsid w:val="60AC632C"/>
    <w:rsid w:val="60E3E8C5"/>
    <w:rsid w:val="60EBCA4D"/>
    <w:rsid w:val="60F870A4"/>
    <w:rsid w:val="60F8BDEA"/>
    <w:rsid w:val="6105B251"/>
    <w:rsid w:val="610C15FD"/>
    <w:rsid w:val="610D18F5"/>
    <w:rsid w:val="6115AB52"/>
    <w:rsid w:val="611EFDF0"/>
    <w:rsid w:val="61280569"/>
    <w:rsid w:val="613E5946"/>
    <w:rsid w:val="6184DE88"/>
    <w:rsid w:val="619A523E"/>
    <w:rsid w:val="61A78F96"/>
    <w:rsid w:val="61AA0C0C"/>
    <w:rsid w:val="61B5101D"/>
    <w:rsid w:val="61BC568A"/>
    <w:rsid w:val="61C0392A"/>
    <w:rsid w:val="61CF597D"/>
    <w:rsid w:val="61D70EDB"/>
    <w:rsid w:val="61DF21FE"/>
    <w:rsid w:val="62461ECA"/>
    <w:rsid w:val="626B8D16"/>
    <w:rsid w:val="6289F1D7"/>
    <w:rsid w:val="628C88FF"/>
    <w:rsid w:val="6294B785"/>
    <w:rsid w:val="62AF3658"/>
    <w:rsid w:val="62B5D40F"/>
    <w:rsid w:val="62B87668"/>
    <w:rsid w:val="630B69F1"/>
    <w:rsid w:val="63203EA7"/>
    <w:rsid w:val="63247902"/>
    <w:rsid w:val="63282EE0"/>
    <w:rsid w:val="632BECCA"/>
    <w:rsid w:val="634C5EFF"/>
    <w:rsid w:val="635A83F2"/>
    <w:rsid w:val="636501F9"/>
    <w:rsid w:val="636A1CB9"/>
    <w:rsid w:val="63700DE8"/>
    <w:rsid w:val="638E79C1"/>
    <w:rsid w:val="639C2EC9"/>
    <w:rsid w:val="639F1E06"/>
    <w:rsid w:val="63BABB89"/>
    <w:rsid w:val="63C0FBF9"/>
    <w:rsid w:val="63CC2226"/>
    <w:rsid w:val="63D61991"/>
    <w:rsid w:val="63D6A8A3"/>
    <w:rsid w:val="63D9ACAF"/>
    <w:rsid w:val="63F0692F"/>
    <w:rsid w:val="63FAE083"/>
    <w:rsid w:val="6423FDE0"/>
    <w:rsid w:val="643C0310"/>
    <w:rsid w:val="644E6D03"/>
    <w:rsid w:val="645560F7"/>
    <w:rsid w:val="646BE088"/>
    <w:rsid w:val="64720BE7"/>
    <w:rsid w:val="64736DE4"/>
    <w:rsid w:val="64888438"/>
    <w:rsid w:val="64979F81"/>
    <w:rsid w:val="64A80C41"/>
    <w:rsid w:val="64B8BC0D"/>
    <w:rsid w:val="64B8C0F9"/>
    <w:rsid w:val="64CF5F8B"/>
    <w:rsid w:val="64DA4044"/>
    <w:rsid w:val="64DF5CDD"/>
    <w:rsid w:val="64E77D69"/>
    <w:rsid w:val="651AB5CA"/>
    <w:rsid w:val="652059CB"/>
    <w:rsid w:val="6527B63D"/>
    <w:rsid w:val="652BB4EC"/>
    <w:rsid w:val="65383560"/>
    <w:rsid w:val="6544BE9A"/>
    <w:rsid w:val="6552B506"/>
    <w:rsid w:val="655E7AAF"/>
    <w:rsid w:val="65668FF8"/>
    <w:rsid w:val="65669F56"/>
    <w:rsid w:val="657C94C7"/>
    <w:rsid w:val="658191D1"/>
    <w:rsid w:val="6589C508"/>
    <w:rsid w:val="65B08647"/>
    <w:rsid w:val="65D20FF8"/>
    <w:rsid w:val="65DAB21D"/>
    <w:rsid w:val="65EE2C3E"/>
    <w:rsid w:val="661F5D4E"/>
    <w:rsid w:val="6620A7D5"/>
    <w:rsid w:val="6629F5D3"/>
    <w:rsid w:val="6633B7AC"/>
    <w:rsid w:val="663A52C3"/>
    <w:rsid w:val="664671C9"/>
    <w:rsid w:val="6653EE9D"/>
    <w:rsid w:val="666A8A90"/>
    <w:rsid w:val="6687DE9E"/>
    <w:rsid w:val="669DDA56"/>
    <w:rsid w:val="66B9FB35"/>
    <w:rsid w:val="66BCC4E8"/>
    <w:rsid w:val="66C1B2E2"/>
    <w:rsid w:val="66D07403"/>
    <w:rsid w:val="66D2AE35"/>
    <w:rsid w:val="66F11DB5"/>
    <w:rsid w:val="66F56B32"/>
    <w:rsid w:val="6702C72E"/>
    <w:rsid w:val="670CFA80"/>
    <w:rsid w:val="6711C4E3"/>
    <w:rsid w:val="6738AE6D"/>
    <w:rsid w:val="67451C2A"/>
    <w:rsid w:val="674D90A1"/>
    <w:rsid w:val="67589ABD"/>
    <w:rsid w:val="67701E4A"/>
    <w:rsid w:val="6771710B"/>
    <w:rsid w:val="677BE638"/>
    <w:rsid w:val="6783EC9A"/>
    <w:rsid w:val="6820C0F2"/>
    <w:rsid w:val="68299400"/>
    <w:rsid w:val="682A2702"/>
    <w:rsid w:val="683A29A9"/>
    <w:rsid w:val="687F168D"/>
    <w:rsid w:val="68804BC9"/>
    <w:rsid w:val="68A00996"/>
    <w:rsid w:val="68A47A9E"/>
    <w:rsid w:val="68BD1F92"/>
    <w:rsid w:val="68BF54EB"/>
    <w:rsid w:val="68EE00B6"/>
    <w:rsid w:val="69246327"/>
    <w:rsid w:val="6933C574"/>
    <w:rsid w:val="69544B2F"/>
    <w:rsid w:val="6975A649"/>
    <w:rsid w:val="69A9618C"/>
    <w:rsid w:val="69ACC196"/>
    <w:rsid w:val="69C4C0A5"/>
    <w:rsid w:val="69ECE8B6"/>
    <w:rsid w:val="69F837C4"/>
    <w:rsid w:val="6A217FB9"/>
    <w:rsid w:val="6A30DCFD"/>
    <w:rsid w:val="6A4615E6"/>
    <w:rsid w:val="6A496FD5"/>
    <w:rsid w:val="6A4FCBDD"/>
    <w:rsid w:val="6A5AA182"/>
    <w:rsid w:val="6A8E3602"/>
    <w:rsid w:val="6AAC8ABB"/>
    <w:rsid w:val="6ACCDEE4"/>
    <w:rsid w:val="6AFF3E41"/>
    <w:rsid w:val="6B00013E"/>
    <w:rsid w:val="6B071939"/>
    <w:rsid w:val="6B1784A8"/>
    <w:rsid w:val="6B28C098"/>
    <w:rsid w:val="6B56A81D"/>
    <w:rsid w:val="6B6F34EA"/>
    <w:rsid w:val="6B7DB37F"/>
    <w:rsid w:val="6B7E426A"/>
    <w:rsid w:val="6B7EDF3E"/>
    <w:rsid w:val="6B81BD8D"/>
    <w:rsid w:val="6B9C6E32"/>
    <w:rsid w:val="6B9F8DCE"/>
    <w:rsid w:val="6BB6F079"/>
    <w:rsid w:val="6BCB0FB1"/>
    <w:rsid w:val="6BD7F190"/>
    <w:rsid w:val="6BD81FA1"/>
    <w:rsid w:val="6BE38305"/>
    <w:rsid w:val="6C010DC1"/>
    <w:rsid w:val="6C1A8F89"/>
    <w:rsid w:val="6C317D0A"/>
    <w:rsid w:val="6C4E0C55"/>
    <w:rsid w:val="6C50798F"/>
    <w:rsid w:val="6C54ACAC"/>
    <w:rsid w:val="6C552096"/>
    <w:rsid w:val="6C630A37"/>
    <w:rsid w:val="6C663144"/>
    <w:rsid w:val="6C777351"/>
    <w:rsid w:val="6CAF5505"/>
    <w:rsid w:val="6CB208E3"/>
    <w:rsid w:val="6CCBAA97"/>
    <w:rsid w:val="6CDC5620"/>
    <w:rsid w:val="6CEBDD12"/>
    <w:rsid w:val="6CEBEDFF"/>
    <w:rsid w:val="6CF51442"/>
    <w:rsid w:val="6CF53A25"/>
    <w:rsid w:val="6D03ECD6"/>
    <w:rsid w:val="6D1C065E"/>
    <w:rsid w:val="6D1E6179"/>
    <w:rsid w:val="6D2F8878"/>
    <w:rsid w:val="6D550C5E"/>
    <w:rsid w:val="6D59C4B4"/>
    <w:rsid w:val="6D5AFFD7"/>
    <w:rsid w:val="6D685AD3"/>
    <w:rsid w:val="6D7315CD"/>
    <w:rsid w:val="6DCA8961"/>
    <w:rsid w:val="6DD1C395"/>
    <w:rsid w:val="6DE6EB42"/>
    <w:rsid w:val="6E3D0DBD"/>
    <w:rsid w:val="6E41CD89"/>
    <w:rsid w:val="6E45F33D"/>
    <w:rsid w:val="6E4782B0"/>
    <w:rsid w:val="6E4A789F"/>
    <w:rsid w:val="6E79F16F"/>
    <w:rsid w:val="6E8E00F3"/>
    <w:rsid w:val="6EA33903"/>
    <w:rsid w:val="6EC77FC4"/>
    <w:rsid w:val="6ECF004E"/>
    <w:rsid w:val="6ED67C92"/>
    <w:rsid w:val="6EE33D5B"/>
    <w:rsid w:val="6EE9AF13"/>
    <w:rsid w:val="6EEE1B89"/>
    <w:rsid w:val="6EF6B2A2"/>
    <w:rsid w:val="6F016219"/>
    <w:rsid w:val="6F2EE77A"/>
    <w:rsid w:val="6F483C06"/>
    <w:rsid w:val="6F57BA02"/>
    <w:rsid w:val="6F58E325"/>
    <w:rsid w:val="6F7AE1E2"/>
    <w:rsid w:val="6F9C4D7E"/>
    <w:rsid w:val="6FAFAD4A"/>
    <w:rsid w:val="6FC678D3"/>
    <w:rsid w:val="6FCC0B2B"/>
    <w:rsid w:val="6FCCC3F5"/>
    <w:rsid w:val="6FED0242"/>
    <w:rsid w:val="70152F22"/>
    <w:rsid w:val="70172BDD"/>
    <w:rsid w:val="703D8AA3"/>
    <w:rsid w:val="7048D0D4"/>
    <w:rsid w:val="705C9FDE"/>
    <w:rsid w:val="7062978E"/>
    <w:rsid w:val="7065D538"/>
    <w:rsid w:val="70698DC5"/>
    <w:rsid w:val="706D1540"/>
    <w:rsid w:val="70729528"/>
    <w:rsid w:val="70A309D7"/>
    <w:rsid w:val="70A66C4B"/>
    <w:rsid w:val="70B24841"/>
    <w:rsid w:val="70D2CC68"/>
    <w:rsid w:val="70D4B468"/>
    <w:rsid w:val="70F4CB17"/>
    <w:rsid w:val="710B1F79"/>
    <w:rsid w:val="711789E2"/>
    <w:rsid w:val="711F9A4A"/>
    <w:rsid w:val="71495529"/>
    <w:rsid w:val="716EBE62"/>
    <w:rsid w:val="71950305"/>
    <w:rsid w:val="71B01466"/>
    <w:rsid w:val="71B68900"/>
    <w:rsid w:val="71CD060A"/>
    <w:rsid w:val="71F1A2EC"/>
    <w:rsid w:val="72070829"/>
    <w:rsid w:val="7221BD1D"/>
    <w:rsid w:val="72346A56"/>
    <w:rsid w:val="723EF8C4"/>
    <w:rsid w:val="7242471C"/>
    <w:rsid w:val="72492C2B"/>
    <w:rsid w:val="726EE13D"/>
    <w:rsid w:val="72783757"/>
    <w:rsid w:val="7280DA2A"/>
    <w:rsid w:val="728EB4CD"/>
    <w:rsid w:val="72ACC5C1"/>
    <w:rsid w:val="72B0C068"/>
    <w:rsid w:val="72B7C820"/>
    <w:rsid w:val="72C20591"/>
    <w:rsid w:val="72D655E4"/>
    <w:rsid w:val="72DB2B36"/>
    <w:rsid w:val="72F1095B"/>
    <w:rsid w:val="732654BC"/>
    <w:rsid w:val="73294A7D"/>
    <w:rsid w:val="733AEEA2"/>
    <w:rsid w:val="73412562"/>
    <w:rsid w:val="734EF513"/>
    <w:rsid w:val="7372A2A4"/>
    <w:rsid w:val="737669E5"/>
    <w:rsid w:val="737E6905"/>
    <w:rsid w:val="73990EF2"/>
    <w:rsid w:val="73ADB432"/>
    <w:rsid w:val="73C424C5"/>
    <w:rsid w:val="73DCE6DF"/>
    <w:rsid w:val="74125E1D"/>
    <w:rsid w:val="74195448"/>
    <w:rsid w:val="742BD2BA"/>
    <w:rsid w:val="7478632B"/>
    <w:rsid w:val="74B62ADE"/>
    <w:rsid w:val="74CF39B4"/>
    <w:rsid w:val="74FF2A67"/>
    <w:rsid w:val="75076533"/>
    <w:rsid w:val="75248D54"/>
    <w:rsid w:val="7542609B"/>
    <w:rsid w:val="754E4FEE"/>
    <w:rsid w:val="7555E3BF"/>
    <w:rsid w:val="7556BE30"/>
    <w:rsid w:val="75734BF0"/>
    <w:rsid w:val="75924631"/>
    <w:rsid w:val="759F5233"/>
    <w:rsid w:val="75AAE238"/>
    <w:rsid w:val="75CA7D1F"/>
    <w:rsid w:val="75CAFE98"/>
    <w:rsid w:val="75D7C422"/>
    <w:rsid w:val="75EB32C3"/>
    <w:rsid w:val="7602ABAD"/>
    <w:rsid w:val="761A8ABD"/>
    <w:rsid w:val="761AD618"/>
    <w:rsid w:val="7620F959"/>
    <w:rsid w:val="7637ED00"/>
    <w:rsid w:val="763ED04B"/>
    <w:rsid w:val="768E72CF"/>
    <w:rsid w:val="76B908D2"/>
    <w:rsid w:val="76BBFA12"/>
    <w:rsid w:val="76BF4D71"/>
    <w:rsid w:val="76E8E0A2"/>
    <w:rsid w:val="76E95725"/>
    <w:rsid w:val="76EF3138"/>
    <w:rsid w:val="771C6179"/>
    <w:rsid w:val="77488CA3"/>
    <w:rsid w:val="774C4662"/>
    <w:rsid w:val="774E45C5"/>
    <w:rsid w:val="7762B350"/>
    <w:rsid w:val="777749E0"/>
    <w:rsid w:val="7785E564"/>
    <w:rsid w:val="778A743A"/>
    <w:rsid w:val="778C3EF3"/>
    <w:rsid w:val="779D0CA4"/>
    <w:rsid w:val="77C008AA"/>
    <w:rsid w:val="77CE597A"/>
    <w:rsid w:val="77DC85DC"/>
    <w:rsid w:val="77E9E2C5"/>
    <w:rsid w:val="77EF401B"/>
    <w:rsid w:val="77F5DC29"/>
    <w:rsid w:val="781107E6"/>
    <w:rsid w:val="7824D4A7"/>
    <w:rsid w:val="7885C897"/>
    <w:rsid w:val="78C07DA1"/>
    <w:rsid w:val="78C3F319"/>
    <w:rsid w:val="78C64B92"/>
    <w:rsid w:val="78D4C83F"/>
    <w:rsid w:val="7902B815"/>
    <w:rsid w:val="79085491"/>
    <w:rsid w:val="7913E6DF"/>
    <w:rsid w:val="791A622F"/>
    <w:rsid w:val="792B3824"/>
    <w:rsid w:val="79574E0D"/>
    <w:rsid w:val="7960DDF6"/>
    <w:rsid w:val="797E2C73"/>
    <w:rsid w:val="799BFEFD"/>
    <w:rsid w:val="79AE4709"/>
    <w:rsid w:val="79C2465D"/>
    <w:rsid w:val="79F58F74"/>
    <w:rsid w:val="7A06FFA7"/>
    <w:rsid w:val="7A24CADF"/>
    <w:rsid w:val="7A324218"/>
    <w:rsid w:val="7A3B1821"/>
    <w:rsid w:val="7A43520D"/>
    <w:rsid w:val="7A46BB63"/>
    <w:rsid w:val="7A4E4D58"/>
    <w:rsid w:val="7A56CF96"/>
    <w:rsid w:val="7A849C8E"/>
    <w:rsid w:val="7AA104BE"/>
    <w:rsid w:val="7AAA4EA2"/>
    <w:rsid w:val="7AB0DB2A"/>
    <w:rsid w:val="7AFCE21D"/>
    <w:rsid w:val="7AFD732C"/>
    <w:rsid w:val="7B4D9F5B"/>
    <w:rsid w:val="7B5CB5DB"/>
    <w:rsid w:val="7B5D6313"/>
    <w:rsid w:val="7B6DC797"/>
    <w:rsid w:val="7B723FF0"/>
    <w:rsid w:val="7B774119"/>
    <w:rsid w:val="7B9F3F99"/>
    <w:rsid w:val="7BA131E8"/>
    <w:rsid w:val="7BA4C6C1"/>
    <w:rsid w:val="7BA5BB91"/>
    <w:rsid w:val="7BB22F28"/>
    <w:rsid w:val="7BCA8F65"/>
    <w:rsid w:val="7BD01EEA"/>
    <w:rsid w:val="7C1CD66A"/>
    <w:rsid w:val="7C2D6C20"/>
    <w:rsid w:val="7C4307F2"/>
    <w:rsid w:val="7C4FE8D6"/>
    <w:rsid w:val="7C540940"/>
    <w:rsid w:val="7C6F612D"/>
    <w:rsid w:val="7C714142"/>
    <w:rsid w:val="7C881268"/>
    <w:rsid w:val="7C967A50"/>
    <w:rsid w:val="7CAFAA5F"/>
    <w:rsid w:val="7CECB0E7"/>
    <w:rsid w:val="7CEFF59A"/>
    <w:rsid w:val="7CFEB143"/>
    <w:rsid w:val="7D33F6D3"/>
    <w:rsid w:val="7D3F30C5"/>
    <w:rsid w:val="7D6E30EA"/>
    <w:rsid w:val="7D773F24"/>
    <w:rsid w:val="7D952977"/>
    <w:rsid w:val="7DA2A2D4"/>
    <w:rsid w:val="7DA71075"/>
    <w:rsid w:val="7DA77327"/>
    <w:rsid w:val="7DC71DD6"/>
    <w:rsid w:val="7DD8F0E1"/>
    <w:rsid w:val="7DFBE956"/>
    <w:rsid w:val="7E12351A"/>
    <w:rsid w:val="7E2FAA78"/>
    <w:rsid w:val="7E38EA1E"/>
    <w:rsid w:val="7E474E6F"/>
    <w:rsid w:val="7E522F29"/>
    <w:rsid w:val="7E5A80B7"/>
    <w:rsid w:val="7E6E8275"/>
    <w:rsid w:val="7E79B5F0"/>
    <w:rsid w:val="7E818F1E"/>
    <w:rsid w:val="7E8C786C"/>
    <w:rsid w:val="7EB4E9F8"/>
    <w:rsid w:val="7EC34DB9"/>
    <w:rsid w:val="7EDC2A42"/>
    <w:rsid w:val="7F0067F0"/>
    <w:rsid w:val="7F10F85C"/>
    <w:rsid w:val="7F18CB35"/>
    <w:rsid w:val="7F240310"/>
    <w:rsid w:val="7F6C3515"/>
    <w:rsid w:val="7FD8AFA6"/>
    <w:rsid w:val="7FFED4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D761DA"/>
    <w:pPr>
      <w:numPr>
        <w:numId w:val="2"/>
      </w:numPr>
      <w:tabs>
        <w:tab w:val="num" w:pos="360"/>
      </w:tabs>
      <w:ind w:left="0" w:firstLine="0"/>
    </w:pPr>
    <w:rPr>
      <w:rFonts w:eastAsia="Times New Roman"/>
      <w:lang w:eastAsia="de-DE"/>
    </w:rPr>
  </w:style>
  <w:style w:type="paragraph" w:styleId="ListNumber">
    <w:name w:val="List Number"/>
    <w:basedOn w:val="Normal"/>
    <w:rsid w:val="00D761DA"/>
    <w:pPr>
      <w:numPr>
        <w:numId w:val="6"/>
      </w:numPr>
    </w:pPr>
    <w:rPr>
      <w:rFonts w:eastAsia="Times New Roman"/>
      <w:lang w:eastAsia="de-DE"/>
    </w:rPr>
  </w:style>
  <w:style w:type="paragraph" w:customStyle="1" w:styleId="ListBullet1">
    <w:name w:val="List Bullet 1"/>
    <w:basedOn w:val="Normal"/>
    <w:rsid w:val="00D761DA"/>
    <w:pPr>
      <w:numPr>
        <w:numId w:val="1"/>
      </w:numPr>
    </w:pPr>
    <w:rPr>
      <w:rFonts w:eastAsia="Times New Roman"/>
      <w:lang w:eastAsia="de-DE"/>
    </w:rPr>
  </w:style>
  <w:style w:type="paragraph" w:customStyle="1" w:styleId="ListDash">
    <w:name w:val="List Dash"/>
    <w:basedOn w:val="Normal"/>
    <w:rsid w:val="00D761DA"/>
    <w:pPr>
      <w:numPr>
        <w:numId w:val="3"/>
      </w:numPr>
    </w:pPr>
    <w:rPr>
      <w:rFonts w:eastAsia="Times New Roman"/>
      <w:lang w:eastAsia="de-DE"/>
    </w:rPr>
  </w:style>
  <w:style w:type="paragraph" w:customStyle="1" w:styleId="ListDash1">
    <w:name w:val="List Dash 1"/>
    <w:basedOn w:val="Normal"/>
    <w:rsid w:val="00D761DA"/>
    <w:pPr>
      <w:numPr>
        <w:numId w:val="4"/>
      </w:numPr>
    </w:pPr>
    <w:rPr>
      <w:rFonts w:eastAsia="Times New Roman"/>
      <w:lang w:eastAsia="de-DE"/>
    </w:rPr>
  </w:style>
  <w:style w:type="paragraph" w:customStyle="1" w:styleId="ListDash2">
    <w:name w:val="List Dash 2"/>
    <w:basedOn w:val="Normal"/>
    <w:rsid w:val="00D761DA"/>
    <w:pPr>
      <w:numPr>
        <w:numId w:val="5"/>
      </w:numPr>
    </w:pPr>
    <w:rPr>
      <w:rFonts w:eastAsia="Times New Roman"/>
      <w:lang w:eastAsia="de-DE"/>
    </w:rPr>
  </w:style>
  <w:style w:type="paragraph" w:customStyle="1" w:styleId="ListNumberLevel2">
    <w:name w:val="List Number (Level 2)"/>
    <w:basedOn w:val="Normal"/>
    <w:rsid w:val="00D761DA"/>
    <w:pPr>
      <w:numPr>
        <w:ilvl w:val="1"/>
        <w:numId w:val="6"/>
      </w:numPr>
    </w:pPr>
    <w:rPr>
      <w:rFonts w:eastAsia="Times New Roman"/>
      <w:lang w:eastAsia="de-DE"/>
    </w:rPr>
  </w:style>
  <w:style w:type="paragraph" w:customStyle="1" w:styleId="ListNumberLevel3">
    <w:name w:val="List Number (Level 3)"/>
    <w:basedOn w:val="Normal"/>
    <w:rsid w:val="00D761DA"/>
    <w:pPr>
      <w:numPr>
        <w:ilvl w:val="2"/>
        <w:numId w:val="6"/>
      </w:numPr>
    </w:pPr>
    <w:rPr>
      <w:rFonts w:eastAsia="Times New Roman"/>
      <w:lang w:eastAsia="de-DE"/>
    </w:rPr>
  </w:style>
  <w:style w:type="paragraph" w:customStyle="1" w:styleId="ListNumberLevel4">
    <w:name w:val="List Number (Level 4)"/>
    <w:basedOn w:val="Normal"/>
    <w:rsid w:val="00D761DA"/>
    <w:pPr>
      <w:numPr>
        <w:ilvl w:val="3"/>
        <w:numId w:val="6"/>
      </w:numPr>
    </w:pPr>
    <w:rPr>
      <w:rFonts w:eastAsia="Times New Roman"/>
      <w:lang w:eastAsia="de-DE"/>
    </w:rPr>
  </w:style>
  <w:style w:type="table" w:styleId="TableGrid">
    <w:name w:val="Table Grid"/>
    <w:basedOn w:val="TableNormal"/>
    <w:rsid w:val="00D761DA"/>
    <w:pPr>
      <w:spacing w:before="120" w:after="120" w:line="240" w:lineRule="auto"/>
      <w:jc w:val="both"/>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761DA"/>
    <w:rPr>
      <w:color w:val="0000FF"/>
      <w:u w:val="single"/>
    </w:rPr>
  </w:style>
  <w:style w:type="paragraph" w:styleId="ListBullet">
    <w:name w:val="List Bullet"/>
    <w:basedOn w:val="Normal"/>
    <w:rsid w:val="00D761DA"/>
    <w:pPr>
      <w:numPr>
        <w:numId w:val="7"/>
      </w:numPr>
    </w:pPr>
    <w:rPr>
      <w:rFonts w:eastAsia="Times New Roman"/>
      <w:lang w:val="fr-FR" w:eastAsia="en-GB"/>
    </w:rPr>
  </w:style>
  <w:style w:type="paragraph" w:styleId="ListBullet2">
    <w:name w:val="List Bullet 2"/>
    <w:basedOn w:val="Normal"/>
    <w:rsid w:val="00D761DA"/>
    <w:pPr>
      <w:numPr>
        <w:numId w:val="8"/>
      </w:numPr>
    </w:pPr>
    <w:rPr>
      <w:rFonts w:eastAsia="Times New Roman"/>
      <w:lang w:val="fr-FR" w:eastAsia="en-GB"/>
    </w:rPr>
  </w:style>
  <w:style w:type="paragraph" w:styleId="ListBullet3">
    <w:name w:val="List Bullet 3"/>
    <w:basedOn w:val="Normal"/>
    <w:rsid w:val="00D761DA"/>
    <w:pPr>
      <w:numPr>
        <w:numId w:val="9"/>
      </w:numPr>
    </w:pPr>
    <w:rPr>
      <w:rFonts w:eastAsia="Times New Roman"/>
      <w:lang w:val="fr-FR" w:eastAsia="en-GB"/>
    </w:rPr>
  </w:style>
  <w:style w:type="paragraph" w:styleId="ListNumber2">
    <w:name w:val="List Number 2"/>
    <w:basedOn w:val="Normal"/>
    <w:rsid w:val="00D761DA"/>
    <w:pPr>
      <w:numPr>
        <w:numId w:val="13"/>
      </w:numPr>
    </w:pPr>
    <w:rPr>
      <w:rFonts w:eastAsia="Times New Roman"/>
      <w:lang w:val="fr-FR" w:eastAsia="en-GB"/>
    </w:rPr>
  </w:style>
  <w:style w:type="paragraph" w:styleId="ListNumber3">
    <w:name w:val="List Number 3"/>
    <w:basedOn w:val="Normal"/>
    <w:rsid w:val="00D761DA"/>
    <w:pPr>
      <w:numPr>
        <w:numId w:val="14"/>
      </w:numPr>
    </w:pPr>
    <w:rPr>
      <w:rFonts w:eastAsia="Times New Roman"/>
      <w:lang w:val="fr-FR" w:eastAsia="en-GB"/>
    </w:rPr>
  </w:style>
  <w:style w:type="paragraph" w:styleId="ListNumber4">
    <w:name w:val="List Number 4"/>
    <w:basedOn w:val="Normal"/>
    <w:rsid w:val="00D761DA"/>
    <w:pPr>
      <w:numPr>
        <w:numId w:val="15"/>
      </w:numPr>
    </w:pPr>
    <w:rPr>
      <w:rFonts w:eastAsia="Times New Roman"/>
      <w:lang w:val="fr-FR" w:eastAsia="en-GB"/>
    </w:rPr>
  </w:style>
  <w:style w:type="paragraph" w:customStyle="1" w:styleId="ListDash3">
    <w:name w:val="List Dash 3"/>
    <w:basedOn w:val="Normal"/>
    <w:rsid w:val="00D761DA"/>
    <w:pPr>
      <w:numPr>
        <w:numId w:val="10"/>
      </w:numPr>
    </w:pPr>
    <w:rPr>
      <w:rFonts w:eastAsia="Times New Roman"/>
      <w:lang w:val="fr-FR" w:eastAsia="en-GB"/>
    </w:rPr>
  </w:style>
  <w:style w:type="paragraph" w:customStyle="1" w:styleId="ListDash4">
    <w:name w:val="List Dash 4"/>
    <w:basedOn w:val="Normal"/>
    <w:rsid w:val="00D761DA"/>
    <w:pPr>
      <w:numPr>
        <w:numId w:val="11"/>
      </w:numPr>
    </w:pPr>
    <w:rPr>
      <w:rFonts w:eastAsia="Times New Roman"/>
      <w:lang w:val="fr-FR" w:eastAsia="en-GB"/>
    </w:rPr>
  </w:style>
  <w:style w:type="paragraph" w:customStyle="1" w:styleId="ListNumber1">
    <w:name w:val="List Number 1"/>
    <w:basedOn w:val="Text1"/>
    <w:rsid w:val="00D761DA"/>
    <w:pPr>
      <w:numPr>
        <w:numId w:val="12"/>
      </w:numPr>
    </w:pPr>
    <w:rPr>
      <w:rFonts w:eastAsia="Times New Roman"/>
      <w:lang w:val="fr-FR" w:eastAsia="en-GB"/>
    </w:rPr>
  </w:style>
  <w:style w:type="paragraph" w:customStyle="1" w:styleId="ListNumber1Level2">
    <w:name w:val="List Number 1 (Level 2)"/>
    <w:basedOn w:val="Text1"/>
    <w:rsid w:val="00D761DA"/>
    <w:pPr>
      <w:numPr>
        <w:ilvl w:val="1"/>
        <w:numId w:val="12"/>
      </w:numPr>
    </w:pPr>
    <w:rPr>
      <w:rFonts w:eastAsia="Times New Roman"/>
      <w:lang w:val="fr-FR" w:eastAsia="en-GB"/>
    </w:rPr>
  </w:style>
  <w:style w:type="paragraph" w:customStyle="1" w:styleId="ListNumber2Level2">
    <w:name w:val="List Number 2 (Level 2)"/>
    <w:basedOn w:val="Text2"/>
    <w:rsid w:val="00D761DA"/>
    <w:pPr>
      <w:numPr>
        <w:ilvl w:val="1"/>
        <w:numId w:val="13"/>
      </w:numPr>
    </w:pPr>
    <w:rPr>
      <w:rFonts w:eastAsia="Times New Roman"/>
      <w:lang w:val="fr-FR" w:eastAsia="en-GB"/>
    </w:rPr>
  </w:style>
  <w:style w:type="paragraph" w:customStyle="1" w:styleId="ListNumber3Level2">
    <w:name w:val="List Number 3 (Level 2)"/>
    <w:basedOn w:val="Text3"/>
    <w:rsid w:val="00D761DA"/>
    <w:pPr>
      <w:numPr>
        <w:ilvl w:val="1"/>
        <w:numId w:val="14"/>
      </w:numPr>
    </w:pPr>
    <w:rPr>
      <w:rFonts w:eastAsia="Times New Roman"/>
      <w:lang w:val="fr-FR" w:eastAsia="en-GB"/>
    </w:rPr>
  </w:style>
  <w:style w:type="paragraph" w:customStyle="1" w:styleId="ListNumber4Level2">
    <w:name w:val="List Number 4 (Level 2)"/>
    <w:basedOn w:val="Text4"/>
    <w:rsid w:val="00D761DA"/>
    <w:pPr>
      <w:numPr>
        <w:ilvl w:val="1"/>
        <w:numId w:val="15"/>
      </w:numPr>
    </w:pPr>
    <w:rPr>
      <w:rFonts w:eastAsia="Times New Roman"/>
      <w:lang w:val="fr-FR" w:eastAsia="en-GB"/>
    </w:rPr>
  </w:style>
  <w:style w:type="paragraph" w:customStyle="1" w:styleId="ListNumber1Level3">
    <w:name w:val="List Number 1 (Level 3)"/>
    <w:basedOn w:val="Text1"/>
    <w:rsid w:val="00D761DA"/>
    <w:pPr>
      <w:numPr>
        <w:ilvl w:val="2"/>
        <w:numId w:val="12"/>
      </w:numPr>
    </w:pPr>
    <w:rPr>
      <w:rFonts w:eastAsia="Times New Roman"/>
      <w:lang w:val="fr-FR" w:eastAsia="en-GB"/>
    </w:rPr>
  </w:style>
  <w:style w:type="paragraph" w:customStyle="1" w:styleId="ListNumber2Level3">
    <w:name w:val="List Number 2 (Level 3)"/>
    <w:basedOn w:val="Text2"/>
    <w:rsid w:val="00D761DA"/>
    <w:pPr>
      <w:numPr>
        <w:ilvl w:val="2"/>
        <w:numId w:val="13"/>
      </w:numPr>
    </w:pPr>
    <w:rPr>
      <w:rFonts w:eastAsia="Times New Roman"/>
      <w:lang w:val="fr-FR" w:eastAsia="en-GB"/>
    </w:rPr>
  </w:style>
  <w:style w:type="paragraph" w:customStyle="1" w:styleId="ListNumber3Level3">
    <w:name w:val="List Number 3 (Level 3)"/>
    <w:basedOn w:val="Text3"/>
    <w:rsid w:val="00D761DA"/>
    <w:pPr>
      <w:numPr>
        <w:ilvl w:val="2"/>
        <w:numId w:val="14"/>
      </w:numPr>
    </w:pPr>
    <w:rPr>
      <w:rFonts w:eastAsia="Times New Roman"/>
      <w:lang w:val="fr-FR" w:eastAsia="en-GB"/>
    </w:rPr>
  </w:style>
  <w:style w:type="paragraph" w:customStyle="1" w:styleId="ListNumber4Level3">
    <w:name w:val="List Number 4 (Level 3)"/>
    <w:basedOn w:val="Text4"/>
    <w:rsid w:val="00D761DA"/>
    <w:pPr>
      <w:numPr>
        <w:ilvl w:val="2"/>
        <w:numId w:val="15"/>
      </w:numPr>
    </w:pPr>
    <w:rPr>
      <w:rFonts w:eastAsia="Times New Roman"/>
      <w:lang w:val="fr-FR" w:eastAsia="en-GB"/>
    </w:rPr>
  </w:style>
  <w:style w:type="paragraph" w:customStyle="1" w:styleId="ListNumber1Level4">
    <w:name w:val="List Number 1 (Level 4)"/>
    <w:basedOn w:val="Text1"/>
    <w:rsid w:val="00D761DA"/>
    <w:pPr>
      <w:numPr>
        <w:ilvl w:val="3"/>
        <w:numId w:val="12"/>
      </w:numPr>
    </w:pPr>
    <w:rPr>
      <w:rFonts w:eastAsia="Times New Roman"/>
      <w:lang w:val="fr-FR" w:eastAsia="en-GB"/>
    </w:rPr>
  </w:style>
  <w:style w:type="paragraph" w:customStyle="1" w:styleId="ListNumber2Level4">
    <w:name w:val="List Number 2 (Level 4)"/>
    <w:basedOn w:val="Text2"/>
    <w:rsid w:val="00D761DA"/>
    <w:pPr>
      <w:numPr>
        <w:ilvl w:val="3"/>
        <w:numId w:val="13"/>
      </w:numPr>
    </w:pPr>
    <w:rPr>
      <w:rFonts w:eastAsia="Times New Roman"/>
      <w:lang w:val="fr-FR" w:eastAsia="en-GB"/>
    </w:rPr>
  </w:style>
  <w:style w:type="paragraph" w:customStyle="1" w:styleId="ListNumber3Level4">
    <w:name w:val="List Number 3 (Level 4)"/>
    <w:basedOn w:val="Text3"/>
    <w:rsid w:val="00D761DA"/>
    <w:pPr>
      <w:numPr>
        <w:ilvl w:val="3"/>
        <w:numId w:val="14"/>
      </w:numPr>
    </w:pPr>
    <w:rPr>
      <w:rFonts w:eastAsia="Times New Roman"/>
      <w:lang w:val="fr-FR" w:eastAsia="en-GB"/>
    </w:rPr>
  </w:style>
  <w:style w:type="paragraph" w:customStyle="1" w:styleId="ListNumber4Level4">
    <w:name w:val="List Number 4 (Level 4)"/>
    <w:basedOn w:val="Text4"/>
    <w:rsid w:val="00D761DA"/>
    <w:pPr>
      <w:numPr>
        <w:ilvl w:val="3"/>
        <w:numId w:val="15"/>
      </w:numPr>
    </w:pPr>
    <w:rPr>
      <w:rFonts w:eastAsia="Times New Roman"/>
      <w:lang w:val="fr-FR" w:eastAsia="en-GB"/>
    </w:rPr>
  </w:style>
  <w:style w:type="paragraph" w:customStyle="1" w:styleId="Annexetitreacte">
    <w:name w:val="Annexe titre (acte)"/>
    <w:basedOn w:val="Normal"/>
    <w:next w:val="Normal"/>
    <w:rsid w:val="00D761DA"/>
    <w:pPr>
      <w:jc w:val="center"/>
    </w:pPr>
    <w:rPr>
      <w:rFonts w:eastAsia="Times New Roman"/>
      <w:b/>
      <w:u w:val="single"/>
      <w:lang w:val="fr-FR" w:eastAsia="en-GB"/>
    </w:rPr>
  </w:style>
  <w:style w:type="paragraph" w:customStyle="1" w:styleId="Annexetitreexposglobal">
    <w:name w:val="Annexe titre (exposé global)"/>
    <w:basedOn w:val="Normal"/>
    <w:next w:val="Normal"/>
    <w:rsid w:val="00D761DA"/>
    <w:pPr>
      <w:jc w:val="center"/>
    </w:pPr>
    <w:rPr>
      <w:rFonts w:eastAsia="Times New Roman"/>
      <w:b/>
      <w:u w:val="single"/>
      <w:lang w:val="fr-FR" w:eastAsia="en-GB"/>
    </w:rPr>
  </w:style>
  <w:style w:type="paragraph" w:customStyle="1" w:styleId="Annexetitrefichefinacte">
    <w:name w:val="Annexe titre (fiche fin. acte)"/>
    <w:basedOn w:val="Normal"/>
    <w:next w:val="Normal"/>
    <w:rsid w:val="00D761DA"/>
    <w:pPr>
      <w:jc w:val="center"/>
    </w:pPr>
    <w:rPr>
      <w:rFonts w:eastAsia="Times New Roman"/>
      <w:b/>
      <w:u w:val="single"/>
      <w:lang w:val="fr-FR" w:eastAsia="en-GB"/>
    </w:rPr>
  </w:style>
  <w:style w:type="paragraph" w:customStyle="1" w:styleId="Annexetitrefichefinglobale">
    <w:name w:val="Annexe titre (fiche fin. globale)"/>
    <w:basedOn w:val="Normal"/>
    <w:next w:val="Normal"/>
    <w:rsid w:val="00D761DA"/>
    <w:pPr>
      <w:jc w:val="center"/>
    </w:pPr>
    <w:rPr>
      <w:rFonts w:eastAsia="Times New Roman"/>
      <w:b/>
      <w:u w:val="single"/>
      <w:lang w:val="fr-FR" w:eastAsia="en-GB"/>
    </w:rPr>
  </w:style>
  <w:style w:type="paragraph" w:customStyle="1" w:styleId="Annexetitreglobale">
    <w:name w:val="Annexe titre (globale)"/>
    <w:basedOn w:val="Normal"/>
    <w:next w:val="Normal"/>
    <w:rsid w:val="00D761DA"/>
    <w:pPr>
      <w:jc w:val="center"/>
    </w:pPr>
    <w:rPr>
      <w:rFonts w:eastAsia="Times New Roman"/>
      <w:b/>
      <w:u w:val="single"/>
      <w:lang w:val="fr-FR" w:eastAsia="en-GB"/>
    </w:rPr>
  </w:style>
  <w:style w:type="paragraph" w:customStyle="1" w:styleId="Exposdesmotifstitreglobal">
    <w:name w:val="Exposé des motifs titre (global)"/>
    <w:basedOn w:val="Normal"/>
    <w:next w:val="Normal"/>
    <w:rsid w:val="00D761DA"/>
    <w:pPr>
      <w:jc w:val="center"/>
    </w:pPr>
    <w:rPr>
      <w:rFonts w:eastAsia="Times New Roman"/>
      <w:b/>
      <w:u w:val="single"/>
      <w:lang w:val="fr-FR" w:eastAsia="en-GB"/>
    </w:rPr>
  </w:style>
  <w:style w:type="paragraph" w:customStyle="1" w:styleId="Langueoriginale">
    <w:name w:val="Langue originale"/>
    <w:basedOn w:val="Normal"/>
    <w:rsid w:val="00D761DA"/>
    <w:pPr>
      <w:spacing w:before="360"/>
      <w:jc w:val="center"/>
    </w:pPr>
    <w:rPr>
      <w:rFonts w:eastAsia="Times New Roman"/>
      <w:caps/>
      <w:lang w:val="fr-FR" w:eastAsia="en-GB"/>
    </w:rPr>
  </w:style>
  <w:style w:type="paragraph" w:customStyle="1" w:styleId="Phrasefinale">
    <w:name w:val="Phrase finale"/>
    <w:basedOn w:val="Normal"/>
    <w:next w:val="Normal"/>
    <w:rsid w:val="00D761DA"/>
    <w:pPr>
      <w:spacing w:before="360" w:after="0"/>
      <w:jc w:val="center"/>
    </w:pPr>
    <w:rPr>
      <w:rFonts w:eastAsia="Times New Roman"/>
      <w:lang w:val="fr-FR" w:eastAsia="en-GB"/>
    </w:rPr>
  </w:style>
  <w:style w:type="paragraph" w:customStyle="1" w:styleId="Prliminairetitre">
    <w:name w:val="Préliminaire titre"/>
    <w:basedOn w:val="Normal"/>
    <w:next w:val="Normal"/>
    <w:rsid w:val="00D761DA"/>
    <w:pPr>
      <w:spacing w:before="360" w:after="360"/>
      <w:jc w:val="center"/>
    </w:pPr>
    <w:rPr>
      <w:rFonts w:eastAsia="Times New Roman"/>
      <w:b/>
      <w:lang w:val="fr-FR" w:eastAsia="en-GB"/>
    </w:rPr>
  </w:style>
  <w:style w:type="paragraph" w:customStyle="1" w:styleId="Prliminairetype">
    <w:name w:val="Préliminaire type"/>
    <w:basedOn w:val="Normal"/>
    <w:next w:val="Normal"/>
    <w:rsid w:val="00D761DA"/>
    <w:pPr>
      <w:spacing w:before="360" w:after="0"/>
      <w:jc w:val="center"/>
    </w:pPr>
    <w:rPr>
      <w:rFonts w:eastAsia="Times New Roman"/>
      <w:b/>
      <w:lang w:val="fr-FR" w:eastAsia="en-GB"/>
    </w:rPr>
  </w:style>
  <w:style w:type="paragraph" w:customStyle="1" w:styleId="Rfrenceinstitutionelle">
    <w:name w:val="Référence institutionelle"/>
    <w:basedOn w:val="Normal"/>
    <w:next w:val="Statut"/>
    <w:rsid w:val="00D761DA"/>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rsid w:val="00D761DA"/>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rsid w:val="00D761DA"/>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D761DA"/>
    <w:pPr>
      <w:spacing w:before="0" w:after="0"/>
      <w:jc w:val="center"/>
    </w:pPr>
    <w:rPr>
      <w:rFonts w:eastAsia="Times New Roman"/>
      <w:b/>
      <w:lang w:val="fr-FR" w:eastAsia="en-GB"/>
    </w:rPr>
  </w:style>
  <w:style w:type="paragraph" w:customStyle="1" w:styleId="Statutprliminaire">
    <w:name w:val="Statut (préliminaire)"/>
    <w:basedOn w:val="Normal"/>
    <w:next w:val="Normal"/>
    <w:rsid w:val="00D761DA"/>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D761DA"/>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D761DA"/>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D761DA"/>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D761DA"/>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D761DA"/>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D761DA"/>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D761DA"/>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D761DA"/>
    <w:pPr>
      <w:jc w:val="center"/>
    </w:pPr>
    <w:rPr>
      <w:rFonts w:eastAsia="Times New Roman"/>
      <w:b/>
      <w:u w:val="single"/>
      <w:lang w:val="fr-FR" w:eastAsia="en-GB"/>
    </w:rPr>
  </w:style>
  <w:style w:type="character" w:styleId="CommentReference">
    <w:name w:val="annotation reference"/>
    <w:uiPriority w:val="99"/>
    <w:rsid w:val="00D761DA"/>
    <w:rPr>
      <w:rFonts w:cs="Times New Roman"/>
      <w:sz w:val="16"/>
      <w:szCs w:val="16"/>
    </w:rPr>
  </w:style>
  <w:style w:type="paragraph" w:styleId="CommentText">
    <w:name w:val="annotation text"/>
    <w:basedOn w:val="Normal"/>
    <w:link w:val="CommentTextChar"/>
    <w:uiPriority w:val="99"/>
    <w:rsid w:val="00D761DA"/>
    <w:rPr>
      <w:rFonts w:eastAsia="Times New Roman"/>
      <w:sz w:val="20"/>
      <w:szCs w:val="20"/>
      <w:lang w:val="fr-FR" w:eastAsia="en-GB"/>
    </w:rPr>
  </w:style>
  <w:style w:type="character" w:customStyle="1" w:styleId="CommentTextChar">
    <w:name w:val="Comment Text Char"/>
    <w:basedOn w:val="DefaultParagraphFont"/>
    <w:link w:val="CommentText"/>
    <w:uiPriority w:val="99"/>
    <w:rsid w:val="00D761DA"/>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sid w:val="00D761DA"/>
    <w:rPr>
      <w:b/>
      <w:bCs/>
    </w:rPr>
  </w:style>
  <w:style w:type="character" w:customStyle="1" w:styleId="CommentSubjectChar">
    <w:name w:val="Comment Subject Char"/>
    <w:basedOn w:val="CommentTextChar"/>
    <w:link w:val="CommentSubject"/>
    <w:rsid w:val="00D761DA"/>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sid w:val="00D761DA"/>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sid w:val="00D761DA"/>
    <w:rPr>
      <w:rFonts w:ascii="Tahoma" w:eastAsia="Times New Roman" w:hAnsi="Tahoma" w:cs="Tahoma"/>
      <w:sz w:val="16"/>
      <w:szCs w:val="16"/>
      <w:lang w:val="fr-FR" w:eastAsia="en-GB"/>
    </w:rPr>
  </w:style>
  <w:style w:type="paragraph" w:styleId="Caption">
    <w:name w:val="caption"/>
    <w:basedOn w:val="Normal"/>
    <w:next w:val="Normal"/>
    <w:qFormat/>
    <w:rsid w:val="00D761DA"/>
    <w:rPr>
      <w:rFonts w:eastAsia="Times New Roman"/>
      <w:b/>
      <w:bCs/>
      <w:sz w:val="20"/>
      <w:szCs w:val="20"/>
      <w:lang w:val="fr-FR" w:eastAsia="en-GB"/>
    </w:rPr>
  </w:style>
  <w:style w:type="paragraph" w:styleId="TableofFigures">
    <w:name w:val="table of figures"/>
    <w:basedOn w:val="Normal"/>
    <w:next w:val="Normal"/>
    <w:rsid w:val="00D761DA"/>
    <w:rPr>
      <w:rFonts w:eastAsia="Times New Roman"/>
      <w:lang w:val="fr-FR" w:eastAsia="en-GB"/>
    </w:rPr>
  </w:style>
  <w:style w:type="character" w:styleId="PageNumber">
    <w:name w:val="page number"/>
    <w:rsid w:val="00D761DA"/>
  </w:style>
  <w:style w:type="character" w:customStyle="1" w:styleId="tw4winMark">
    <w:name w:val="tw4winMark"/>
    <w:rsid w:val="00D761DA"/>
    <w:rPr>
      <w:vanish/>
      <w:color w:val="800080"/>
      <w:vertAlign w:val="subscript"/>
    </w:rPr>
  </w:style>
  <w:style w:type="character" w:styleId="FollowedHyperlink">
    <w:name w:val="FollowedHyperlink"/>
    <w:rsid w:val="00D761DA"/>
    <w:rPr>
      <w:color w:val="800080"/>
      <w:u w:val="single"/>
    </w:rPr>
  </w:style>
  <w:style w:type="paragraph" w:customStyle="1" w:styleId="Sous-titreobjet">
    <w:name w:val="Sous-titre objet"/>
    <w:basedOn w:val="Normal"/>
    <w:rsid w:val="00D761DA"/>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D761DA"/>
  </w:style>
  <w:style w:type="paragraph" w:styleId="Revision">
    <w:name w:val="Revision"/>
    <w:hidden/>
    <w:uiPriority w:val="99"/>
    <w:semiHidden/>
    <w:rsid w:val="00D761DA"/>
    <w:rPr>
      <w:rFonts w:ascii="Calibri" w:eastAsia="Calibri" w:hAnsi="Calibri" w:cs="Times New Roman"/>
      <w:sz w:val="24"/>
      <w:lang w:val="en-GB" w:eastAsia="en-GB"/>
    </w:rPr>
  </w:style>
  <w:style w:type="paragraph" w:customStyle="1" w:styleId="FooterCoverPage">
    <w:name w:val="Footer Cover Page"/>
    <w:basedOn w:val="Normal"/>
    <w:link w:val="FooterCoverPageChar"/>
    <w:rsid w:val="00D761DA"/>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D761DA"/>
    <w:rPr>
      <w:rFonts w:ascii="Times New Roman" w:hAnsi="Times New Roman" w:cs="Times New Roman"/>
      <w:b/>
      <w:sz w:val="28"/>
      <w:lang w:val="en-GB"/>
    </w:rPr>
  </w:style>
  <w:style w:type="character" w:customStyle="1" w:styleId="FooterCoverPageChar">
    <w:name w:val="Footer Cover Page Char"/>
    <w:link w:val="FooterCoverPage"/>
    <w:rsid w:val="00D761DA"/>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D761DA"/>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D761DA"/>
    <w:rPr>
      <w:rFonts w:ascii="Times New Roman" w:eastAsia="Calibri" w:hAnsi="Times New Roman" w:cs="Times New Roman"/>
      <w:sz w:val="24"/>
      <w:lang w:val="en-GB" w:eastAsia="en-GB"/>
    </w:rPr>
  </w:style>
  <w:style w:type="character" w:customStyle="1" w:styleId="FooterSensitivityChar">
    <w:name w:val="Footer Sensitivity Char"/>
    <w:rsid w:val="00D761DA"/>
    <w:rPr>
      <w:rFonts w:ascii="Times New Roman" w:hAnsi="Times New Roman" w:cs="Times New Roman"/>
      <w:b/>
      <w:sz w:val="32"/>
      <w:lang w:val="en-GB"/>
    </w:rPr>
  </w:style>
  <w:style w:type="character" w:customStyle="1" w:styleId="HeaderSensitivityChar">
    <w:name w:val="Header Sensitivity Char"/>
    <w:rsid w:val="00D761DA"/>
    <w:rPr>
      <w:rFonts w:ascii="Times New Roman" w:hAnsi="Times New Roman" w:cs="Times New Roman"/>
      <w:b/>
      <w:sz w:val="32"/>
      <w:lang w:val="en-GB"/>
    </w:rPr>
  </w:style>
  <w:style w:type="character" w:customStyle="1" w:styleId="HeaderSensitivityRightChar">
    <w:name w:val="Header Sensitivity Right Char"/>
    <w:rsid w:val="00D761DA"/>
    <w:rPr>
      <w:rFonts w:ascii="Times New Roman" w:hAnsi="Times New Roman" w:cs="Times New Roman"/>
      <w:sz w:val="28"/>
      <w:lang w:val="en-GB"/>
    </w:rPr>
  </w:style>
  <w:style w:type="paragraph" w:customStyle="1" w:styleId="LegalNumPar">
    <w:name w:val="LegalNumPar"/>
    <w:basedOn w:val="Normal"/>
    <w:rsid w:val="00D761DA"/>
    <w:pPr>
      <w:numPr>
        <w:numId w:val="16"/>
      </w:numPr>
      <w:spacing w:line="360" w:lineRule="auto"/>
    </w:pPr>
    <w:rPr>
      <w:rFonts w:eastAsia="Times New Roman"/>
      <w:lang w:eastAsia="en-GB"/>
    </w:rPr>
  </w:style>
  <w:style w:type="paragraph" w:customStyle="1" w:styleId="LegalNumPar2">
    <w:name w:val="LegalNumPar2"/>
    <w:basedOn w:val="Normal"/>
    <w:rsid w:val="00D761DA"/>
    <w:pPr>
      <w:numPr>
        <w:ilvl w:val="1"/>
        <w:numId w:val="16"/>
      </w:numPr>
      <w:spacing w:line="360" w:lineRule="auto"/>
    </w:pPr>
    <w:rPr>
      <w:rFonts w:eastAsia="Times New Roman"/>
      <w:lang w:eastAsia="en-GB"/>
    </w:rPr>
  </w:style>
  <w:style w:type="paragraph" w:customStyle="1" w:styleId="LegalNumPar3">
    <w:name w:val="LegalNumPar3"/>
    <w:basedOn w:val="Normal"/>
    <w:rsid w:val="00D761DA"/>
    <w:pPr>
      <w:numPr>
        <w:ilvl w:val="2"/>
        <w:numId w:val="16"/>
      </w:numPr>
      <w:spacing w:line="360" w:lineRule="auto"/>
    </w:pPr>
    <w:rPr>
      <w:rFonts w:eastAsia="Times New Roman"/>
      <w:lang w:eastAsia="en-GB"/>
    </w:rPr>
  </w:style>
  <w:style w:type="paragraph" w:styleId="ListParagraph">
    <w:name w:val="List Paragraph"/>
    <w:basedOn w:val="Normal"/>
    <w:uiPriority w:val="34"/>
    <w:qFormat/>
    <w:rsid w:val="00D761DA"/>
    <w:pPr>
      <w:ind w:left="720"/>
      <w:contextualSpacing/>
    </w:pPr>
    <w:rPr>
      <w:rFonts w:eastAsia="Times New Roman"/>
      <w:lang w:eastAsia="en-GB"/>
    </w:rPr>
  </w:style>
  <w:style w:type="character" w:customStyle="1" w:styleId="UnresolvedMention1">
    <w:name w:val="Unresolved Mention1"/>
    <w:basedOn w:val="DefaultParagraphFont"/>
    <w:uiPriority w:val="99"/>
    <w:semiHidden/>
    <w:unhideWhenUsed/>
    <w:rsid w:val="00D761DA"/>
    <w:rPr>
      <w:color w:val="605E5C"/>
      <w:shd w:val="clear" w:color="auto" w:fill="E1DFDD"/>
    </w:rPr>
  </w:style>
  <w:style w:type="character" w:styleId="Strong">
    <w:name w:val="Strong"/>
    <w:basedOn w:val="DefaultParagraphFont"/>
    <w:uiPriority w:val="22"/>
    <w:qFormat/>
    <w:rsid w:val="00D761DA"/>
    <w:rPr>
      <w:b/>
      <w:bCs/>
    </w:rPr>
  </w:style>
  <w:style w:type="character" w:styleId="Emphasis">
    <w:name w:val="Emphasis"/>
    <w:basedOn w:val="DefaultParagraphFont"/>
    <w:qFormat/>
    <w:rsid w:val="00D761DA"/>
    <w:rPr>
      <w:i/>
      <w:iCs/>
    </w:rPr>
  </w:style>
  <w:style w:type="character" w:customStyle="1" w:styleId="Mention1">
    <w:name w:val="Mention1"/>
    <w:basedOn w:val="DefaultParagraphFont"/>
    <w:uiPriority w:val="99"/>
    <w:unhideWhenUsed/>
    <w:rsid w:val="00D761DA"/>
    <w:rPr>
      <w:color w:val="2B579A"/>
      <w:shd w:val="clear" w:color="auto" w:fill="E1DFDD"/>
    </w:rPr>
  </w:style>
  <w:style w:type="character" w:customStyle="1" w:styleId="normaltextrun">
    <w:name w:val="normaltextrun"/>
    <w:basedOn w:val="DefaultParagraphFont"/>
    <w:rsid w:val="00D761DA"/>
  </w:style>
  <w:style w:type="character" w:customStyle="1" w:styleId="eop">
    <w:name w:val="eop"/>
    <w:basedOn w:val="DefaultParagraphFont"/>
    <w:rsid w:val="00D761DA"/>
  </w:style>
  <w:style w:type="paragraph" w:styleId="NormalWeb">
    <w:name w:val="Normal (Web)"/>
    <w:basedOn w:val="Normal"/>
    <w:uiPriority w:val="99"/>
    <w:semiHidden/>
    <w:unhideWhenUsed/>
    <w:rsid w:val="004A7705"/>
    <w:pPr>
      <w:spacing w:before="100" w:beforeAutospacing="1" w:after="100" w:afterAutospacing="1"/>
      <w:jc w:val="left"/>
    </w:pPr>
    <w:rPr>
      <w:rFonts w:eastAsia="Times New Roman"/>
      <w:szCs w:val="24"/>
      <w:lang w:eastAsia="en-GB"/>
    </w:rPr>
  </w:style>
  <w:style w:type="character" w:customStyle="1" w:styleId="Hyperlink1">
    <w:name w:val="Hyperlink1"/>
    <w:basedOn w:val="DefaultParagraphFont"/>
    <w:uiPriority w:val="99"/>
    <w:unhideWhenUsed/>
    <w:rsid w:val="000B7205"/>
    <w:rPr>
      <w:color w:val="0000FF"/>
      <w:u w:val="single"/>
    </w:rPr>
  </w:style>
  <w:style w:type="paragraph" w:customStyle="1" w:styleId="FootnoteTextEP-LC1">
    <w:name w:val="Footnote Text_EP-LC1"/>
    <w:basedOn w:val="Normal"/>
    <w:next w:val="FootnoteText"/>
    <w:uiPriority w:val="99"/>
    <w:unhideWhenUsed/>
    <w:qFormat/>
    <w:rsid w:val="000B7205"/>
    <w:pPr>
      <w:spacing w:before="60" w:after="60"/>
    </w:pPr>
    <w:rPr>
      <w:rFonts w:eastAsia="MS Mincho"/>
      <w:sz w:val="20"/>
      <w:szCs w:val="20"/>
      <w14:ligatures w14:val="standardContextual"/>
    </w:rPr>
  </w:style>
  <w:style w:type="paragraph" w:customStyle="1" w:styleId="paragraph">
    <w:name w:val="paragraph"/>
    <w:basedOn w:val="Normal"/>
    <w:rsid w:val="008412F2"/>
    <w:pPr>
      <w:spacing w:before="100" w:beforeAutospacing="1" w:after="100" w:afterAutospacing="1"/>
      <w:jc w:val="left"/>
    </w:pPr>
    <w:rPr>
      <w:rFonts w:eastAsia="Times New Roman"/>
      <w:szCs w:val="24"/>
      <w:lang w:eastAsia="en-GB"/>
    </w:rPr>
  </w:style>
  <w:style w:type="character" w:customStyle="1" w:styleId="HeaderChar">
    <w:name w:val="Header Char"/>
    <w:basedOn w:val="DefaultParagraphFont"/>
    <w:link w:val="Header"/>
    <w:uiPriority w:val="99"/>
    <w:rsid w:val="001B1F0B"/>
    <w:rPr>
      <w:rFonts w:ascii="Times New Roman" w:hAnsi="Times New Roman" w:cs="Times New Roman"/>
      <w:sz w:val="24"/>
      <w:lang w:val="en-GB"/>
    </w:rPr>
  </w:style>
  <w:style w:type="character" w:customStyle="1" w:styleId="FooterChar">
    <w:name w:val="Footer Char"/>
    <w:basedOn w:val="DefaultParagraphFont"/>
    <w:link w:val="Footer"/>
    <w:uiPriority w:val="99"/>
    <w:rsid w:val="001B1F0B"/>
    <w:rPr>
      <w:rFonts w:ascii="Times New Roman" w:hAnsi="Times New Roman" w:cs="Times New Roman"/>
      <w:sz w:val="24"/>
      <w:lang w:val="en-GB"/>
    </w:rPr>
  </w:style>
  <w:style w:type="paragraph" w:styleId="FootnoteText">
    <w:name w:val="footnote text"/>
    <w:aliases w:val="Footnote Text Char1,Footnote Text Char Char,Fußnotentext Char Char Char,Fußnotentext Char1 Char Char Char,Fußnotentext Char Char Char Char Char,Fußnotentext Char1 Char Char Char Char Char,Char3,Fußnote,FSR footnote,lábléc"/>
    <w:basedOn w:val="Normal"/>
    <w:link w:val="FootnoteTextChar"/>
    <w:uiPriority w:val="99"/>
    <w:unhideWhenUsed/>
    <w:qFormat/>
    <w:pPr>
      <w:spacing w:before="0" w:after="0"/>
      <w:ind w:left="720" w:hanging="720"/>
    </w:pPr>
    <w:rPr>
      <w:sz w:val="20"/>
      <w:szCs w:val="20"/>
    </w:rPr>
  </w:style>
  <w:style w:type="character" w:customStyle="1" w:styleId="FootnoteTextChar">
    <w:name w:val="Footnote Text Char"/>
    <w:aliases w:val="Footnote Text Char1 Char,Footnote Text Char Char Char,Fußnotentext Char Char Char Char,Fußnotentext Char1 Char Char Char Char,Fußnotentext Char Char Char Char Char Char,Fußnotentext Char1 Char Char Char Char Char Char,Char3 Char"/>
    <w:basedOn w:val="DefaultParagraphFont"/>
    <w:link w:val="FootnoteText"/>
    <w:uiPriority w:val="99"/>
    <w:qFormat/>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nt"/>
    <w:basedOn w:val="DefaultParagraphFont"/>
    <w:uiPriority w:val="99"/>
    <w:unhideWhenUsed/>
    <w:qFormat/>
    <w:rPr>
      <w:shd w:val="clear" w:color="auto" w:fill="auto"/>
      <w:vertAlign w:val="superscript"/>
    </w:rPr>
  </w:style>
  <w:style w:type="paragraph" w:customStyle="1" w:styleId="HeaderSensitivity">
    <w:name w:val="Header Sensitivity"/>
    <w:basedOn w:val="Normal"/>
    <w:rsid w:val="001B1F0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B1F0B"/>
    <w:pPr>
      <w:spacing w:before="0"/>
      <w:jc w:val="right"/>
    </w:pPr>
    <w:rPr>
      <w:sz w:val="28"/>
    </w:rPr>
  </w:style>
  <w:style w:type="paragraph" w:customStyle="1" w:styleId="FooterSensitivity">
    <w:name w:val="Footer Sensitivity"/>
    <w:basedOn w:val="Normal"/>
    <w:rsid w:val="001B1F0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qFormat/>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Tiret5">
    <w:name w:val="Tiret 5"/>
    <w:basedOn w:val="Point5"/>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NumPar5">
    <w:name w:val="NumPar 5"/>
    <w:basedOn w:val="Normal"/>
    <w:next w:val="Text2"/>
    <w:pPr>
      <w:numPr>
        <w:ilvl w:val="4"/>
        <w:numId w:val="42"/>
      </w:numPr>
    </w:pPr>
  </w:style>
  <w:style w:type="paragraph" w:customStyle="1" w:styleId="NumPar6">
    <w:name w:val="NumPar 6"/>
    <w:basedOn w:val="Normal"/>
    <w:next w:val="Text2"/>
    <w:pPr>
      <w:numPr>
        <w:ilvl w:val="5"/>
        <w:numId w:val="42"/>
      </w:numPr>
    </w:pPr>
  </w:style>
  <w:style w:type="paragraph" w:customStyle="1" w:styleId="NumPar7">
    <w:name w:val="NumPar 7"/>
    <w:basedOn w:val="Normal"/>
    <w:next w:val="Text2"/>
    <w:pPr>
      <w:numPr>
        <w:ilvl w:val="6"/>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1B1F0B"/>
    <w:pPr>
      <w:tabs>
        <w:tab w:val="center" w:pos="4535"/>
        <w:tab w:val="right" w:pos="9071"/>
      </w:tabs>
      <w:spacing w:before="0"/>
    </w:pPr>
  </w:style>
  <w:style w:type="paragraph" w:customStyle="1" w:styleId="HeaderLandscape">
    <w:name w:val="HeaderLandscape"/>
    <w:basedOn w:val="Normal"/>
    <w:rsid w:val="001B1F0B"/>
    <w:pPr>
      <w:tabs>
        <w:tab w:val="center" w:pos="7285"/>
        <w:tab w:val="right" w:pos="14003"/>
      </w:tabs>
      <w:spacing w:before="0"/>
    </w:pPr>
  </w:style>
  <w:style w:type="paragraph" w:styleId="Footer">
    <w:name w:val="footer"/>
    <w:basedOn w:val="Normal"/>
    <w:link w:val="FooterChar"/>
    <w:uiPriority w:val="99"/>
    <w:unhideWhenUsed/>
    <w:rsid w:val="001B1F0B"/>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1B1F0B"/>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4204">
      <w:bodyDiv w:val="1"/>
      <w:marLeft w:val="0"/>
      <w:marRight w:val="0"/>
      <w:marTop w:val="0"/>
      <w:marBottom w:val="0"/>
      <w:divBdr>
        <w:top w:val="none" w:sz="0" w:space="0" w:color="auto"/>
        <w:left w:val="none" w:sz="0" w:space="0" w:color="auto"/>
        <w:bottom w:val="none" w:sz="0" w:space="0" w:color="auto"/>
        <w:right w:val="none" w:sz="0" w:space="0" w:color="auto"/>
      </w:divBdr>
    </w:div>
    <w:div w:id="61493362">
      <w:bodyDiv w:val="1"/>
      <w:marLeft w:val="0"/>
      <w:marRight w:val="0"/>
      <w:marTop w:val="0"/>
      <w:marBottom w:val="0"/>
      <w:divBdr>
        <w:top w:val="none" w:sz="0" w:space="0" w:color="auto"/>
        <w:left w:val="none" w:sz="0" w:space="0" w:color="auto"/>
        <w:bottom w:val="none" w:sz="0" w:space="0" w:color="auto"/>
        <w:right w:val="none" w:sz="0" w:space="0" w:color="auto"/>
      </w:divBdr>
    </w:div>
    <w:div w:id="73864219">
      <w:bodyDiv w:val="1"/>
      <w:marLeft w:val="0"/>
      <w:marRight w:val="0"/>
      <w:marTop w:val="0"/>
      <w:marBottom w:val="0"/>
      <w:divBdr>
        <w:top w:val="none" w:sz="0" w:space="0" w:color="auto"/>
        <w:left w:val="none" w:sz="0" w:space="0" w:color="auto"/>
        <w:bottom w:val="none" w:sz="0" w:space="0" w:color="auto"/>
        <w:right w:val="none" w:sz="0" w:space="0" w:color="auto"/>
      </w:divBdr>
      <w:divsChild>
        <w:div w:id="976765246">
          <w:marLeft w:val="0"/>
          <w:marRight w:val="0"/>
          <w:marTop w:val="0"/>
          <w:marBottom w:val="0"/>
          <w:divBdr>
            <w:top w:val="none" w:sz="0" w:space="0" w:color="auto"/>
            <w:left w:val="none" w:sz="0" w:space="0" w:color="auto"/>
            <w:bottom w:val="none" w:sz="0" w:space="0" w:color="auto"/>
            <w:right w:val="none" w:sz="0" w:space="0" w:color="auto"/>
          </w:divBdr>
        </w:div>
      </w:divsChild>
    </w:div>
    <w:div w:id="102186723">
      <w:bodyDiv w:val="1"/>
      <w:marLeft w:val="0"/>
      <w:marRight w:val="0"/>
      <w:marTop w:val="0"/>
      <w:marBottom w:val="0"/>
      <w:divBdr>
        <w:top w:val="none" w:sz="0" w:space="0" w:color="auto"/>
        <w:left w:val="none" w:sz="0" w:space="0" w:color="auto"/>
        <w:bottom w:val="none" w:sz="0" w:space="0" w:color="auto"/>
        <w:right w:val="none" w:sz="0" w:space="0" w:color="auto"/>
      </w:divBdr>
      <w:divsChild>
        <w:div w:id="128015623">
          <w:marLeft w:val="0"/>
          <w:marRight w:val="0"/>
          <w:marTop w:val="0"/>
          <w:marBottom w:val="0"/>
          <w:divBdr>
            <w:top w:val="none" w:sz="0" w:space="0" w:color="auto"/>
            <w:left w:val="none" w:sz="0" w:space="0" w:color="auto"/>
            <w:bottom w:val="none" w:sz="0" w:space="0" w:color="auto"/>
            <w:right w:val="none" w:sz="0" w:space="0" w:color="auto"/>
          </w:divBdr>
          <w:divsChild>
            <w:div w:id="1382174085">
              <w:marLeft w:val="0"/>
              <w:marRight w:val="0"/>
              <w:marTop w:val="0"/>
              <w:marBottom w:val="0"/>
              <w:divBdr>
                <w:top w:val="none" w:sz="0" w:space="0" w:color="auto"/>
                <w:left w:val="none" w:sz="0" w:space="0" w:color="auto"/>
                <w:bottom w:val="none" w:sz="0" w:space="0" w:color="auto"/>
                <w:right w:val="none" w:sz="0" w:space="0" w:color="auto"/>
              </w:divBdr>
              <w:divsChild>
                <w:div w:id="296181203">
                  <w:marLeft w:val="0"/>
                  <w:marRight w:val="0"/>
                  <w:marTop w:val="0"/>
                  <w:marBottom w:val="0"/>
                  <w:divBdr>
                    <w:top w:val="none" w:sz="0" w:space="0" w:color="auto"/>
                    <w:left w:val="none" w:sz="0" w:space="0" w:color="auto"/>
                    <w:bottom w:val="none" w:sz="0" w:space="0" w:color="auto"/>
                    <w:right w:val="none" w:sz="0" w:space="0" w:color="auto"/>
                  </w:divBdr>
                  <w:divsChild>
                    <w:div w:id="1517304171">
                      <w:marLeft w:val="0"/>
                      <w:marRight w:val="0"/>
                      <w:marTop w:val="0"/>
                      <w:marBottom w:val="0"/>
                      <w:divBdr>
                        <w:top w:val="none" w:sz="0" w:space="0" w:color="auto"/>
                        <w:left w:val="none" w:sz="0" w:space="0" w:color="auto"/>
                        <w:bottom w:val="none" w:sz="0" w:space="0" w:color="auto"/>
                        <w:right w:val="none" w:sz="0" w:space="0" w:color="auto"/>
                      </w:divBdr>
                    </w:div>
                    <w:div w:id="1706368393">
                      <w:marLeft w:val="0"/>
                      <w:marRight w:val="0"/>
                      <w:marTop w:val="0"/>
                      <w:marBottom w:val="0"/>
                      <w:divBdr>
                        <w:top w:val="none" w:sz="0" w:space="0" w:color="auto"/>
                        <w:left w:val="none" w:sz="0" w:space="0" w:color="auto"/>
                        <w:bottom w:val="none" w:sz="0" w:space="0" w:color="auto"/>
                        <w:right w:val="none" w:sz="0" w:space="0" w:color="auto"/>
                      </w:divBdr>
                    </w:div>
                  </w:divsChild>
                </w:div>
                <w:div w:id="316499660">
                  <w:marLeft w:val="0"/>
                  <w:marRight w:val="0"/>
                  <w:marTop w:val="0"/>
                  <w:marBottom w:val="0"/>
                  <w:divBdr>
                    <w:top w:val="none" w:sz="0" w:space="0" w:color="auto"/>
                    <w:left w:val="none" w:sz="0" w:space="0" w:color="auto"/>
                    <w:bottom w:val="none" w:sz="0" w:space="0" w:color="auto"/>
                    <w:right w:val="none" w:sz="0" w:space="0" w:color="auto"/>
                  </w:divBdr>
                  <w:divsChild>
                    <w:div w:id="872424863">
                      <w:marLeft w:val="0"/>
                      <w:marRight w:val="0"/>
                      <w:marTop w:val="0"/>
                      <w:marBottom w:val="0"/>
                      <w:divBdr>
                        <w:top w:val="none" w:sz="0" w:space="0" w:color="auto"/>
                        <w:left w:val="none" w:sz="0" w:space="0" w:color="auto"/>
                        <w:bottom w:val="none" w:sz="0" w:space="0" w:color="auto"/>
                        <w:right w:val="none" w:sz="0" w:space="0" w:color="auto"/>
                      </w:divBdr>
                    </w:div>
                    <w:div w:id="1164860089">
                      <w:marLeft w:val="0"/>
                      <w:marRight w:val="0"/>
                      <w:marTop w:val="0"/>
                      <w:marBottom w:val="0"/>
                      <w:divBdr>
                        <w:top w:val="none" w:sz="0" w:space="0" w:color="auto"/>
                        <w:left w:val="none" w:sz="0" w:space="0" w:color="auto"/>
                        <w:bottom w:val="none" w:sz="0" w:space="0" w:color="auto"/>
                        <w:right w:val="none" w:sz="0" w:space="0" w:color="auto"/>
                      </w:divBdr>
                    </w:div>
                  </w:divsChild>
                </w:div>
                <w:div w:id="1417021797">
                  <w:marLeft w:val="0"/>
                  <w:marRight w:val="0"/>
                  <w:marTop w:val="0"/>
                  <w:marBottom w:val="0"/>
                  <w:divBdr>
                    <w:top w:val="none" w:sz="0" w:space="0" w:color="auto"/>
                    <w:left w:val="none" w:sz="0" w:space="0" w:color="auto"/>
                    <w:bottom w:val="none" w:sz="0" w:space="0" w:color="auto"/>
                    <w:right w:val="none" w:sz="0" w:space="0" w:color="auto"/>
                  </w:divBdr>
                  <w:divsChild>
                    <w:div w:id="206767157">
                      <w:marLeft w:val="0"/>
                      <w:marRight w:val="0"/>
                      <w:marTop w:val="0"/>
                      <w:marBottom w:val="0"/>
                      <w:divBdr>
                        <w:top w:val="none" w:sz="0" w:space="0" w:color="auto"/>
                        <w:left w:val="none" w:sz="0" w:space="0" w:color="auto"/>
                        <w:bottom w:val="none" w:sz="0" w:space="0" w:color="auto"/>
                        <w:right w:val="none" w:sz="0" w:space="0" w:color="auto"/>
                      </w:divBdr>
                    </w:div>
                    <w:div w:id="2028017694">
                      <w:marLeft w:val="0"/>
                      <w:marRight w:val="0"/>
                      <w:marTop w:val="0"/>
                      <w:marBottom w:val="0"/>
                      <w:divBdr>
                        <w:top w:val="none" w:sz="0" w:space="0" w:color="auto"/>
                        <w:left w:val="none" w:sz="0" w:space="0" w:color="auto"/>
                        <w:bottom w:val="none" w:sz="0" w:space="0" w:color="auto"/>
                        <w:right w:val="none" w:sz="0" w:space="0" w:color="auto"/>
                      </w:divBdr>
                    </w:div>
                  </w:divsChild>
                </w:div>
                <w:div w:id="1425416666">
                  <w:marLeft w:val="0"/>
                  <w:marRight w:val="0"/>
                  <w:marTop w:val="0"/>
                  <w:marBottom w:val="0"/>
                  <w:divBdr>
                    <w:top w:val="none" w:sz="0" w:space="0" w:color="auto"/>
                    <w:left w:val="none" w:sz="0" w:space="0" w:color="auto"/>
                    <w:bottom w:val="none" w:sz="0" w:space="0" w:color="auto"/>
                    <w:right w:val="none" w:sz="0" w:space="0" w:color="auto"/>
                  </w:divBdr>
                  <w:divsChild>
                    <w:div w:id="1161232730">
                      <w:marLeft w:val="0"/>
                      <w:marRight w:val="0"/>
                      <w:marTop w:val="0"/>
                      <w:marBottom w:val="0"/>
                      <w:divBdr>
                        <w:top w:val="none" w:sz="0" w:space="0" w:color="auto"/>
                        <w:left w:val="none" w:sz="0" w:space="0" w:color="auto"/>
                        <w:bottom w:val="none" w:sz="0" w:space="0" w:color="auto"/>
                        <w:right w:val="none" w:sz="0" w:space="0" w:color="auto"/>
                      </w:divBdr>
                    </w:div>
                    <w:div w:id="1628396178">
                      <w:marLeft w:val="0"/>
                      <w:marRight w:val="0"/>
                      <w:marTop w:val="0"/>
                      <w:marBottom w:val="0"/>
                      <w:divBdr>
                        <w:top w:val="none" w:sz="0" w:space="0" w:color="auto"/>
                        <w:left w:val="none" w:sz="0" w:space="0" w:color="auto"/>
                        <w:bottom w:val="none" w:sz="0" w:space="0" w:color="auto"/>
                        <w:right w:val="none" w:sz="0" w:space="0" w:color="auto"/>
                      </w:divBdr>
                    </w:div>
                  </w:divsChild>
                </w:div>
                <w:div w:id="1478843170">
                  <w:marLeft w:val="0"/>
                  <w:marRight w:val="0"/>
                  <w:marTop w:val="0"/>
                  <w:marBottom w:val="0"/>
                  <w:divBdr>
                    <w:top w:val="none" w:sz="0" w:space="0" w:color="auto"/>
                    <w:left w:val="none" w:sz="0" w:space="0" w:color="auto"/>
                    <w:bottom w:val="none" w:sz="0" w:space="0" w:color="auto"/>
                    <w:right w:val="none" w:sz="0" w:space="0" w:color="auto"/>
                  </w:divBdr>
                  <w:divsChild>
                    <w:div w:id="1121261151">
                      <w:marLeft w:val="0"/>
                      <w:marRight w:val="0"/>
                      <w:marTop w:val="0"/>
                      <w:marBottom w:val="0"/>
                      <w:divBdr>
                        <w:top w:val="none" w:sz="0" w:space="0" w:color="auto"/>
                        <w:left w:val="none" w:sz="0" w:space="0" w:color="auto"/>
                        <w:bottom w:val="none" w:sz="0" w:space="0" w:color="auto"/>
                        <w:right w:val="none" w:sz="0" w:space="0" w:color="auto"/>
                      </w:divBdr>
                    </w:div>
                    <w:div w:id="1997106729">
                      <w:marLeft w:val="0"/>
                      <w:marRight w:val="0"/>
                      <w:marTop w:val="0"/>
                      <w:marBottom w:val="0"/>
                      <w:divBdr>
                        <w:top w:val="none" w:sz="0" w:space="0" w:color="auto"/>
                        <w:left w:val="none" w:sz="0" w:space="0" w:color="auto"/>
                        <w:bottom w:val="none" w:sz="0" w:space="0" w:color="auto"/>
                        <w:right w:val="none" w:sz="0" w:space="0" w:color="auto"/>
                      </w:divBdr>
                    </w:div>
                  </w:divsChild>
                </w:div>
                <w:div w:id="1506436720">
                  <w:marLeft w:val="0"/>
                  <w:marRight w:val="0"/>
                  <w:marTop w:val="0"/>
                  <w:marBottom w:val="0"/>
                  <w:divBdr>
                    <w:top w:val="none" w:sz="0" w:space="0" w:color="auto"/>
                    <w:left w:val="none" w:sz="0" w:space="0" w:color="auto"/>
                    <w:bottom w:val="none" w:sz="0" w:space="0" w:color="auto"/>
                    <w:right w:val="none" w:sz="0" w:space="0" w:color="auto"/>
                  </w:divBdr>
                  <w:divsChild>
                    <w:div w:id="1200170262">
                      <w:marLeft w:val="0"/>
                      <w:marRight w:val="0"/>
                      <w:marTop w:val="0"/>
                      <w:marBottom w:val="0"/>
                      <w:divBdr>
                        <w:top w:val="none" w:sz="0" w:space="0" w:color="auto"/>
                        <w:left w:val="none" w:sz="0" w:space="0" w:color="auto"/>
                        <w:bottom w:val="none" w:sz="0" w:space="0" w:color="auto"/>
                        <w:right w:val="none" w:sz="0" w:space="0" w:color="auto"/>
                      </w:divBdr>
                    </w:div>
                    <w:div w:id="2076657190">
                      <w:marLeft w:val="0"/>
                      <w:marRight w:val="0"/>
                      <w:marTop w:val="0"/>
                      <w:marBottom w:val="0"/>
                      <w:divBdr>
                        <w:top w:val="none" w:sz="0" w:space="0" w:color="auto"/>
                        <w:left w:val="none" w:sz="0" w:space="0" w:color="auto"/>
                        <w:bottom w:val="none" w:sz="0" w:space="0" w:color="auto"/>
                        <w:right w:val="none" w:sz="0" w:space="0" w:color="auto"/>
                      </w:divBdr>
                    </w:div>
                  </w:divsChild>
                </w:div>
                <w:div w:id="1655405406">
                  <w:marLeft w:val="0"/>
                  <w:marRight w:val="0"/>
                  <w:marTop w:val="0"/>
                  <w:marBottom w:val="0"/>
                  <w:divBdr>
                    <w:top w:val="none" w:sz="0" w:space="0" w:color="auto"/>
                    <w:left w:val="none" w:sz="0" w:space="0" w:color="auto"/>
                    <w:bottom w:val="none" w:sz="0" w:space="0" w:color="auto"/>
                    <w:right w:val="none" w:sz="0" w:space="0" w:color="auto"/>
                  </w:divBdr>
                  <w:divsChild>
                    <w:div w:id="996227525">
                      <w:marLeft w:val="0"/>
                      <w:marRight w:val="0"/>
                      <w:marTop w:val="0"/>
                      <w:marBottom w:val="0"/>
                      <w:divBdr>
                        <w:top w:val="none" w:sz="0" w:space="0" w:color="auto"/>
                        <w:left w:val="none" w:sz="0" w:space="0" w:color="auto"/>
                        <w:bottom w:val="none" w:sz="0" w:space="0" w:color="auto"/>
                        <w:right w:val="none" w:sz="0" w:space="0" w:color="auto"/>
                      </w:divBdr>
                    </w:div>
                    <w:div w:id="17592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66915">
      <w:bodyDiv w:val="1"/>
      <w:marLeft w:val="0"/>
      <w:marRight w:val="0"/>
      <w:marTop w:val="0"/>
      <w:marBottom w:val="0"/>
      <w:divBdr>
        <w:top w:val="none" w:sz="0" w:space="0" w:color="auto"/>
        <w:left w:val="none" w:sz="0" w:space="0" w:color="auto"/>
        <w:bottom w:val="none" w:sz="0" w:space="0" w:color="auto"/>
        <w:right w:val="none" w:sz="0" w:space="0" w:color="auto"/>
      </w:divBdr>
      <w:divsChild>
        <w:div w:id="1619487601">
          <w:marLeft w:val="0"/>
          <w:marRight w:val="0"/>
          <w:marTop w:val="0"/>
          <w:marBottom w:val="0"/>
          <w:divBdr>
            <w:top w:val="none" w:sz="0" w:space="0" w:color="auto"/>
            <w:left w:val="none" w:sz="0" w:space="0" w:color="auto"/>
            <w:bottom w:val="none" w:sz="0" w:space="0" w:color="auto"/>
            <w:right w:val="none" w:sz="0" w:space="0" w:color="auto"/>
          </w:divBdr>
          <w:divsChild>
            <w:div w:id="1051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7781">
      <w:bodyDiv w:val="1"/>
      <w:marLeft w:val="0"/>
      <w:marRight w:val="0"/>
      <w:marTop w:val="0"/>
      <w:marBottom w:val="0"/>
      <w:divBdr>
        <w:top w:val="none" w:sz="0" w:space="0" w:color="auto"/>
        <w:left w:val="none" w:sz="0" w:space="0" w:color="auto"/>
        <w:bottom w:val="none" w:sz="0" w:space="0" w:color="auto"/>
        <w:right w:val="none" w:sz="0" w:space="0" w:color="auto"/>
      </w:divBdr>
      <w:divsChild>
        <w:div w:id="539586261">
          <w:marLeft w:val="0"/>
          <w:marRight w:val="0"/>
          <w:marTop w:val="0"/>
          <w:marBottom w:val="0"/>
          <w:divBdr>
            <w:top w:val="none" w:sz="0" w:space="0" w:color="auto"/>
            <w:left w:val="none" w:sz="0" w:space="0" w:color="auto"/>
            <w:bottom w:val="none" w:sz="0" w:space="0" w:color="auto"/>
            <w:right w:val="none" w:sz="0" w:space="0" w:color="auto"/>
          </w:divBdr>
        </w:div>
        <w:div w:id="1309477325">
          <w:marLeft w:val="0"/>
          <w:marRight w:val="0"/>
          <w:marTop w:val="0"/>
          <w:marBottom w:val="0"/>
          <w:divBdr>
            <w:top w:val="none" w:sz="0" w:space="0" w:color="auto"/>
            <w:left w:val="none" w:sz="0" w:space="0" w:color="auto"/>
            <w:bottom w:val="none" w:sz="0" w:space="0" w:color="auto"/>
            <w:right w:val="none" w:sz="0" w:space="0" w:color="auto"/>
          </w:divBdr>
        </w:div>
        <w:div w:id="1601716921">
          <w:marLeft w:val="0"/>
          <w:marRight w:val="0"/>
          <w:marTop w:val="0"/>
          <w:marBottom w:val="0"/>
          <w:divBdr>
            <w:top w:val="none" w:sz="0" w:space="0" w:color="auto"/>
            <w:left w:val="none" w:sz="0" w:space="0" w:color="auto"/>
            <w:bottom w:val="none" w:sz="0" w:space="0" w:color="auto"/>
            <w:right w:val="none" w:sz="0" w:space="0" w:color="auto"/>
          </w:divBdr>
        </w:div>
      </w:divsChild>
    </w:div>
    <w:div w:id="257560761">
      <w:bodyDiv w:val="1"/>
      <w:marLeft w:val="0"/>
      <w:marRight w:val="0"/>
      <w:marTop w:val="0"/>
      <w:marBottom w:val="0"/>
      <w:divBdr>
        <w:top w:val="none" w:sz="0" w:space="0" w:color="auto"/>
        <w:left w:val="none" w:sz="0" w:space="0" w:color="auto"/>
        <w:bottom w:val="none" w:sz="0" w:space="0" w:color="auto"/>
        <w:right w:val="none" w:sz="0" w:space="0" w:color="auto"/>
      </w:divBdr>
      <w:divsChild>
        <w:div w:id="2055765518">
          <w:marLeft w:val="0"/>
          <w:marRight w:val="0"/>
          <w:marTop w:val="0"/>
          <w:marBottom w:val="0"/>
          <w:divBdr>
            <w:top w:val="none" w:sz="0" w:space="0" w:color="auto"/>
            <w:left w:val="none" w:sz="0" w:space="0" w:color="auto"/>
            <w:bottom w:val="none" w:sz="0" w:space="0" w:color="auto"/>
            <w:right w:val="none" w:sz="0" w:space="0" w:color="auto"/>
          </w:divBdr>
          <w:divsChild>
            <w:div w:id="248346554">
              <w:marLeft w:val="0"/>
              <w:marRight w:val="0"/>
              <w:marTop w:val="0"/>
              <w:marBottom w:val="0"/>
              <w:divBdr>
                <w:top w:val="none" w:sz="0" w:space="0" w:color="auto"/>
                <w:left w:val="none" w:sz="0" w:space="0" w:color="auto"/>
                <w:bottom w:val="none" w:sz="0" w:space="0" w:color="auto"/>
                <w:right w:val="none" w:sz="0" w:space="0" w:color="auto"/>
              </w:divBdr>
            </w:div>
            <w:div w:id="11182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238">
      <w:bodyDiv w:val="1"/>
      <w:marLeft w:val="0"/>
      <w:marRight w:val="0"/>
      <w:marTop w:val="0"/>
      <w:marBottom w:val="0"/>
      <w:divBdr>
        <w:top w:val="none" w:sz="0" w:space="0" w:color="auto"/>
        <w:left w:val="none" w:sz="0" w:space="0" w:color="auto"/>
        <w:bottom w:val="none" w:sz="0" w:space="0" w:color="auto"/>
        <w:right w:val="none" w:sz="0" w:space="0" w:color="auto"/>
      </w:divBdr>
      <w:divsChild>
        <w:div w:id="1125393508">
          <w:marLeft w:val="0"/>
          <w:marRight w:val="0"/>
          <w:marTop w:val="0"/>
          <w:marBottom w:val="0"/>
          <w:divBdr>
            <w:top w:val="none" w:sz="0" w:space="0" w:color="auto"/>
            <w:left w:val="none" w:sz="0" w:space="0" w:color="auto"/>
            <w:bottom w:val="none" w:sz="0" w:space="0" w:color="auto"/>
            <w:right w:val="none" w:sz="0" w:space="0" w:color="auto"/>
          </w:divBdr>
          <w:divsChild>
            <w:div w:id="482546117">
              <w:marLeft w:val="0"/>
              <w:marRight w:val="0"/>
              <w:marTop w:val="0"/>
              <w:marBottom w:val="0"/>
              <w:divBdr>
                <w:top w:val="none" w:sz="0" w:space="0" w:color="auto"/>
                <w:left w:val="none" w:sz="0" w:space="0" w:color="auto"/>
                <w:bottom w:val="none" w:sz="0" w:space="0" w:color="auto"/>
                <w:right w:val="none" w:sz="0" w:space="0" w:color="auto"/>
              </w:divBdr>
            </w:div>
            <w:div w:id="1224489238">
              <w:marLeft w:val="0"/>
              <w:marRight w:val="0"/>
              <w:marTop w:val="0"/>
              <w:marBottom w:val="0"/>
              <w:divBdr>
                <w:top w:val="none" w:sz="0" w:space="0" w:color="auto"/>
                <w:left w:val="none" w:sz="0" w:space="0" w:color="auto"/>
                <w:bottom w:val="none" w:sz="0" w:space="0" w:color="auto"/>
                <w:right w:val="none" w:sz="0" w:space="0" w:color="auto"/>
              </w:divBdr>
            </w:div>
            <w:div w:id="21279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4944">
      <w:bodyDiv w:val="1"/>
      <w:marLeft w:val="0"/>
      <w:marRight w:val="0"/>
      <w:marTop w:val="0"/>
      <w:marBottom w:val="0"/>
      <w:divBdr>
        <w:top w:val="none" w:sz="0" w:space="0" w:color="auto"/>
        <w:left w:val="none" w:sz="0" w:space="0" w:color="auto"/>
        <w:bottom w:val="none" w:sz="0" w:space="0" w:color="auto"/>
        <w:right w:val="none" w:sz="0" w:space="0" w:color="auto"/>
      </w:divBdr>
      <w:divsChild>
        <w:div w:id="1770080115">
          <w:marLeft w:val="0"/>
          <w:marRight w:val="0"/>
          <w:marTop w:val="0"/>
          <w:marBottom w:val="0"/>
          <w:divBdr>
            <w:top w:val="none" w:sz="0" w:space="0" w:color="auto"/>
            <w:left w:val="none" w:sz="0" w:space="0" w:color="auto"/>
            <w:bottom w:val="none" w:sz="0" w:space="0" w:color="auto"/>
            <w:right w:val="none" w:sz="0" w:space="0" w:color="auto"/>
          </w:divBdr>
          <w:divsChild>
            <w:div w:id="801650234">
              <w:marLeft w:val="0"/>
              <w:marRight w:val="0"/>
              <w:marTop w:val="0"/>
              <w:marBottom w:val="0"/>
              <w:divBdr>
                <w:top w:val="none" w:sz="0" w:space="0" w:color="auto"/>
                <w:left w:val="none" w:sz="0" w:space="0" w:color="auto"/>
                <w:bottom w:val="none" w:sz="0" w:space="0" w:color="auto"/>
                <w:right w:val="none" w:sz="0" w:space="0" w:color="auto"/>
              </w:divBdr>
            </w:div>
            <w:div w:id="1349714001">
              <w:marLeft w:val="0"/>
              <w:marRight w:val="0"/>
              <w:marTop w:val="0"/>
              <w:marBottom w:val="0"/>
              <w:divBdr>
                <w:top w:val="none" w:sz="0" w:space="0" w:color="auto"/>
                <w:left w:val="none" w:sz="0" w:space="0" w:color="auto"/>
                <w:bottom w:val="none" w:sz="0" w:space="0" w:color="auto"/>
                <w:right w:val="none" w:sz="0" w:space="0" w:color="auto"/>
              </w:divBdr>
            </w:div>
            <w:div w:id="17860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2923">
      <w:bodyDiv w:val="1"/>
      <w:marLeft w:val="0"/>
      <w:marRight w:val="0"/>
      <w:marTop w:val="0"/>
      <w:marBottom w:val="0"/>
      <w:divBdr>
        <w:top w:val="none" w:sz="0" w:space="0" w:color="auto"/>
        <w:left w:val="none" w:sz="0" w:space="0" w:color="auto"/>
        <w:bottom w:val="none" w:sz="0" w:space="0" w:color="auto"/>
        <w:right w:val="none" w:sz="0" w:space="0" w:color="auto"/>
      </w:divBdr>
      <w:divsChild>
        <w:div w:id="128133365">
          <w:marLeft w:val="0"/>
          <w:marRight w:val="0"/>
          <w:marTop w:val="0"/>
          <w:marBottom w:val="0"/>
          <w:divBdr>
            <w:top w:val="none" w:sz="0" w:space="0" w:color="auto"/>
            <w:left w:val="none" w:sz="0" w:space="0" w:color="auto"/>
            <w:bottom w:val="none" w:sz="0" w:space="0" w:color="auto"/>
            <w:right w:val="none" w:sz="0" w:space="0" w:color="auto"/>
          </w:divBdr>
          <w:divsChild>
            <w:div w:id="2039578546">
              <w:marLeft w:val="0"/>
              <w:marRight w:val="0"/>
              <w:marTop w:val="0"/>
              <w:marBottom w:val="0"/>
              <w:divBdr>
                <w:top w:val="none" w:sz="0" w:space="0" w:color="auto"/>
                <w:left w:val="none" w:sz="0" w:space="0" w:color="auto"/>
                <w:bottom w:val="none" w:sz="0" w:space="0" w:color="auto"/>
                <w:right w:val="none" w:sz="0" w:space="0" w:color="auto"/>
              </w:divBdr>
            </w:div>
          </w:divsChild>
        </w:div>
        <w:div w:id="232547520">
          <w:marLeft w:val="0"/>
          <w:marRight w:val="0"/>
          <w:marTop w:val="0"/>
          <w:marBottom w:val="0"/>
          <w:divBdr>
            <w:top w:val="none" w:sz="0" w:space="0" w:color="auto"/>
            <w:left w:val="none" w:sz="0" w:space="0" w:color="auto"/>
            <w:bottom w:val="none" w:sz="0" w:space="0" w:color="auto"/>
            <w:right w:val="none" w:sz="0" w:space="0" w:color="auto"/>
          </w:divBdr>
          <w:divsChild>
            <w:div w:id="1264924923">
              <w:marLeft w:val="0"/>
              <w:marRight w:val="0"/>
              <w:marTop w:val="0"/>
              <w:marBottom w:val="0"/>
              <w:divBdr>
                <w:top w:val="none" w:sz="0" w:space="0" w:color="auto"/>
                <w:left w:val="none" w:sz="0" w:space="0" w:color="auto"/>
                <w:bottom w:val="none" w:sz="0" w:space="0" w:color="auto"/>
                <w:right w:val="none" w:sz="0" w:space="0" w:color="auto"/>
              </w:divBdr>
            </w:div>
          </w:divsChild>
        </w:div>
        <w:div w:id="1388995325">
          <w:marLeft w:val="0"/>
          <w:marRight w:val="0"/>
          <w:marTop w:val="0"/>
          <w:marBottom w:val="0"/>
          <w:divBdr>
            <w:top w:val="none" w:sz="0" w:space="0" w:color="auto"/>
            <w:left w:val="none" w:sz="0" w:space="0" w:color="auto"/>
            <w:bottom w:val="none" w:sz="0" w:space="0" w:color="auto"/>
            <w:right w:val="none" w:sz="0" w:space="0" w:color="auto"/>
          </w:divBdr>
          <w:divsChild>
            <w:div w:id="413280304">
              <w:marLeft w:val="0"/>
              <w:marRight w:val="0"/>
              <w:marTop w:val="0"/>
              <w:marBottom w:val="0"/>
              <w:divBdr>
                <w:top w:val="none" w:sz="0" w:space="0" w:color="auto"/>
                <w:left w:val="none" w:sz="0" w:space="0" w:color="auto"/>
                <w:bottom w:val="none" w:sz="0" w:space="0" w:color="auto"/>
                <w:right w:val="none" w:sz="0" w:space="0" w:color="auto"/>
              </w:divBdr>
            </w:div>
          </w:divsChild>
        </w:div>
        <w:div w:id="1482231810">
          <w:marLeft w:val="0"/>
          <w:marRight w:val="0"/>
          <w:marTop w:val="0"/>
          <w:marBottom w:val="0"/>
          <w:divBdr>
            <w:top w:val="none" w:sz="0" w:space="0" w:color="auto"/>
            <w:left w:val="none" w:sz="0" w:space="0" w:color="auto"/>
            <w:bottom w:val="none" w:sz="0" w:space="0" w:color="auto"/>
            <w:right w:val="none" w:sz="0" w:space="0" w:color="auto"/>
          </w:divBdr>
          <w:divsChild>
            <w:div w:id="385689345">
              <w:marLeft w:val="0"/>
              <w:marRight w:val="0"/>
              <w:marTop w:val="0"/>
              <w:marBottom w:val="0"/>
              <w:divBdr>
                <w:top w:val="none" w:sz="0" w:space="0" w:color="auto"/>
                <w:left w:val="none" w:sz="0" w:space="0" w:color="auto"/>
                <w:bottom w:val="none" w:sz="0" w:space="0" w:color="auto"/>
                <w:right w:val="none" w:sz="0" w:space="0" w:color="auto"/>
              </w:divBdr>
            </w:div>
          </w:divsChild>
        </w:div>
        <w:div w:id="1509364901">
          <w:marLeft w:val="0"/>
          <w:marRight w:val="0"/>
          <w:marTop w:val="0"/>
          <w:marBottom w:val="0"/>
          <w:divBdr>
            <w:top w:val="none" w:sz="0" w:space="0" w:color="auto"/>
            <w:left w:val="none" w:sz="0" w:space="0" w:color="auto"/>
            <w:bottom w:val="none" w:sz="0" w:space="0" w:color="auto"/>
            <w:right w:val="none" w:sz="0" w:space="0" w:color="auto"/>
          </w:divBdr>
          <w:divsChild>
            <w:div w:id="904026581">
              <w:marLeft w:val="0"/>
              <w:marRight w:val="0"/>
              <w:marTop w:val="0"/>
              <w:marBottom w:val="0"/>
              <w:divBdr>
                <w:top w:val="none" w:sz="0" w:space="0" w:color="auto"/>
                <w:left w:val="none" w:sz="0" w:space="0" w:color="auto"/>
                <w:bottom w:val="none" w:sz="0" w:space="0" w:color="auto"/>
                <w:right w:val="none" w:sz="0" w:space="0" w:color="auto"/>
              </w:divBdr>
            </w:div>
          </w:divsChild>
        </w:div>
        <w:div w:id="1652631544">
          <w:marLeft w:val="0"/>
          <w:marRight w:val="0"/>
          <w:marTop w:val="0"/>
          <w:marBottom w:val="0"/>
          <w:divBdr>
            <w:top w:val="none" w:sz="0" w:space="0" w:color="auto"/>
            <w:left w:val="none" w:sz="0" w:space="0" w:color="auto"/>
            <w:bottom w:val="none" w:sz="0" w:space="0" w:color="auto"/>
            <w:right w:val="none" w:sz="0" w:space="0" w:color="auto"/>
          </w:divBdr>
          <w:divsChild>
            <w:div w:id="6812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90749">
      <w:bodyDiv w:val="1"/>
      <w:marLeft w:val="0"/>
      <w:marRight w:val="0"/>
      <w:marTop w:val="0"/>
      <w:marBottom w:val="0"/>
      <w:divBdr>
        <w:top w:val="none" w:sz="0" w:space="0" w:color="auto"/>
        <w:left w:val="none" w:sz="0" w:space="0" w:color="auto"/>
        <w:bottom w:val="none" w:sz="0" w:space="0" w:color="auto"/>
        <w:right w:val="none" w:sz="0" w:space="0" w:color="auto"/>
      </w:divBdr>
      <w:divsChild>
        <w:div w:id="780346498">
          <w:marLeft w:val="0"/>
          <w:marRight w:val="0"/>
          <w:marTop w:val="0"/>
          <w:marBottom w:val="0"/>
          <w:divBdr>
            <w:top w:val="none" w:sz="0" w:space="0" w:color="auto"/>
            <w:left w:val="none" w:sz="0" w:space="0" w:color="auto"/>
            <w:bottom w:val="none" w:sz="0" w:space="0" w:color="auto"/>
            <w:right w:val="none" w:sz="0" w:space="0" w:color="auto"/>
          </w:divBdr>
          <w:divsChild>
            <w:div w:id="1610896928">
              <w:marLeft w:val="0"/>
              <w:marRight w:val="0"/>
              <w:marTop w:val="0"/>
              <w:marBottom w:val="0"/>
              <w:divBdr>
                <w:top w:val="none" w:sz="0" w:space="0" w:color="auto"/>
                <w:left w:val="none" w:sz="0" w:space="0" w:color="auto"/>
                <w:bottom w:val="none" w:sz="0" w:space="0" w:color="auto"/>
                <w:right w:val="none" w:sz="0" w:space="0" w:color="auto"/>
              </w:divBdr>
              <w:divsChild>
                <w:div w:id="30040520">
                  <w:marLeft w:val="0"/>
                  <w:marRight w:val="0"/>
                  <w:marTop w:val="0"/>
                  <w:marBottom w:val="0"/>
                  <w:divBdr>
                    <w:top w:val="none" w:sz="0" w:space="0" w:color="auto"/>
                    <w:left w:val="none" w:sz="0" w:space="0" w:color="auto"/>
                    <w:bottom w:val="none" w:sz="0" w:space="0" w:color="auto"/>
                    <w:right w:val="none" w:sz="0" w:space="0" w:color="auto"/>
                  </w:divBdr>
                  <w:divsChild>
                    <w:div w:id="256982470">
                      <w:marLeft w:val="0"/>
                      <w:marRight w:val="0"/>
                      <w:marTop w:val="0"/>
                      <w:marBottom w:val="0"/>
                      <w:divBdr>
                        <w:top w:val="none" w:sz="0" w:space="0" w:color="auto"/>
                        <w:left w:val="none" w:sz="0" w:space="0" w:color="auto"/>
                        <w:bottom w:val="none" w:sz="0" w:space="0" w:color="auto"/>
                        <w:right w:val="none" w:sz="0" w:space="0" w:color="auto"/>
                      </w:divBdr>
                    </w:div>
                    <w:div w:id="1946228047">
                      <w:marLeft w:val="0"/>
                      <w:marRight w:val="0"/>
                      <w:marTop w:val="0"/>
                      <w:marBottom w:val="0"/>
                      <w:divBdr>
                        <w:top w:val="none" w:sz="0" w:space="0" w:color="auto"/>
                        <w:left w:val="none" w:sz="0" w:space="0" w:color="auto"/>
                        <w:bottom w:val="none" w:sz="0" w:space="0" w:color="auto"/>
                        <w:right w:val="none" w:sz="0" w:space="0" w:color="auto"/>
                      </w:divBdr>
                    </w:div>
                  </w:divsChild>
                </w:div>
                <w:div w:id="74859114">
                  <w:marLeft w:val="0"/>
                  <w:marRight w:val="0"/>
                  <w:marTop w:val="0"/>
                  <w:marBottom w:val="0"/>
                  <w:divBdr>
                    <w:top w:val="none" w:sz="0" w:space="0" w:color="auto"/>
                    <w:left w:val="none" w:sz="0" w:space="0" w:color="auto"/>
                    <w:bottom w:val="none" w:sz="0" w:space="0" w:color="auto"/>
                    <w:right w:val="none" w:sz="0" w:space="0" w:color="auto"/>
                  </w:divBdr>
                  <w:divsChild>
                    <w:div w:id="741172654">
                      <w:marLeft w:val="0"/>
                      <w:marRight w:val="0"/>
                      <w:marTop w:val="0"/>
                      <w:marBottom w:val="0"/>
                      <w:divBdr>
                        <w:top w:val="none" w:sz="0" w:space="0" w:color="auto"/>
                        <w:left w:val="none" w:sz="0" w:space="0" w:color="auto"/>
                        <w:bottom w:val="none" w:sz="0" w:space="0" w:color="auto"/>
                        <w:right w:val="none" w:sz="0" w:space="0" w:color="auto"/>
                      </w:divBdr>
                    </w:div>
                    <w:div w:id="1524782536">
                      <w:marLeft w:val="0"/>
                      <w:marRight w:val="0"/>
                      <w:marTop w:val="0"/>
                      <w:marBottom w:val="0"/>
                      <w:divBdr>
                        <w:top w:val="none" w:sz="0" w:space="0" w:color="auto"/>
                        <w:left w:val="none" w:sz="0" w:space="0" w:color="auto"/>
                        <w:bottom w:val="none" w:sz="0" w:space="0" w:color="auto"/>
                        <w:right w:val="none" w:sz="0" w:space="0" w:color="auto"/>
                      </w:divBdr>
                    </w:div>
                  </w:divsChild>
                </w:div>
                <w:div w:id="307900527">
                  <w:marLeft w:val="0"/>
                  <w:marRight w:val="0"/>
                  <w:marTop w:val="0"/>
                  <w:marBottom w:val="0"/>
                  <w:divBdr>
                    <w:top w:val="none" w:sz="0" w:space="0" w:color="auto"/>
                    <w:left w:val="none" w:sz="0" w:space="0" w:color="auto"/>
                    <w:bottom w:val="none" w:sz="0" w:space="0" w:color="auto"/>
                    <w:right w:val="none" w:sz="0" w:space="0" w:color="auto"/>
                  </w:divBdr>
                  <w:divsChild>
                    <w:div w:id="1396398243">
                      <w:marLeft w:val="0"/>
                      <w:marRight w:val="0"/>
                      <w:marTop w:val="0"/>
                      <w:marBottom w:val="0"/>
                      <w:divBdr>
                        <w:top w:val="none" w:sz="0" w:space="0" w:color="auto"/>
                        <w:left w:val="none" w:sz="0" w:space="0" w:color="auto"/>
                        <w:bottom w:val="none" w:sz="0" w:space="0" w:color="auto"/>
                        <w:right w:val="none" w:sz="0" w:space="0" w:color="auto"/>
                      </w:divBdr>
                    </w:div>
                    <w:div w:id="1418092846">
                      <w:marLeft w:val="0"/>
                      <w:marRight w:val="0"/>
                      <w:marTop w:val="0"/>
                      <w:marBottom w:val="0"/>
                      <w:divBdr>
                        <w:top w:val="none" w:sz="0" w:space="0" w:color="auto"/>
                        <w:left w:val="none" w:sz="0" w:space="0" w:color="auto"/>
                        <w:bottom w:val="none" w:sz="0" w:space="0" w:color="auto"/>
                        <w:right w:val="none" w:sz="0" w:space="0" w:color="auto"/>
                      </w:divBdr>
                    </w:div>
                  </w:divsChild>
                </w:div>
                <w:div w:id="911742708">
                  <w:marLeft w:val="0"/>
                  <w:marRight w:val="0"/>
                  <w:marTop w:val="0"/>
                  <w:marBottom w:val="0"/>
                  <w:divBdr>
                    <w:top w:val="none" w:sz="0" w:space="0" w:color="auto"/>
                    <w:left w:val="none" w:sz="0" w:space="0" w:color="auto"/>
                    <w:bottom w:val="none" w:sz="0" w:space="0" w:color="auto"/>
                    <w:right w:val="none" w:sz="0" w:space="0" w:color="auto"/>
                  </w:divBdr>
                  <w:divsChild>
                    <w:div w:id="244338160">
                      <w:marLeft w:val="0"/>
                      <w:marRight w:val="0"/>
                      <w:marTop w:val="0"/>
                      <w:marBottom w:val="0"/>
                      <w:divBdr>
                        <w:top w:val="none" w:sz="0" w:space="0" w:color="auto"/>
                        <w:left w:val="none" w:sz="0" w:space="0" w:color="auto"/>
                        <w:bottom w:val="none" w:sz="0" w:space="0" w:color="auto"/>
                        <w:right w:val="none" w:sz="0" w:space="0" w:color="auto"/>
                      </w:divBdr>
                    </w:div>
                    <w:div w:id="2139257526">
                      <w:marLeft w:val="0"/>
                      <w:marRight w:val="0"/>
                      <w:marTop w:val="0"/>
                      <w:marBottom w:val="0"/>
                      <w:divBdr>
                        <w:top w:val="none" w:sz="0" w:space="0" w:color="auto"/>
                        <w:left w:val="none" w:sz="0" w:space="0" w:color="auto"/>
                        <w:bottom w:val="none" w:sz="0" w:space="0" w:color="auto"/>
                        <w:right w:val="none" w:sz="0" w:space="0" w:color="auto"/>
                      </w:divBdr>
                    </w:div>
                  </w:divsChild>
                </w:div>
                <w:div w:id="1431194663">
                  <w:marLeft w:val="0"/>
                  <w:marRight w:val="0"/>
                  <w:marTop w:val="0"/>
                  <w:marBottom w:val="0"/>
                  <w:divBdr>
                    <w:top w:val="none" w:sz="0" w:space="0" w:color="auto"/>
                    <w:left w:val="none" w:sz="0" w:space="0" w:color="auto"/>
                    <w:bottom w:val="none" w:sz="0" w:space="0" w:color="auto"/>
                    <w:right w:val="none" w:sz="0" w:space="0" w:color="auto"/>
                  </w:divBdr>
                  <w:divsChild>
                    <w:div w:id="970860642">
                      <w:marLeft w:val="0"/>
                      <w:marRight w:val="0"/>
                      <w:marTop w:val="0"/>
                      <w:marBottom w:val="0"/>
                      <w:divBdr>
                        <w:top w:val="none" w:sz="0" w:space="0" w:color="auto"/>
                        <w:left w:val="none" w:sz="0" w:space="0" w:color="auto"/>
                        <w:bottom w:val="none" w:sz="0" w:space="0" w:color="auto"/>
                        <w:right w:val="none" w:sz="0" w:space="0" w:color="auto"/>
                      </w:divBdr>
                    </w:div>
                    <w:div w:id="2067874845">
                      <w:marLeft w:val="0"/>
                      <w:marRight w:val="0"/>
                      <w:marTop w:val="0"/>
                      <w:marBottom w:val="0"/>
                      <w:divBdr>
                        <w:top w:val="none" w:sz="0" w:space="0" w:color="auto"/>
                        <w:left w:val="none" w:sz="0" w:space="0" w:color="auto"/>
                        <w:bottom w:val="none" w:sz="0" w:space="0" w:color="auto"/>
                        <w:right w:val="none" w:sz="0" w:space="0" w:color="auto"/>
                      </w:divBdr>
                    </w:div>
                  </w:divsChild>
                </w:div>
                <w:div w:id="1498497935">
                  <w:marLeft w:val="0"/>
                  <w:marRight w:val="0"/>
                  <w:marTop w:val="0"/>
                  <w:marBottom w:val="0"/>
                  <w:divBdr>
                    <w:top w:val="none" w:sz="0" w:space="0" w:color="auto"/>
                    <w:left w:val="none" w:sz="0" w:space="0" w:color="auto"/>
                    <w:bottom w:val="none" w:sz="0" w:space="0" w:color="auto"/>
                    <w:right w:val="none" w:sz="0" w:space="0" w:color="auto"/>
                  </w:divBdr>
                  <w:divsChild>
                    <w:div w:id="349330971">
                      <w:marLeft w:val="0"/>
                      <w:marRight w:val="0"/>
                      <w:marTop w:val="0"/>
                      <w:marBottom w:val="0"/>
                      <w:divBdr>
                        <w:top w:val="none" w:sz="0" w:space="0" w:color="auto"/>
                        <w:left w:val="none" w:sz="0" w:space="0" w:color="auto"/>
                        <w:bottom w:val="none" w:sz="0" w:space="0" w:color="auto"/>
                        <w:right w:val="none" w:sz="0" w:space="0" w:color="auto"/>
                      </w:divBdr>
                    </w:div>
                    <w:div w:id="1836141494">
                      <w:marLeft w:val="0"/>
                      <w:marRight w:val="0"/>
                      <w:marTop w:val="0"/>
                      <w:marBottom w:val="0"/>
                      <w:divBdr>
                        <w:top w:val="none" w:sz="0" w:space="0" w:color="auto"/>
                        <w:left w:val="none" w:sz="0" w:space="0" w:color="auto"/>
                        <w:bottom w:val="none" w:sz="0" w:space="0" w:color="auto"/>
                        <w:right w:val="none" w:sz="0" w:space="0" w:color="auto"/>
                      </w:divBdr>
                    </w:div>
                  </w:divsChild>
                </w:div>
                <w:div w:id="1958442601">
                  <w:marLeft w:val="0"/>
                  <w:marRight w:val="0"/>
                  <w:marTop w:val="0"/>
                  <w:marBottom w:val="0"/>
                  <w:divBdr>
                    <w:top w:val="none" w:sz="0" w:space="0" w:color="auto"/>
                    <w:left w:val="none" w:sz="0" w:space="0" w:color="auto"/>
                    <w:bottom w:val="none" w:sz="0" w:space="0" w:color="auto"/>
                    <w:right w:val="none" w:sz="0" w:space="0" w:color="auto"/>
                  </w:divBdr>
                  <w:divsChild>
                    <w:div w:id="193661594">
                      <w:marLeft w:val="0"/>
                      <w:marRight w:val="0"/>
                      <w:marTop w:val="0"/>
                      <w:marBottom w:val="0"/>
                      <w:divBdr>
                        <w:top w:val="none" w:sz="0" w:space="0" w:color="auto"/>
                        <w:left w:val="none" w:sz="0" w:space="0" w:color="auto"/>
                        <w:bottom w:val="none" w:sz="0" w:space="0" w:color="auto"/>
                        <w:right w:val="none" w:sz="0" w:space="0" w:color="auto"/>
                      </w:divBdr>
                    </w:div>
                    <w:div w:id="10312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48495">
      <w:bodyDiv w:val="1"/>
      <w:marLeft w:val="0"/>
      <w:marRight w:val="0"/>
      <w:marTop w:val="0"/>
      <w:marBottom w:val="0"/>
      <w:divBdr>
        <w:top w:val="none" w:sz="0" w:space="0" w:color="auto"/>
        <w:left w:val="none" w:sz="0" w:space="0" w:color="auto"/>
        <w:bottom w:val="none" w:sz="0" w:space="0" w:color="auto"/>
        <w:right w:val="none" w:sz="0" w:space="0" w:color="auto"/>
      </w:divBdr>
      <w:divsChild>
        <w:div w:id="1288315907">
          <w:marLeft w:val="0"/>
          <w:marRight w:val="0"/>
          <w:marTop w:val="0"/>
          <w:marBottom w:val="0"/>
          <w:divBdr>
            <w:top w:val="none" w:sz="0" w:space="0" w:color="auto"/>
            <w:left w:val="none" w:sz="0" w:space="0" w:color="auto"/>
            <w:bottom w:val="none" w:sz="0" w:space="0" w:color="auto"/>
            <w:right w:val="none" w:sz="0" w:space="0" w:color="auto"/>
          </w:divBdr>
        </w:div>
      </w:divsChild>
    </w:div>
    <w:div w:id="470368827">
      <w:bodyDiv w:val="1"/>
      <w:marLeft w:val="0"/>
      <w:marRight w:val="0"/>
      <w:marTop w:val="0"/>
      <w:marBottom w:val="0"/>
      <w:divBdr>
        <w:top w:val="none" w:sz="0" w:space="0" w:color="auto"/>
        <w:left w:val="none" w:sz="0" w:space="0" w:color="auto"/>
        <w:bottom w:val="none" w:sz="0" w:space="0" w:color="auto"/>
        <w:right w:val="none" w:sz="0" w:space="0" w:color="auto"/>
      </w:divBdr>
    </w:div>
    <w:div w:id="498346881">
      <w:bodyDiv w:val="1"/>
      <w:marLeft w:val="0"/>
      <w:marRight w:val="0"/>
      <w:marTop w:val="0"/>
      <w:marBottom w:val="0"/>
      <w:divBdr>
        <w:top w:val="none" w:sz="0" w:space="0" w:color="auto"/>
        <w:left w:val="none" w:sz="0" w:space="0" w:color="auto"/>
        <w:bottom w:val="none" w:sz="0" w:space="0" w:color="auto"/>
        <w:right w:val="none" w:sz="0" w:space="0" w:color="auto"/>
      </w:divBdr>
      <w:divsChild>
        <w:div w:id="1837643390">
          <w:marLeft w:val="0"/>
          <w:marRight w:val="0"/>
          <w:marTop w:val="0"/>
          <w:marBottom w:val="0"/>
          <w:divBdr>
            <w:top w:val="none" w:sz="0" w:space="0" w:color="auto"/>
            <w:left w:val="none" w:sz="0" w:space="0" w:color="auto"/>
            <w:bottom w:val="none" w:sz="0" w:space="0" w:color="auto"/>
            <w:right w:val="none" w:sz="0" w:space="0" w:color="auto"/>
          </w:divBdr>
          <w:divsChild>
            <w:div w:id="1865096807">
              <w:marLeft w:val="0"/>
              <w:marRight w:val="0"/>
              <w:marTop w:val="0"/>
              <w:marBottom w:val="0"/>
              <w:divBdr>
                <w:top w:val="none" w:sz="0" w:space="0" w:color="auto"/>
                <w:left w:val="none" w:sz="0" w:space="0" w:color="auto"/>
                <w:bottom w:val="none" w:sz="0" w:space="0" w:color="auto"/>
                <w:right w:val="none" w:sz="0" w:space="0" w:color="auto"/>
              </w:divBdr>
              <w:divsChild>
                <w:div w:id="222644998">
                  <w:marLeft w:val="0"/>
                  <w:marRight w:val="0"/>
                  <w:marTop w:val="0"/>
                  <w:marBottom w:val="0"/>
                  <w:divBdr>
                    <w:top w:val="none" w:sz="0" w:space="0" w:color="auto"/>
                    <w:left w:val="none" w:sz="0" w:space="0" w:color="auto"/>
                    <w:bottom w:val="none" w:sz="0" w:space="0" w:color="auto"/>
                    <w:right w:val="none" w:sz="0" w:space="0" w:color="auto"/>
                  </w:divBdr>
                  <w:divsChild>
                    <w:div w:id="160856913">
                      <w:marLeft w:val="0"/>
                      <w:marRight w:val="0"/>
                      <w:marTop w:val="0"/>
                      <w:marBottom w:val="0"/>
                      <w:divBdr>
                        <w:top w:val="none" w:sz="0" w:space="0" w:color="auto"/>
                        <w:left w:val="none" w:sz="0" w:space="0" w:color="auto"/>
                        <w:bottom w:val="none" w:sz="0" w:space="0" w:color="auto"/>
                        <w:right w:val="none" w:sz="0" w:space="0" w:color="auto"/>
                      </w:divBdr>
                    </w:div>
                    <w:div w:id="813183340">
                      <w:marLeft w:val="0"/>
                      <w:marRight w:val="0"/>
                      <w:marTop w:val="0"/>
                      <w:marBottom w:val="0"/>
                      <w:divBdr>
                        <w:top w:val="none" w:sz="0" w:space="0" w:color="auto"/>
                        <w:left w:val="none" w:sz="0" w:space="0" w:color="auto"/>
                        <w:bottom w:val="none" w:sz="0" w:space="0" w:color="auto"/>
                        <w:right w:val="none" w:sz="0" w:space="0" w:color="auto"/>
                      </w:divBdr>
                    </w:div>
                  </w:divsChild>
                </w:div>
                <w:div w:id="231157006">
                  <w:marLeft w:val="0"/>
                  <w:marRight w:val="0"/>
                  <w:marTop w:val="0"/>
                  <w:marBottom w:val="0"/>
                  <w:divBdr>
                    <w:top w:val="none" w:sz="0" w:space="0" w:color="auto"/>
                    <w:left w:val="none" w:sz="0" w:space="0" w:color="auto"/>
                    <w:bottom w:val="none" w:sz="0" w:space="0" w:color="auto"/>
                    <w:right w:val="none" w:sz="0" w:space="0" w:color="auto"/>
                  </w:divBdr>
                  <w:divsChild>
                    <w:div w:id="440884747">
                      <w:marLeft w:val="0"/>
                      <w:marRight w:val="0"/>
                      <w:marTop w:val="0"/>
                      <w:marBottom w:val="0"/>
                      <w:divBdr>
                        <w:top w:val="none" w:sz="0" w:space="0" w:color="auto"/>
                        <w:left w:val="none" w:sz="0" w:space="0" w:color="auto"/>
                        <w:bottom w:val="none" w:sz="0" w:space="0" w:color="auto"/>
                        <w:right w:val="none" w:sz="0" w:space="0" w:color="auto"/>
                      </w:divBdr>
                    </w:div>
                    <w:div w:id="1834642850">
                      <w:marLeft w:val="0"/>
                      <w:marRight w:val="0"/>
                      <w:marTop w:val="0"/>
                      <w:marBottom w:val="0"/>
                      <w:divBdr>
                        <w:top w:val="none" w:sz="0" w:space="0" w:color="auto"/>
                        <w:left w:val="none" w:sz="0" w:space="0" w:color="auto"/>
                        <w:bottom w:val="none" w:sz="0" w:space="0" w:color="auto"/>
                        <w:right w:val="none" w:sz="0" w:space="0" w:color="auto"/>
                      </w:divBdr>
                    </w:div>
                  </w:divsChild>
                </w:div>
                <w:div w:id="245573646">
                  <w:marLeft w:val="0"/>
                  <w:marRight w:val="0"/>
                  <w:marTop w:val="0"/>
                  <w:marBottom w:val="0"/>
                  <w:divBdr>
                    <w:top w:val="none" w:sz="0" w:space="0" w:color="auto"/>
                    <w:left w:val="none" w:sz="0" w:space="0" w:color="auto"/>
                    <w:bottom w:val="none" w:sz="0" w:space="0" w:color="auto"/>
                    <w:right w:val="none" w:sz="0" w:space="0" w:color="auto"/>
                  </w:divBdr>
                  <w:divsChild>
                    <w:div w:id="1140417108">
                      <w:marLeft w:val="0"/>
                      <w:marRight w:val="0"/>
                      <w:marTop w:val="0"/>
                      <w:marBottom w:val="0"/>
                      <w:divBdr>
                        <w:top w:val="none" w:sz="0" w:space="0" w:color="auto"/>
                        <w:left w:val="none" w:sz="0" w:space="0" w:color="auto"/>
                        <w:bottom w:val="none" w:sz="0" w:space="0" w:color="auto"/>
                        <w:right w:val="none" w:sz="0" w:space="0" w:color="auto"/>
                      </w:divBdr>
                    </w:div>
                    <w:div w:id="1756435287">
                      <w:marLeft w:val="0"/>
                      <w:marRight w:val="0"/>
                      <w:marTop w:val="0"/>
                      <w:marBottom w:val="0"/>
                      <w:divBdr>
                        <w:top w:val="none" w:sz="0" w:space="0" w:color="auto"/>
                        <w:left w:val="none" w:sz="0" w:space="0" w:color="auto"/>
                        <w:bottom w:val="none" w:sz="0" w:space="0" w:color="auto"/>
                        <w:right w:val="none" w:sz="0" w:space="0" w:color="auto"/>
                      </w:divBdr>
                    </w:div>
                  </w:divsChild>
                </w:div>
                <w:div w:id="294528528">
                  <w:marLeft w:val="0"/>
                  <w:marRight w:val="0"/>
                  <w:marTop w:val="0"/>
                  <w:marBottom w:val="0"/>
                  <w:divBdr>
                    <w:top w:val="none" w:sz="0" w:space="0" w:color="auto"/>
                    <w:left w:val="none" w:sz="0" w:space="0" w:color="auto"/>
                    <w:bottom w:val="none" w:sz="0" w:space="0" w:color="auto"/>
                    <w:right w:val="none" w:sz="0" w:space="0" w:color="auto"/>
                  </w:divBdr>
                  <w:divsChild>
                    <w:div w:id="59907472">
                      <w:marLeft w:val="0"/>
                      <w:marRight w:val="0"/>
                      <w:marTop w:val="0"/>
                      <w:marBottom w:val="0"/>
                      <w:divBdr>
                        <w:top w:val="none" w:sz="0" w:space="0" w:color="auto"/>
                        <w:left w:val="none" w:sz="0" w:space="0" w:color="auto"/>
                        <w:bottom w:val="none" w:sz="0" w:space="0" w:color="auto"/>
                        <w:right w:val="none" w:sz="0" w:space="0" w:color="auto"/>
                      </w:divBdr>
                    </w:div>
                    <w:div w:id="871572980">
                      <w:marLeft w:val="0"/>
                      <w:marRight w:val="0"/>
                      <w:marTop w:val="0"/>
                      <w:marBottom w:val="0"/>
                      <w:divBdr>
                        <w:top w:val="none" w:sz="0" w:space="0" w:color="auto"/>
                        <w:left w:val="none" w:sz="0" w:space="0" w:color="auto"/>
                        <w:bottom w:val="none" w:sz="0" w:space="0" w:color="auto"/>
                        <w:right w:val="none" w:sz="0" w:space="0" w:color="auto"/>
                      </w:divBdr>
                    </w:div>
                  </w:divsChild>
                </w:div>
                <w:div w:id="735513191">
                  <w:marLeft w:val="0"/>
                  <w:marRight w:val="0"/>
                  <w:marTop w:val="0"/>
                  <w:marBottom w:val="0"/>
                  <w:divBdr>
                    <w:top w:val="none" w:sz="0" w:space="0" w:color="auto"/>
                    <w:left w:val="none" w:sz="0" w:space="0" w:color="auto"/>
                    <w:bottom w:val="none" w:sz="0" w:space="0" w:color="auto"/>
                    <w:right w:val="none" w:sz="0" w:space="0" w:color="auto"/>
                  </w:divBdr>
                  <w:divsChild>
                    <w:div w:id="704450780">
                      <w:marLeft w:val="0"/>
                      <w:marRight w:val="0"/>
                      <w:marTop w:val="0"/>
                      <w:marBottom w:val="0"/>
                      <w:divBdr>
                        <w:top w:val="none" w:sz="0" w:space="0" w:color="auto"/>
                        <w:left w:val="none" w:sz="0" w:space="0" w:color="auto"/>
                        <w:bottom w:val="none" w:sz="0" w:space="0" w:color="auto"/>
                        <w:right w:val="none" w:sz="0" w:space="0" w:color="auto"/>
                      </w:divBdr>
                    </w:div>
                    <w:div w:id="1489440750">
                      <w:marLeft w:val="0"/>
                      <w:marRight w:val="0"/>
                      <w:marTop w:val="0"/>
                      <w:marBottom w:val="0"/>
                      <w:divBdr>
                        <w:top w:val="none" w:sz="0" w:space="0" w:color="auto"/>
                        <w:left w:val="none" w:sz="0" w:space="0" w:color="auto"/>
                        <w:bottom w:val="none" w:sz="0" w:space="0" w:color="auto"/>
                        <w:right w:val="none" w:sz="0" w:space="0" w:color="auto"/>
                      </w:divBdr>
                    </w:div>
                  </w:divsChild>
                </w:div>
                <w:div w:id="917712772">
                  <w:marLeft w:val="0"/>
                  <w:marRight w:val="0"/>
                  <w:marTop w:val="0"/>
                  <w:marBottom w:val="0"/>
                  <w:divBdr>
                    <w:top w:val="none" w:sz="0" w:space="0" w:color="auto"/>
                    <w:left w:val="none" w:sz="0" w:space="0" w:color="auto"/>
                    <w:bottom w:val="none" w:sz="0" w:space="0" w:color="auto"/>
                    <w:right w:val="none" w:sz="0" w:space="0" w:color="auto"/>
                  </w:divBdr>
                  <w:divsChild>
                    <w:div w:id="187328784">
                      <w:marLeft w:val="0"/>
                      <w:marRight w:val="0"/>
                      <w:marTop w:val="0"/>
                      <w:marBottom w:val="0"/>
                      <w:divBdr>
                        <w:top w:val="none" w:sz="0" w:space="0" w:color="auto"/>
                        <w:left w:val="none" w:sz="0" w:space="0" w:color="auto"/>
                        <w:bottom w:val="none" w:sz="0" w:space="0" w:color="auto"/>
                        <w:right w:val="none" w:sz="0" w:space="0" w:color="auto"/>
                      </w:divBdr>
                    </w:div>
                    <w:div w:id="599024420">
                      <w:marLeft w:val="0"/>
                      <w:marRight w:val="0"/>
                      <w:marTop w:val="0"/>
                      <w:marBottom w:val="0"/>
                      <w:divBdr>
                        <w:top w:val="none" w:sz="0" w:space="0" w:color="auto"/>
                        <w:left w:val="none" w:sz="0" w:space="0" w:color="auto"/>
                        <w:bottom w:val="none" w:sz="0" w:space="0" w:color="auto"/>
                        <w:right w:val="none" w:sz="0" w:space="0" w:color="auto"/>
                      </w:divBdr>
                    </w:div>
                  </w:divsChild>
                </w:div>
                <w:div w:id="1409041175">
                  <w:marLeft w:val="0"/>
                  <w:marRight w:val="0"/>
                  <w:marTop w:val="0"/>
                  <w:marBottom w:val="0"/>
                  <w:divBdr>
                    <w:top w:val="none" w:sz="0" w:space="0" w:color="auto"/>
                    <w:left w:val="none" w:sz="0" w:space="0" w:color="auto"/>
                    <w:bottom w:val="none" w:sz="0" w:space="0" w:color="auto"/>
                    <w:right w:val="none" w:sz="0" w:space="0" w:color="auto"/>
                  </w:divBdr>
                  <w:divsChild>
                    <w:div w:id="414665796">
                      <w:marLeft w:val="0"/>
                      <w:marRight w:val="0"/>
                      <w:marTop w:val="0"/>
                      <w:marBottom w:val="0"/>
                      <w:divBdr>
                        <w:top w:val="none" w:sz="0" w:space="0" w:color="auto"/>
                        <w:left w:val="none" w:sz="0" w:space="0" w:color="auto"/>
                        <w:bottom w:val="none" w:sz="0" w:space="0" w:color="auto"/>
                        <w:right w:val="none" w:sz="0" w:space="0" w:color="auto"/>
                      </w:divBdr>
                    </w:div>
                    <w:div w:id="1943223582">
                      <w:marLeft w:val="0"/>
                      <w:marRight w:val="0"/>
                      <w:marTop w:val="0"/>
                      <w:marBottom w:val="0"/>
                      <w:divBdr>
                        <w:top w:val="none" w:sz="0" w:space="0" w:color="auto"/>
                        <w:left w:val="none" w:sz="0" w:space="0" w:color="auto"/>
                        <w:bottom w:val="none" w:sz="0" w:space="0" w:color="auto"/>
                        <w:right w:val="none" w:sz="0" w:space="0" w:color="auto"/>
                      </w:divBdr>
                    </w:div>
                  </w:divsChild>
                </w:div>
                <w:div w:id="1428766496">
                  <w:marLeft w:val="0"/>
                  <w:marRight w:val="0"/>
                  <w:marTop w:val="0"/>
                  <w:marBottom w:val="0"/>
                  <w:divBdr>
                    <w:top w:val="none" w:sz="0" w:space="0" w:color="auto"/>
                    <w:left w:val="none" w:sz="0" w:space="0" w:color="auto"/>
                    <w:bottom w:val="none" w:sz="0" w:space="0" w:color="auto"/>
                    <w:right w:val="none" w:sz="0" w:space="0" w:color="auto"/>
                  </w:divBdr>
                  <w:divsChild>
                    <w:div w:id="389816488">
                      <w:marLeft w:val="0"/>
                      <w:marRight w:val="0"/>
                      <w:marTop w:val="0"/>
                      <w:marBottom w:val="0"/>
                      <w:divBdr>
                        <w:top w:val="none" w:sz="0" w:space="0" w:color="auto"/>
                        <w:left w:val="none" w:sz="0" w:space="0" w:color="auto"/>
                        <w:bottom w:val="none" w:sz="0" w:space="0" w:color="auto"/>
                        <w:right w:val="none" w:sz="0" w:space="0" w:color="auto"/>
                      </w:divBdr>
                    </w:div>
                    <w:div w:id="1711538610">
                      <w:marLeft w:val="0"/>
                      <w:marRight w:val="0"/>
                      <w:marTop w:val="0"/>
                      <w:marBottom w:val="0"/>
                      <w:divBdr>
                        <w:top w:val="none" w:sz="0" w:space="0" w:color="auto"/>
                        <w:left w:val="none" w:sz="0" w:space="0" w:color="auto"/>
                        <w:bottom w:val="none" w:sz="0" w:space="0" w:color="auto"/>
                        <w:right w:val="none" w:sz="0" w:space="0" w:color="auto"/>
                      </w:divBdr>
                    </w:div>
                  </w:divsChild>
                </w:div>
                <w:div w:id="1607543091">
                  <w:marLeft w:val="0"/>
                  <w:marRight w:val="0"/>
                  <w:marTop w:val="0"/>
                  <w:marBottom w:val="0"/>
                  <w:divBdr>
                    <w:top w:val="none" w:sz="0" w:space="0" w:color="auto"/>
                    <w:left w:val="none" w:sz="0" w:space="0" w:color="auto"/>
                    <w:bottom w:val="none" w:sz="0" w:space="0" w:color="auto"/>
                    <w:right w:val="none" w:sz="0" w:space="0" w:color="auto"/>
                  </w:divBdr>
                  <w:divsChild>
                    <w:div w:id="798766213">
                      <w:marLeft w:val="0"/>
                      <w:marRight w:val="0"/>
                      <w:marTop w:val="0"/>
                      <w:marBottom w:val="0"/>
                      <w:divBdr>
                        <w:top w:val="none" w:sz="0" w:space="0" w:color="auto"/>
                        <w:left w:val="none" w:sz="0" w:space="0" w:color="auto"/>
                        <w:bottom w:val="none" w:sz="0" w:space="0" w:color="auto"/>
                        <w:right w:val="none" w:sz="0" w:space="0" w:color="auto"/>
                      </w:divBdr>
                    </w:div>
                    <w:div w:id="869414600">
                      <w:marLeft w:val="0"/>
                      <w:marRight w:val="0"/>
                      <w:marTop w:val="0"/>
                      <w:marBottom w:val="0"/>
                      <w:divBdr>
                        <w:top w:val="none" w:sz="0" w:space="0" w:color="auto"/>
                        <w:left w:val="none" w:sz="0" w:space="0" w:color="auto"/>
                        <w:bottom w:val="none" w:sz="0" w:space="0" w:color="auto"/>
                        <w:right w:val="none" w:sz="0" w:space="0" w:color="auto"/>
                      </w:divBdr>
                    </w:div>
                  </w:divsChild>
                </w:div>
                <w:div w:id="1683975437">
                  <w:marLeft w:val="0"/>
                  <w:marRight w:val="0"/>
                  <w:marTop w:val="0"/>
                  <w:marBottom w:val="0"/>
                  <w:divBdr>
                    <w:top w:val="none" w:sz="0" w:space="0" w:color="auto"/>
                    <w:left w:val="none" w:sz="0" w:space="0" w:color="auto"/>
                    <w:bottom w:val="none" w:sz="0" w:space="0" w:color="auto"/>
                    <w:right w:val="none" w:sz="0" w:space="0" w:color="auto"/>
                  </w:divBdr>
                  <w:divsChild>
                    <w:div w:id="1349796111">
                      <w:marLeft w:val="0"/>
                      <w:marRight w:val="0"/>
                      <w:marTop w:val="0"/>
                      <w:marBottom w:val="0"/>
                      <w:divBdr>
                        <w:top w:val="none" w:sz="0" w:space="0" w:color="auto"/>
                        <w:left w:val="none" w:sz="0" w:space="0" w:color="auto"/>
                        <w:bottom w:val="none" w:sz="0" w:space="0" w:color="auto"/>
                        <w:right w:val="none" w:sz="0" w:space="0" w:color="auto"/>
                      </w:divBdr>
                    </w:div>
                    <w:div w:id="211697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705103">
      <w:bodyDiv w:val="1"/>
      <w:marLeft w:val="0"/>
      <w:marRight w:val="0"/>
      <w:marTop w:val="0"/>
      <w:marBottom w:val="0"/>
      <w:divBdr>
        <w:top w:val="none" w:sz="0" w:space="0" w:color="auto"/>
        <w:left w:val="none" w:sz="0" w:space="0" w:color="auto"/>
        <w:bottom w:val="none" w:sz="0" w:space="0" w:color="auto"/>
        <w:right w:val="none" w:sz="0" w:space="0" w:color="auto"/>
      </w:divBdr>
      <w:divsChild>
        <w:div w:id="226766108">
          <w:marLeft w:val="0"/>
          <w:marRight w:val="0"/>
          <w:marTop w:val="0"/>
          <w:marBottom w:val="0"/>
          <w:divBdr>
            <w:top w:val="none" w:sz="0" w:space="0" w:color="auto"/>
            <w:left w:val="none" w:sz="0" w:space="0" w:color="auto"/>
            <w:bottom w:val="none" w:sz="0" w:space="0" w:color="auto"/>
            <w:right w:val="none" w:sz="0" w:space="0" w:color="auto"/>
          </w:divBdr>
          <w:divsChild>
            <w:div w:id="1220019461">
              <w:marLeft w:val="0"/>
              <w:marRight w:val="0"/>
              <w:marTop w:val="0"/>
              <w:marBottom w:val="0"/>
              <w:divBdr>
                <w:top w:val="none" w:sz="0" w:space="0" w:color="auto"/>
                <w:left w:val="none" w:sz="0" w:space="0" w:color="auto"/>
                <w:bottom w:val="none" w:sz="0" w:space="0" w:color="auto"/>
                <w:right w:val="none" w:sz="0" w:space="0" w:color="auto"/>
              </w:divBdr>
            </w:div>
            <w:div w:id="1748919462">
              <w:marLeft w:val="0"/>
              <w:marRight w:val="0"/>
              <w:marTop w:val="0"/>
              <w:marBottom w:val="0"/>
              <w:divBdr>
                <w:top w:val="none" w:sz="0" w:space="0" w:color="auto"/>
                <w:left w:val="none" w:sz="0" w:space="0" w:color="auto"/>
                <w:bottom w:val="none" w:sz="0" w:space="0" w:color="auto"/>
                <w:right w:val="none" w:sz="0" w:space="0" w:color="auto"/>
              </w:divBdr>
            </w:div>
          </w:divsChild>
        </w:div>
        <w:div w:id="1004748852">
          <w:marLeft w:val="0"/>
          <w:marRight w:val="0"/>
          <w:marTop w:val="0"/>
          <w:marBottom w:val="0"/>
          <w:divBdr>
            <w:top w:val="none" w:sz="0" w:space="0" w:color="auto"/>
            <w:left w:val="none" w:sz="0" w:space="0" w:color="auto"/>
            <w:bottom w:val="none" w:sz="0" w:space="0" w:color="auto"/>
            <w:right w:val="none" w:sz="0" w:space="0" w:color="auto"/>
          </w:divBdr>
          <w:divsChild>
            <w:div w:id="1913810386">
              <w:marLeft w:val="0"/>
              <w:marRight w:val="0"/>
              <w:marTop w:val="0"/>
              <w:marBottom w:val="0"/>
              <w:divBdr>
                <w:top w:val="none" w:sz="0" w:space="0" w:color="auto"/>
                <w:left w:val="none" w:sz="0" w:space="0" w:color="auto"/>
                <w:bottom w:val="none" w:sz="0" w:space="0" w:color="auto"/>
                <w:right w:val="none" w:sz="0" w:space="0" w:color="auto"/>
              </w:divBdr>
            </w:div>
            <w:div w:id="2002460093">
              <w:marLeft w:val="0"/>
              <w:marRight w:val="0"/>
              <w:marTop w:val="0"/>
              <w:marBottom w:val="0"/>
              <w:divBdr>
                <w:top w:val="none" w:sz="0" w:space="0" w:color="auto"/>
                <w:left w:val="none" w:sz="0" w:space="0" w:color="auto"/>
                <w:bottom w:val="none" w:sz="0" w:space="0" w:color="auto"/>
                <w:right w:val="none" w:sz="0" w:space="0" w:color="auto"/>
              </w:divBdr>
            </w:div>
          </w:divsChild>
        </w:div>
        <w:div w:id="1236427707">
          <w:marLeft w:val="0"/>
          <w:marRight w:val="0"/>
          <w:marTop w:val="0"/>
          <w:marBottom w:val="0"/>
          <w:divBdr>
            <w:top w:val="none" w:sz="0" w:space="0" w:color="auto"/>
            <w:left w:val="none" w:sz="0" w:space="0" w:color="auto"/>
            <w:bottom w:val="none" w:sz="0" w:space="0" w:color="auto"/>
            <w:right w:val="none" w:sz="0" w:space="0" w:color="auto"/>
          </w:divBdr>
          <w:divsChild>
            <w:div w:id="322054622">
              <w:marLeft w:val="0"/>
              <w:marRight w:val="0"/>
              <w:marTop w:val="0"/>
              <w:marBottom w:val="0"/>
              <w:divBdr>
                <w:top w:val="none" w:sz="0" w:space="0" w:color="auto"/>
                <w:left w:val="none" w:sz="0" w:space="0" w:color="auto"/>
                <w:bottom w:val="none" w:sz="0" w:space="0" w:color="auto"/>
                <w:right w:val="none" w:sz="0" w:space="0" w:color="auto"/>
              </w:divBdr>
            </w:div>
            <w:div w:id="904417196">
              <w:marLeft w:val="0"/>
              <w:marRight w:val="0"/>
              <w:marTop w:val="0"/>
              <w:marBottom w:val="0"/>
              <w:divBdr>
                <w:top w:val="none" w:sz="0" w:space="0" w:color="auto"/>
                <w:left w:val="none" w:sz="0" w:space="0" w:color="auto"/>
                <w:bottom w:val="none" w:sz="0" w:space="0" w:color="auto"/>
                <w:right w:val="none" w:sz="0" w:space="0" w:color="auto"/>
              </w:divBdr>
            </w:div>
          </w:divsChild>
        </w:div>
        <w:div w:id="1725176363">
          <w:marLeft w:val="0"/>
          <w:marRight w:val="0"/>
          <w:marTop w:val="0"/>
          <w:marBottom w:val="0"/>
          <w:divBdr>
            <w:top w:val="none" w:sz="0" w:space="0" w:color="auto"/>
            <w:left w:val="none" w:sz="0" w:space="0" w:color="auto"/>
            <w:bottom w:val="none" w:sz="0" w:space="0" w:color="auto"/>
            <w:right w:val="none" w:sz="0" w:space="0" w:color="auto"/>
          </w:divBdr>
          <w:divsChild>
            <w:div w:id="529875365">
              <w:marLeft w:val="0"/>
              <w:marRight w:val="0"/>
              <w:marTop w:val="0"/>
              <w:marBottom w:val="0"/>
              <w:divBdr>
                <w:top w:val="none" w:sz="0" w:space="0" w:color="auto"/>
                <w:left w:val="none" w:sz="0" w:space="0" w:color="auto"/>
                <w:bottom w:val="none" w:sz="0" w:space="0" w:color="auto"/>
                <w:right w:val="none" w:sz="0" w:space="0" w:color="auto"/>
              </w:divBdr>
            </w:div>
            <w:div w:id="18218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8600">
      <w:bodyDiv w:val="1"/>
      <w:marLeft w:val="0"/>
      <w:marRight w:val="0"/>
      <w:marTop w:val="0"/>
      <w:marBottom w:val="0"/>
      <w:divBdr>
        <w:top w:val="none" w:sz="0" w:space="0" w:color="auto"/>
        <w:left w:val="none" w:sz="0" w:space="0" w:color="auto"/>
        <w:bottom w:val="none" w:sz="0" w:space="0" w:color="auto"/>
        <w:right w:val="none" w:sz="0" w:space="0" w:color="auto"/>
      </w:divBdr>
    </w:div>
    <w:div w:id="527911815">
      <w:bodyDiv w:val="1"/>
      <w:marLeft w:val="0"/>
      <w:marRight w:val="0"/>
      <w:marTop w:val="0"/>
      <w:marBottom w:val="0"/>
      <w:divBdr>
        <w:top w:val="none" w:sz="0" w:space="0" w:color="auto"/>
        <w:left w:val="none" w:sz="0" w:space="0" w:color="auto"/>
        <w:bottom w:val="none" w:sz="0" w:space="0" w:color="auto"/>
        <w:right w:val="none" w:sz="0" w:space="0" w:color="auto"/>
      </w:divBdr>
    </w:div>
    <w:div w:id="585304360">
      <w:bodyDiv w:val="1"/>
      <w:marLeft w:val="0"/>
      <w:marRight w:val="0"/>
      <w:marTop w:val="0"/>
      <w:marBottom w:val="0"/>
      <w:divBdr>
        <w:top w:val="none" w:sz="0" w:space="0" w:color="auto"/>
        <w:left w:val="none" w:sz="0" w:space="0" w:color="auto"/>
        <w:bottom w:val="none" w:sz="0" w:space="0" w:color="auto"/>
        <w:right w:val="none" w:sz="0" w:space="0" w:color="auto"/>
      </w:divBdr>
      <w:divsChild>
        <w:div w:id="586503595">
          <w:marLeft w:val="0"/>
          <w:marRight w:val="0"/>
          <w:marTop w:val="0"/>
          <w:marBottom w:val="0"/>
          <w:divBdr>
            <w:top w:val="none" w:sz="0" w:space="0" w:color="auto"/>
            <w:left w:val="none" w:sz="0" w:space="0" w:color="auto"/>
            <w:bottom w:val="none" w:sz="0" w:space="0" w:color="auto"/>
            <w:right w:val="none" w:sz="0" w:space="0" w:color="auto"/>
          </w:divBdr>
          <w:divsChild>
            <w:div w:id="171065563">
              <w:marLeft w:val="0"/>
              <w:marRight w:val="0"/>
              <w:marTop w:val="0"/>
              <w:marBottom w:val="0"/>
              <w:divBdr>
                <w:top w:val="none" w:sz="0" w:space="0" w:color="auto"/>
                <w:left w:val="none" w:sz="0" w:space="0" w:color="auto"/>
                <w:bottom w:val="none" w:sz="0" w:space="0" w:color="auto"/>
                <w:right w:val="none" w:sz="0" w:space="0" w:color="auto"/>
              </w:divBdr>
              <w:divsChild>
                <w:div w:id="63182741">
                  <w:marLeft w:val="0"/>
                  <w:marRight w:val="0"/>
                  <w:marTop w:val="0"/>
                  <w:marBottom w:val="0"/>
                  <w:divBdr>
                    <w:top w:val="none" w:sz="0" w:space="0" w:color="auto"/>
                    <w:left w:val="none" w:sz="0" w:space="0" w:color="auto"/>
                    <w:bottom w:val="none" w:sz="0" w:space="0" w:color="auto"/>
                    <w:right w:val="none" w:sz="0" w:space="0" w:color="auto"/>
                  </w:divBdr>
                  <w:divsChild>
                    <w:div w:id="908077721">
                      <w:marLeft w:val="0"/>
                      <w:marRight w:val="0"/>
                      <w:marTop w:val="0"/>
                      <w:marBottom w:val="0"/>
                      <w:divBdr>
                        <w:top w:val="none" w:sz="0" w:space="0" w:color="auto"/>
                        <w:left w:val="none" w:sz="0" w:space="0" w:color="auto"/>
                        <w:bottom w:val="none" w:sz="0" w:space="0" w:color="auto"/>
                        <w:right w:val="none" w:sz="0" w:space="0" w:color="auto"/>
                      </w:divBdr>
                    </w:div>
                    <w:div w:id="1037780123">
                      <w:marLeft w:val="0"/>
                      <w:marRight w:val="0"/>
                      <w:marTop w:val="0"/>
                      <w:marBottom w:val="0"/>
                      <w:divBdr>
                        <w:top w:val="none" w:sz="0" w:space="0" w:color="auto"/>
                        <w:left w:val="none" w:sz="0" w:space="0" w:color="auto"/>
                        <w:bottom w:val="none" w:sz="0" w:space="0" w:color="auto"/>
                        <w:right w:val="none" w:sz="0" w:space="0" w:color="auto"/>
                      </w:divBdr>
                    </w:div>
                  </w:divsChild>
                </w:div>
                <w:div w:id="67729979">
                  <w:marLeft w:val="0"/>
                  <w:marRight w:val="0"/>
                  <w:marTop w:val="0"/>
                  <w:marBottom w:val="0"/>
                  <w:divBdr>
                    <w:top w:val="none" w:sz="0" w:space="0" w:color="auto"/>
                    <w:left w:val="none" w:sz="0" w:space="0" w:color="auto"/>
                    <w:bottom w:val="none" w:sz="0" w:space="0" w:color="auto"/>
                    <w:right w:val="none" w:sz="0" w:space="0" w:color="auto"/>
                  </w:divBdr>
                  <w:divsChild>
                    <w:div w:id="397241365">
                      <w:marLeft w:val="0"/>
                      <w:marRight w:val="0"/>
                      <w:marTop w:val="0"/>
                      <w:marBottom w:val="0"/>
                      <w:divBdr>
                        <w:top w:val="none" w:sz="0" w:space="0" w:color="auto"/>
                        <w:left w:val="none" w:sz="0" w:space="0" w:color="auto"/>
                        <w:bottom w:val="none" w:sz="0" w:space="0" w:color="auto"/>
                        <w:right w:val="none" w:sz="0" w:space="0" w:color="auto"/>
                      </w:divBdr>
                    </w:div>
                    <w:div w:id="812335206">
                      <w:marLeft w:val="0"/>
                      <w:marRight w:val="0"/>
                      <w:marTop w:val="0"/>
                      <w:marBottom w:val="0"/>
                      <w:divBdr>
                        <w:top w:val="none" w:sz="0" w:space="0" w:color="auto"/>
                        <w:left w:val="none" w:sz="0" w:space="0" w:color="auto"/>
                        <w:bottom w:val="none" w:sz="0" w:space="0" w:color="auto"/>
                        <w:right w:val="none" w:sz="0" w:space="0" w:color="auto"/>
                      </w:divBdr>
                    </w:div>
                  </w:divsChild>
                </w:div>
                <w:div w:id="90975188">
                  <w:marLeft w:val="0"/>
                  <w:marRight w:val="0"/>
                  <w:marTop w:val="0"/>
                  <w:marBottom w:val="0"/>
                  <w:divBdr>
                    <w:top w:val="none" w:sz="0" w:space="0" w:color="auto"/>
                    <w:left w:val="none" w:sz="0" w:space="0" w:color="auto"/>
                    <w:bottom w:val="none" w:sz="0" w:space="0" w:color="auto"/>
                    <w:right w:val="none" w:sz="0" w:space="0" w:color="auto"/>
                  </w:divBdr>
                  <w:divsChild>
                    <w:div w:id="551042362">
                      <w:marLeft w:val="0"/>
                      <w:marRight w:val="0"/>
                      <w:marTop w:val="0"/>
                      <w:marBottom w:val="0"/>
                      <w:divBdr>
                        <w:top w:val="none" w:sz="0" w:space="0" w:color="auto"/>
                        <w:left w:val="none" w:sz="0" w:space="0" w:color="auto"/>
                        <w:bottom w:val="none" w:sz="0" w:space="0" w:color="auto"/>
                        <w:right w:val="none" w:sz="0" w:space="0" w:color="auto"/>
                      </w:divBdr>
                    </w:div>
                    <w:div w:id="1164514603">
                      <w:marLeft w:val="0"/>
                      <w:marRight w:val="0"/>
                      <w:marTop w:val="0"/>
                      <w:marBottom w:val="0"/>
                      <w:divBdr>
                        <w:top w:val="none" w:sz="0" w:space="0" w:color="auto"/>
                        <w:left w:val="none" w:sz="0" w:space="0" w:color="auto"/>
                        <w:bottom w:val="none" w:sz="0" w:space="0" w:color="auto"/>
                        <w:right w:val="none" w:sz="0" w:space="0" w:color="auto"/>
                      </w:divBdr>
                    </w:div>
                  </w:divsChild>
                </w:div>
                <w:div w:id="743257496">
                  <w:marLeft w:val="0"/>
                  <w:marRight w:val="0"/>
                  <w:marTop w:val="0"/>
                  <w:marBottom w:val="0"/>
                  <w:divBdr>
                    <w:top w:val="none" w:sz="0" w:space="0" w:color="auto"/>
                    <w:left w:val="none" w:sz="0" w:space="0" w:color="auto"/>
                    <w:bottom w:val="none" w:sz="0" w:space="0" w:color="auto"/>
                    <w:right w:val="none" w:sz="0" w:space="0" w:color="auto"/>
                  </w:divBdr>
                  <w:divsChild>
                    <w:div w:id="39212456">
                      <w:marLeft w:val="0"/>
                      <w:marRight w:val="0"/>
                      <w:marTop w:val="0"/>
                      <w:marBottom w:val="0"/>
                      <w:divBdr>
                        <w:top w:val="none" w:sz="0" w:space="0" w:color="auto"/>
                        <w:left w:val="none" w:sz="0" w:space="0" w:color="auto"/>
                        <w:bottom w:val="none" w:sz="0" w:space="0" w:color="auto"/>
                        <w:right w:val="none" w:sz="0" w:space="0" w:color="auto"/>
                      </w:divBdr>
                    </w:div>
                    <w:div w:id="1831873285">
                      <w:marLeft w:val="0"/>
                      <w:marRight w:val="0"/>
                      <w:marTop w:val="0"/>
                      <w:marBottom w:val="0"/>
                      <w:divBdr>
                        <w:top w:val="none" w:sz="0" w:space="0" w:color="auto"/>
                        <w:left w:val="none" w:sz="0" w:space="0" w:color="auto"/>
                        <w:bottom w:val="none" w:sz="0" w:space="0" w:color="auto"/>
                        <w:right w:val="none" w:sz="0" w:space="0" w:color="auto"/>
                      </w:divBdr>
                    </w:div>
                  </w:divsChild>
                </w:div>
                <w:div w:id="773062997">
                  <w:marLeft w:val="0"/>
                  <w:marRight w:val="0"/>
                  <w:marTop w:val="0"/>
                  <w:marBottom w:val="0"/>
                  <w:divBdr>
                    <w:top w:val="none" w:sz="0" w:space="0" w:color="auto"/>
                    <w:left w:val="none" w:sz="0" w:space="0" w:color="auto"/>
                    <w:bottom w:val="none" w:sz="0" w:space="0" w:color="auto"/>
                    <w:right w:val="none" w:sz="0" w:space="0" w:color="auto"/>
                  </w:divBdr>
                  <w:divsChild>
                    <w:div w:id="41834814">
                      <w:marLeft w:val="0"/>
                      <w:marRight w:val="0"/>
                      <w:marTop w:val="0"/>
                      <w:marBottom w:val="0"/>
                      <w:divBdr>
                        <w:top w:val="none" w:sz="0" w:space="0" w:color="auto"/>
                        <w:left w:val="none" w:sz="0" w:space="0" w:color="auto"/>
                        <w:bottom w:val="none" w:sz="0" w:space="0" w:color="auto"/>
                        <w:right w:val="none" w:sz="0" w:space="0" w:color="auto"/>
                      </w:divBdr>
                    </w:div>
                    <w:div w:id="943880071">
                      <w:marLeft w:val="0"/>
                      <w:marRight w:val="0"/>
                      <w:marTop w:val="0"/>
                      <w:marBottom w:val="0"/>
                      <w:divBdr>
                        <w:top w:val="none" w:sz="0" w:space="0" w:color="auto"/>
                        <w:left w:val="none" w:sz="0" w:space="0" w:color="auto"/>
                        <w:bottom w:val="none" w:sz="0" w:space="0" w:color="auto"/>
                        <w:right w:val="none" w:sz="0" w:space="0" w:color="auto"/>
                      </w:divBdr>
                    </w:div>
                  </w:divsChild>
                </w:div>
                <w:div w:id="1126969910">
                  <w:marLeft w:val="0"/>
                  <w:marRight w:val="0"/>
                  <w:marTop w:val="0"/>
                  <w:marBottom w:val="0"/>
                  <w:divBdr>
                    <w:top w:val="none" w:sz="0" w:space="0" w:color="auto"/>
                    <w:left w:val="none" w:sz="0" w:space="0" w:color="auto"/>
                    <w:bottom w:val="none" w:sz="0" w:space="0" w:color="auto"/>
                    <w:right w:val="none" w:sz="0" w:space="0" w:color="auto"/>
                  </w:divBdr>
                  <w:divsChild>
                    <w:div w:id="257759492">
                      <w:marLeft w:val="0"/>
                      <w:marRight w:val="0"/>
                      <w:marTop w:val="0"/>
                      <w:marBottom w:val="0"/>
                      <w:divBdr>
                        <w:top w:val="none" w:sz="0" w:space="0" w:color="auto"/>
                        <w:left w:val="none" w:sz="0" w:space="0" w:color="auto"/>
                        <w:bottom w:val="none" w:sz="0" w:space="0" w:color="auto"/>
                        <w:right w:val="none" w:sz="0" w:space="0" w:color="auto"/>
                      </w:divBdr>
                    </w:div>
                    <w:div w:id="1026179033">
                      <w:marLeft w:val="0"/>
                      <w:marRight w:val="0"/>
                      <w:marTop w:val="0"/>
                      <w:marBottom w:val="0"/>
                      <w:divBdr>
                        <w:top w:val="none" w:sz="0" w:space="0" w:color="auto"/>
                        <w:left w:val="none" w:sz="0" w:space="0" w:color="auto"/>
                        <w:bottom w:val="none" w:sz="0" w:space="0" w:color="auto"/>
                        <w:right w:val="none" w:sz="0" w:space="0" w:color="auto"/>
                      </w:divBdr>
                    </w:div>
                  </w:divsChild>
                </w:div>
                <w:div w:id="1251623416">
                  <w:marLeft w:val="0"/>
                  <w:marRight w:val="0"/>
                  <w:marTop w:val="0"/>
                  <w:marBottom w:val="0"/>
                  <w:divBdr>
                    <w:top w:val="none" w:sz="0" w:space="0" w:color="auto"/>
                    <w:left w:val="none" w:sz="0" w:space="0" w:color="auto"/>
                    <w:bottom w:val="none" w:sz="0" w:space="0" w:color="auto"/>
                    <w:right w:val="none" w:sz="0" w:space="0" w:color="auto"/>
                  </w:divBdr>
                  <w:divsChild>
                    <w:div w:id="600183551">
                      <w:marLeft w:val="0"/>
                      <w:marRight w:val="0"/>
                      <w:marTop w:val="0"/>
                      <w:marBottom w:val="0"/>
                      <w:divBdr>
                        <w:top w:val="none" w:sz="0" w:space="0" w:color="auto"/>
                        <w:left w:val="none" w:sz="0" w:space="0" w:color="auto"/>
                        <w:bottom w:val="none" w:sz="0" w:space="0" w:color="auto"/>
                        <w:right w:val="none" w:sz="0" w:space="0" w:color="auto"/>
                      </w:divBdr>
                    </w:div>
                    <w:div w:id="1395734299">
                      <w:marLeft w:val="0"/>
                      <w:marRight w:val="0"/>
                      <w:marTop w:val="0"/>
                      <w:marBottom w:val="0"/>
                      <w:divBdr>
                        <w:top w:val="none" w:sz="0" w:space="0" w:color="auto"/>
                        <w:left w:val="none" w:sz="0" w:space="0" w:color="auto"/>
                        <w:bottom w:val="none" w:sz="0" w:space="0" w:color="auto"/>
                        <w:right w:val="none" w:sz="0" w:space="0" w:color="auto"/>
                      </w:divBdr>
                    </w:div>
                  </w:divsChild>
                </w:div>
                <w:div w:id="1734505061">
                  <w:marLeft w:val="0"/>
                  <w:marRight w:val="0"/>
                  <w:marTop w:val="0"/>
                  <w:marBottom w:val="0"/>
                  <w:divBdr>
                    <w:top w:val="none" w:sz="0" w:space="0" w:color="auto"/>
                    <w:left w:val="none" w:sz="0" w:space="0" w:color="auto"/>
                    <w:bottom w:val="none" w:sz="0" w:space="0" w:color="auto"/>
                    <w:right w:val="none" w:sz="0" w:space="0" w:color="auto"/>
                  </w:divBdr>
                  <w:divsChild>
                    <w:div w:id="888802671">
                      <w:marLeft w:val="0"/>
                      <w:marRight w:val="0"/>
                      <w:marTop w:val="0"/>
                      <w:marBottom w:val="0"/>
                      <w:divBdr>
                        <w:top w:val="none" w:sz="0" w:space="0" w:color="auto"/>
                        <w:left w:val="none" w:sz="0" w:space="0" w:color="auto"/>
                        <w:bottom w:val="none" w:sz="0" w:space="0" w:color="auto"/>
                        <w:right w:val="none" w:sz="0" w:space="0" w:color="auto"/>
                      </w:divBdr>
                    </w:div>
                    <w:div w:id="1031418825">
                      <w:marLeft w:val="0"/>
                      <w:marRight w:val="0"/>
                      <w:marTop w:val="0"/>
                      <w:marBottom w:val="0"/>
                      <w:divBdr>
                        <w:top w:val="none" w:sz="0" w:space="0" w:color="auto"/>
                        <w:left w:val="none" w:sz="0" w:space="0" w:color="auto"/>
                        <w:bottom w:val="none" w:sz="0" w:space="0" w:color="auto"/>
                        <w:right w:val="none" w:sz="0" w:space="0" w:color="auto"/>
                      </w:divBdr>
                    </w:div>
                  </w:divsChild>
                </w:div>
                <w:div w:id="1931618750">
                  <w:marLeft w:val="0"/>
                  <w:marRight w:val="0"/>
                  <w:marTop w:val="0"/>
                  <w:marBottom w:val="0"/>
                  <w:divBdr>
                    <w:top w:val="none" w:sz="0" w:space="0" w:color="auto"/>
                    <w:left w:val="none" w:sz="0" w:space="0" w:color="auto"/>
                    <w:bottom w:val="none" w:sz="0" w:space="0" w:color="auto"/>
                    <w:right w:val="none" w:sz="0" w:space="0" w:color="auto"/>
                  </w:divBdr>
                  <w:divsChild>
                    <w:div w:id="628441485">
                      <w:marLeft w:val="0"/>
                      <w:marRight w:val="0"/>
                      <w:marTop w:val="0"/>
                      <w:marBottom w:val="0"/>
                      <w:divBdr>
                        <w:top w:val="none" w:sz="0" w:space="0" w:color="auto"/>
                        <w:left w:val="none" w:sz="0" w:space="0" w:color="auto"/>
                        <w:bottom w:val="none" w:sz="0" w:space="0" w:color="auto"/>
                        <w:right w:val="none" w:sz="0" w:space="0" w:color="auto"/>
                      </w:divBdr>
                    </w:div>
                    <w:div w:id="1758986667">
                      <w:marLeft w:val="0"/>
                      <w:marRight w:val="0"/>
                      <w:marTop w:val="0"/>
                      <w:marBottom w:val="0"/>
                      <w:divBdr>
                        <w:top w:val="none" w:sz="0" w:space="0" w:color="auto"/>
                        <w:left w:val="none" w:sz="0" w:space="0" w:color="auto"/>
                        <w:bottom w:val="none" w:sz="0" w:space="0" w:color="auto"/>
                        <w:right w:val="none" w:sz="0" w:space="0" w:color="auto"/>
                      </w:divBdr>
                    </w:div>
                  </w:divsChild>
                </w:div>
                <w:div w:id="2037728873">
                  <w:marLeft w:val="0"/>
                  <w:marRight w:val="0"/>
                  <w:marTop w:val="0"/>
                  <w:marBottom w:val="0"/>
                  <w:divBdr>
                    <w:top w:val="none" w:sz="0" w:space="0" w:color="auto"/>
                    <w:left w:val="none" w:sz="0" w:space="0" w:color="auto"/>
                    <w:bottom w:val="none" w:sz="0" w:space="0" w:color="auto"/>
                    <w:right w:val="none" w:sz="0" w:space="0" w:color="auto"/>
                  </w:divBdr>
                  <w:divsChild>
                    <w:div w:id="500199614">
                      <w:marLeft w:val="0"/>
                      <w:marRight w:val="0"/>
                      <w:marTop w:val="0"/>
                      <w:marBottom w:val="0"/>
                      <w:divBdr>
                        <w:top w:val="none" w:sz="0" w:space="0" w:color="auto"/>
                        <w:left w:val="none" w:sz="0" w:space="0" w:color="auto"/>
                        <w:bottom w:val="none" w:sz="0" w:space="0" w:color="auto"/>
                        <w:right w:val="none" w:sz="0" w:space="0" w:color="auto"/>
                      </w:divBdr>
                    </w:div>
                    <w:div w:id="126283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93010">
      <w:bodyDiv w:val="1"/>
      <w:marLeft w:val="0"/>
      <w:marRight w:val="0"/>
      <w:marTop w:val="0"/>
      <w:marBottom w:val="0"/>
      <w:divBdr>
        <w:top w:val="none" w:sz="0" w:space="0" w:color="auto"/>
        <w:left w:val="none" w:sz="0" w:space="0" w:color="auto"/>
        <w:bottom w:val="none" w:sz="0" w:space="0" w:color="auto"/>
        <w:right w:val="none" w:sz="0" w:space="0" w:color="auto"/>
      </w:divBdr>
      <w:divsChild>
        <w:div w:id="768500832">
          <w:marLeft w:val="0"/>
          <w:marRight w:val="0"/>
          <w:marTop w:val="0"/>
          <w:marBottom w:val="0"/>
          <w:divBdr>
            <w:top w:val="none" w:sz="0" w:space="0" w:color="auto"/>
            <w:left w:val="none" w:sz="0" w:space="0" w:color="auto"/>
            <w:bottom w:val="none" w:sz="0" w:space="0" w:color="auto"/>
            <w:right w:val="none" w:sz="0" w:space="0" w:color="auto"/>
          </w:divBdr>
          <w:divsChild>
            <w:div w:id="335111576">
              <w:marLeft w:val="0"/>
              <w:marRight w:val="0"/>
              <w:marTop w:val="0"/>
              <w:marBottom w:val="0"/>
              <w:divBdr>
                <w:top w:val="none" w:sz="0" w:space="0" w:color="auto"/>
                <w:left w:val="none" w:sz="0" w:space="0" w:color="auto"/>
                <w:bottom w:val="none" w:sz="0" w:space="0" w:color="auto"/>
                <w:right w:val="none" w:sz="0" w:space="0" w:color="auto"/>
              </w:divBdr>
            </w:div>
            <w:div w:id="1251742355">
              <w:marLeft w:val="0"/>
              <w:marRight w:val="0"/>
              <w:marTop w:val="0"/>
              <w:marBottom w:val="0"/>
              <w:divBdr>
                <w:top w:val="none" w:sz="0" w:space="0" w:color="auto"/>
                <w:left w:val="none" w:sz="0" w:space="0" w:color="auto"/>
                <w:bottom w:val="none" w:sz="0" w:space="0" w:color="auto"/>
                <w:right w:val="none" w:sz="0" w:space="0" w:color="auto"/>
              </w:divBdr>
            </w:div>
          </w:divsChild>
        </w:div>
        <w:div w:id="997726817">
          <w:marLeft w:val="0"/>
          <w:marRight w:val="0"/>
          <w:marTop w:val="0"/>
          <w:marBottom w:val="0"/>
          <w:divBdr>
            <w:top w:val="none" w:sz="0" w:space="0" w:color="auto"/>
            <w:left w:val="none" w:sz="0" w:space="0" w:color="auto"/>
            <w:bottom w:val="none" w:sz="0" w:space="0" w:color="auto"/>
            <w:right w:val="none" w:sz="0" w:space="0" w:color="auto"/>
          </w:divBdr>
          <w:divsChild>
            <w:div w:id="551502517">
              <w:marLeft w:val="0"/>
              <w:marRight w:val="0"/>
              <w:marTop w:val="0"/>
              <w:marBottom w:val="0"/>
              <w:divBdr>
                <w:top w:val="none" w:sz="0" w:space="0" w:color="auto"/>
                <w:left w:val="none" w:sz="0" w:space="0" w:color="auto"/>
                <w:bottom w:val="none" w:sz="0" w:space="0" w:color="auto"/>
                <w:right w:val="none" w:sz="0" w:space="0" w:color="auto"/>
              </w:divBdr>
            </w:div>
            <w:div w:id="810177900">
              <w:marLeft w:val="0"/>
              <w:marRight w:val="0"/>
              <w:marTop w:val="0"/>
              <w:marBottom w:val="0"/>
              <w:divBdr>
                <w:top w:val="none" w:sz="0" w:space="0" w:color="auto"/>
                <w:left w:val="none" w:sz="0" w:space="0" w:color="auto"/>
                <w:bottom w:val="none" w:sz="0" w:space="0" w:color="auto"/>
                <w:right w:val="none" w:sz="0" w:space="0" w:color="auto"/>
              </w:divBdr>
            </w:div>
          </w:divsChild>
        </w:div>
        <w:div w:id="1274555738">
          <w:marLeft w:val="0"/>
          <w:marRight w:val="0"/>
          <w:marTop w:val="0"/>
          <w:marBottom w:val="0"/>
          <w:divBdr>
            <w:top w:val="none" w:sz="0" w:space="0" w:color="auto"/>
            <w:left w:val="none" w:sz="0" w:space="0" w:color="auto"/>
            <w:bottom w:val="none" w:sz="0" w:space="0" w:color="auto"/>
            <w:right w:val="none" w:sz="0" w:space="0" w:color="auto"/>
          </w:divBdr>
          <w:divsChild>
            <w:div w:id="1384020206">
              <w:marLeft w:val="0"/>
              <w:marRight w:val="0"/>
              <w:marTop w:val="0"/>
              <w:marBottom w:val="0"/>
              <w:divBdr>
                <w:top w:val="none" w:sz="0" w:space="0" w:color="auto"/>
                <w:left w:val="none" w:sz="0" w:space="0" w:color="auto"/>
                <w:bottom w:val="none" w:sz="0" w:space="0" w:color="auto"/>
                <w:right w:val="none" w:sz="0" w:space="0" w:color="auto"/>
              </w:divBdr>
            </w:div>
            <w:div w:id="2028410260">
              <w:marLeft w:val="0"/>
              <w:marRight w:val="0"/>
              <w:marTop w:val="0"/>
              <w:marBottom w:val="0"/>
              <w:divBdr>
                <w:top w:val="none" w:sz="0" w:space="0" w:color="auto"/>
                <w:left w:val="none" w:sz="0" w:space="0" w:color="auto"/>
                <w:bottom w:val="none" w:sz="0" w:space="0" w:color="auto"/>
                <w:right w:val="none" w:sz="0" w:space="0" w:color="auto"/>
              </w:divBdr>
            </w:div>
          </w:divsChild>
        </w:div>
        <w:div w:id="1477406923">
          <w:marLeft w:val="0"/>
          <w:marRight w:val="0"/>
          <w:marTop w:val="0"/>
          <w:marBottom w:val="0"/>
          <w:divBdr>
            <w:top w:val="none" w:sz="0" w:space="0" w:color="auto"/>
            <w:left w:val="none" w:sz="0" w:space="0" w:color="auto"/>
            <w:bottom w:val="none" w:sz="0" w:space="0" w:color="auto"/>
            <w:right w:val="none" w:sz="0" w:space="0" w:color="auto"/>
          </w:divBdr>
          <w:divsChild>
            <w:div w:id="56323413">
              <w:marLeft w:val="0"/>
              <w:marRight w:val="0"/>
              <w:marTop w:val="0"/>
              <w:marBottom w:val="0"/>
              <w:divBdr>
                <w:top w:val="none" w:sz="0" w:space="0" w:color="auto"/>
                <w:left w:val="none" w:sz="0" w:space="0" w:color="auto"/>
                <w:bottom w:val="none" w:sz="0" w:space="0" w:color="auto"/>
                <w:right w:val="none" w:sz="0" w:space="0" w:color="auto"/>
              </w:divBdr>
            </w:div>
            <w:div w:id="260263900">
              <w:marLeft w:val="0"/>
              <w:marRight w:val="0"/>
              <w:marTop w:val="0"/>
              <w:marBottom w:val="0"/>
              <w:divBdr>
                <w:top w:val="none" w:sz="0" w:space="0" w:color="auto"/>
                <w:left w:val="none" w:sz="0" w:space="0" w:color="auto"/>
                <w:bottom w:val="none" w:sz="0" w:space="0" w:color="auto"/>
                <w:right w:val="none" w:sz="0" w:space="0" w:color="auto"/>
              </w:divBdr>
            </w:div>
          </w:divsChild>
        </w:div>
        <w:div w:id="1992323878">
          <w:marLeft w:val="0"/>
          <w:marRight w:val="0"/>
          <w:marTop w:val="0"/>
          <w:marBottom w:val="0"/>
          <w:divBdr>
            <w:top w:val="none" w:sz="0" w:space="0" w:color="auto"/>
            <w:left w:val="none" w:sz="0" w:space="0" w:color="auto"/>
            <w:bottom w:val="none" w:sz="0" w:space="0" w:color="auto"/>
            <w:right w:val="none" w:sz="0" w:space="0" w:color="auto"/>
          </w:divBdr>
          <w:divsChild>
            <w:div w:id="1768692174">
              <w:marLeft w:val="0"/>
              <w:marRight w:val="0"/>
              <w:marTop w:val="0"/>
              <w:marBottom w:val="0"/>
              <w:divBdr>
                <w:top w:val="none" w:sz="0" w:space="0" w:color="auto"/>
                <w:left w:val="none" w:sz="0" w:space="0" w:color="auto"/>
                <w:bottom w:val="none" w:sz="0" w:space="0" w:color="auto"/>
                <w:right w:val="none" w:sz="0" w:space="0" w:color="auto"/>
              </w:divBdr>
            </w:div>
            <w:div w:id="19488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56715">
      <w:bodyDiv w:val="1"/>
      <w:marLeft w:val="0"/>
      <w:marRight w:val="0"/>
      <w:marTop w:val="0"/>
      <w:marBottom w:val="0"/>
      <w:divBdr>
        <w:top w:val="none" w:sz="0" w:space="0" w:color="auto"/>
        <w:left w:val="none" w:sz="0" w:space="0" w:color="auto"/>
        <w:bottom w:val="none" w:sz="0" w:space="0" w:color="auto"/>
        <w:right w:val="none" w:sz="0" w:space="0" w:color="auto"/>
      </w:divBdr>
    </w:div>
    <w:div w:id="783885707">
      <w:bodyDiv w:val="1"/>
      <w:marLeft w:val="0"/>
      <w:marRight w:val="0"/>
      <w:marTop w:val="0"/>
      <w:marBottom w:val="0"/>
      <w:divBdr>
        <w:top w:val="none" w:sz="0" w:space="0" w:color="auto"/>
        <w:left w:val="none" w:sz="0" w:space="0" w:color="auto"/>
        <w:bottom w:val="none" w:sz="0" w:space="0" w:color="auto"/>
        <w:right w:val="none" w:sz="0" w:space="0" w:color="auto"/>
      </w:divBdr>
      <w:divsChild>
        <w:div w:id="469903748">
          <w:marLeft w:val="0"/>
          <w:marRight w:val="0"/>
          <w:marTop w:val="0"/>
          <w:marBottom w:val="0"/>
          <w:divBdr>
            <w:top w:val="none" w:sz="0" w:space="0" w:color="auto"/>
            <w:left w:val="none" w:sz="0" w:space="0" w:color="auto"/>
            <w:bottom w:val="none" w:sz="0" w:space="0" w:color="auto"/>
            <w:right w:val="none" w:sz="0" w:space="0" w:color="auto"/>
          </w:divBdr>
          <w:divsChild>
            <w:div w:id="738214773">
              <w:marLeft w:val="0"/>
              <w:marRight w:val="0"/>
              <w:marTop w:val="0"/>
              <w:marBottom w:val="0"/>
              <w:divBdr>
                <w:top w:val="none" w:sz="0" w:space="0" w:color="auto"/>
                <w:left w:val="none" w:sz="0" w:space="0" w:color="auto"/>
                <w:bottom w:val="none" w:sz="0" w:space="0" w:color="auto"/>
                <w:right w:val="none" w:sz="0" w:space="0" w:color="auto"/>
              </w:divBdr>
            </w:div>
            <w:div w:id="19360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71470">
      <w:bodyDiv w:val="1"/>
      <w:marLeft w:val="0"/>
      <w:marRight w:val="0"/>
      <w:marTop w:val="0"/>
      <w:marBottom w:val="0"/>
      <w:divBdr>
        <w:top w:val="none" w:sz="0" w:space="0" w:color="auto"/>
        <w:left w:val="none" w:sz="0" w:space="0" w:color="auto"/>
        <w:bottom w:val="none" w:sz="0" w:space="0" w:color="auto"/>
        <w:right w:val="none" w:sz="0" w:space="0" w:color="auto"/>
      </w:divBdr>
    </w:div>
    <w:div w:id="836581290">
      <w:bodyDiv w:val="1"/>
      <w:marLeft w:val="0"/>
      <w:marRight w:val="0"/>
      <w:marTop w:val="0"/>
      <w:marBottom w:val="0"/>
      <w:divBdr>
        <w:top w:val="none" w:sz="0" w:space="0" w:color="auto"/>
        <w:left w:val="none" w:sz="0" w:space="0" w:color="auto"/>
        <w:bottom w:val="none" w:sz="0" w:space="0" w:color="auto"/>
        <w:right w:val="none" w:sz="0" w:space="0" w:color="auto"/>
      </w:divBdr>
    </w:div>
    <w:div w:id="852039204">
      <w:bodyDiv w:val="1"/>
      <w:marLeft w:val="0"/>
      <w:marRight w:val="0"/>
      <w:marTop w:val="0"/>
      <w:marBottom w:val="0"/>
      <w:divBdr>
        <w:top w:val="none" w:sz="0" w:space="0" w:color="auto"/>
        <w:left w:val="none" w:sz="0" w:space="0" w:color="auto"/>
        <w:bottom w:val="none" w:sz="0" w:space="0" w:color="auto"/>
        <w:right w:val="none" w:sz="0" w:space="0" w:color="auto"/>
      </w:divBdr>
      <w:divsChild>
        <w:div w:id="811796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221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067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449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177440">
      <w:bodyDiv w:val="1"/>
      <w:marLeft w:val="0"/>
      <w:marRight w:val="0"/>
      <w:marTop w:val="0"/>
      <w:marBottom w:val="0"/>
      <w:divBdr>
        <w:top w:val="none" w:sz="0" w:space="0" w:color="auto"/>
        <w:left w:val="none" w:sz="0" w:space="0" w:color="auto"/>
        <w:bottom w:val="none" w:sz="0" w:space="0" w:color="auto"/>
        <w:right w:val="none" w:sz="0" w:space="0" w:color="auto"/>
      </w:divBdr>
    </w:div>
    <w:div w:id="886645495">
      <w:bodyDiv w:val="1"/>
      <w:marLeft w:val="0"/>
      <w:marRight w:val="0"/>
      <w:marTop w:val="0"/>
      <w:marBottom w:val="0"/>
      <w:divBdr>
        <w:top w:val="none" w:sz="0" w:space="0" w:color="auto"/>
        <w:left w:val="none" w:sz="0" w:space="0" w:color="auto"/>
        <w:bottom w:val="none" w:sz="0" w:space="0" w:color="auto"/>
        <w:right w:val="none" w:sz="0" w:space="0" w:color="auto"/>
      </w:divBdr>
      <w:divsChild>
        <w:div w:id="58142304">
          <w:marLeft w:val="0"/>
          <w:marRight w:val="0"/>
          <w:marTop w:val="0"/>
          <w:marBottom w:val="0"/>
          <w:divBdr>
            <w:top w:val="none" w:sz="0" w:space="0" w:color="auto"/>
            <w:left w:val="none" w:sz="0" w:space="0" w:color="auto"/>
            <w:bottom w:val="none" w:sz="0" w:space="0" w:color="auto"/>
            <w:right w:val="none" w:sz="0" w:space="0" w:color="auto"/>
          </w:divBdr>
        </w:div>
      </w:divsChild>
    </w:div>
    <w:div w:id="907302603">
      <w:bodyDiv w:val="1"/>
      <w:marLeft w:val="0"/>
      <w:marRight w:val="0"/>
      <w:marTop w:val="0"/>
      <w:marBottom w:val="0"/>
      <w:divBdr>
        <w:top w:val="none" w:sz="0" w:space="0" w:color="auto"/>
        <w:left w:val="none" w:sz="0" w:space="0" w:color="auto"/>
        <w:bottom w:val="none" w:sz="0" w:space="0" w:color="auto"/>
        <w:right w:val="none" w:sz="0" w:space="0" w:color="auto"/>
      </w:divBdr>
      <w:divsChild>
        <w:div w:id="1712800871">
          <w:marLeft w:val="0"/>
          <w:marRight w:val="0"/>
          <w:marTop w:val="0"/>
          <w:marBottom w:val="0"/>
          <w:divBdr>
            <w:top w:val="none" w:sz="0" w:space="0" w:color="auto"/>
            <w:left w:val="none" w:sz="0" w:space="0" w:color="auto"/>
            <w:bottom w:val="none" w:sz="0" w:space="0" w:color="auto"/>
            <w:right w:val="none" w:sz="0" w:space="0" w:color="auto"/>
          </w:divBdr>
        </w:div>
      </w:divsChild>
    </w:div>
    <w:div w:id="917905807">
      <w:bodyDiv w:val="1"/>
      <w:marLeft w:val="0"/>
      <w:marRight w:val="0"/>
      <w:marTop w:val="0"/>
      <w:marBottom w:val="0"/>
      <w:divBdr>
        <w:top w:val="none" w:sz="0" w:space="0" w:color="auto"/>
        <w:left w:val="none" w:sz="0" w:space="0" w:color="auto"/>
        <w:bottom w:val="none" w:sz="0" w:space="0" w:color="auto"/>
        <w:right w:val="none" w:sz="0" w:space="0" w:color="auto"/>
      </w:divBdr>
      <w:divsChild>
        <w:div w:id="407270112">
          <w:marLeft w:val="0"/>
          <w:marRight w:val="0"/>
          <w:marTop w:val="0"/>
          <w:marBottom w:val="0"/>
          <w:divBdr>
            <w:top w:val="none" w:sz="0" w:space="0" w:color="auto"/>
            <w:left w:val="none" w:sz="0" w:space="0" w:color="auto"/>
            <w:bottom w:val="none" w:sz="0" w:space="0" w:color="auto"/>
            <w:right w:val="none" w:sz="0" w:space="0" w:color="auto"/>
          </w:divBdr>
        </w:div>
      </w:divsChild>
    </w:div>
    <w:div w:id="982664236">
      <w:bodyDiv w:val="1"/>
      <w:marLeft w:val="0"/>
      <w:marRight w:val="0"/>
      <w:marTop w:val="0"/>
      <w:marBottom w:val="0"/>
      <w:divBdr>
        <w:top w:val="none" w:sz="0" w:space="0" w:color="auto"/>
        <w:left w:val="none" w:sz="0" w:space="0" w:color="auto"/>
        <w:bottom w:val="none" w:sz="0" w:space="0" w:color="auto"/>
        <w:right w:val="none" w:sz="0" w:space="0" w:color="auto"/>
      </w:divBdr>
    </w:div>
    <w:div w:id="987784999">
      <w:bodyDiv w:val="1"/>
      <w:marLeft w:val="0"/>
      <w:marRight w:val="0"/>
      <w:marTop w:val="0"/>
      <w:marBottom w:val="0"/>
      <w:divBdr>
        <w:top w:val="none" w:sz="0" w:space="0" w:color="auto"/>
        <w:left w:val="none" w:sz="0" w:space="0" w:color="auto"/>
        <w:bottom w:val="none" w:sz="0" w:space="0" w:color="auto"/>
        <w:right w:val="none" w:sz="0" w:space="0" w:color="auto"/>
      </w:divBdr>
    </w:div>
    <w:div w:id="1006706895">
      <w:bodyDiv w:val="1"/>
      <w:marLeft w:val="0"/>
      <w:marRight w:val="0"/>
      <w:marTop w:val="0"/>
      <w:marBottom w:val="0"/>
      <w:divBdr>
        <w:top w:val="none" w:sz="0" w:space="0" w:color="auto"/>
        <w:left w:val="none" w:sz="0" w:space="0" w:color="auto"/>
        <w:bottom w:val="none" w:sz="0" w:space="0" w:color="auto"/>
        <w:right w:val="none" w:sz="0" w:space="0" w:color="auto"/>
      </w:divBdr>
      <w:divsChild>
        <w:div w:id="531916679">
          <w:marLeft w:val="0"/>
          <w:marRight w:val="0"/>
          <w:marTop w:val="0"/>
          <w:marBottom w:val="0"/>
          <w:divBdr>
            <w:top w:val="none" w:sz="0" w:space="0" w:color="auto"/>
            <w:left w:val="none" w:sz="0" w:space="0" w:color="auto"/>
            <w:bottom w:val="none" w:sz="0" w:space="0" w:color="auto"/>
            <w:right w:val="none" w:sz="0" w:space="0" w:color="auto"/>
          </w:divBdr>
        </w:div>
        <w:div w:id="1418867520">
          <w:marLeft w:val="0"/>
          <w:marRight w:val="0"/>
          <w:marTop w:val="0"/>
          <w:marBottom w:val="0"/>
          <w:divBdr>
            <w:top w:val="none" w:sz="0" w:space="0" w:color="auto"/>
            <w:left w:val="none" w:sz="0" w:space="0" w:color="auto"/>
            <w:bottom w:val="none" w:sz="0" w:space="0" w:color="auto"/>
            <w:right w:val="none" w:sz="0" w:space="0" w:color="auto"/>
          </w:divBdr>
        </w:div>
        <w:div w:id="2001274911">
          <w:marLeft w:val="0"/>
          <w:marRight w:val="0"/>
          <w:marTop w:val="0"/>
          <w:marBottom w:val="0"/>
          <w:divBdr>
            <w:top w:val="none" w:sz="0" w:space="0" w:color="auto"/>
            <w:left w:val="none" w:sz="0" w:space="0" w:color="auto"/>
            <w:bottom w:val="none" w:sz="0" w:space="0" w:color="auto"/>
            <w:right w:val="none" w:sz="0" w:space="0" w:color="auto"/>
          </w:divBdr>
        </w:div>
      </w:divsChild>
    </w:div>
    <w:div w:id="1012495526">
      <w:bodyDiv w:val="1"/>
      <w:marLeft w:val="0"/>
      <w:marRight w:val="0"/>
      <w:marTop w:val="0"/>
      <w:marBottom w:val="0"/>
      <w:divBdr>
        <w:top w:val="none" w:sz="0" w:space="0" w:color="auto"/>
        <w:left w:val="none" w:sz="0" w:space="0" w:color="auto"/>
        <w:bottom w:val="none" w:sz="0" w:space="0" w:color="auto"/>
        <w:right w:val="none" w:sz="0" w:space="0" w:color="auto"/>
      </w:divBdr>
    </w:div>
    <w:div w:id="1074670069">
      <w:bodyDiv w:val="1"/>
      <w:marLeft w:val="0"/>
      <w:marRight w:val="0"/>
      <w:marTop w:val="0"/>
      <w:marBottom w:val="0"/>
      <w:divBdr>
        <w:top w:val="none" w:sz="0" w:space="0" w:color="auto"/>
        <w:left w:val="none" w:sz="0" w:space="0" w:color="auto"/>
        <w:bottom w:val="none" w:sz="0" w:space="0" w:color="auto"/>
        <w:right w:val="none" w:sz="0" w:space="0" w:color="auto"/>
      </w:divBdr>
      <w:divsChild>
        <w:div w:id="1800799751">
          <w:marLeft w:val="0"/>
          <w:marRight w:val="0"/>
          <w:marTop w:val="0"/>
          <w:marBottom w:val="0"/>
          <w:divBdr>
            <w:top w:val="none" w:sz="0" w:space="0" w:color="auto"/>
            <w:left w:val="none" w:sz="0" w:space="0" w:color="auto"/>
            <w:bottom w:val="none" w:sz="0" w:space="0" w:color="auto"/>
            <w:right w:val="none" w:sz="0" w:space="0" w:color="auto"/>
          </w:divBdr>
        </w:div>
      </w:divsChild>
    </w:div>
    <w:div w:id="1080563959">
      <w:bodyDiv w:val="1"/>
      <w:marLeft w:val="0"/>
      <w:marRight w:val="0"/>
      <w:marTop w:val="0"/>
      <w:marBottom w:val="0"/>
      <w:divBdr>
        <w:top w:val="none" w:sz="0" w:space="0" w:color="auto"/>
        <w:left w:val="none" w:sz="0" w:space="0" w:color="auto"/>
        <w:bottom w:val="none" w:sz="0" w:space="0" w:color="auto"/>
        <w:right w:val="none" w:sz="0" w:space="0" w:color="auto"/>
      </w:divBdr>
    </w:div>
    <w:div w:id="1087313587">
      <w:bodyDiv w:val="1"/>
      <w:marLeft w:val="0"/>
      <w:marRight w:val="0"/>
      <w:marTop w:val="0"/>
      <w:marBottom w:val="0"/>
      <w:divBdr>
        <w:top w:val="none" w:sz="0" w:space="0" w:color="auto"/>
        <w:left w:val="none" w:sz="0" w:space="0" w:color="auto"/>
        <w:bottom w:val="none" w:sz="0" w:space="0" w:color="auto"/>
        <w:right w:val="none" w:sz="0" w:space="0" w:color="auto"/>
      </w:divBdr>
      <w:divsChild>
        <w:div w:id="1329941201">
          <w:marLeft w:val="0"/>
          <w:marRight w:val="0"/>
          <w:marTop w:val="0"/>
          <w:marBottom w:val="0"/>
          <w:divBdr>
            <w:top w:val="none" w:sz="0" w:space="0" w:color="auto"/>
            <w:left w:val="none" w:sz="0" w:space="0" w:color="auto"/>
            <w:bottom w:val="none" w:sz="0" w:space="0" w:color="auto"/>
            <w:right w:val="none" w:sz="0" w:space="0" w:color="auto"/>
          </w:divBdr>
        </w:div>
      </w:divsChild>
    </w:div>
    <w:div w:id="1088573177">
      <w:bodyDiv w:val="1"/>
      <w:marLeft w:val="0"/>
      <w:marRight w:val="0"/>
      <w:marTop w:val="0"/>
      <w:marBottom w:val="0"/>
      <w:divBdr>
        <w:top w:val="none" w:sz="0" w:space="0" w:color="auto"/>
        <w:left w:val="none" w:sz="0" w:space="0" w:color="auto"/>
        <w:bottom w:val="none" w:sz="0" w:space="0" w:color="auto"/>
        <w:right w:val="none" w:sz="0" w:space="0" w:color="auto"/>
      </w:divBdr>
      <w:divsChild>
        <w:div w:id="1388064906">
          <w:marLeft w:val="0"/>
          <w:marRight w:val="0"/>
          <w:marTop w:val="0"/>
          <w:marBottom w:val="0"/>
          <w:divBdr>
            <w:top w:val="none" w:sz="0" w:space="0" w:color="auto"/>
            <w:left w:val="none" w:sz="0" w:space="0" w:color="auto"/>
            <w:bottom w:val="none" w:sz="0" w:space="0" w:color="auto"/>
            <w:right w:val="none" w:sz="0" w:space="0" w:color="auto"/>
          </w:divBdr>
          <w:divsChild>
            <w:div w:id="1584680771">
              <w:marLeft w:val="0"/>
              <w:marRight w:val="0"/>
              <w:marTop w:val="0"/>
              <w:marBottom w:val="0"/>
              <w:divBdr>
                <w:top w:val="none" w:sz="0" w:space="0" w:color="auto"/>
                <w:left w:val="none" w:sz="0" w:space="0" w:color="auto"/>
                <w:bottom w:val="none" w:sz="0" w:space="0" w:color="auto"/>
                <w:right w:val="none" w:sz="0" w:space="0" w:color="auto"/>
              </w:divBdr>
              <w:divsChild>
                <w:div w:id="142739114">
                  <w:marLeft w:val="0"/>
                  <w:marRight w:val="0"/>
                  <w:marTop w:val="0"/>
                  <w:marBottom w:val="0"/>
                  <w:divBdr>
                    <w:top w:val="none" w:sz="0" w:space="0" w:color="auto"/>
                    <w:left w:val="none" w:sz="0" w:space="0" w:color="auto"/>
                    <w:bottom w:val="none" w:sz="0" w:space="0" w:color="auto"/>
                    <w:right w:val="none" w:sz="0" w:space="0" w:color="auto"/>
                  </w:divBdr>
                </w:div>
                <w:div w:id="715811325">
                  <w:marLeft w:val="0"/>
                  <w:marRight w:val="0"/>
                  <w:marTop w:val="0"/>
                  <w:marBottom w:val="0"/>
                  <w:divBdr>
                    <w:top w:val="none" w:sz="0" w:space="0" w:color="auto"/>
                    <w:left w:val="none" w:sz="0" w:space="0" w:color="auto"/>
                    <w:bottom w:val="none" w:sz="0" w:space="0" w:color="auto"/>
                    <w:right w:val="none" w:sz="0" w:space="0" w:color="auto"/>
                  </w:divBdr>
                </w:div>
                <w:div w:id="1917591296">
                  <w:marLeft w:val="0"/>
                  <w:marRight w:val="0"/>
                  <w:marTop w:val="0"/>
                  <w:marBottom w:val="0"/>
                  <w:divBdr>
                    <w:top w:val="none" w:sz="0" w:space="0" w:color="auto"/>
                    <w:left w:val="none" w:sz="0" w:space="0" w:color="auto"/>
                    <w:bottom w:val="none" w:sz="0" w:space="0" w:color="auto"/>
                    <w:right w:val="none" w:sz="0" w:space="0" w:color="auto"/>
                  </w:divBdr>
                </w:div>
                <w:div w:id="2001427117">
                  <w:marLeft w:val="0"/>
                  <w:marRight w:val="0"/>
                  <w:marTop w:val="0"/>
                  <w:marBottom w:val="0"/>
                  <w:divBdr>
                    <w:top w:val="none" w:sz="0" w:space="0" w:color="auto"/>
                    <w:left w:val="none" w:sz="0" w:space="0" w:color="auto"/>
                    <w:bottom w:val="none" w:sz="0" w:space="0" w:color="auto"/>
                    <w:right w:val="none" w:sz="0" w:space="0" w:color="auto"/>
                  </w:divBdr>
                </w:div>
                <w:div w:id="205568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01545">
      <w:bodyDiv w:val="1"/>
      <w:marLeft w:val="0"/>
      <w:marRight w:val="0"/>
      <w:marTop w:val="0"/>
      <w:marBottom w:val="0"/>
      <w:divBdr>
        <w:top w:val="none" w:sz="0" w:space="0" w:color="auto"/>
        <w:left w:val="none" w:sz="0" w:space="0" w:color="auto"/>
        <w:bottom w:val="none" w:sz="0" w:space="0" w:color="auto"/>
        <w:right w:val="none" w:sz="0" w:space="0" w:color="auto"/>
      </w:divBdr>
      <w:divsChild>
        <w:div w:id="388118563">
          <w:marLeft w:val="0"/>
          <w:marRight w:val="0"/>
          <w:marTop w:val="0"/>
          <w:marBottom w:val="0"/>
          <w:divBdr>
            <w:top w:val="none" w:sz="0" w:space="0" w:color="auto"/>
            <w:left w:val="none" w:sz="0" w:space="0" w:color="auto"/>
            <w:bottom w:val="none" w:sz="0" w:space="0" w:color="auto"/>
            <w:right w:val="none" w:sz="0" w:space="0" w:color="auto"/>
          </w:divBdr>
        </w:div>
      </w:divsChild>
    </w:div>
    <w:div w:id="1105229443">
      <w:bodyDiv w:val="1"/>
      <w:marLeft w:val="0"/>
      <w:marRight w:val="0"/>
      <w:marTop w:val="0"/>
      <w:marBottom w:val="0"/>
      <w:divBdr>
        <w:top w:val="none" w:sz="0" w:space="0" w:color="auto"/>
        <w:left w:val="none" w:sz="0" w:space="0" w:color="auto"/>
        <w:bottom w:val="none" w:sz="0" w:space="0" w:color="auto"/>
        <w:right w:val="none" w:sz="0" w:space="0" w:color="auto"/>
      </w:divBdr>
    </w:div>
    <w:div w:id="1117026294">
      <w:bodyDiv w:val="1"/>
      <w:marLeft w:val="0"/>
      <w:marRight w:val="0"/>
      <w:marTop w:val="0"/>
      <w:marBottom w:val="0"/>
      <w:divBdr>
        <w:top w:val="none" w:sz="0" w:space="0" w:color="auto"/>
        <w:left w:val="none" w:sz="0" w:space="0" w:color="auto"/>
        <w:bottom w:val="none" w:sz="0" w:space="0" w:color="auto"/>
        <w:right w:val="none" w:sz="0" w:space="0" w:color="auto"/>
      </w:divBdr>
      <w:divsChild>
        <w:div w:id="2050228656">
          <w:marLeft w:val="0"/>
          <w:marRight w:val="0"/>
          <w:marTop w:val="0"/>
          <w:marBottom w:val="0"/>
          <w:divBdr>
            <w:top w:val="none" w:sz="0" w:space="0" w:color="auto"/>
            <w:left w:val="none" w:sz="0" w:space="0" w:color="auto"/>
            <w:bottom w:val="none" w:sz="0" w:space="0" w:color="auto"/>
            <w:right w:val="none" w:sz="0" w:space="0" w:color="auto"/>
          </w:divBdr>
          <w:divsChild>
            <w:div w:id="157043840">
              <w:marLeft w:val="0"/>
              <w:marRight w:val="0"/>
              <w:marTop w:val="0"/>
              <w:marBottom w:val="0"/>
              <w:divBdr>
                <w:top w:val="none" w:sz="0" w:space="0" w:color="auto"/>
                <w:left w:val="none" w:sz="0" w:space="0" w:color="auto"/>
                <w:bottom w:val="none" w:sz="0" w:space="0" w:color="auto"/>
                <w:right w:val="none" w:sz="0" w:space="0" w:color="auto"/>
              </w:divBdr>
            </w:div>
            <w:div w:id="2085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3825">
      <w:bodyDiv w:val="1"/>
      <w:marLeft w:val="0"/>
      <w:marRight w:val="0"/>
      <w:marTop w:val="0"/>
      <w:marBottom w:val="0"/>
      <w:divBdr>
        <w:top w:val="none" w:sz="0" w:space="0" w:color="auto"/>
        <w:left w:val="none" w:sz="0" w:space="0" w:color="auto"/>
        <w:bottom w:val="none" w:sz="0" w:space="0" w:color="auto"/>
        <w:right w:val="none" w:sz="0" w:space="0" w:color="auto"/>
      </w:divBdr>
    </w:div>
    <w:div w:id="1163735671">
      <w:bodyDiv w:val="1"/>
      <w:marLeft w:val="0"/>
      <w:marRight w:val="0"/>
      <w:marTop w:val="0"/>
      <w:marBottom w:val="0"/>
      <w:divBdr>
        <w:top w:val="none" w:sz="0" w:space="0" w:color="auto"/>
        <w:left w:val="none" w:sz="0" w:space="0" w:color="auto"/>
        <w:bottom w:val="none" w:sz="0" w:space="0" w:color="auto"/>
        <w:right w:val="none" w:sz="0" w:space="0" w:color="auto"/>
      </w:divBdr>
    </w:div>
    <w:div w:id="1182935176">
      <w:bodyDiv w:val="1"/>
      <w:marLeft w:val="0"/>
      <w:marRight w:val="0"/>
      <w:marTop w:val="0"/>
      <w:marBottom w:val="0"/>
      <w:divBdr>
        <w:top w:val="none" w:sz="0" w:space="0" w:color="auto"/>
        <w:left w:val="none" w:sz="0" w:space="0" w:color="auto"/>
        <w:bottom w:val="none" w:sz="0" w:space="0" w:color="auto"/>
        <w:right w:val="none" w:sz="0" w:space="0" w:color="auto"/>
      </w:divBdr>
      <w:divsChild>
        <w:div w:id="2116167511">
          <w:marLeft w:val="0"/>
          <w:marRight w:val="0"/>
          <w:marTop w:val="0"/>
          <w:marBottom w:val="0"/>
          <w:divBdr>
            <w:top w:val="none" w:sz="0" w:space="0" w:color="auto"/>
            <w:left w:val="none" w:sz="0" w:space="0" w:color="auto"/>
            <w:bottom w:val="none" w:sz="0" w:space="0" w:color="auto"/>
            <w:right w:val="none" w:sz="0" w:space="0" w:color="auto"/>
          </w:divBdr>
          <w:divsChild>
            <w:div w:id="201746685">
              <w:marLeft w:val="0"/>
              <w:marRight w:val="0"/>
              <w:marTop w:val="0"/>
              <w:marBottom w:val="0"/>
              <w:divBdr>
                <w:top w:val="none" w:sz="0" w:space="0" w:color="auto"/>
                <w:left w:val="none" w:sz="0" w:space="0" w:color="auto"/>
                <w:bottom w:val="none" w:sz="0" w:space="0" w:color="auto"/>
                <w:right w:val="none" w:sz="0" w:space="0" w:color="auto"/>
              </w:divBdr>
            </w:div>
            <w:div w:id="18070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0605">
      <w:bodyDiv w:val="1"/>
      <w:marLeft w:val="0"/>
      <w:marRight w:val="0"/>
      <w:marTop w:val="0"/>
      <w:marBottom w:val="0"/>
      <w:divBdr>
        <w:top w:val="none" w:sz="0" w:space="0" w:color="auto"/>
        <w:left w:val="none" w:sz="0" w:space="0" w:color="auto"/>
        <w:bottom w:val="none" w:sz="0" w:space="0" w:color="auto"/>
        <w:right w:val="none" w:sz="0" w:space="0" w:color="auto"/>
      </w:divBdr>
      <w:divsChild>
        <w:div w:id="442647992">
          <w:marLeft w:val="0"/>
          <w:marRight w:val="0"/>
          <w:marTop w:val="0"/>
          <w:marBottom w:val="0"/>
          <w:divBdr>
            <w:top w:val="none" w:sz="0" w:space="0" w:color="auto"/>
            <w:left w:val="none" w:sz="0" w:space="0" w:color="auto"/>
            <w:bottom w:val="none" w:sz="0" w:space="0" w:color="auto"/>
            <w:right w:val="none" w:sz="0" w:space="0" w:color="auto"/>
          </w:divBdr>
          <w:divsChild>
            <w:div w:id="1012032963">
              <w:marLeft w:val="0"/>
              <w:marRight w:val="0"/>
              <w:marTop w:val="0"/>
              <w:marBottom w:val="0"/>
              <w:divBdr>
                <w:top w:val="none" w:sz="0" w:space="0" w:color="auto"/>
                <w:left w:val="none" w:sz="0" w:space="0" w:color="auto"/>
                <w:bottom w:val="none" w:sz="0" w:space="0" w:color="auto"/>
                <w:right w:val="none" w:sz="0" w:space="0" w:color="auto"/>
              </w:divBdr>
              <w:divsChild>
                <w:div w:id="741947155">
                  <w:marLeft w:val="0"/>
                  <w:marRight w:val="0"/>
                  <w:marTop w:val="0"/>
                  <w:marBottom w:val="0"/>
                  <w:divBdr>
                    <w:top w:val="none" w:sz="0" w:space="0" w:color="auto"/>
                    <w:left w:val="none" w:sz="0" w:space="0" w:color="auto"/>
                    <w:bottom w:val="none" w:sz="0" w:space="0" w:color="auto"/>
                    <w:right w:val="none" w:sz="0" w:space="0" w:color="auto"/>
                  </w:divBdr>
                </w:div>
                <w:div w:id="1226407231">
                  <w:marLeft w:val="0"/>
                  <w:marRight w:val="0"/>
                  <w:marTop w:val="0"/>
                  <w:marBottom w:val="0"/>
                  <w:divBdr>
                    <w:top w:val="none" w:sz="0" w:space="0" w:color="auto"/>
                    <w:left w:val="none" w:sz="0" w:space="0" w:color="auto"/>
                    <w:bottom w:val="none" w:sz="0" w:space="0" w:color="auto"/>
                    <w:right w:val="none" w:sz="0" w:space="0" w:color="auto"/>
                  </w:divBdr>
                </w:div>
                <w:div w:id="1521821503">
                  <w:marLeft w:val="0"/>
                  <w:marRight w:val="0"/>
                  <w:marTop w:val="0"/>
                  <w:marBottom w:val="0"/>
                  <w:divBdr>
                    <w:top w:val="none" w:sz="0" w:space="0" w:color="auto"/>
                    <w:left w:val="none" w:sz="0" w:space="0" w:color="auto"/>
                    <w:bottom w:val="none" w:sz="0" w:space="0" w:color="auto"/>
                    <w:right w:val="none" w:sz="0" w:space="0" w:color="auto"/>
                  </w:divBdr>
                </w:div>
                <w:div w:id="1551266907">
                  <w:marLeft w:val="0"/>
                  <w:marRight w:val="0"/>
                  <w:marTop w:val="0"/>
                  <w:marBottom w:val="0"/>
                  <w:divBdr>
                    <w:top w:val="none" w:sz="0" w:space="0" w:color="auto"/>
                    <w:left w:val="none" w:sz="0" w:space="0" w:color="auto"/>
                    <w:bottom w:val="none" w:sz="0" w:space="0" w:color="auto"/>
                    <w:right w:val="none" w:sz="0" w:space="0" w:color="auto"/>
                  </w:divBdr>
                </w:div>
                <w:div w:id="20805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233971">
      <w:bodyDiv w:val="1"/>
      <w:marLeft w:val="0"/>
      <w:marRight w:val="0"/>
      <w:marTop w:val="0"/>
      <w:marBottom w:val="0"/>
      <w:divBdr>
        <w:top w:val="none" w:sz="0" w:space="0" w:color="auto"/>
        <w:left w:val="none" w:sz="0" w:space="0" w:color="auto"/>
        <w:bottom w:val="none" w:sz="0" w:space="0" w:color="auto"/>
        <w:right w:val="none" w:sz="0" w:space="0" w:color="auto"/>
      </w:divBdr>
    </w:div>
    <w:div w:id="1258443593">
      <w:bodyDiv w:val="1"/>
      <w:marLeft w:val="0"/>
      <w:marRight w:val="0"/>
      <w:marTop w:val="0"/>
      <w:marBottom w:val="0"/>
      <w:divBdr>
        <w:top w:val="none" w:sz="0" w:space="0" w:color="auto"/>
        <w:left w:val="none" w:sz="0" w:space="0" w:color="auto"/>
        <w:bottom w:val="none" w:sz="0" w:space="0" w:color="auto"/>
        <w:right w:val="none" w:sz="0" w:space="0" w:color="auto"/>
      </w:divBdr>
    </w:div>
    <w:div w:id="1268738200">
      <w:bodyDiv w:val="1"/>
      <w:marLeft w:val="0"/>
      <w:marRight w:val="0"/>
      <w:marTop w:val="0"/>
      <w:marBottom w:val="0"/>
      <w:divBdr>
        <w:top w:val="none" w:sz="0" w:space="0" w:color="auto"/>
        <w:left w:val="none" w:sz="0" w:space="0" w:color="auto"/>
        <w:bottom w:val="none" w:sz="0" w:space="0" w:color="auto"/>
        <w:right w:val="none" w:sz="0" w:space="0" w:color="auto"/>
      </w:divBdr>
      <w:divsChild>
        <w:div w:id="921335258">
          <w:marLeft w:val="0"/>
          <w:marRight w:val="0"/>
          <w:marTop w:val="0"/>
          <w:marBottom w:val="0"/>
          <w:divBdr>
            <w:top w:val="none" w:sz="0" w:space="0" w:color="auto"/>
            <w:left w:val="none" w:sz="0" w:space="0" w:color="auto"/>
            <w:bottom w:val="none" w:sz="0" w:space="0" w:color="auto"/>
            <w:right w:val="none" w:sz="0" w:space="0" w:color="auto"/>
          </w:divBdr>
        </w:div>
      </w:divsChild>
    </w:div>
    <w:div w:id="1275599499">
      <w:bodyDiv w:val="1"/>
      <w:marLeft w:val="0"/>
      <w:marRight w:val="0"/>
      <w:marTop w:val="0"/>
      <w:marBottom w:val="0"/>
      <w:divBdr>
        <w:top w:val="none" w:sz="0" w:space="0" w:color="auto"/>
        <w:left w:val="none" w:sz="0" w:space="0" w:color="auto"/>
        <w:bottom w:val="none" w:sz="0" w:space="0" w:color="auto"/>
        <w:right w:val="none" w:sz="0" w:space="0" w:color="auto"/>
      </w:divBdr>
      <w:divsChild>
        <w:div w:id="1958831766">
          <w:marLeft w:val="0"/>
          <w:marRight w:val="0"/>
          <w:marTop w:val="0"/>
          <w:marBottom w:val="0"/>
          <w:divBdr>
            <w:top w:val="none" w:sz="0" w:space="0" w:color="auto"/>
            <w:left w:val="none" w:sz="0" w:space="0" w:color="auto"/>
            <w:bottom w:val="none" w:sz="0" w:space="0" w:color="auto"/>
            <w:right w:val="none" w:sz="0" w:space="0" w:color="auto"/>
          </w:divBdr>
        </w:div>
      </w:divsChild>
    </w:div>
    <w:div w:id="1301228180">
      <w:bodyDiv w:val="1"/>
      <w:marLeft w:val="0"/>
      <w:marRight w:val="0"/>
      <w:marTop w:val="0"/>
      <w:marBottom w:val="0"/>
      <w:divBdr>
        <w:top w:val="none" w:sz="0" w:space="0" w:color="auto"/>
        <w:left w:val="none" w:sz="0" w:space="0" w:color="auto"/>
        <w:bottom w:val="none" w:sz="0" w:space="0" w:color="auto"/>
        <w:right w:val="none" w:sz="0" w:space="0" w:color="auto"/>
      </w:divBdr>
    </w:div>
    <w:div w:id="1307275465">
      <w:bodyDiv w:val="1"/>
      <w:marLeft w:val="0"/>
      <w:marRight w:val="0"/>
      <w:marTop w:val="0"/>
      <w:marBottom w:val="0"/>
      <w:divBdr>
        <w:top w:val="none" w:sz="0" w:space="0" w:color="auto"/>
        <w:left w:val="none" w:sz="0" w:space="0" w:color="auto"/>
        <w:bottom w:val="none" w:sz="0" w:space="0" w:color="auto"/>
        <w:right w:val="none" w:sz="0" w:space="0" w:color="auto"/>
      </w:divBdr>
    </w:div>
    <w:div w:id="1364793542">
      <w:bodyDiv w:val="1"/>
      <w:marLeft w:val="0"/>
      <w:marRight w:val="0"/>
      <w:marTop w:val="0"/>
      <w:marBottom w:val="0"/>
      <w:divBdr>
        <w:top w:val="none" w:sz="0" w:space="0" w:color="auto"/>
        <w:left w:val="none" w:sz="0" w:space="0" w:color="auto"/>
        <w:bottom w:val="none" w:sz="0" w:space="0" w:color="auto"/>
        <w:right w:val="none" w:sz="0" w:space="0" w:color="auto"/>
      </w:divBdr>
      <w:divsChild>
        <w:div w:id="2039312724">
          <w:marLeft w:val="0"/>
          <w:marRight w:val="0"/>
          <w:marTop w:val="0"/>
          <w:marBottom w:val="0"/>
          <w:divBdr>
            <w:top w:val="none" w:sz="0" w:space="0" w:color="auto"/>
            <w:left w:val="none" w:sz="0" w:space="0" w:color="auto"/>
            <w:bottom w:val="none" w:sz="0" w:space="0" w:color="auto"/>
            <w:right w:val="none" w:sz="0" w:space="0" w:color="auto"/>
          </w:divBdr>
          <w:divsChild>
            <w:div w:id="20433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17676">
      <w:bodyDiv w:val="1"/>
      <w:marLeft w:val="0"/>
      <w:marRight w:val="0"/>
      <w:marTop w:val="0"/>
      <w:marBottom w:val="0"/>
      <w:divBdr>
        <w:top w:val="none" w:sz="0" w:space="0" w:color="auto"/>
        <w:left w:val="none" w:sz="0" w:space="0" w:color="auto"/>
        <w:bottom w:val="none" w:sz="0" w:space="0" w:color="auto"/>
        <w:right w:val="none" w:sz="0" w:space="0" w:color="auto"/>
      </w:divBdr>
    </w:div>
    <w:div w:id="1393965050">
      <w:bodyDiv w:val="1"/>
      <w:marLeft w:val="0"/>
      <w:marRight w:val="0"/>
      <w:marTop w:val="0"/>
      <w:marBottom w:val="0"/>
      <w:divBdr>
        <w:top w:val="none" w:sz="0" w:space="0" w:color="auto"/>
        <w:left w:val="none" w:sz="0" w:space="0" w:color="auto"/>
        <w:bottom w:val="none" w:sz="0" w:space="0" w:color="auto"/>
        <w:right w:val="none" w:sz="0" w:space="0" w:color="auto"/>
      </w:divBdr>
    </w:div>
    <w:div w:id="1410469470">
      <w:bodyDiv w:val="1"/>
      <w:marLeft w:val="0"/>
      <w:marRight w:val="0"/>
      <w:marTop w:val="0"/>
      <w:marBottom w:val="0"/>
      <w:divBdr>
        <w:top w:val="none" w:sz="0" w:space="0" w:color="auto"/>
        <w:left w:val="none" w:sz="0" w:space="0" w:color="auto"/>
        <w:bottom w:val="none" w:sz="0" w:space="0" w:color="auto"/>
        <w:right w:val="none" w:sz="0" w:space="0" w:color="auto"/>
      </w:divBdr>
    </w:div>
    <w:div w:id="1416828314">
      <w:bodyDiv w:val="1"/>
      <w:marLeft w:val="0"/>
      <w:marRight w:val="0"/>
      <w:marTop w:val="0"/>
      <w:marBottom w:val="0"/>
      <w:divBdr>
        <w:top w:val="none" w:sz="0" w:space="0" w:color="auto"/>
        <w:left w:val="none" w:sz="0" w:space="0" w:color="auto"/>
        <w:bottom w:val="none" w:sz="0" w:space="0" w:color="auto"/>
        <w:right w:val="none" w:sz="0" w:space="0" w:color="auto"/>
      </w:divBdr>
    </w:div>
    <w:div w:id="1421486331">
      <w:bodyDiv w:val="1"/>
      <w:marLeft w:val="0"/>
      <w:marRight w:val="0"/>
      <w:marTop w:val="0"/>
      <w:marBottom w:val="0"/>
      <w:divBdr>
        <w:top w:val="none" w:sz="0" w:space="0" w:color="auto"/>
        <w:left w:val="none" w:sz="0" w:space="0" w:color="auto"/>
        <w:bottom w:val="none" w:sz="0" w:space="0" w:color="auto"/>
        <w:right w:val="none" w:sz="0" w:space="0" w:color="auto"/>
      </w:divBdr>
      <w:divsChild>
        <w:div w:id="1457527775">
          <w:marLeft w:val="0"/>
          <w:marRight w:val="0"/>
          <w:marTop w:val="0"/>
          <w:marBottom w:val="0"/>
          <w:divBdr>
            <w:top w:val="none" w:sz="0" w:space="0" w:color="auto"/>
            <w:left w:val="none" w:sz="0" w:space="0" w:color="auto"/>
            <w:bottom w:val="none" w:sz="0" w:space="0" w:color="auto"/>
            <w:right w:val="none" w:sz="0" w:space="0" w:color="auto"/>
          </w:divBdr>
          <w:divsChild>
            <w:div w:id="1944603836">
              <w:marLeft w:val="0"/>
              <w:marRight w:val="0"/>
              <w:marTop w:val="0"/>
              <w:marBottom w:val="0"/>
              <w:divBdr>
                <w:top w:val="none" w:sz="0" w:space="0" w:color="auto"/>
                <w:left w:val="none" w:sz="0" w:space="0" w:color="auto"/>
                <w:bottom w:val="none" w:sz="0" w:space="0" w:color="auto"/>
                <w:right w:val="none" w:sz="0" w:space="0" w:color="auto"/>
              </w:divBdr>
              <w:divsChild>
                <w:div w:id="769590810">
                  <w:marLeft w:val="0"/>
                  <w:marRight w:val="0"/>
                  <w:marTop w:val="0"/>
                  <w:marBottom w:val="0"/>
                  <w:divBdr>
                    <w:top w:val="none" w:sz="0" w:space="0" w:color="auto"/>
                    <w:left w:val="none" w:sz="0" w:space="0" w:color="auto"/>
                    <w:bottom w:val="none" w:sz="0" w:space="0" w:color="auto"/>
                    <w:right w:val="none" w:sz="0" w:space="0" w:color="auto"/>
                  </w:divBdr>
                  <w:divsChild>
                    <w:div w:id="1328174921">
                      <w:marLeft w:val="0"/>
                      <w:marRight w:val="0"/>
                      <w:marTop w:val="0"/>
                      <w:marBottom w:val="0"/>
                      <w:divBdr>
                        <w:top w:val="none" w:sz="0" w:space="0" w:color="auto"/>
                        <w:left w:val="none" w:sz="0" w:space="0" w:color="auto"/>
                        <w:bottom w:val="none" w:sz="0" w:space="0" w:color="auto"/>
                        <w:right w:val="none" w:sz="0" w:space="0" w:color="auto"/>
                      </w:divBdr>
                    </w:div>
                    <w:div w:id="1592665773">
                      <w:marLeft w:val="0"/>
                      <w:marRight w:val="0"/>
                      <w:marTop w:val="0"/>
                      <w:marBottom w:val="0"/>
                      <w:divBdr>
                        <w:top w:val="none" w:sz="0" w:space="0" w:color="auto"/>
                        <w:left w:val="none" w:sz="0" w:space="0" w:color="auto"/>
                        <w:bottom w:val="none" w:sz="0" w:space="0" w:color="auto"/>
                        <w:right w:val="none" w:sz="0" w:space="0" w:color="auto"/>
                      </w:divBdr>
                    </w:div>
                  </w:divsChild>
                </w:div>
                <w:div w:id="1079788706">
                  <w:marLeft w:val="0"/>
                  <w:marRight w:val="0"/>
                  <w:marTop w:val="0"/>
                  <w:marBottom w:val="0"/>
                  <w:divBdr>
                    <w:top w:val="none" w:sz="0" w:space="0" w:color="auto"/>
                    <w:left w:val="none" w:sz="0" w:space="0" w:color="auto"/>
                    <w:bottom w:val="none" w:sz="0" w:space="0" w:color="auto"/>
                    <w:right w:val="none" w:sz="0" w:space="0" w:color="auto"/>
                  </w:divBdr>
                  <w:divsChild>
                    <w:div w:id="743183690">
                      <w:marLeft w:val="0"/>
                      <w:marRight w:val="0"/>
                      <w:marTop w:val="0"/>
                      <w:marBottom w:val="0"/>
                      <w:divBdr>
                        <w:top w:val="none" w:sz="0" w:space="0" w:color="auto"/>
                        <w:left w:val="none" w:sz="0" w:space="0" w:color="auto"/>
                        <w:bottom w:val="none" w:sz="0" w:space="0" w:color="auto"/>
                        <w:right w:val="none" w:sz="0" w:space="0" w:color="auto"/>
                      </w:divBdr>
                    </w:div>
                    <w:div w:id="861434058">
                      <w:marLeft w:val="0"/>
                      <w:marRight w:val="0"/>
                      <w:marTop w:val="0"/>
                      <w:marBottom w:val="0"/>
                      <w:divBdr>
                        <w:top w:val="none" w:sz="0" w:space="0" w:color="auto"/>
                        <w:left w:val="none" w:sz="0" w:space="0" w:color="auto"/>
                        <w:bottom w:val="none" w:sz="0" w:space="0" w:color="auto"/>
                        <w:right w:val="none" w:sz="0" w:space="0" w:color="auto"/>
                      </w:divBdr>
                    </w:div>
                  </w:divsChild>
                </w:div>
                <w:div w:id="1436367544">
                  <w:marLeft w:val="0"/>
                  <w:marRight w:val="0"/>
                  <w:marTop w:val="0"/>
                  <w:marBottom w:val="0"/>
                  <w:divBdr>
                    <w:top w:val="none" w:sz="0" w:space="0" w:color="auto"/>
                    <w:left w:val="none" w:sz="0" w:space="0" w:color="auto"/>
                    <w:bottom w:val="none" w:sz="0" w:space="0" w:color="auto"/>
                    <w:right w:val="none" w:sz="0" w:space="0" w:color="auto"/>
                  </w:divBdr>
                  <w:divsChild>
                    <w:div w:id="187648054">
                      <w:marLeft w:val="0"/>
                      <w:marRight w:val="0"/>
                      <w:marTop w:val="0"/>
                      <w:marBottom w:val="0"/>
                      <w:divBdr>
                        <w:top w:val="none" w:sz="0" w:space="0" w:color="auto"/>
                        <w:left w:val="none" w:sz="0" w:space="0" w:color="auto"/>
                        <w:bottom w:val="none" w:sz="0" w:space="0" w:color="auto"/>
                        <w:right w:val="none" w:sz="0" w:space="0" w:color="auto"/>
                      </w:divBdr>
                    </w:div>
                    <w:div w:id="731125391">
                      <w:marLeft w:val="0"/>
                      <w:marRight w:val="0"/>
                      <w:marTop w:val="0"/>
                      <w:marBottom w:val="0"/>
                      <w:divBdr>
                        <w:top w:val="none" w:sz="0" w:space="0" w:color="auto"/>
                        <w:left w:val="none" w:sz="0" w:space="0" w:color="auto"/>
                        <w:bottom w:val="none" w:sz="0" w:space="0" w:color="auto"/>
                        <w:right w:val="none" w:sz="0" w:space="0" w:color="auto"/>
                      </w:divBdr>
                    </w:div>
                  </w:divsChild>
                </w:div>
                <w:div w:id="2027050897">
                  <w:marLeft w:val="0"/>
                  <w:marRight w:val="0"/>
                  <w:marTop w:val="0"/>
                  <w:marBottom w:val="0"/>
                  <w:divBdr>
                    <w:top w:val="none" w:sz="0" w:space="0" w:color="auto"/>
                    <w:left w:val="none" w:sz="0" w:space="0" w:color="auto"/>
                    <w:bottom w:val="none" w:sz="0" w:space="0" w:color="auto"/>
                    <w:right w:val="none" w:sz="0" w:space="0" w:color="auto"/>
                  </w:divBdr>
                  <w:divsChild>
                    <w:div w:id="439766290">
                      <w:marLeft w:val="0"/>
                      <w:marRight w:val="0"/>
                      <w:marTop w:val="0"/>
                      <w:marBottom w:val="0"/>
                      <w:divBdr>
                        <w:top w:val="none" w:sz="0" w:space="0" w:color="auto"/>
                        <w:left w:val="none" w:sz="0" w:space="0" w:color="auto"/>
                        <w:bottom w:val="none" w:sz="0" w:space="0" w:color="auto"/>
                        <w:right w:val="none" w:sz="0" w:space="0" w:color="auto"/>
                      </w:divBdr>
                    </w:div>
                    <w:div w:id="1273591232">
                      <w:marLeft w:val="0"/>
                      <w:marRight w:val="0"/>
                      <w:marTop w:val="0"/>
                      <w:marBottom w:val="0"/>
                      <w:divBdr>
                        <w:top w:val="none" w:sz="0" w:space="0" w:color="auto"/>
                        <w:left w:val="none" w:sz="0" w:space="0" w:color="auto"/>
                        <w:bottom w:val="none" w:sz="0" w:space="0" w:color="auto"/>
                        <w:right w:val="none" w:sz="0" w:space="0" w:color="auto"/>
                      </w:divBdr>
                    </w:div>
                  </w:divsChild>
                </w:div>
                <w:div w:id="2111463967">
                  <w:marLeft w:val="0"/>
                  <w:marRight w:val="0"/>
                  <w:marTop w:val="0"/>
                  <w:marBottom w:val="0"/>
                  <w:divBdr>
                    <w:top w:val="none" w:sz="0" w:space="0" w:color="auto"/>
                    <w:left w:val="none" w:sz="0" w:space="0" w:color="auto"/>
                    <w:bottom w:val="none" w:sz="0" w:space="0" w:color="auto"/>
                    <w:right w:val="none" w:sz="0" w:space="0" w:color="auto"/>
                  </w:divBdr>
                  <w:divsChild>
                    <w:div w:id="88623099">
                      <w:marLeft w:val="0"/>
                      <w:marRight w:val="0"/>
                      <w:marTop w:val="0"/>
                      <w:marBottom w:val="0"/>
                      <w:divBdr>
                        <w:top w:val="none" w:sz="0" w:space="0" w:color="auto"/>
                        <w:left w:val="none" w:sz="0" w:space="0" w:color="auto"/>
                        <w:bottom w:val="none" w:sz="0" w:space="0" w:color="auto"/>
                        <w:right w:val="none" w:sz="0" w:space="0" w:color="auto"/>
                      </w:divBdr>
                    </w:div>
                    <w:div w:id="62397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7142">
      <w:bodyDiv w:val="1"/>
      <w:marLeft w:val="0"/>
      <w:marRight w:val="0"/>
      <w:marTop w:val="0"/>
      <w:marBottom w:val="0"/>
      <w:divBdr>
        <w:top w:val="none" w:sz="0" w:space="0" w:color="auto"/>
        <w:left w:val="none" w:sz="0" w:space="0" w:color="auto"/>
        <w:bottom w:val="none" w:sz="0" w:space="0" w:color="auto"/>
        <w:right w:val="none" w:sz="0" w:space="0" w:color="auto"/>
      </w:divBdr>
    </w:div>
    <w:div w:id="1426340102">
      <w:bodyDiv w:val="1"/>
      <w:marLeft w:val="0"/>
      <w:marRight w:val="0"/>
      <w:marTop w:val="0"/>
      <w:marBottom w:val="0"/>
      <w:divBdr>
        <w:top w:val="none" w:sz="0" w:space="0" w:color="auto"/>
        <w:left w:val="none" w:sz="0" w:space="0" w:color="auto"/>
        <w:bottom w:val="none" w:sz="0" w:space="0" w:color="auto"/>
        <w:right w:val="none" w:sz="0" w:space="0" w:color="auto"/>
      </w:divBdr>
      <w:divsChild>
        <w:div w:id="685597659">
          <w:marLeft w:val="0"/>
          <w:marRight w:val="0"/>
          <w:marTop w:val="0"/>
          <w:marBottom w:val="0"/>
          <w:divBdr>
            <w:top w:val="none" w:sz="0" w:space="0" w:color="auto"/>
            <w:left w:val="none" w:sz="0" w:space="0" w:color="auto"/>
            <w:bottom w:val="none" w:sz="0" w:space="0" w:color="auto"/>
            <w:right w:val="none" w:sz="0" w:space="0" w:color="auto"/>
          </w:divBdr>
        </w:div>
      </w:divsChild>
    </w:div>
    <w:div w:id="1455518963">
      <w:bodyDiv w:val="1"/>
      <w:marLeft w:val="0"/>
      <w:marRight w:val="0"/>
      <w:marTop w:val="0"/>
      <w:marBottom w:val="0"/>
      <w:divBdr>
        <w:top w:val="none" w:sz="0" w:space="0" w:color="auto"/>
        <w:left w:val="none" w:sz="0" w:space="0" w:color="auto"/>
        <w:bottom w:val="none" w:sz="0" w:space="0" w:color="auto"/>
        <w:right w:val="none" w:sz="0" w:space="0" w:color="auto"/>
      </w:divBdr>
      <w:divsChild>
        <w:div w:id="1757437794">
          <w:marLeft w:val="0"/>
          <w:marRight w:val="0"/>
          <w:marTop w:val="0"/>
          <w:marBottom w:val="0"/>
          <w:divBdr>
            <w:top w:val="none" w:sz="0" w:space="0" w:color="auto"/>
            <w:left w:val="none" w:sz="0" w:space="0" w:color="auto"/>
            <w:bottom w:val="none" w:sz="0" w:space="0" w:color="auto"/>
            <w:right w:val="none" w:sz="0" w:space="0" w:color="auto"/>
          </w:divBdr>
          <w:divsChild>
            <w:div w:id="1909459908">
              <w:marLeft w:val="0"/>
              <w:marRight w:val="0"/>
              <w:marTop w:val="0"/>
              <w:marBottom w:val="0"/>
              <w:divBdr>
                <w:top w:val="none" w:sz="0" w:space="0" w:color="auto"/>
                <w:left w:val="none" w:sz="0" w:space="0" w:color="auto"/>
                <w:bottom w:val="none" w:sz="0" w:space="0" w:color="auto"/>
                <w:right w:val="none" w:sz="0" w:space="0" w:color="auto"/>
              </w:divBdr>
              <w:divsChild>
                <w:div w:id="597445135">
                  <w:marLeft w:val="0"/>
                  <w:marRight w:val="0"/>
                  <w:marTop w:val="0"/>
                  <w:marBottom w:val="0"/>
                  <w:divBdr>
                    <w:top w:val="none" w:sz="0" w:space="0" w:color="auto"/>
                    <w:left w:val="none" w:sz="0" w:space="0" w:color="auto"/>
                    <w:bottom w:val="none" w:sz="0" w:space="0" w:color="auto"/>
                    <w:right w:val="none" w:sz="0" w:space="0" w:color="auto"/>
                  </w:divBdr>
                  <w:divsChild>
                    <w:div w:id="705107852">
                      <w:marLeft w:val="0"/>
                      <w:marRight w:val="0"/>
                      <w:marTop w:val="0"/>
                      <w:marBottom w:val="0"/>
                      <w:divBdr>
                        <w:top w:val="none" w:sz="0" w:space="0" w:color="auto"/>
                        <w:left w:val="none" w:sz="0" w:space="0" w:color="auto"/>
                        <w:bottom w:val="none" w:sz="0" w:space="0" w:color="auto"/>
                        <w:right w:val="none" w:sz="0" w:space="0" w:color="auto"/>
                      </w:divBdr>
                    </w:div>
                    <w:div w:id="1886719495">
                      <w:marLeft w:val="0"/>
                      <w:marRight w:val="0"/>
                      <w:marTop w:val="0"/>
                      <w:marBottom w:val="0"/>
                      <w:divBdr>
                        <w:top w:val="none" w:sz="0" w:space="0" w:color="auto"/>
                        <w:left w:val="none" w:sz="0" w:space="0" w:color="auto"/>
                        <w:bottom w:val="none" w:sz="0" w:space="0" w:color="auto"/>
                        <w:right w:val="none" w:sz="0" w:space="0" w:color="auto"/>
                      </w:divBdr>
                    </w:div>
                  </w:divsChild>
                </w:div>
                <w:div w:id="801114566">
                  <w:marLeft w:val="0"/>
                  <w:marRight w:val="0"/>
                  <w:marTop w:val="0"/>
                  <w:marBottom w:val="0"/>
                  <w:divBdr>
                    <w:top w:val="none" w:sz="0" w:space="0" w:color="auto"/>
                    <w:left w:val="none" w:sz="0" w:space="0" w:color="auto"/>
                    <w:bottom w:val="none" w:sz="0" w:space="0" w:color="auto"/>
                    <w:right w:val="none" w:sz="0" w:space="0" w:color="auto"/>
                  </w:divBdr>
                  <w:divsChild>
                    <w:div w:id="1455520721">
                      <w:marLeft w:val="0"/>
                      <w:marRight w:val="0"/>
                      <w:marTop w:val="0"/>
                      <w:marBottom w:val="0"/>
                      <w:divBdr>
                        <w:top w:val="none" w:sz="0" w:space="0" w:color="auto"/>
                        <w:left w:val="none" w:sz="0" w:space="0" w:color="auto"/>
                        <w:bottom w:val="none" w:sz="0" w:space="0" w:color="auto"/>
                        <w:right w:val="none" w:sz="0" w:space="0" w:color="auto"/>
                      </w:divBdr>
                    </w:div>
                    <w:div w:id="1544517309">
                      <w:marLeft w:val="0"/>
                      <w:marRight w:val="0"/>
                      <w:marTop w:val="0"/>
                      <w:marBottom w:val="0"/>
                      <w:divBdr>
                        <w:top w:val="none" w:sz="0" w:space="0" w:color="auto"/>
                        <w:left w:val="none" w:sz="0" w:space="0" w:color="auto"/>
                        <w:bottom w:val="none" w:sz="0" w:space="0" w:color="auto"/>
                        <w:right w:val="none" w:sz="0" w:space="0" w:color="auto"/>
                      </w:divBdr>
                    </w:div>
                  </w:divsChild>
                </w:div>
                <w:div w:id="1442146957">
                  <w:marLeft w:val="0"/>
                  <w:marRight w:val="0"/>
                  <w:marTop w:val="0"/>
                  <w:marBottom w:val="0"/>
                  <w:divBdr>
                    <w:top w:val="none" w:sz="0" w:space="0" w:color="auto"/>
                    <w:left w:val="none" w:sz="0" w:space="0" w:color="auto"/>
                    <w:bottom w:val="none" w:sz="0" w:space="0" w:color="auto"/>
                    <w:right w:val="none" w:sz="0" w:space="0" w:color="auto"/>
                  </w:divBdr>
                  <w:divsChild>
                    <w:div w:id="2022317457">
                      <w:marLeft w:val="0"/>
                      <w:marRight w:val="0"/>
                      <w:marTop w:val="0"/>
                      <w:marBottom w:val="0"/>
                      <w:divBdr>
                        <w:top w:val="none" w:sz="0" w:space="0" w:color="auto"/>
                        <w:left w:val="none" w:sz="0" w:space="0" w:color="auto"/>
                        <w:bottom w:val="none" w:sz="0" w:space="0" w:color="auto"/>
                        <w:right w:val="none" w:sz="0" w:space="0" w:color="auto"/>
                      </w:divBdr>
                    </w:div>
                    <w:div w:id="2033727201">
                      <w:marLeft w:val="0"/>
                      <w:marRight w:val="0"/>
                      <w:marTop w:val="0"/>
                      <w:marBottom w:val="0"/>
                      <w:divBdr>
                        <w:top w:val="none" w:sz="0" w:space="0" w:color="auto"/>
                        <w:left w:val="none" w:sz="0" w:space="0" w:color="auto"/>
                        <w:bottom w:val="none" w:sz="0" w:space="0" w:color="auto"/>
                        <w:right w:val="none" w:sz="0" w:space="0" w:color="auto"/>
                      </w:divBdr>
                    </w:div>
                  </w:divsChild>
                </w:div>
                <w:div w:id="1599756594">
                  <w:marLeft w:val="0"/>
                  <w:marRight w:val="0"/>
                  <w:marTop w:val="0"/>
                  <w:marBottom w:val="0"/>
                  <w:divBdr>
                    <w:top w:val="none" w:sz="0" w:space="0" w:color="auto"/>
                    <w:left w:val="none" w:sz="0" w:space="0" w:color="auto"/>
                    <w:bottom w:val="none" w:sz="0" w:space="0" w:color="auto"/>
                    <w:right w:val="none" w:sz="0" w:space="0" w:color="auto"/>
                  </w:divBdr>
                  <w:divsChild>
                    <w:div w:id="779372361">
                      <w:marLeft w:val="0"/>
                      <w:marRight w:val="0"/>
                      <w:marTop w:val="0"/>
                      <w:marBottom w:val="0"/>
                      <w:divBdr>
                        <w:top w:val="none" w:sz="0" w:space="0" w:color="auto"/>
                        <w:left w:val="none" w:sz="0" w:space="0" w:color="auto"/>
                        <w:bottom w:val="none" w:sz="0" w:space="0" w:color="auto"/>
                        <w:right w:val="none" w:sz="0" w:space="0" w:color="auto"/>
                      </w:divBdr>
                    </w:div>
                    <w:div w:id="1380282945">
                      <w:marLeft w:val="0"/>
                      <w:marRight w:val="0"/>
                      <w:marTop w:val="0"/>
                      <w:marBottom w:val="0"/>
                      <w:divBdr>
                        <w:top w:val="none" w:sz="0" w:space="0" w:color="auto"/>
                        <w:left w:val="none" w:sz="0" w:space="0" w:color="auto"/>
                        <w:bottom w:val="none" w:sz="0" w:space="0" w:color="auto"/>
                        <w:right w:val="none" w:sz="0" w:space="0" w:color="auto"/>
                      </w:divBdr>
                    </w:div>
                  </w:divsChild>
                </w:div>
                <w:div w:id="1985310011">
                  <w:marLeft w:val="0"/>
                  <w:marRight w:val="0"/>
                  <w:marTop w:val="0"/>
                  <w:marBottom w:val="0"/>
                  <w:divBdr>
                    <w:top w:val="none" w:sz="0" w:space="0" w:color="auto"/>
                    <w:left w:val="none" w:sz="0" w:space="0" w:color="auto"/>
                    <w:bottom w:val="none" w:sz="0" w:space="0" w:color="auto"/>
                    <w:right w:val="none" w:sz="0" w:space="0" w:color="auto"/>
                  </w:divBdr>
                  <w:divsChild>
                    <w:div w:id="409740110">
                      <w:marLeft w:val="0"/>
                      <w:marRight w:val="0"/>
                      <w:marTop w:val="0"/>
                      <w:marBottom w:val="0"/>
                      <w:divBdr>
                        <w:top w:val="none" w:sz="0" w:space="0" w:color="auto"/>
                        <w:left w:val="none" w:sz="0" w:space="0" w:color="auto"/>
                        <w:bottom w:val="none" w:sz="0" w:space="0" w:color="auto"/>
                        <w:right w:val="none" w:sz="0" w:space="0" w:color="auto"/>
                      </w:divBdr>
                    </w:div>
                    <w:div w:id="10289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259341">
      <w:bodyDiv w:val="1"/>
      <w:marLeft w:val="0"/>
      <w:marRight w:val="0"/>
      <w:marTop w:val="0"/>
      <w:marBottom w:val="0"/>
      <w:divBdr>
        <w:top w:val="none" w:sz="0" w:space="0" w:color="auto"/>
        <w:left w:val="none" w:sz="0" w:space="0" w:color="auto"/>
        <w:bottom w:val="none" w:sz="0" w:space="0" w:color="auto"/>
        <w:right w:val="none" w:sz="0" w:space="0" w:color="auto"/>
      </w:divBdr>
    </w:div>
    <w:div w:id="1526942586">
      <w:bodyDiv w:val="1"/>
      <w:marLeft w:val="0"/>
      <w:marRight w:val="0"/>
      <w:marTop w:val="0"/>
      <w:marBottom w:val="0"/>
      <w:divBdr>
        <w:top w:val="none" w:sz="0" w:space="0" w:color="auto"/>
        <w:left w:val="none" w:sz="0" w:space="0" w:color="auto"/>
        <w:bottom w:val="none" w:sz="0" w:space="0" w:color="auto"/>
        <w:right w:val="none" w:sz="0" w:space="0" w:color="auto"/>
      </w:divBdr>
    </w:div>
    <w:div w:id="1546942393">
      <w:bodyDiv w:val="1"/>
      <w:marLeft w:val="0"/>
      <w:marRight w:val="0"/>
      <w:marTop w:val="0"/>
      <w:marBottom w:val="0"/>
      <w:divBdr>
        <w:top w:val="none" w:sz="0" w:space="0" w:color="auto"/>
        <w:left w:val="none" w:sz="0" w:space="0" w:color="auto"/>
        <w:bottom w:val="none" w:sz="0" w:space="0" w:color="auto"/>
        <w:right w:val="none" w:sz="0" w:space="0" w:color="auto"/>
      </w:divBdr>
    </w:div>
    <w:div w:id="1574899656">
      <w:bodyDiv w:val="1"/>
      <w:marLeft w:val="0"/>
      <w:marRight w:val="0"/>
      <w:marTop w:val="0"/>
      <w:marBottom w:val="0"/>
      <w:divBdr>
        <w:top w:val="none" w:sz="0" w:space="0" w:color="auto"/>
        <w:left w:val="none" w:sz="0" w:space="0" w:color="auto"/>
        <w:bottom w:val="none" w:sz="0" w:space="0" w:color="auto"/>
        <w:right w:val="none" w:sz="0" w:space="0" w:color="auto"/>
      </w:divBdr>
      <w:divsChild>
        <w:div w:id="683554055">
          <w:marLeft w:val="0"/>
          <w:marRight w:val="0"/>
          <w:marTop w:val="0"/>
          <w:marBottom w:val="0"/>
          <w:divBdr>
            <w:top w:val="none" w:sz="0" w:space="0" w:color="auto"/>
            <w:left w:val="none" w:sz="0" w:space="0" w:color="auto"/>
            <w:bottom w:val="none" w:sz="0" w:space="0" w:color="auto"/>
            <w:right w:val="none" w:sz="0" w:space="0" w:color="auto"/>
          </w:divBdr>
        </w:div>
      </w:divsChild>
    </w:div>
    <w:div w:id="1592347594">
      <w:bodyDiv w:val="1"/>
      <w:marLeft w:val="0"/>
      <w:marRight w:val="0"/>
      <w:marTop w:val="0"/>
      <w:marBottom w:val="0"/>
      <w:divBdr>
        <w:top w:val="none" w:sz="0" w:space="0" w:color="auto"/>
        <w:left w:val="none" w:sz="0" w:space="0" w:color="auto"/>
        <w:bottom w:val="none" w:sz="0" w:space="0" w:color="auto"/>
        <w:right w:val="none" w:sz="0" w:space="0" w:color="auto"/>
      </w:divBdr>
    </w:div>
    <w:div w:id="1613513101">
      <w:bodyDiv w:val="1"/>
      <w:marLeft w:val="0"/>
      <w:marRight w:val="0"/>
      <w:marTop w:val="0"/>
      <w:marBottom w:val="0"/>
      <w:divBdr>
        <w:top w:val="none" w:sz="0" w:space="0" w:color="auto"/>
        <w:left w:val="none" w:sz="0" w:space="0" w:color="auto"/>
        <w:bottom w:val="none" w:sz="0" w:space="0" w:color="auto"/>
        <w:right w:val="none" w:sz="0" w:space="0" w:color="auto"/>
      </w:divBdr>
    </w:div>
    <w:div w:id="1637880049">
      <w:bodyDiv w:val="1"/>
      <w:marLeft w:val="0"/>
      <w:marRight w:val="0"/>
      <w:marTop w:val="0"/>
      <w:marBottom w:val="0"/>
      <w:divBdr>
        <w:top w:val="none" w:sz="0" w:space="0" w:color="auto"/>
        <w:left w:val="none" w:sz="0" w:space="0" w:color="auto"/>
        <w:bottom w:val="none" w:sz="0" w:space="0" w:color="auto"/>
        <w:right w:val="none" w:sz="0" w:space="0" w:color="auto"/>
      </w:divBdr>
    </w:div>
    <w:div w:id="1697273825">
      <w:bodyDiv w:val="1"/>
      <w:marLeft w:val="0"/>
      <w:marRight w:val="0"/>
      <w:marTop w:val="0"/>
      <w:marBottom w:val="0"/>
      <w:divBdr>
        <w:top w:val="none" w:sz="0" w:space="0" w:color="auto"/>
        <w:left w:val="none" w:sz="0" w:space="0" w:color="auto"/>
        <w:bottom w:val="none" w:sz="0" w:space="0" w:color="auto"/>
        <w:right w:val="none" w:sz="0" w:space="0" w:color="auto"/>
      </w:divBdr>
    </w:div>
    <w:div w:id="1699306658">
      <w:bodyDiv w:val="1"/>
      <w:marLeft w:val="0"/>
      <w:marRight w:val="0"/>
      <w:marTop w:val="0"/>
      <w:marBottom w:val="0"/>
      <w:divBdr>
        <w:top w:val="none" w:sz="0" w:space="0" w:color="auto"/>
        <w:left w:val="none" w:sz="0" w:space="0" w:color="auto"/>
        <w:bottom w:val="none" w:sz="0" w:space="0" w:color="auto"/>
        <w:right w:val="none" w:sz="0" w:space="0" w:color="auto"/>
      </w:divBdr>
    </w:div>
    <w:div w:id="1721631517">
      <w:bodyDiv w:val="1"/>
      <w:marLeft w:val="0"/>
      <w:marRight w:val="0"/>
      <w:marTop w:val="0"/>
      <w:marBottom w:val="0"/>
      <w:divBdr>
        <w:top w:val="none" w:sz="0" w:space="0" w:color="auto"/>
        <w:left w:val="none" w:sz="0" w:space="0" w:color="auto"/>
        <w:bottom w:val="none" w:sz="0" w:space="0" w:color="auto"/>
        <w:right w:val="none" w:sz="0" w:space="0" w:color="auto"/>
      </w:divBdr>
    </w:div>
    <w:div w:id="1730304107">
      <w:bodyDiv w:val="1"/>
      <w:marLeft w:val="0"/>
      <w:marRight w:val="0"/>
      <w:marTop w:val="0"/>
      <w:marBottom w:val="0"/>
      <w:divBdr>
        <w:top w:val="none" w:sz="0" w:space="0" w:color="auto"/>
        <w:left w:val="none" w:sz="0" w:space="0" w:color="auto"/>
        <w:bottom w:val="none" w:sz="0" w:space="0" w:color="auto"/>
        <w:right w:val="none" w:sz="0" w:space="0" w:color="auto"/>
      </w:divBdr>
      <w:divsChild>
        <w:div w:id="729889285">
          <w:marLeft w:val="0"/>
          <w:marRight w:val="0"/>
          <w:marTop w:val="0"/>
          <w:marBottom w:val="0"/>
          <w:divBdr>
            <w:top w:val="none" w:sz="0" w:space="0" w:color="auto"/>
            <w:left w:val="none" w:sz="0" w:space="0" w:color="auto"/>
            <w:bottom w:val="none" w:sz="0" w:space="0" w:color="auto"/>
            <w:right w:val="none" w:sz="0" w:space="0" w:color="auto"/>
          </w:divBdr>
        </w:div>
      </w:divsChild>
    </w:div>
    <w:div w:id="1734965121">
      <w:bodyDiv w:val="1"/>
      <w:marLeft w:val="0"/>
      <w:marRight w:val="0"/>
      <w:marTop w:val="0"/>
      <w:marBottom w:val="0"/>
      <w:divBdr>
        <w:top w:val="none" w:sz="0" w:space="0" w:color="auto"/>
        <w:left w:val="none" w:sz="0" w:space="0" w:color="auto"/>
        <w:bottom w:val="none" w:sz="0" w:space="0" w:color="auto"/>
        <w:right w:val="none" w:sz="0" w:space="0" w:color="auto"/>
      </w:divBdr>
    </w:div>
    <w:div w:id="1744792229">
      <w:bodyDiv w:val="1"/>
      <w:marLeft w:val="0"/>
      <w:marRight w:val="0"/>
      <w:marTop w:val="0"/>
      <w:marBottom w:val="0"/>
      <w:divBdr>
        <w:top w:val="none" w:sz="0" w:space="0" w:color="auto"/>
        <w:left w:val="none" w:sz="0" w:space="0" w:color="auto"/>
        <w:bottom w:val="none" w:sz="0" w:space="0" w:color="auto"/>
        <w:right w:val="none" w:sz="0" w:space="0" w:color="auto"/>
      </w:divBdr>
      <w:divsChild>
        <w:div w:id="28723975">
          <w:marLeft w:val="0"/>
          <w:marRight w:val="0"/>
          <w:marTop w:val="0"/>
          <w:marBottom w:val="0"/>
          <w:divBdr>
            <w:top w:val="none" w:sz="0" w:space="0" w:color="auto"/>
            <w:left w:val="none" w:sz="0" w:space="0" w:color="auto"/>
            <w:bottom w:val="none" w:sz="0" w:space="0" w:color="auto"/>
            <w:right w:val="none" w:sz="0" w:space="0" w:color="auto"/>
          </w:divBdr>
        </w:div>
      </w:divsChild>
    </w:div>
    <w:div w:id="1746611809">
      <w:bodyDiv w:val="1"/>
      <w:marLeft w:val="0"/>
      <w:marRight w:val="0"/>
      <w:marTop w:val="0"/>
      <w:marBottom w:val="0"/>
      <w:divBdr>
        <w:top w:val="none" w:sz="0" w:space="0" w:color="auto"/>
        <w:left w:val="none" w:sz="0" w:space="0" w:color="auto"/>
        <w:bottom w:val="none" w:sz="0" w:space="0" w:color="auto"/>
        <w:right w:val="none" w:sz="0" w:space="0" w:color="auto"/>
      </w:divBdr>
      <w:divsChild>
        <w:div w:id="32006473">
          <w:marLeft w:val="0"/>
          <w:marRight w:val="0"/>
          <w:marTop w:val="0"/>
          <w:marBottom w:val="0"/>
          <w:divBdr>
            <w:top w:val="none" w:sz="0" w:space="0" w:color="auto"/>
            <w:left w:val="none" w:sz="0" w:space="0" w:color="auto"/>
            <w:bottom w:val="none" w:sz="0" w:space="0" w:color="auto"/>
            <w:right w:val="none" w:sz="0" w:space="0" w:color="auto"/>
          </w:divBdr>
          <w:divsChild>
            <w:div w:id="1725912817">
              <w:marLeft w:val="0"/>
              <w:marRight w:val="0"/>
              <w:marTop w:val="0"/>
              <w:marBottom w:val="0"/>
              <w:divBdr>
                <w:top w:val="none" w:sz="0" w:space="0" w:color="auto"/>
                <w:left w:val="none" w:sz="0" w:space="0" w:color="auto"/>
                <w:bottom w:val="none" w:sz="0" w:space="0" w:color="auto"/>
                <w:right w:val="none" w:sz="0" w:space="0" w:color="auto"/>
              </w:divBdr>
            </w:div>
          </w:divsChild>
        </w:div>
        <w:div w:id="445151419">
          <w:marLeft w:val="0"/>
          <w:marRight w:val="0"/>
          <w:marTop w:val="0"/>
          <w:marBottom w:val="0"/>
          <w:divBdr>
            <w:top w:val="none" w:sz="0" w:space="0" w:color="auto"/>
            <w:left w:val="none" w:sz="0" w:space="0" w:color="auto"/>
            <w:bottom w:val="none" w:sz="0" w:space="0" w:color="auto"/>
            <w:right w:val="none" w:sz="0" w:space="0" w:color="auto"/>
          </w:divBdr>
          <w:divsChild>
            <w:div w:id="1791776901">
              <w:marLeft w:val="0"/>
              <w:marRight w:val="0"/>
              <w:marTop w:val="0"/>
              <w:marBottom w:val="0"/>
              <w:divBdr>
                <w:top w:val="none" w:sz="0" w:space="0" w:color="auto"/>
                <w:left w:val="none" w:sz="0" w:space="0" w:color="auto"/>
                <w:bottom w:val="none" w:sz="0" w:space="0" w:color="auto"/>
                <w:right w:val="none" w:sz="0" w:space="0" w:color="auto"/>
              </w:divBdr>
            </w:div>
          </w:divsChild>
        </w:div>
        <w:div w:id="654920812">
          <w:marLeft w:val="0"/>
          <w:marRight w:val="0"/>
          <w:marTop w:val="0"/>
          <w:marBottom w:val="0"/>
          <w:divBdr>
            <w:top w:val="none" w:sz="0" w:space="0" w:color="auto"/>
            <w:left w:val="none" w:sz="0" w:space="0" w:color="auto"/>
            <w:bottom w:val="none" w:sz="0" w:space="0" w:color="auto"/>
            <w:right w:val="none" w:sz="0" w:space="0" w:color="auto"/>
          </w:divBdr>
          <w:divsChild>
            <w:div w:id="1486817475">
              <w:marLeft w:val="0"/>
              <w:marRight w:val="0"/>
              <w:marTop w:val="0"/>
              <w:marBottom w:val="0"/>
              <w:divBdr>
                <w:top w:val="none" w:sz="0" w:space="0" w:color="auto"/>
                <w:left w:val="none" w:sz="0" w:space="0" w:color="auto"/>
                <w:bottom w:val="none" w:sz="0" w:space="0" w:color="auto"/>
                <w:right w:val="none" w:sz="0" w:space="0" w:color="auto"/>
              </w:divBdr>
            </w:div>
          </w:divsChild>
        </w:div>
        <w:div w:id="924607291">
          <w:marLeft w:val="0"/>
          <w:marRight w:val="0"/>
          <w:marTop w:val="0"/>
          <w:marBottom w:val="0"/>
          <w:divBdr>
            <w:top w:val="none" w:sz="0" w:space="0" w:color="auto"/>
            <w:left w:val="none" w:sz="0" w:space="0" w:color="auto"/>
            <w:bottom w:val="none" w:sz="0" w:space="0" w:color="auto"/>
            <w:right w:val="none" w:sz="0" w:space="0" w:color="auto"/>
          </w:divBdr>
          <w:divsChild>
            <w:div w:id="1463615723">
              <w:marLeft w:val="0"/>
              <w:marRight w:val="0"/>
              <w:marTop w:val="0"/>
              <w:marBottom w:val="0"/>
              <w:divBdr>
                <w:top w:val="none" w:sz="0" w:space="0" w:color="auto"/>
                <w:left w:val="none" w:sz="0" w:space="0" w:color="auto"/>
                <w:bottom w:val="none" w:sz="0" w:space="0" w:color="auto"/>
                <w:right w:val="none" w:sz="0" w:space="0" w:color="auto"/>
              </w:divBdr>
            </w:div>
          </w:divsChild>
        </w:div>
        <w:div w:id="1503203085">
          <w:marLeft w:val="0"/>
          <w:marRight w:val="0"/>
          <w:marTop w:val="0"/>
          <w:marBottom w:val="0"/>
          <w:divBdr>
            <w:top w:val="none" w:sz="0" w:space="0" w:color="auto"/>
            <w:left w:val="none" w:sz="0" w:space="0" w:color="auto"/>
            <w:bottom w:val="none" w:sz="0" w:space="0" w:color="auto"/>
            <w:right w:val="none" w:sz="0" w:space="0" w:color="auto"/>
          </w:divBdr>
          <w:divsChild>
            <w:div w:id="1648583305">
              <w:marLeft w:val="0"/>
              <w:marRight w:val="0"/>
              <w:marTop w:val="0"/>
              <w:marBottom w:val="0"/>
              <w:divBdr>
                <w:top w:val="none" w:sz="0" w:space="0" w:color="auto"/>
                <w:left w:val="none" w:sz="0" w:space="0" w:color="auto"/>
                <w:bottom w:val="none" w:sz="0" w:space="0" w:color="auto"/>
                <w:right w:val="none" w:sz="0" w:space="0" w:color="auto"/>
              </w:divBdr>
            </w:div>
          </w:divsChild>
        </w:div>
        <w:div w:id="2017611267">
          <w:marLeft w:val="0"/>
          <w:marRight w:val="0"/>
          <w:marTop w:val="0"/>
          <w:marBottom w:val="0"/>
          <w:divBdr>
            <w:top w:val="none" w:sz="0" w:space="0" w:color="auto"/>
            <w:left w:val="none" w:sz="0" w:space="0" w:color="auto"/>
            <w:bottom w:val="none" w:sz="0" w:space="0" w:color="auto"/>
            <w:right w:val="none" w:sz="0" w:space="0" w:color="auto"/>
          </w:divBdr>
          <w:divsChild>
            <w:div w:id="20684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62398">
      <w:bodyDiv w:val="1"/>
      <w:marLeft w:val="0"/>
      <w:marRight w:val="0"/>
      <w:marTop w:val="0"/>
      <w:marBottom w:val="0"/>
      <w:divBdr>
        <w:top w:val="none" w:sz="0" w:space="0" w:color="auto"/>
        <w:left w:val="none" w:sz="0" w:space="0" w:color="auto"/>
        <w:bottom w:val="none" w:sz="0" w:space="0" w:color="auto"/>
        <w:right w:val="none" w:sz="0" w:space="0" w:color="auto"/>
      </w:divBdr>
    </w:div>
    <w:div w:id="1856771620">
      <w:bodyDiv w:val="1"/>
      <w:marLeft w:val="0"/>
      <w:marRight w:val="0"/>
      <w:marTop w:val="0"/>
      <w:marBottom w:val="0"/>
      <w:divBdr>
        <w:top w:val="none" w:sz="0" w:space="0" w:color="auto"/>
        <w:left w:val="none" w:sz="0" w:space="0" w:color="auto"/>
        <w:bottom w:val="none" w:sz="0" w:space="0" w:color="auto"/>
        <w:right w:val="none" w:sz="0" w:space="0" w:color="auto"/>
      </w:divBdr>
      <w:divsChild>
        <w:div w:id="273365342">
          <w:marLeft w:val="0"/>
          <w:marRight w:val="0"/>
          <w:marTop w:val="0"/>
          <w:marBottom w:val="0"/>
          <w:divBdr>
            <w:top w:val="none" w:sz="0" w:space="0" w:color="auto"/>
            <w:left w:val="none" w:sz="0" w:space="0" w:color="auto"/>
            <w:bottom w:val="none" w:sz="0" w:space="0" w:color="auto"/>
            <w:right w:val="none" w:sz="0" w:space="0" w:color="auto"/>
          </w:divBdr>
          <w:divsChild>
            <w:div w:id="7020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19295">
      <w:bodyDiv w:val="1"/>
      <w:marLeft w:val="0"/>
      <w:marRight w:val="0"/>
      <w:marTop w:val="0"/>
      <w:marBottom w:val="0"/>
      <w:divBdr>
        <w:top w:val="none" w:sz="0" w:space="0" w:color="auto"/>
        <w:left w:val="none" w:sz="0" w:space="0" w:color="auto"/>
        <w:bottom w:val="none" w:sz="0" w:space="0" w:color="auto"/>
        <w:right w:val="none" w:sz="0" w:space="0" w:color="auto"/>
      </w:divBdr>
      <w:divsChild>
        <w:div w:id="567225900">
          <w:marLeft w:val="0"/>
          <w:marRight w:val="0"/>
          <w:marTop w:val="0"/>
          <w:marBottom w:val="0"/>
          <w:divBdr>
            <w:top w:val="none" w:sz="0" w:space="0" w:color="auto"/>
            <w:left w:val="none" w:sz="0" w:space="0" w:color="auto"/>
            <w:bottom w:val="none" w:sz="0" w:space="0" w:color="auto"/>
            <w:right w:val="none" w:sz="0" w:space="0" w:color="auto"/>
          </w:divBdr>
          <w:divsChild>
            <w:div w:id="251085910">
              <w:marLeft w:val="0"/>
              <w:marRight w:val="0"/>
              <w:marTop w:val="0"/>
              <w:marBottom w:val="0"/>
              <w:divBdr>
                <w:top w:val="none" w:sz="0" w:space="0" w:color="auto"/>
                <w:left w:val="none" w:sz="0" w:space="0" w:color="auto"/>
                <w:bottom w:val="none" w:sz="0" w:space="0" w:color="auto"/>
                <w:right w:val="none" w:sz="0" w:space="0" w:color="auto"/>
              </w:divBdr>
            </w:div>
            <w:div w:id="1090351913">
              <w:marLeft w:val="0"/>
              <w:marRight w:val="0"/>
              <w:marTop w:val="0"/>
              <w:marBottom w:val="0"/>
              <w:divBdr>
                <w:top w:val="none" w:sz="0" w:space="0" w:color="auto"/>
                <w:left w:val="none" w:sz="0" w:space="0" w:color="auto"/>
                <w:bottom w:val="none" w:sz="0" w:space="0" w:color="auto"/>
                <w:right w:val="none" w:sz="0" w:space="0" w:color="auto"/>
              </w:divBdr>
            </w:div>
            <w:div w:id="13168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4149">
      <w:bodyDiv w:val="1"/>
      <w:marLeft w:val="0"/>
      <w:marRight w:val="0"/>
      <w:marTop w:val="0"/>
      <w:marBottom w:val="0"/>
      <w:divBdr>
        <w:top w:val="none" w:sz="0" w:space="0" w:color="auto"/>
        <w:left w:val="none" w:sz="0" w:space="0" w:color="auto"/>
        <w:bottom w:val="none" w:sz="0" w:space="0" w:color="auto"/>
        <w:right w:val="none" w:sz="0" w:space="0" w:color="auto"/>
      </w:divBdr>
      <w:divsChild>
        <w:div w:id="1049766311">
          <w:marLeft w:val="0"/>
          <w:marRight w:val="0"/>
          <w:marTop w:val="0"/>
          <w:marBottom w:val="0"/>
          <w:divBdr>
            <w:top w:val="none" w:sz="0" w:space="0" w:color="auto"/>
            <w:left w:val="none" w:sz="0" w:space="0" w:color="auto"/>
            <w:bottom w:val="none" w:sz="0" w:space="0" w:color="auto"/>
            <w:right w:val="none" w:sz="0" w:space="0" w:color="auto"/>
          </w:divBdr>
        </w:div>
      </w:divsChild>
    </w:div>
    <w:div w:id="1888760208">
      <w:bodyDiv w:val="1"/>
      <w:marLeft w:val="0"/>
      <w:marRight w:val="0"/>
      <w:marTop w:val="0"/>
      <w:marBottom w:val="0"/>
      <w:divBdr>
        <w:top w:val="none" w:sz="0" w:space="0" w:color="auto"/>
        <w:left w:val="none" w:sz="0" w:space="0" w:color="auto"/>
        <w:bottom w:val="none" w:sz="0" w:space="0" w:color="auto"/>
        <w:right w:val="none" w:sz="0" w:space="0" w:color="auto"/>
      </w:divBdr>
      <w:divsChild>
        <w:div w:id="1261062626">
          <w:marLeft w:val="0"/>
          <w:marRight w:val="0"/>
          <w:marTop w:val="0"/>
          <w:marBottom w:val="0"/>
          <w:divBdr>
            <w:top w:val="none" w:sz="0" w:space="0" w:color="auto"/>
            <w:left w:val="none" w:sz="0" w:space="0" w:color="auto"/>
            <w:bottom w:val="none" w:sz="0" w:space="0" w:color="auto"/>
            <w:right w:val="none" w:sz="0" w:space="0" w:color="auto"/>
          </w:divBdr>
          <w:divsChild>
            <w:div w:id="4251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21292">
      <w:bodyDiv w:val="1"/>
      <w:marLeft w:val="0"/>
      <w:marRight w:val="0"/>
      <w:marTop w:val="0"/>
      <w:marBottom w:val="0"/>
      <w:divBdr>
        <w:top w:val="none" w:sz="0" w:space="0" w:color="auto"/>
        <w:left w:val="none" w:sz="0" w:space="0" w:color="auto"/>
        <w:bottom w:val="none" w:sz="0" w:space="0" w:color="auto"/>
        <w:right w:val="none" w:sz="0" w:space="0" w:color="auto"/>
      </w:divBdr>
      <w:divsChild>
        <w:div w:id="41957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677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410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739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202988">
      <w:bodyDiv w:val="1"/>
      <w:marLeft w:val="0"/>
      <w:marRight w:val="0"/>
      <w:marTop w:val="0"/>
      <w:marBottom w:val="0"/>
      <w:divBdr>
        <w:top w:val="none" w:sz="0" w:space="0" w:color="auto"/>
        <w:left w:val="none" w:sz="0" w:space="0" w:color="auto"/>
        <w:bottom w:val="none" w:sz="0" w:space="0" w:color="auto"/>
        <w:right w:val="none" w:sz="0" w:space="0" w:color="auto"/>
      </w:divBdr>
    </w:div>
    <w:div w:id="1912233840">
      <w:bodyDiv w:val="1"/>
      <w:marLeft w:val="0"/>
      <w:marRight w:val="0"/>
      <w:marTop w:val="0"/>
      <w:marBottom w:val="0"/>
      <w:divBdr>
        <w:top w:val="none" w:sz="0" w:space="0" w:color="auto"/>
        <w:left w:val="none" w:sz="0" w:space="0" w:color="auto"/>
        <w:bottom w:val="none" w:sz="0" w:space="0" w:color="auto"/>
        <w:right w:val="none" w:sz="0" w:space="0" w:color="auto"/>
      </w:divBdr>
    </w:div>
    <w:div w:id="1934125483">
      <w:bodyDiv w:val="1"/>
      <w:marLeft w:val="0"/>
      <w:marRight w:val="0"/>
      <w:marTop w:val="0"/>
      <w:marBottom w:val="0"/>
      <w:divBdr>
        <w:top w:val="none" w:sz="0" w:space="0" w:color="auto"/>
        <w:left w:val="none" w:sz="0" w:space="0" w:color="auto"/>
        <w:bottom w:val="none" w:sz="0" w:space="0" w:color="auto"/>
        <w:right w:val="none" w:sz="0" w:space="0" w:color="auto"/>
      </w:divBdr>
      <w:divsChild>
        <w:div w:id="466045307">
          <w:marLeft w:val="0"/>
          <w:marRight w:val="0"/>
          <w:marTop w:val="0"/>
          <w:marBottom w:val="0"/>
          <w:divBdr>
            <w:top w:val="none" w:sz="0" w:space="0" w:color="auto"/>
            <w:left w:val="none" w:sz="0" w:space="0" w:color="auto"/>
            <w:bottom w:val="none" w:sz="0" w:space="0" w:color="auto"/>
            <w:right w:val="none" w:sz="0" w:space="0" w:color="auto"/>
          </w:divBdr>
          <w:divsChild>
            <w:div w:id="1183279576">
              <w:marLeft w:val="0"/>
              <w:marRight w:val="0"/>
              <w:marTop w:val="0"/>
              <w:marBottom w:val="0"/>
              <w:divBdr>
                <w:top w:val="none" w:sz="0" w:space="0" w:color="auto"/>
                <w:left w:val="none" w:sz="0" w:space="0" w:color="auto"/>
                <w:bottom w:val="none" w:sz="0" w:space="0" w:color="auto"/>
                <w:right w:val="none" w:sz="0" w:space="0" w:color="auto"/>
              </w:divBdr>
            </w:div>
            <w:div w:id="1667896914">
              <w:marLeft w:val="0"/>
              <w:marRight w:val="0"/>
              <w:marTop w:val="0"/>
              <w:marBottom w:val="0"/>
              <w:divBdr>
                <w:top w:val="none" w:sz="0" w:space="0" w:color="auto"/>
                <w:left w:val="none" w:sz="0" w:space="0" w:color="auto"/>
                <w:bottom w:val="none" w:sz="0" w:space="0" w:color="auto"/>
                <w:right w:val="none" w:sz="0" w:space="0" w:color="auto"/>
              </w:divBdr>
            </w:div>
          </w:divsChild>
        </w:div>
        <w:div w:id="856885879">
          <w:marLeft w:val="0"/>
          <w:marRight w:val="0"/>
          <w:marTop w:val="0"/>
          <w:marBottom w:val="0"/>
          <w:divBdr>
            <w:top w:val="none" w:sz="0" w:space="0" w:color="auto"/>
            <w:left w:val="none" w:sz="0" w:space="0" w:color="auto"/>
            <w:bottom w:val="none" w:sz="0" w:space="0" w:color="auto"/>
            <w:right w:val="none" w:sz="0" w:space="0" w:color="auto"/>
          </w:divBdr>
          <w:divsChild>
            <w:div w:id="517815224">
              <w:marLeft w:val="0"/>
              <w:marRight w:val="0"/>
              <w:marTop w:val="0"/>
              <w:marBottom w:val="0"/>
              <w:divBdr>
                <w:top w:val="none" w:sz="0" w:space="0" w:color="auto"/>
                <w:left w:val="none" w:sz="0" w:space="0" w:color="auto"/>
                <w:bottom w:val="none" w:sz="0" w:space="0" w:color="auto"/>
                <w:right w:val="none" w:sz="0" w:space="0" w:color="auto"/>
              </w:divBdr>
            </w:div>
            <w:div w:id="614285805">
              <w:marLeft w:val="0"/>
              <w:marRight w:val="0"/>
              <w:marTop w:val="0"/>
              <w:marBottom w:val="0"/>
              <w:divBdr>
                <w:top w:val="none" w:sz="0" w:space="0" w:color="auto"/>
                <w:left w:val="none" w:sz="0" w:space="0" w:color="auto"/>
                <w:bottom w:val="none" w:sz="0" w:space="0" w:color="auto"/>
                <w:right w:val="none" w:sz="0" w:space="0" w:color="auto"/>
              </w:divBdr>
            </w:div>
          </w:divsChild>
        </w:div>
        <w:div w:id="1143960640">
          <w:marLeft w:val="0"/>
          <w:marRight w:val="0"/>
          <w:marTop w:val="0"/>
          <w:marBottom w:val="0"/>
          <w:divBdr>
            <w:top w:val="none" w:sz="0" w:space="0" w:color="auto"/>
            <w:left w:val="none" w:sz="0" w:space="0" w:color="auto"/>
            <w:bottom w:val="none" w:sz="0" w:space="0" w:color="auto"/>
            <w:right w:val="none" w:sz="0" w:space="0" w:color="auto"/>
          </w:divBdr>
          <w:divsChild>
            <w:div w:id="1455521609">
              <w:marLeft w:val="0"/>
              <w:marRight w:val="0"/>
              <w:marTop w:val="0"/>
              <w:marBottom w:val="0"/>
              <w:divBdr>
                <w:top w:val="none" w:sz="0" w:space="0" w:color="auto"/>
                <w:left w:val="none" w:sz="0" w:space="0" w:color="auto"/>
                <w:bottom w:val="none" w:sz="0" w:space="0" w:color="auto"/>
                <w:right w:val="none" w:sz="0" w:space="0" w:color="auto"/>
              </w:divBdr>
            </w:div>
            <w:div w:id="2091147833">
              <w:marLeft w:val="0"/>
              <w:marRight w:val="0"/>
              <w:marTop w:val="0"/>
              <w:marBottom w:val="0"/>
              <w:divBdr>
                <w:top w:val="none" w:sz="0" w:space="0" w:color="auto"/>
                <w:left w:val="none" w:sz="0" w:space="0" w:color="auto"/>
                <w:bottom w:val="none" w:sz="0" w:space="0" w:color="auto"/>
                <w:right w:val="none" w:sz="0" w:space="0" w:color="auto"/>
              </w:divBdr>
            </w:div>
          </w:divsChild>
        </w:div>
        <w:div w:id="1542478574">
          <w:marLeft w:val="0"/>
          <w:marRight w:val="0"/>
          <w:marTop w:val="0"/>
          <w:marBottom w:val="0"/>
          <w:divBdr>
            <w:top w:val="none" w:sz="0" w:space="0" w:color="auto"/>
            <w:left w:val="none" w:sz="0" w:space="0" w:color="auto"/>
            <w:bottom w:val="none" w:sz="0" w:space="0" w:color="auto"/>
            <w:right w:val="none" w:sz="0" w:space="0" w:color="auto"/>
          </w:divBdr>
          <w:divsChild>
            <w:div w:id="421415974">
              <w:marLeft w:val="0"/>
              <w:marRight w:val="0"/>
              <w:marTop w:val="0"/>
              <w:marBottom w:val="0"/>
              <w:divBdr>
                <w:top w:val="none" w:sz="0" w:space="0" w:color="auto"/>
                <w:left w:val="none" w:sz="0" w:space="0" w:color="auto"/>
                <w:bottom w:val="none" w:sz="0" w:space="0" w:color="auto"/>
                <w:right w:val="none" w:sz="0" w:space="0" w:color="auto"/>
              </w:divBdr>
            </w:div>
            <w:div w:id="20693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1022">
      <w:bodyDiv w:val="1"/>
      <w:marLeft w:val="0"/>
      <w:marRight w:val="0"/>
      <w:marTop w:val="0"/>
      <w:marBottom w:val="0"/>
      <w:divBdr>
        <w:top w:val="none" w:sz="0" w:space="0" w:color="auto"/>
        <w:left w:val="none" w:sz="0" w:space="0" w:color="auto"/>
        <w:bottom w:val="none" w:sz="0" w:space="0" w:color="auto"/>
        <w:right w:val="none" w:sz="0" w:space="0" w:color="auto"/>
      </w:divBdr>
      <w:divsChild>
        <w:div w:id="859397276">
          <w:marLeft w:val="0"/>
          <w:marRight w:val="0"/>
          <w:marTop w:val="0"/>
          <w:marBottom w:val="0"/>
          <w:divBdr>
            <w:top w:val="none" w:sz="0" w:space="0" w:color="auto"/>
            <w:left w:val="none" w:sz="0" w:space="0" w:color="auto"/>
            <w:bottom w:val="none" w:sz="0" w:space="0" w:color="auto"/>
            <w:right w:val="none" w:sz="0" w:space="0" w:color="auto"/>
          </w:divBdr>
        </w:div>
      </w:divsChild>
    </w:div>
    <w:div w:id="1972399156">
      <w:bodyDiv w:val="1"/>
      <w:marLeft w:val="0"/>
      <w:marRight w:val="0"/>
      <w:marTop w:val="0"/>
      <w:marBottom w:val="0"/>
      <w:divBdr>
        <w:top w:val="none" w:sz="0" w:space="0" w:color="auto"/>
        <w:left w:val="none" w:sz="0" w:space="0" w:color="auto"/>
        <w:bottom w:val="none" w:sz="0" w:space="0" w:color="auto"/>
        <w:right w:val="none" w:sz="0" w:space="0" w:color="auto"/>
      </w:divBdr>
    </w:div>
    <w:div w:id="1994408774">
      <w:bodyDiv w:val="1"/>
      <w:marLeft w:val="0"/>
      <w:marRight w:val="0"/>
      <w:marTop w:val="0"/>
      <w:marBottom w:val="0"/>
      <w:divBdr>
        <w:top w:val="none" w:sz="0" w:space="0" w:color="auto"/>
        <w:left w:val="none" w:sz="0" w:space="0" w:color="auto"/>
        <w:bottom w:val="none" w:sz="0" w:space="0" w:color="auto"/>
        <w:right w:val="none" w:sz="0" w:space="0" w:color="auto"/>
      </w:divBdr>
    </w:div>
    <w:div w:id="2021619689">
      <w:bodyDiv w:val="1"/>
      <w:marLeft w:val="0"/>
      <w:marRight w:val="0"/>
      <w:marTop w:val="0"/>
      <w:marBottom w:val="0"/>
      <w:divBdr>
        <w:top w:val="none" w:sz="0" w:space="0" w:color="auto"/>
        <w:left w:val="none" w:sz="0" w:space="0" w:color="auto"/>
        <w:bottom w:val="none" w:sz="0" w:space="0" w:color="auto"/>
        <w:right w:val="none" w:sz="0" w:space="0" w:color="auto"/>
      </w:divBdr>
      <w:divsChild>
        <w:div w:id="765658015">
          <w:marLeft w:val="0"/>
          <w:marRight w:val="0"/>
          <w:marTop w:val="0"/>
          <w:marBottom w:val="0"/>
          <w:divBdr>
            <w:top w:val="none" w:sz="0" w:space="0" w:color="auto"/>
            <w:left w:val="none" w:sz="0" w:space="0" w:color="auto"/>
            <w:bottom w:val="none" w:sz="0" w:space="0" w:color="auto"/>
            <w:right w:val="none" w:sz="0" w:space="0" w:color="auto"/>
          </w:divBdr>
          <w:divsChild>
            <w:div w:id="17205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19943">
      <w:bodyDiv w:val="1"/>
      <w:marLeft w:val="0"/>
      <w:marRight w:val="0"/>
      <w:marTop w:val="0"/>
      <w:marBottom w:val="0"/>
      <w:divBdr>
        <w:top w:val="none" w:sz="0" w:space="0" w:color="auto"/>
        <w:left w:val="none" w:sz="0" w:space="0" w:color="auto"/>
        <w:bottom w:val="none" w:sz="0" w:space="0" w:color="auto"/>
        <w:right w:val="none" w:sz="0" w:space="0" w:color="auto"/>
      </w:divBdr>
      <w:divsChild>
        <w:div w:id="1918392736">
          <w:marLeft w:val="0"/>
          <w:marRight w:val="0"/>
          <w:marTop w:val="0"/>
          <w:marBottom w:val="0"/>
          <w:divBdr>
            <w:top w:val="none" w:sz="0" w:space="0" w:color="auto"/>
            <w:left w:val="none" w:sz="0" w:space="0" w:color="auto"/>
            <w:bottom w:val="none" w:sz="0" w:space="0" w:color="auto"/>
            <w:right w:val="none" w:sz="0" w:space="0" w:color="auto"/>
          </w:divBdr>
          <w:divsChild>
            <w:div w:id="6975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3086">
      <w:bodyDiv w:val="1"/>
      <w:marLeft w:val="0"/>
      <w:marRight w:val="0"/>
      <w:marTop w:val="0"/>
      <w:marBottom w:val="0"/>
      <w:divBdr>
        <w:top w:val="none" w:sz="0" w:space="0" w:color="auto"/>
        <w:left w:val="none" w:sz="0" w:space="0" w:color="auto"/>
        <w:bottom w:val="none" w:sz="0" w:space="0" w:color="auto"/>
        <w:right w:val="none" w:sz="0" w:space="0" w:color="auto"/>
      </w:divBdr>
      <w:divsChild>
        <w:div w:id="1486123920">
          <w:marLeft w:val="0"/>
          <w:marRight w:val="0"/>
          <w:marTop w:val="0"/>
          <w:marBottom w:val="0"/>
          <w:divBdr>
            <w:top w:val="none" w:sz="0" w:space="0" w:color="auto"/>
            <w:left w:val="none" w:sz="0" w:space="0" w:color="auto"/>
            <w:bottom w:val="none" w:sz="0" w:space="0" w:color="auto"/>
            <w:right w:val="none" w:sz="0" w:space="0" w:color="auto"/>
          </w:divBdr>
          <w:divsChild>
            <w:div w:id="17653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55">
      <w:bodyDiv w:val="1"/>
      <w:marLeft w:val="0"/>
      <w:marRight w:val="0"/>
      <w:marTop w:val="0"/>
      <w:marBottom w:val="0"/>
      <w:divBdr>
        <w:top w:val="none" w:sz="0" w:space="0" w:color="auto"/>
        <w:left w:val="none" w:sz="0" w:space="0" w:color="auto"/>
        <w:bottom w:val="none" w:sz="0" w:space="0" w:color="auto"/>
        <w:right w:val="none" w:sz="0" w:space="0" w:color="auto"/>
      </w:divBdr>
      <w:divsChild>
        <w:div w:id="265232354">
          <w:marLeft w:val="0"/>
          <w:marRight w:val="0"/>
          <w:marTop w:val="0"/>
          <w:marBottom w:val="0"/>
          <w:divBdr>
            <w:top w:val="none" w:sz="0" w:space="0" w:color="auto"/>
            <w:left w:val="none" w:sz="0" w:space="0" w:color="auto"/>
            <w:bottom w:val="none" w:sz="0" w:space="0" w:color="auto"/>
            <w:right w:val="none" w:sz="0" w:space="0" w:color="auto"/>
          </w:divBdr>
          <w:divsChild>
            <w:div w:id="1086462614">
              <w:marLeft w:val="0"/>
              <w:marRight w:val="0"/>
              <w:marTop w:val="0"/>
              <w:marBottom w:val="0"/>
              <w:divBdr>
                <w:top w:val="none" w:sz="0" w:space="0" w:color="auto"/>
                <w:left w:val="none" w:sz="0" w:space="0" w:color="auto"/>
                <w:bottom w:val="none" w:sz="0" w:space="0" w:color="auto"/>
                <w:right w:val="none" w:sz="0" w:space="0" w:color="auto"/>
              </w:divBdr>
            </w:div>
            <w:div w:id="1936863843">
              <w:marLeft w:val="0"/>
              <w:marRight w:val="0"/>
              <w:marTop w:val="0"/>
              <w:marBottom w:val="0"/>
              <w:divBdr>
                <w:top w:val="none" w:sz="0" w:space="0" w:color="auto"/>
                <w:left w:val="none" w:sz="0" w:space="0" w:color="auto"/>
                <w:bottom w:val="none" w:sz="0" w:space="0" w:color="auto"/>
                <w:right w:val="none" w:sz="0" w:space="0" w:color="auto"/>
              </w:divBdr>
            </w:div>
          </w:divsChild>
        </w:div>
        <w:div w:id="434059962">
          <w:marLeft w:val="0"/>
          <w:marRight w:val="0"/>
          <w:marTop w:val="0"/>
          <w:marBottom w:val="0"/>
          <w:divBdr>
            <w:top w:val="none" w:sz="0" w:space="0" w:color="auto"/>
            <w:left w:val="none" w:sz="0" w:space="0" w:color="auto"/>
            <w:bottom w:val="none" w:sz="0" w:space="0" w:color="auto"/>
            <w:right w:val="none" w:sz="0" w:space="0" w:color="auto"/>
          </w:divBdr>
          <w:divsChild>
            <w:div w:id="538585632">
              <w:marLeft w:val="0"/>
              <w:marRight w:val="0"/>
              <w:marTop w:val="0"/>
              <w:marBottom w:val="0"/>
              <w:divBdr>
                <w:top w:val="none" w:sz="0" w:space="0" w:color="auto"/>
                <w:left w:val="none" w:sz="0" w:space="0" w:color="auto"/>
                <w:bottom w:val="none" w:sz="0" w:space="0" w:color="auto"/>
                <w:right w:val="none" w:sz="0" w:space="0" w:color="auto"/>
              </w:divBdr>
            </w:div>
            <w:div w:id="960956150">
              <w:marLeft w:val="0"/>
              <w:marRight w:val="0"/>
              <w:marTop w:val="0"/>
              <w:marBottom w:val="0"/>
              <w:divBdr>
                <w:top w:val="none" w:sz="0" w:space="0" w:color="auto"/>
                <w:left w:val="none" w:sz="0" w:space="0" w:color="auto"/>
                <w:bottom w:val="none" w:sz="0" w:space="0" w:color="auto"/>
                <w:right w:val="none" w:sz="0" w:space="0" w:color="auto"/>
              </w:divBdr>
            </w:div>
          </w:divsChild>
        </w:div>
        <w:div w:id="494226234">
          <w:marLeft w:val="0"/>
          <w:marRight w:val="0"/>
          <w:marTop w:val="0"/>
          <w:marBottom w:val="0"/>
          <w:divBdr>
            <w:top w:val="none" w:sz="0" w:space="0" w:color="auto"/>
            <w:left w:val="none" w:sz="0" w:space="0" w:color="auto"/>
            <w:bottom w:val="none" w:sz="0" w:space="0" w:color="auto"/>
            <w:right w:val="none" w:sz="0" w:space="0" w:color="auto"/>
          </w:divBdr>
          <w:divsChild>
            <w:div w:id="186334805">
              <w:marLeft w:val="0"/>
              <w:marRight w:val="0"/>
              <w:marTop w:val="0"/>
              <w:marBottom w:val="0"/>
              <w:divBdr>
                <w:top w:val="none" w:sz="0" w:space="0" w:color="auto"/>
                <w:left w:val="none" w:sz="0" w:space="0" w:color="auto"/>
                <w:bottom w:val="none" w:sz="0" w:space="0" w:color="auto"/>
                <w:right w:val="none" w:sz="0" w:space="0" w:color="auto"/>
              </w:divBdr>
            </w:div>
            <w:div w:id="1703245126">
              <w:marLeft w:val="0"/>
              <w:marRight w:val="0"/>
              <w:marTop w:val="0"/>
              <w:marBottom w:val="0"/>
              <w:divBdr>
                <w:top w:val="none" w:sz="0" w:space="0" w:color="auto"/>
                <w:left w:val="none" w:sz="0" w:space="0" w:color="auto"/>
                <w:bottom w:val="none" w:sz="0" w:space="0" w:color="auto"/>
                <w:right w:val="none" w:sz="0" w:space="0" w:color="auto"/>
              </w:divBdr>
            </w:div>
          </w:divsChild>
        </w:div>
        <w:div w:id="1587037661">
          <w:marLeft w:val="0"/>
          <w:marRight w:val="0"/>
          <w:marTop w:val="0"/>
          <w:marBottom w:val="0"/>
          <w:divBdr>
            <w:top w:val="none" w:sz="0" w:space="0" w:color="auto"/>
            <w:left w:val="none" w:sz="0" w:space="0" w:color="auto"/>
            <w:bottom w:val="none" w:sz="0" w:space="0" w:color="auto"/>
            <w:right w:val="none" w:sz="0" w:space="0" w:color="auto"/>
          </w:divBdr>
          <w:divsChild>
            <w:div w:id="749355174">
              <w:marLeft w:val="0"/>
              <w:marRight w:val="0"/>
              <w:marTop w:val="0"/>
              <w:marBottom w:val="0"/>
              <w:divBdr>
                <w:top w:val="none" w:sz="0" w:space="0" w:color="auto"/>
                <w:left w:val="none" w:sz="0" w:space="0" w:color="auto"/>
                <w:bottom w:val="none" w:sz="0" w:space="0" w:color="auto"/>
                <w:right w:val="none" w:sz="0" w:space="0" w:color="auto"/>
              </w:divBdr>
            </w:div>
            <w:div w:id="986973473">
              <w:marLeft w:val="0"/>
              <w:marRight w:val="0"/>
              <w:marTop w:val="0"/>
              <w:marBottom w:val="0"/>
              <w:divBdr>
                <w:top w:val="none" w:sz="0" w:space="0" w:color="auto"/>
                <w:left w:val="none" w:sz="0" w:space="0" w:color="auto"/>
                <w:bottom w:val="none" w:sz="0" w:space="0" w:color="auto"/>
                <w:right w:val="none" w:sz="0" w:space="0" w:color="auto"/>
              </w:divBdr>
            </w:div>
          </w:divsChild>
        </w:div>
        <w:div w:id="2016226498">
          <w:marLeft w:val="0"/>
          <w:marRight w:val="0"/>
          <w:marTop w:val="0"/>
          <w:marBottom w:val="0"/>
          <w:divBdr>
            <w:top w:val="none" w:sz="0" w:space="0" w:color="auto"/>
            <w:left w:val="none" w:sz="0" w:space="0" w:color="auto"/>
            <w:bottom w:val="none" w:sz="0" w:space="0" w:color="auto"/>
            <w:right w:val="none" w:sz="0" w:space="0" w:color="auto"/>
          </w:divBdr>
          <w:divsChild>
            <w:div w:id="830875891">
              <w:marLeft w:val="0"/>
              <w:marRight w:val="0"/>
              <w:marTop w:val="0"/>
              <w:marBottom w:val="0"/>
              <w:divBdr>
                <w:top w:val="none" w:sz="0" w:space="0" w:color="auto"/>
                <w:left w:val="none" w:sz="0" w:space="0" w:color="auto"/>
                <w:bottom w:val="none" w:sz="0" w:space="0" w:color="auto"/>
                <w:right w:val="none" w:sz="0" w:space="0" w:color="auto"/>
              </w:divBdr>
            </w:div>
            <w:div w:id="89732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9424">
      <w:bodyDiv w:val="1"/>
      <w:marLeft w:val="0"/>
      <w:marRight w:val="0"/>
      <w:marTop w:val="0"/>
      <w:marBottom w:val="0"/>
      <w:divBdr>
        <w:top w:val="none" w:sz="0" w:space="0" w:color="auto"/>
        <w:left w:val="none" w:sz="0" w:space="0" w:color="auto"/>
        <w:bottom w:val="none" w:sz="0" w:space="0" w:color="auto"/>
        <w:right w:val="none" w:sz="0" w:space="0" w:color="auto"/>
      </w:divBdr>
    </w:div>
    <w:div w:id="2129004840">
      <w:bodyDiv w:val="1"/>
      <w:marLeft w:val="0"/>
      <w:marRight w:val="0"/>
      <w:marTop w:val="0"/>
      <w:marBottom w:val="0"/>
      <w:divBdr>
        <w:top w:val="none" w:sz="0" w:space="0" w:color="auto"/>
        <w:left w:val="none" w:sz="0" w:space="0" w:color="auto"/>
        <w:bottom w:val="none" w:sz="0" w:space="0" w:color="auto"/>
        <w:right w:val="none" w:sz="0" w:space="0" w:color="auto"/>
      </w:divBdr>
    </w:div>
    <w:div w:id="2138451302">
      <w:bodyDiv w:val="1"/>
      <w:marLeft w:val="0"/>
      <w:marRight w:val="0"/>
      <w:marTop w:val="0"/>
      <w:marBottom w:val="0"/>
      <w:divBdr>
        <w:top w:val="none" w:sz="0" w:space="0" w:color="auto"/>
        <w:left w:val="none" w:sz="0" w:space="0" w:color="auto"/>
        <w:bottom w:val="none" w:sz="0" w:space="0" w:color="auto"/>
        <w:right w:val="none" w:sz="0" w:space="0" w:color="auto"/>
      </w:divBdr>
      <w:divsChild>
        <w:div w:id="284701423">
          <w:marLeft w:val="0"/>
          <w:marRight w:val="0"/>
          <w:marTop w:val="0"/>
          <w:marBottom w:val="0"/>
          <w:divBdr>
            <w:top w:val="none" w:sz="0" w:space="0" w:color="auto"/>
            <w:left w:val="none" w:sz="0" w:space="0" w:color="auto"/>
            <w:bottom w:val="none" w:sz="0" w:space="0" w:color="auto"/>
            <w:right w:val="none" w:sz="0" w:space="0" w:color="auto"/>
          </w:divBdr>
          <w:divsChild>
            <w:div w:id="12101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76093">
      <w:bodyDiv w:val="1"/>
      <w:marLeft w:val="0"/>
      <w:marRight w:val="0"/>
      <w:marTop w:val="0"/>
      <w:marBottom w:val="0"/>
      <w:divBdr>
        <w:top w:val="none" w:sz="0" w:space="0" w:color="auto"/>
        <w:left w:val="none" w:sz="0" w:space="0" w:color="auto"/>
        <w:bottom w:val="none" w:sz="0" w:space="0" w:color="auto"/>
        <w:right w:val="none" w:sz="0" w:space="0" w:color="auto"/>
      </w:divBdr>
    </w:div>
    <w:div w:id="2145345647">
      <w:bodyDiv w:val="1"/>
      <w:marLeft w:val="0"/>
      <w:marRight w:val="0"/>
      <w:marTop w:val="0"/>
      <w:marBottom w:val="0"/>
      <w:divBdr>
        <w:top w:val="none" w:sz="0" w:space="0" w:color="auto"/>
        <w:left w:val="none" w:sz="0" w:space="0" w:color="auto"/>
        <w:bottom w:val="none" w:sz="0" w:space="0" w:color="auto"/>
        <w:right w:val="none" w:sz="0" w:space="0" w:color="auto"/>
      </w:divBdr>
      <w:divsChild>
        <w:div w:id="1054504381">
          <w:marLeft w:val="0"/>
          <w:marRight w:val="0"/>
          <w:marTop w:val="0"/>
          <w:marBottom w:val="0"/>
          <w:divBdr>
            <w:top w:val="none" w:sz="0" w:space="0" w:color="auto"/>
            <w:left w:val="none" w:sz="0" w:space="0" w:color="auto"/>
            <w:bottom w:val="none" w:sz="0" w:space="0" w:color="auto"/>
            <w:right w:val="none" w:sz="0" w:space="0" w:color="auto"/>
          </w:divBdr>
          <w:divsChild>
            <w:div w:id="20195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ur-lex.europa.eu/legal-content/EN/TXT/?uri=COM:2022:517:FIN" TargetMode="External"/><Relationship Id="rId18" Type="http://schemas.openxmlformats.org/officeDocument/2006/relationships/header" Target="header1.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esrb.europa.eu/pub/pdf/reports/esrb.report_securisation.20220701~27958382b5.en.pdf" TargetMode="External"/><Relationship Id="rId17" Type="http://schemas.openxmlformats.org/officeDocument/2006/relationships/hyperlink" Target="https://commission.europa.eu/document/download/8556fc33-48a3-4a96-94e8-8ecacef1ea18_en?filename=250201_Simplification_Communication_en.pdf"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commission.europa.eu/topics/eu-competitiveness/competitiveness-compass_e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ba.europa.eu/sites/default/files/document_library/News%20and%20Press/Press%20Room/Press%20Releases/2020/EBA%20calls%20on%20the%20EU%20Commission%20to%20harmonise%20practices%20and%20processes%20for%20significant%20risk%20transfer%20assessments%20in%20securitisation/962027/EBA%20Report%20on%20SRT.pdf"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finance.ec.europa.eu/regulation-and-supervision/consultations-0/targeted-consultation-functioning-eu-securitisation-framework-2024_en"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iopa.europa.eu/publications/joint-committee-advice-review-securitisation-prudential-framework_en" TargetMode="External"/><Relationship Id="rId22" Type="http://schemas.openxmlformats.org/officeDocument/2006/relationships/footer" Target="foot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ata.europa.eu/eli/dir/2011/61/oj" TargetMode="External"/><Relationship Id="rId13" Type="http://schemas.openxmlformats.org/officeDocument/2006/relationships/hyperlink" Target="http://data.europa.eu/eli/dir/2014/65/oj" TargetMode="External"/><Relationship Id="rId3" Type="http://schemas.openxmlformats.org/officeDocument/2006/relationships/hyperlink" Target="https://finance.ec.europa.eu/regulation-and-supervision/consultations-0/targeted-consultation-functioning-eu-securitisation-framework-2024_en" TargetMode="External"/><Relationship Id="rId7" Type="http://schemas.openxmlformats.org/officeDocument/2006/relationships/hyperlink" Target="http://data.europa.eu/eli/reg_del/2015/35/oj" TargetMode="External"/><Relationship Id="rId12" Type="http://schemas.openxmlformats.org/officeDocument/2006/relationships/hyperlink" Target="http://data.europa.eu/eli/reg/2017/1129/oj" TargetMode="External"/><Relationship Id="rId2" Type="http://schemas.openxmlformats.org/officeDocument/2006/relationships/hyperlink" Target="https://ec.europa.eu/info/law/better-regulation/have-your-say/initiatives/14423-Securities-and-markets-review-of-the-Securitisation-Framework_en" TargetMode="External"/><Relationship Id="rId16" Type="http://schemas.openxmlformats.org/officeDocument/2006/relationships/hyperlink" Target="https://myintracomm.ec.europa.eu/corp/budget/financial-rules/budget-implementation/Pages/implementation-methods.aspx" TargetMode="External"/><Relationship Id="rId1" Type="http://schemas.openxmlformats.org/officeDocument/2006/relationships/hyperlink" Target="https://www.consilium.europa.eu/media/m5jlwe0p/euco-conclusions-20240417-18-en.pdf" TargetMode="External"/><Relationship Id="rId6" Type="http://schemas.openxmlformats.org/officeDocument/2006/relationships/hyperlink" Target="http://data.europa.eu/eli/reg_del/2015/61/oj" TargetMode="External"/><Relationship Id="rId11" Type="http://schemas.openxmlformats.org/officeDocument/2006/relationships/hyperlink" Target="http://data.europa.eu/eli/reg_del/2015/61/oj" TargetMode="External"/><Relationship Id="rId5" Type="http://schemas.openxmlformats.org/officeDocument/2006/relationships/hyperlink" Target="http://data.europa.eu/eli/reg/2013/575/oj" TargetMode="External"/><Relationship Id="rId15" Type="http://schemas.openxmlformats.org/officeDocument/2006/relationships/hyperlink" Target="http://data.europa.eu/eli/reg/2014/806/oj" TargetMode="External"/><Relationship Id="rId10" Type="http://schemas.openxmlformats.org/officeDocument/2006/relationships/hyperlink" Target="https://www.eiopa.europa.eu/system/files/2021-05/jc-2021-31-jc-report-on-the-implementation-and-functioning-of-the-securitisation-regulation.pdf" TargetMode="External"/><Relationship Id="rId4" Type="http://schemas.openxmlformats.org/officeDocument/2006/relationships/hyperlink" Target="http://data.europa.eu/eli/reg/2017/2402/oj" TargetMode="External"/><Relationship Id="rId9" Type="http://schemas.openxmlformats.org/officeDocument/2006/relationships/hyperlink" Target="https://ec.europa.eu/info/law/better-regulation/have-your-say/initiatives/14423-Securities-and-markets-review-of-the-Securitisation-Framework_en" TargetMode="External"/><Relationship Id="rId14" Type="http://schemas.openxmlformats.org/officeDocument/2006/relationships/hyperlink" Target="http://data.europa.eu/eli/dir/2014/59/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D301F-8E43-41FD-9B65-44062E356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28</Pages>
  <Words>19934</Words>
  <Characters>113627</Characters>
  <Application>Microsoft Office Word</Application>
  <DocSecurity>0</DocSecurity>
  <Lines>946</Lines>
  <Paragraphs>266</Paragraphs>
  <ScaleCrop>false</ScaleCrop>
  <Manager/>
  <Company/>
  <LinksUpToDate>false</LinksUpToDate>
  <CharactersWithSpaces>133295</CharactersWithSpaces>
  <SharedDoc>false</SharedDoc>
  <HLinks>
    <vt:vector size="420" baseType="variant">
      <vt:variant>
        <vt:i4>1376315</vt:i4>
      </vt:variant>
      <vt:variant>
        <vt:i4>296</vt:i4>
      </vt:variant>
      <vt:variant>
        <vt:i4>0</vt:i4>
      </vt:variant>
      <vt:variant>
        <vt:i4>5</vt:i4>
      </vt:variant>
      <vt:variant>
        <vt:lpwstr/>
      </vt:variant>
      <vt:variant>
        <vt:lpwstr>_Toc198557797</vt:lpwstr>
      </vt:variant>
      <vt:variant>
        <vt:i4>1376315</vt:i4>
      </vt:variant>
      <vt:variant>
        <vt:i4>290</vt:i4>
      </vt:variant>
      <vt:variant>
        <vt:i4>0</vt:i4>
      </vt:variant>
      <vt:variant>
        <vt:i4>5</vt:i4>
      </vt:variant>
      <vt:variant>
        <vt:lpwstr/>
      </vt:variant>
      <vt:variant>
        <vt:lpwstr>_Toc198557796</vt:lpwstr>
      </vt:variant>
      <vt:variant>
        <vt:i4>1376315</vt:i4>
      </vt:variant>
      <vt:variant>
        <vt:i4>284</vt:i4>
      </vt:variant>
      <vt:variant>
        <vt:i4>0</vt:i4>
      </vt:variant>
      <vt:variant>
        <vt:i4>5</vt:i4>
      </vt:variant>
      <vt:variant>
        <vt:lpwstr/>
      </vt:variant>
      <vt:variant>
        <vt:lpwstr>_Toc198557795</vt:lpwstr>
      </vt:variant>
      <vt:variant>
        <vt:i4>1376315</vt:i4>
      </vt:variant>
      <vt:variant>
        <vt:i4>278</vt:i4>
      </vt:variant>
      <vt:variant>
        <vt:i4>0</vt:i4>
      </vt:variant>
      <vt:variant>
        <vt:i4>5</vt:i4>
      </vt:variant>
      <vt:variant>
        <vt:lpwstr/>
      </vt:variant>
      <vt:variant>
        <vt:lpwstr>_Toc198557794</vt:lpwstr>
      </vt:variant>
      <vt:variant>
        <vt:i4>1376315</vt:i4>
      </vt:variant>
      <vt:variant>
        <vt:i4>272</vt:i4>
      </vt:variant>
      <vt:variant>
        <vt:i4>0</vt:i4>
      </vt:variant>
      <vt:variant>
        <vt:i4>5</vt:i4>
      </vt:variant>
      <vt:variant>
        <vt:lpwstr/>
      </vt:variant>
      <vt:variant>
        <vt:lpwstr>_Toc198557793</vt:lpwstr>
      </vt:variant>
      <vt:variant>
        <vt:i4>1376315</vt:i4>
      </vt:variant>
      <vt:variant>
        <vt:i4>266</vt:i4>
      </vt:variant>
      <vt:variant>
        <vt:i4>0</vt:i4>
      </vt:variant>
      <vt:variant>
        <vt:i4>5</vt:i4>
      </vt:variant>
      <vt:variant>
        <vt:lpwstr/>
      </vt:variant>
      <vt:variant>
        <vt:lpwstr>_Toc198557792</vt:lpwstr>
      </vt:variant>
      <vt:variant>
        <vt:i4>1376315</vt:i4>
      </vt:variant>
      <vt:variant>
        <vt:i4>260</vt:i4>
      </vt:variant>
      <vt:variant>
        <vt:i4>0</vt:i4>
      </vt:variant>
      <vt:variant>
        <vt:i4>5</vt:i4>
      </vt:variant>
      <vt:variant>
        <vt:lpwstr/>
      </vt:variant>
      <vt:variant>
        <vt:lpwstr>_Toc198557791</vt:lpwstr>
      </vt:variant>
      <vt:variant>
        <vt:i4>1376315</vt:i4>
      </vt:variant>
      <vt:variant>
        <vt:i4>254</vt:i4>
      </vt:variant>
      <vt:variant>
        <vt:i4>0</vt:i4>
      </vt:variant>
      <vt:variant>
        <vt:i4>5</vt:i4>
      </vt:variant>
      <vt:variant>
        <vt:lpwstr/>
      </vt:variant>
      <vt:variant>
        <vt:lpwstr>_Toc198557790</vt:lpwstr>
      </vt:variant>
      <vt:variant>
        <vt:i4>1310779</vt:i4>
      </vt:variant>
      <vt:variant>
        <vt:i4>248</vt:i4>
      </vt:variant>
      <vt:variant>
        <vt:i4>0</vt:i4>
      </vt:variant>
      <vt:variant>
        <vt:i4>5</vt:i4>
      </vt:variant>
      <vt:variant>
        <vt:lpwstr/>
      </vt:variant>
      <vt:variant>
        <vt:lpwstr>_Toc198557789</vt:lpwstr>
      </vt:variant>
      <vt:variant>
        <vt:i4>1310779</vt:i4>
      </vt:variant>
      <vt:variant>
        <vt:i4>242</vt:i4>
      </vt:variant>
      <vt:variant>
        <vt:i4>0</vt:i4>
      </vt:variant>
      <vt:variant>
        <vt:i4>5</vt:i4>
      </vt:variant>
      <vt:variant>
        <vt:lpwstr/>
      </vt:variant>
      <vt:variant>
        <vt:lpwstr>_Toc198557788</vt:lpwstr>
      </vt:variant>
      <vt:variant>
        <vt:i4>1310779</vt:i4>
      </vt:variant>
      <vt:variant>
        <vt:i4>236</vt:i4>
      </vt:variant>
      <vt:variant>
        <vt:i4>0</vt:i4>
      </vt:variant>
      <vt:variant>
        <vt:i4>5</vt:i4>
      </vt:variant>
      <vt:variant>
        <vt:lpwstr/>
      </vt:variant>
      <vt:variant>
        <vt:lpwstr>_Toc198557787</vt:lpwstr>
      </vt:variant>
      <vt:variant>
        <vt:i4>1310779</vt:i4>
      </vt:variant>
      <vt:variant>
        <vt:i4>230</vt:i4>
      </vt:variant>
      <vt:variant>
        <vt:i4>0</vt:i4>
      </vt:variant>
      <vt:variant>
        <vt:i4>5</vt:i4>
      </vt:variant>
      <vt:variant>
        <vt:lpwstr/>
      </vt:variant>
      <vt:variant>
        <vt:lpwstr>_Toc198557786</vt:lpwstr>
      </vt:variant>
      <vt:variant>
        <vt:i4>1310779</vt:i4>
      </vt:variant>
      <vt:variant>
        <vt:i4>224</vt:i4>
      </vt:variant>
      <vt:variant>
        <vt:i4>0</vt:i4>
      </vt:variant>
      <vt:variant>
        <vt:i4>5</vt:i4>
      </vt:variant>
      <vt:variant>
        <vt:lpwstr/>
      </vt:variant>
      <vt:variant>
        <vt:lpwstr>_Toc198557785</vt:lpwstr>
      </vt:variant>
      <vt:variant>
        <vt:i4>1310779</vt:i4>
      </vt:variant>
      <vt:variant>
        <vt:i4>218</vt:i4>
      </vt:variant>
      <vt:variant>
        <vt:i4>0</vt:i4>
      </vt:variant>
      <vt:variant>
        <vt:i4>5</vt:i4>
      </vt:variant>
      <vt:variant>
        <vt:lpwstr/>
      </vt:variant>
      <vt:variant>
        <vt:lpwstr>_Toc198557784</vt:lpwstr>
      </vt:variant>
      <vt:variant>
        <vt:i4>1310779</vt:i4>
      </vt:variant>
      <vt:variant>
        <vt:i4>212</vt:i4>
      </vt:variant>
      <vt:variant>
        <vt:i4>0</vt:i4>
      </vt:variant>
      <vt:variant>
        <vt:i4>5</vt:i4>
      </vt:variant>
      <vt:variant>
        <vt:lpwstr/>
      </vt:variant>
      <vt:variant>
        <vt:lpwstr>_Toc198557783</vt:lpwstr>
      </vt:variant>
      <vt:variant>
        <vt:i4>1310779</vt:i4>
      </vt:variant>
      <vt:variant>
        <vt:i4>206</vt:i4>
      </vt:variant>
      <vt:variant>
        <vt:i4>0</vt:i4>
      </vt:variant>
      <vt:variant>
        <vt:i4>5</vt:i4>
      </vt:variant>
      <vt:variant>
        <vt:lpwstr/>
      </vt:variant>
      <vt:variant>
        <vt:lpwstr>_Toc198557782</vt:lpwstr>
      </vt:variant>
      <vt:variant>
        <vt:i4>1310779</vt:i4>
      </vt:variant>
      <vt:variant>
        <vt:i4>200</vt:i4>
      </vt:variant>
      <vt:variant>
        <vt:i4>0</vt:i4>
      </vt:variant>
      <vt:variant>
        <vt:i4>5</vt:i4>
      </vt:variant>
      <vt:variant>
        <vt:lpwstr/>
      </vt:variant>
      <vt:variant>
        <vt:lpwstr>_Toc198557781</vt:lpwstr>
      </vt:variant>
      <vt:variant>
        <vt:i4>1310779</vt:i4>
      </vt:variant>
      <vt:variant>
        <vt:i4>194</vt:i4>
      </vt:variant>
      <vt:variant>
        <vt:i4>0</vt:i4>
      </vt:variant>
      <vt:variant>
        <vt:i4>5</vt:i4>
      </vt:variant>
      <vt:variant>
        <vt:lpwstr/>
      </vt:variant>
      <vt:variant>
        <vt:lpwstr>_Toc198557780</vt:lpwstr>
      </vt:variant>
      <vt:variant>
        <vt:i4>1769531</vt:i4>
      </vt:variant>
      <vt:variant>
        <vt:i4>188</vt:i4>
      </vt:variant>
      <vt:variant>
        <vt:i4>0</vt:i4>
      </vt:variant>
      <vt:variant>
        <vt:i4>5</vt:i4>
      </vt:variant>
      <vt:variant>
        <vt:lpwstr/>
      </vt:variant>
      <vt:variant>
        <vt:lpwstr>_Toc198557779</vt:lpwstr>
      </vt:variant>
      <vt:variant>
        <vt:i4>1769531</vt:i4>
      </vt:variant>
      <vt:variant>
        <vt:i4>182</vt:i4>
      </vt:variant>
      <vt:variant>
        <vt:i4>0</vt:i4>
      </vt:variant>
      <vt:variant>
        <vt:i4>5</vt:i4>
      </vt:variant>
      <vt:variant>
        <vt:lpwstr/>
      </vt:variant>
      <vt:variant>
        <vt:lpwstr>_Toc198557778</vt:lpwstr>
      </vt:variant>
      <vt:variant>
        <vt:i4>1769531</vt:i4>
      </vt:variant>
      <vt:variant>
        <vt:i4>176</vt:i4>
      </vt:variant>
      <vt:variant>
        <vt:i4>0</vt:i4>
      </vt:variant>
      <vt:variant>
        <vt:i4>5</vt:i4>
      </vt:variant>
      <vt:variant>
        <vt:lpwstr/>
      </vt:variant>
      <vt:variant>
        <vt:lpwstr>_Toc198557777</vt:lpwstr>
      </vt:variant>
      <vt:variant>
        <vt:i4>1769531</vt:i4>
      </vt:variant>
      <vt:variant>
        <vt:i4>170</vt:i4>
      </vt:variant>
      <vt:variant>
        <vt:i4>0</vt:i4>
      </vt:variant>
      <vt:variant>
        <vt:i4>5</vt:i4>
      </vt:variant>
      <vt:variant>
        <vt:lpwstr/>
      </vt:variant>
      <vt:variant>
        <vt:lpwstr>_Toc198557776</vt:lpwstr>
      </vt:variant>
      <vt:variant>
        <vt:i4>1769531</vt:i4>
      </vt:variant>
      <vt:variant>
        <vt:i4>164</vt:i4>
      </vt:variant>
      <vt:variant>
        <vt:i4>0</vt:i4>
      </vt:variant>
      <vt:variant>
        <vt:i4>5</vt:i4>
      </vt:variant>
      <vt:variant>
        <vt:lpwstr/>
      </vt:variant>
      <vt:variant>
        <vt:lpwstr>_Toc198557775</vt:lpwstr>
      </vt:variant>
      <vt:variant>
        <vt:i4>1769531</vt:i4>
      </vt:variant>
      <vt:variant>
        <vt:i4>158</vt:i4>
      </vt:variant>
      <vt:variant>
        <vt:i4>0</vt:i4>
      </vt:variant>
      <vt:variant>
        <vt:i4>5</vt:i4>
      </vt:variant>
      <vt:variant>
        <vt:lpwstr/>
      </vt:variant>
      <vt:variant>
        <vt:lpwstr>_Toc198557774</vt:lpwstr>
      </vt:variant>
      <vt:variant>
        <vt:i4>1769531</vt:i4>
      </vt:variant>
      <vt:variant>
        <vt:i4>152</vt:i4>
      </vt:variant>
      <vt:variant>
        <vt:i4>0</vt:i4>
      </vt:variant>
      <vt:variant>
        <vt:i4>5</vt:i4>
      </vt:variant>
      <vt:variant>
        <vt:lpwstr/>
      </vt:variant>
      <vt:variant>
        <vt:lpwstr>_Toc198557773</vt:lpwstr>
      </vt:variant>
      <vt:variant>
        <vt:i4>1769531</vt:i4>
      </vt:variant>
      <vt:variant>
        <vt:i4>146</vt:i4>
      </vt:variant>
      <vt:variant>
        <vt:i4>0</vt:i4>
      </vt:variant>
      <vt:variant>
        <vt:i4>5</vt:i4>
      </vt:variant>
      <vt:variant>
        <vt:lpwstr/>
      </vt:variant>
      <vt:variant>
        <vt:lpwstr>_Toc198557772</vt:lpwstr>
      </vt:variant>
      <vt:variant>
        <vt:i4>1769531</vt:i4>
      </vt:variant>
      <vt:variant>
        <vt:i4>140</vt:i4>
      </vt:variant>
      <vt:variant>
        <vt:i4>0</vt:i4>
      </vt:variant>
      <vt:variant>
        <vt:i4>5</vt:i4>
      </vt:variant>
      <vt:variant>
        <vt:lpwstr/>
      </vt:variant>
      <vt:variant>
        <vt:lpwstr>_Toc198557771</vt:lpwstr>
      </vt:variant>
      <vt:variant>
        <vt:i4>1769531</vt:i4>
      </vt:variant>
      <vt:variant>
        <vt:i4>134</vt:i4>
      </vt:variant>
      <vt:variant>
        <vt:i4>0</vt:i4>
      </vt:variant>
      <vt:variant>
        <vt:i4>5</vt:i4>
      </vt:variant>
      <vt:variant>
        <vt:lpwstr/>
      </vt:variant>
      <vt:variant>
        <vt:lpwstr>_Toc198557770</vt:lpwstr>
      </vt:variant>
      <vt:variant>
        <vt:i4>1703995</vt:i4>
      </vt:variant>
      <vt:variant>
        <vt:i4>128</vt:i4>
      </vt:variant>
      <vt:variant>
        <vt:i4>0</vt:i4>
      </vt:variant>
      <vt:variant>
        <vt:i4>5</vt:i4>
      </vt:variant>
      <vt:variant>
        <vt:lpwstr/>
      </vt:variant>
      <vt:variant>
        <vt:lpwstr>_Toc198557769</vt:lpwstr>
      </vt:variant>
      <vt:variant>
        <vt:i4>1703995</vt:i4>
      </vt:variant>
      <vt:variant>
        <vt:i4>122</vt:i4>
      </vt:variant>
      <vt:variant>
        <vt:i4>0</vt:i4>
      </vt:variant>
      <vt:variant>
        <vt:i4>5</vt:i4>
      </vt:variant>
      <vt:variant>
        <vt:lpwstr/>
      </vt:variant>
      <vt:variant>
        <vt:lpwstr>_Toc198557768</vt:lpwstr>
      </vt:variant>
      <vt:variant>
        <vt:i4>1703995</vt:i4>
      </vt:variant>
      <vt:variant>
        <vt:i4>116</vt:i4>
      </vt:variant>
      <vt:variant>
        <vt:i4>0</vt:i4>
      </vt:variant>
      <vt:variant>
        <vt:i4>5</vt:i4>
      </vt:variant>
      <vt:variant>
        <vt:lpwstr/>
      </vt:variant>
      <vt:variant>
        <vt:lpwstr>_Toc198557767</vt:lpwstr>
      </vt:variant>
      <vt:variant>
        <vt:i4>1703995</vt:i4>
      </vt:variant>
      <vt:variant>
        <vt:i4>110</vt:i4>
      </vt:variant>
      <vt:variant>
        <vt:i4>0</vt:i4>
      </vt:variant>
      <vt:variant>
        <vt:i4>5</vt:i4>
      </vt:variant>
      <vt:variant>
        <vt:lpwstr/>
      </vt:variant>
      <vt:variant>
        <vt:lpwstr>_Toc198557766</vt:lpwstr>
      </vt:variant>
      <vt:variant>
        <vt:i4>1703995</vt:i4>
      </vt:variant>
      <vt:variant>
        <vt:i4>104</vt:i4>
      </vt:variant>
      <vt:variant>
        <vt:i4>0</vt:i4>
      </vt:variant>
      <vt:variant>
        <vt:i4>5</vt:i4>
      </vt:variant>
      <vt:variant>
        <vt:lpwstr/>
      </vt:variant>
      <vt:variant>
        <vt:lpwstr>_Toc198557765</vt:lpwstr>
      </vt:variant>
      <vt:variant>
        <vt:i4>1703995</vt:i4>
      </vt:variant>
      <vt:variant>
        <vt:i4>98</vt:i4>
      </vt:variant>
      <vt:variant>
        <vt:i4>0</vt:i4>
      </vt:variant>
      <vt:variant>
        <vt:i4>5</vt:i4>
      </vt:variant>
      <vt:variant>
        <vt:lpwstr/>
      </vt:variant>
      <vt:variant>
        <vt:lpwstr>_Toc198557764</vt:lpwstr>
      </vt:variant>
      <vt:variant>
        <vt:i4>1703995</vt:i4>
      </vt:variant>
      <vt:variant>
        <vt:i4>92</vt:i4>
      </vt:variant>
      <vt:variant>
        <vt:i4>0</vt:i4>
      </vt:variant>
      <vt:variant>
        <vt:i4>5</vt:i4>
      </vt:variant>
      <vt:variant>
        <vt:lpwstr/>
      </vt:variant>
      <vt:variant>
        <vt:lpwstr>_Toc198557763</vt:lpwstr>
      </vt:variant>
      <vt:variant>
        <vt:i4>1703995</vt:i4>
      </vt:variant>
      <vt:variant>
        <vt:i4>86</vt:i4>
      </vt:variant>
      <vt:variant>
        <vt:i4>0</vt:i4>
      </vt:variant>
      <vt:variant>
        <vt:i4>5</vt:i4>
      </vt:variant>
      <vt:variant>
        <vt:lpwstr/>
      </vt:variant>
      <vt:variant>
        <vt:lpwstr>_Toc198557762</vt:lpwstr>
      </vt:variant>
      <vt:variant>
        <vt:i4>1703995</vt:i4>
      </vt:variant>
      <vt:variant>
        <vt:i4>80</vt:i4>
      </vt:variant>
      <vt:variant>
        <vt:i4>0</vt:i4>
      </vt:variant>
      <vt:variant>
        <vt:i4>5</vt:i4>
      </vt:variant>
      <vt:variant>
        <vt:lpwstr/>
      </vt:variant>
      <vt:variant>
        <vt:lpwstr>_Toc198557761</vt:lpwstr>
      </vt:variant>
      <vt:variant>
        <vt:i4>1703995</vt:i4>
      </vt:variant>
      <vt:variant>
        <vt:i4>74</vt:i4>
      </vt:variant>
      <vt:variant>
        <vt:i4>0</vt:i4>
      </vt:variant>
      <vt:variant>
        <vt:i4>5</vt:i4>
      </vt:variant>
      <vt:variant>
        <vt:lpwstr/>
      </vt:variant>
      <vt:variant>
        <vt:lpwstr>_Toc198557760</vt:lpwstr>
      </vt:variant>
      <vt:variant>
        <vt:i4>1638459</vt:i4>
      </vt:variant>
      <vt:variant>
        <vt:i4>68</vt:i4>
      </vt:variant>
      <vt:variant>
        <vt:i4>0</vt:i4>
      </vt:variant>
      <vt:variant>
        <vt:i4>5</vt:i4>
      </vt:variant>
      <vt:variant>
        <vt:lpwstr/>
      </vt:variant>
      <vt:variant>
        <vt:lpwstr>_Toc198557759</vt:lpwstr>
      </vt:variant>
      <vt:variant>
        <vt:i4>1638459</vt:i4>
      </vt:variant>
      <vt:variant>
        <vt:i4>62</vt:i4>
      </vt:variant>
      <vt:variant>
        <vt:i4>0</vt:i4>
      </vt:variant>
      <vt:variant>
        <vt:i4>5</vt:i4>
      </vt:variant>
      <vt:variant>
        <vt:lpwstr/>
      </vt:variant>
      <vt:variant>
        <vt:lpwstr>_Toc198557758</vt:lpwstr>
      </vt:variant>
      <vt:variant>
        <vt:i4>1638459</vt:i4>
      </vt:variant>
      <vt:variant>
        <vt:i4>56</vt:i4>
      </vt:variant>
      <vt:variant>
        <vt:i4>0</vt:i4>
      </vt:variant>
      <vt:variant>
        <vt:i4>5</vt:i4>
      </vt:variant>
      <vt:variant>
        <vt:lpwstr/>
      </vt:variant>
      <vt:variant>
        <vt:lpwstr>_Toc198557757</vt:lpwstr>
      </vt:variant>
      <vt:variant>
        <vt:i4>1638459</vt:i4>
      </vt:variant>
      <vt:variant>
        <vt:i4>50</vt:i4>
      </vt:variant>
      <vt:variant>
        <vt:i4>0</vt:i4>
      </vt:variant>
      <vt:variant>
        <vt:i4>5</vt:i4>
      </vt:variant>
      <vt:variant>
        <vt:lpwstr/>
      </vt:variant>
      <vt:variant>
        <vt:lpwstr>_Toc198557756</vt:lpwstr>
      </vt:variant>
      <vt:variant>
        <vt:i4>1638459</vt:i4>
      </vt:variant>
      <vt:variant>
        <vt:i4>44</vt:i4>
      </vt:variant>
      <vt:variant>
        <vt:i4>0</vt:i4>
      </vt:variant>
      <vt:variant>
        <vt:i4>5</vt:i4>
      </vt:variant>
      <vt:variant>
        <vt:lpwstr/>
      </vt:variant>
      <vt:variant>
        <vt:lpwstr>_Toc198557755</vt:lpwstr>
      </vt:variant>
      <vt:variant>
        <vt:i4>1638459</vt:i4>
      </vt:variant>
      <vt:variant>
        <vt:i4>38</vt:i4>
      </vt:variant>
      <vt:variant>
        <vt:i4>0</vt:i4>
      </vt:variant>
      <vt:variant>
        <vt:i4>5</vt:i4>
      </vt:variant>
      <vt:variant>
        <vt:lpwstr/>
      </vt:variant>
      <vt:variant>
        <vt:lpwstr>_Toc198557754</vt:lpwstr>
      </vt:variant>
      <vt:variant>
        <vt:i4>1638459</vt:i4>
      </vt:variant>
      <vt:variant>
        <vt:i4>32</vt:i4>
      </vt:variant>
      <vt:variant>
        <vt:i4>0</vt:i4>
      </vt:variant>
      <vt:variant>
        <vt:i4>5</vt:i4>
      </vt:variant>
      <vt:variant>
        <vt:lpwstr/>
      </vt:variant>
      <vt:variant>
        <vt:lpwstr>_Toc198557753</vt:lpwstr>
      </vt:variant>
      <vt:variant>
        <vt:i4>1638459</vt:i4>
      </vt:variant>
      <vt:variant>
        <vt:i4>26</vt:i4>
      </vt:variant>
      <vt:variant>
        <vt:i4>0</vt:i4>
      </vt:variant>
      <vt:variant>
        <vt:i4>5</vt:i4>
      </vt:variant>
      <vt:variant>
        <vt:lpwstr/>
      </vt:variant>
      <vt:variant>
        <vt:lpwstr>_Toc198557752</vt:lpwstr>
      </vt:variant>
      <vt:variant>
        <vt:i4>1114113</vt:i4>
      </vt:variant>
      <vt:variant>
        <vt:i4>21</vt:i4>
      </vt:variant>
      <vt:variant>
        <vt:i4>0</vt:i4>
      </vt:variant>
      <vt:variant>
        <vt:i4>5</vt:i4>
      </vt:variant>
      <vt:variant>
        <vt:lpwstr>https://commission.europa.eu/document/download/8556fc33-48a3-4a96-94e8-8ecacef1ea18_en?filename=250201_Simplification_Communication_en.pdf</vt:lpwstr>
      </vt:variant>
      <vt:variant>
        <vt:lpwstr/>
      </vt:variant>
      <vt:variant>
        <vt:i4>2031656</vt:i4>
      </vt:variant>
      <vt:variant>
        <vt:i4>18</vt:i4>
      </vt:variant>
      <vt:variant>
        <vt:i4>0</vt:i4>
      </vt:variant>
      <vt:variant>
        <vt:i4>5</vt:i4>
      </vt:variant>
      <vt:variant>
        <vt:lpwstr>https://commission.europa.eu/topics/eu-competitiveness/competitiveness-compass_en</vt:lpwstr>
      </vt:variant>
      <vt:variant>
        <vt:lpwstr/>
      </vt:variant>
      <vt:variant>
        <vt:i4>7209067</vt:i4>
      </vt:variant>
      <vt:variant>
        <vt:i4>15</vt:i4>
      </vt:variant>
      <vt:variant>
        <vt:i4>0</vt:i4>
      </vt:variant>
      <vt:variant>
        <vt:i4>5</vt:i4>
      </vt:variant>
      <vt:variant>
        <vt:lpwstr>https://www.eba.europa.eu/sites/default/files/2025-03/28543668-4cc9-449f-8a66-c95c9b92a44e/Joint Committee report on the functionning of the securitisation regulation.pdf</vt:lpwstr>
      </vt:variant>
      <vt:variant>
        <vt:lpwstr/>
      </vt:variant>
      <vt:variant>
        <vt:i4>4718630</vt:i4>
      </vt:variant>
      <vt:variant>
        <vt:i4>12</vt:i4>
      </vt:variant>
      <vt:variant>
        <vt:i4>0</vt:i4>
      </vt:variant>
      <vt:variant>
        <vt:i4>5</vt:i4>
      </vt:variant>
      <vt:variant>
        <vt:lpwstr>https://finance.ec.europa.eu/regulation-and-supervision/consultations-0/targeted-consultation-functioning-eu-securitisation-framework-2024_en</vt:lpwstr>
      </vt:variant>
      <vt:variant>
        <vt:lpwstr/>
      </vt:variant>
      <vt:variant>
        <vt:i4>5374072</vt:i4>
      </vt:variant>
      <vt:variant>
        <vt:i4>9</vt:i4>
      </vt:variant>
      <vt:variant>
        <vt:i4>0</vt:i4>
      </vt:variant>
      <vt:variant>
        <vt:i4>5</vt:i4>
      </vt:variant>
      <vt:variant>
        <vt:lpwstr>https://www.eiopa.europa.eu/publications/joint-committee-advice-review-securitisation-prudential-framework_en</vt:lpwstr>
      </vt:variant>
      <vt:variant>
        <vt:lpwstr/>
      </vt:variant>
      <vt:variant>
        <vt:i4>196691</vt:i4>
      </vt:variant>
      <vt:variant>
        <vt:i4>6</vt:i4>
      </vt:variant>
      <vt:variant>
        <vt:i4>0</vt:i4>
      </vt:variant>
      <vt:variant>
        <vt:i4>5</vt:i4>
      </vt:variant>
      <vt:variant>
        <vt:lpwstr>https://eur-lex.europa.eu/legal-content/EN/TXT/?uri=COM:2022:517:FIN</vt:lpwstr>
      </vt:variant>
      <vt:variant>
        <vt:lpwstr/>
      </vt:variant>
      <vt:variant>
        <vt:i4>3801166</vt:i4>
      </vt:variant>
      <vt:variant>
        <vt:i4>3</vt:i4>
      </vt:variant>
      <vt:variant>
        <vt:i4>0</vt:i4>
      </vt:variant>
      <vt:variant>
        <vt:i4>5</vt:i4>
      </vt:variant>
      <vt:variant>
        <vt:lpwstr>https://www.esrb.europa.eu/pub/pdf/reports/esrb.report_securisation.20220701~27958382b5.en.pdf</vt:lpwstr>
      </vt:variant>
      <vt:variant>
        <vt:lpwstr/>
      </vt:variant>
      <vt:variant>
        <vt:i4>2424852</vt:i4>
      </vt:variant>
      <vt:variant>
        <vt:i4>0</vt:i4>
      </vt:variant>
      <vt:variant>
        <vt:i4>0</vt:i4>
      </vt:variant>
      <vt:variant>
        <vt:i4>5</vt:i4>
      </vt:variant>
      <vt:variant>
        <vt:lpwstr>https://eba.europa.eu/sites/default/files/document_library/News and Press/Press Room/Press Releases/2020/EBA calls on the EU Commission to harmonise practices and processes for significant risk transfer assessments in securitisation/962027/EBA Report on SRT.pdf</vt:lpwstr>
      </vt:variant>
      <vt:variant>
        <vt:lpwstr/>
      </vt:variant>
      <vt:variant>
        <vt:i4>262150</vt:i4>
      </vt:variant>
      <vt:variant>
        <vt:i4>45</vt:i4>
      </vt:variant>
      <vt:variant>
        <vt:i4>0</vt:i4>
      </vt:variant>
      <vt:variant>
        <vt:i4>5</vt:i4>
      </vt:variant>
      <vt:variant>
        <vt:lpwstr>https://myintracomm.ec.europa.eu/corp/budget/financial-rules/budget-implementation/Pages/implementation-methods.aspx</vt:lpwstr>
      </vt:variant>
      <vt:variant>
        <vt:lpwstr/>
      </vt:variant>
      <vt:variant>
        <vt:i4>4718623</vt:i4>
      </vt:variant>
      <vt:variant>
        <vt:i4>42</vt:i4>
      </vt:variant>
      <vt:variant>
        <vt:i4>0</vt:i4>
      </vt:variant>
      <vt:variant>
        <vt:i4>5</vt:i4>
      </vt:variant>
      <vt:variant>
        <vt:lpwstr>http://data.europa.eu/eli/reg/2014/806/oj</vt:lpwstr>
      </vt:variant>
      <vt:variant>
        <vt:lpwstr/>
      </vt:variant>
      <vt:variant>
        <vt:i4>5570645</vt:i4>
      </vt:variant>
      <vt:variant>
        <vt:i4>39</vt:i4>
      </vt:variant>
      <vt:variant>
        <vt:i4>0</vt:i4>
      </vt:variant>
      <vt:variant>
        <vt:i4>5</vt:i4>
      </vt:variant>
      <vt:variant>
        <vt:lpwstr>http://data.europa.eu/eli/dir/2014/59/oj</vt:lpwstr>
      </vt:variant>
      <vt:variant>
        <vt:lpwstr/>
      </vt:variant>
      <vt:variant>
        <vt:i4>5636185</vt:i4>
      </vt:variant>
      <vt:variant>
        <vt:i4>36</vt:i4>
      </vt:variant>
      <vt:variant>
        <vt:i4>0</vt:i4>
      </vt:variant>
      <vt:variant>
        <vt:i4>5</vt:i4>
      </vt:variant>
      <vt:variant>
        <vt:lpwstr>http://data.europa.eu/eli/dir/2014/65/oj</vt:lpwstr>
      </vt:variant>
      <vt:variant>
        <vt:lpwstr/>
      </vt:variant>
      <vt:variant>
        <vt:i4>7077991</vt:i4>
      </vt:variant>
      <vt:variant>
        <vt:i4>33</vt:i4>
      </vt:variant>
      <vt:variant>
        <vt:i4>0</vt:i4>
      </vt:variant>
      <vt:variant>
        <vt:i4>5</vt:i4>
      </vt:variant>
      <vt:variant>
        <vt:lpwstr>http://data.europa.eu/eli/reg/2017/1129/oj</vt:lpwstr>
      </vt:variant>
      <vt:variant>
        <vt:lpwstr/>
      </vt:variant>
      <vt:variant>
        <vt:i4>6357078</vt:i4>
      </vt:variant>
      <vt:variant>
        <vt:i4>30</vt:i4>
      </vt:variant>
      <vt:variant>
        <vt:i4>0</vt:i4>
      </vt:variant>
      <vt:variant>
        <vt:i4>5</vt:i4>
      </vt:variant>
      <vt:variant>
        <vt:lpwstr>http://data.europa.eu/eli/reg_del/2015/61/oj</vt:lpwstr>
      </vt:variant>
      <vt:variant>
        <vt:lpwstr/>
      </vt:variant>
      <vt:variant>
        <vt:i4>5767172</vt:i4>
      </vt:variant>
      <vt:variant>
        <vt:i4>27</vt:i4>
      </vt:variant>
      <vt:variant>
        <vt:i4>0</vt:i4>
      </vt:variant>
      <vt:variant>
        <vt:i4>5</vt:i4>
      </vt:variant>
      <vt:variant>
        <vt:lpwstr>https://www.eiopa.europa.eu/system/files/2021-05/jc-2021-31-jc-report-on-the-implementation-and-functioning-of-the-securitisation-regulation.pdf</vt:lpwstr>
      </vt:variant>
      <vt:variant>
        <vt:lpwstr/>
      </vt:variant>
      <vt:variant>
        <vt:i4>3801157</vt:i4>
      </vt:variant>
      <vt:variant>
        <vt:i4>24</vt:i4>
      </vt:variant>
      <vt:variant>
        <vt:i4>0</vt:i4>
      </vt:variant>
      <vt:variant>
        <vt:i4>5</vt:i4>
      </vt:variant>
      <vt:variant>
        <vt:lpwstr>https://ec.europa.eu/info/law/better-regulation/have-your-say/initiatives/14423-Securities-and-markets-review-of-the-Securitisation-Framework_en</vt:lpwstr>
      </vt:variant>
      <vt:variant>
        <vt:lpwstr/>
      </vt:variant>
      <vt:variant>
        <vt:i4>5439581</vt:i4>
      </vt:variant>
      <vt:variant>
        <vt:i4>21</vt:i4>
      </vt:variant>
      <vt:variant>
        <vt:i4>0</vt:i4>
      </vt:variant>
      <vt:variant>
        <vt:i4>5</vt:i4>
      </vt:variant>
      <vt:variant>
        <vt:lpwstr>http://data.europa.eu/eli/dir/2011/61/oj</vt:lpwstr>
      </vt:variant>
      <vt:variant>
        <vt:lpwstr/>
      </vt:variant>
      <vt:variant>
        <vt:i4>6553682</vt:i4>
      </vt:variant>
      <vt:variant>
        <vt:i4>18</vt:i4>
      </vt:variant>
      <vt:variant>
        <vt:i4>0</vt:i4>
      </vt:variant>
      <vt:variant>
        <vt:i4>5</vt:i4>
      </vt:variant>
      <vt:variant>
        <vt:lpwstr>http://data.europa.eu/eli/reg_del/2015/35/oj</vt:lpwstr>
      </vt:variant>
      <vt:variant>
        <vt:lpwstr/>
      </vt:variant>
      <vt:variant>
        <vt:i4>6357078</vt:i4>
      </vt:variant>
      <vt:variant>
        <vt:i4>15</vt:i4>
      </vt:variant>
      <vt:variant>
        <vt:i4>0</vt:i4>
      </vt:variant>
      <vt:variant>
        <vt:i4>5</vt:i4>
      </vt:variant>
      <vt:variant>
        <vt:lpwstr>http://data.europa.eu/eli/reg_del/2015/61/oj</vt:lpwstr>
      </vt:variant>
      <vt:variant>
        <vt:lpwstr/>
      </vt:variant>
      <vt:variant>
        <vt:i4>4259864</vt:i4>
      </vt:variant>
      <vt:variant>
        <vt:i4>12</vt:i4>
      </vt:variant>
      <vt:variant>
        <vt:i4>0</vt:i4>
      </vt:variant>
      <vt:variant>
        <vt:i4>5</vt:i4>
      </vt:variant>
      <vt:variant>
        <vt:lpwstr>http://data.europa.eu/eli/reg/2013/575/oj</vt:lpwstr>
      </vt:variant>
      <vt:variant>
        <vt:lpwstr/>
      </vt:variant>
      <vt:variant>
        <vt:i4>7143529</vt:i4>
      </vt:variant>
      <vt:variant>
        <vt:i4>9</vt:i4>
      </vt:variant>
      <vt:variant>
        <vt:i4>0</vt:i4>
      </vt:variant>
      <vt:variant>
        <vt:i4>5</vt:i4>
      </vt:variant>
      <vt:variant>
        <vt:lpwstr>http://data.europa.eu/eli/reg/2017/2402/oj</vt:lpwstr>
      </vt:variant>
      <vt:variant>
        <vt:lpwstr/>
      </vt:variant>
      <vt:variant>
        <vt:i4>4718630</vt:i4>
      </vt:variant>
      <vt:variant>
        <vt:i4>6</vt:i4>
      </vt:variant>
      <vt:variant>
        <vt:i4>0</vt:i4>
      </vt:variant>
      <vt:variant>
        <vt:i4>5</vt:i4>
      </vt:variant>
      <vt:variant>
        <vt:lpwstr>https://finance.ec.europa.eu/regulation-and-supervision/consultations-0/targeted-consultation-functioning-eu-securitisation-framework-2024_en</vt:lpwstr>
      </vt:variant>
      <vt:variant>
        <vt:lpwstr/>
      </vt:variant>
      <vt:variant>
        <vt:i4>3801157</vt:i4>
      </vt:variant>
      <vt:variant>
        <vt:i4>3</vt:i4>
      </vt:variant>
      <vt:variant>
        <vt:i4>0</vt:i4>
      </vt:variant>
      <vt:variant>
        <vt:i4>5</vt:i4>
      </vt:variant>
      <vt:variant>
        <vt:lpwstr>https://ec.europa.eu/info/law/better-regulation/have-your-say/initiatives/14423-Securities-and-markets-review-of-the-Securitisation-Framework_en</vt:lpwstr>
      </vt:variant>
      <vt:variant>
        <vt:lpwstr/>
      </vt:variant>
      <vt:variant>
        <vt:i4>2490420</vt:i4>
      </vt:variant>
      <vt:variant>
        <vt:i4>0</vt:i4>
      </vt:variant>
      <vt:variant>
        <vt:i4>0</vt:i4>
      </vt:variant>
      <vt:variant>
        <vt:i4>5</vt:i4>
      </vt:variant>
      <vt:variant>
        <vt:lpwstr>https://www.consilium.europa.eu/media/m5jlwe0p/euco-conclusions-20240417-18-en.pdf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2025-06-12T15:16:00Z</dcterms:created>
  <dcterms:modified xsi:type="dcterms:W3CDTF">2025-06-16T11:50:00Z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QCStatus">
    <vt:lpwstr>Yellow (DQC version 03)</vt:lpwstr>
  </property>
  <property fmtid="{D5CDD505-2E9C-101B-9397-08002B2CF9AE}" pid="3" name="Last edited using">
    <vt:lpwstr>LW 9.1, Build 20240808</vt:lpwstr>
  </property>
  <property fmtid="{D5CDD505-2E9C-101B-9397-08002B2CF9AE}" pid="4" name="MSIP_Label_6bd9ddd1-4d20-43f6-abfa-fc3c07406f94_Enabled">
    <vt:lpwstr>true</vt:lpwstr>
  </property>
  <property fmtid="{D5CDD505-2E9C-101B-9397-08002B2CF9AE}" pid="5" name="MSIP_Label_6bd9ddd1-4d20-43f6-abfa-fc3c07406f94_SetDate">
    <vt:lpwstr>2025-06-12T15:17:16Z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2d42b6f5-b74b-42dc-b0a3-7862e6e0103c</vt:lpwstr>
  </property>
  <property fmtid="{D5CDD505-2E9C-101B-9397-08002B2CF9AE}" pid="10" name="MSIP_Label_6bd9ddd1-4d20-43f6-abfa-fc3c07406f94_ContentBits">
    <vt:lpwstr>0</vt:lpwstr>
  </property>
  <property fmtid="{D5CDD505-2E9C-101B-9397-08002B2CF9AE}" pid="11" name="Category">
    <vt:lpwstr>COM/PL/ORG</vt:lpwstr>
  </property>
  <property fmtid="{D5CDD505-2E9C-101B-9397-08002B2CF9AE}" pid="12" name="Level of sensitivity">
    <vt:lpwstr>Standard treatment</vt:lpwstr>
  </property>
  <property fmtid="{D5CDD505-2E9C-101B-9397-08002B2CF9AE}" pid="13" name="Part">
    <vt:lpwstr>1</vt:lpwstr>
  </property>
  <property fmtid="{D5CDD505-2E9C-101B-9397-08002B2CF9AE}" pid="14" name="Total parts">
    <vt:lpwstr>1</vt:lpwstr>
  </property>
  <property fmtid="{D5CDD505-2E9C-101B-9397-08002B2CF9AE}" pid="15" name="LWTemplateID">
    <vt:lpwstr>SJ-023</vt:lpwstr>
  </property>
</Properties>
</file>