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3AE" w:rsidRPr="00931023" w:rsidRDefault="00615FA2" w:rsidP="00615FA2">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AD70C10B-E50E-4799-A7DB-0BB09D5815B4" style="width:455.25pt;height:383.25pt">
            <v:imagedata r:id="rId11" o:title=""/>
          </v:shape>
        </w:pict>
      </w:r>
    </w:p>
    <w:p w:rsidR="002963AE" w:rsidRPr="00931023" w:rsidRDefault="002963AE">
      <w:pPr>
        <w:rPr>
          <w:noProof/>
        </w:rPr>
        <w:sectPr w:rsidR="002963AE" w:rsidRPr="00931023" w:rsidSect="00615FA2">
          <w:footerReference w:type="even" r:id="rId12"/>
          <w:footerReference w:type="default" r:id="rId13"/>
          <w:pgSz w:w="11907" w:h="16839" w:code="9"/>
          <w:pgMar w:top="1134" w:right="1417" w:bottom="1134" w:left="1417" w:header="709" w:footer="709" w:gutter="0"/>
          <w:pgNumType w:start="0"/>
          <w:cols w:space="720"/>
          <w:docGrid w:linePitch="360"/>
        </w:sectPr>
      </w:pPr>
    </w:p>
    <w:p w:rsidR="002963AE" w:rsidRPr="00931023" w:rsidRDefault="00E66D34">
      <w:pPr>
        <w:pStyle w:val="Exposdesmotifstitre"/>
        <w:rPr>
          <w:noProof/>
        </w:rPr>
      </w:pPr>
      <w:bookmarkStart w:id="0" w:name="_GoBack"/>
      <w:bookmarkEnd w:id="0"/>
      <w:r w:rsidRPr="00931023">
        <w:rPr>
          <w:noProof/>
        </w:rPr>
        <w:lastRenderedPageBreak/>
        <w:t>EXPUNERE DE MOTIVE</w:t>
      </w:r>
    </w:p>
    <w:p w:rsidR="002963AE" w:rsidRPr="00931023" w:rsidRDefault="00E66D34">
      <w:pPr>
        <w:pStyle w:val="ManualHeading1"/>
        <w:rPr>
          <w:noProof/>
        </w:rPr>
      </w:pPr>
      <w:r w:rsidRPr="00931023">
        <w:rPr>
          <w:noProof/>
        </w:rPr>
        <w:t>1.</w:t>
      </w:r>
      <w:r w:rsidRPr="00931023">
        <w:rPr>
          <w:noProof/>
        </w:rPr>
        <w:tab/>
        <w:t>CONTEXTUL PROPUNERII</w:t>
      </w:r>
    </w:p>
    <w:p w:rsidR="002963AE" w:rsidRPr="00931023" w:rsidRDefault="00E66D34">
      <w:pPr>
        <w:pStyle w:val="ManualHeading2"/>
        <w:rPr>
          <w:noProof/>
        </w:rPr>
      </w:pPr>
      <w:r w:rsidRPr="00931023">
        <w:rPr>
          <w:noProof/>
          <w:color w:val="000000"/>
          <w:u w:color="000000"/>
          <w:bdr w:val="nil"/>
        </w:rPr>
        <w:t>•</w:t>
      </w:r>
      <w:r w:rsidRPr="00931023">
        <w:rPr>
          <w:noProof/>
          <w:color w:val="000000"/>
          <w:u w:color="000000"/>
          <w:bdr w:val="nil"/>
        </w:rPr>
        <w:tab/>
      </w:r>
      <w:r w:rsidRPr="00931023">
        <w:rPr>
          <w:noProof/>
        </w:rPr>
        <w:t>Temeiurile și obiectivele propunerii</w:t>
      </w:r>
    </w:p>
    <w:p w:rsidR="002963AE" w:rsidRPr="00931023" w:rsidRDefault="00395C45">
      <w:pPr>
        <w:rPr>
          <w:noProof/>
        </w:rPr>
      </w:pPr>
      <w:r w:rsidRPr="00931023">
        <w:rPr>
          <w:noProof/>
        </w:rPr>
        <w:t>În conformitate cu Regulamentul (UE) nr. 1380/2013 al Parlamentului European și al Consiliului privind politica comună în domeniul pescuitului (</w:t>
      </w:r>
      <w:bookmarkStart w:id="1" w:name="_Hlk202787242"/>
      <w:r w:rsidRPr="00931023">
        <w:rPr>
          <w:noProof/>
        </w:rPr>
        <w:t>„Regulamentul de bază privind PCP”</w:t>
      </w:r>
      <w:bookmarkEnd w:id="1"/>
      <w:r w:rsidRPr="00931023">
        <w:rPr>
          <w:noProof/>
        </w:rPr>
        <w:t>)</w:t>
      </w:r>
      <w:r w:rsidRPr="00931023">
        <w:rPr>
          <w:rStyle w:val="FootnoteReference"/>
          <w:noProof/>
        </w:rPr>
        <w:footnoteReference w:id="2"/>
      </w:r>
      <w:r w:rsidRPr="00931023">
        <w:rPr>
          <w:noProof/>
        </w:rPr>
        <w:t>, exploatarea resurselor biologice marine trebuie efectuată în așa fel încât să asigure refacerea și menținerea populațiilor de specii recoltate peste nivelurile care permit obținerea capturii maxime durabile („MSY”). Un instrument important în acest sens îl constituie stabilirea anuală a posibilităților de pescuit sub forma capturilor totale admisibile („TAC-uri”) și a cotelor.</w:t>
      </w:r>
    </w:p>
    <w:p w:rsidR="00395C45" w:rsidRPr="00931023" w:rsidRDefault="00395C45" w:rsidP="00395C45">
      <w:pPr>
        <w:rPr>
          <w:noProof/>
        </w:rPr>
      </w:pPr>
      <w:r w:rsidRPr="00931023">
        <w:rPr>
          <w:noProof/>
        </w:rPr>
        <w:t>Regulamentul (UE) 2016/1139 al Parlamentului European și al Consiliului de stabilire a planului multianual („MAP”) pentru Marea Baltică</w:t>
      </w:r>
      <w:r w:rsidRPr="00931023">
        <w:rPr>
          <w:rStyle w:val="FootnoteReference"/>
          <w:noProof/>
        </w:rPr>
        <w:footnoteReference w:id="3"/>
      </w:r>
      <w:r w:rsidRPr="00931023">
        <w:rPr>
          <w:noProof/>
        </w:rPr>
        <w:t xml:space="preserve"> precizează, de asemenea, intervalele-țintă ale mortalității prin pescuit. Aceste intervale sunt utilizate în prezenta propunere pentru a se atinge obiectivele politicii comune în domeniul pescuitului („PCP”) și, în special, pentru a se reface și a se menține MSY.</w:t>
      </w:r>
    </w:p>
    <w:p w:rsidR="002963AE" w:rsidRPr="00931023" w:rsidRDefault="008705C8">
      <w:pPr>
        <w:rPr>
          <w:noProof/>
        </w:rPr>
      </w:pPr>
      <w:r w:rsidRPr="00931023">
        <w:rPr>
          <w:noProof/>
        </w:rPr>
        <w:t>Prezenta propunere urmărește să stabilească, pentru anul 2026, posibilitățile de pescuit pentru cele mai semnificative stocuri de pește din punct de vedere comercial din Marea Baltică. Ea urmărește, de asemenea, să reglementeze pescuitul recreativ marin în măsura necesară pentru conservarea stocurilor de pește care fac obiectul prezentului regulament. Pentru a simplifica și a clarifica deciziile anuale privind TAC-urile și cotele, începând cu 2006 posibilitățile de pescuit în Marea Baltică sunt stabilite printr-un regulament separat.</w:t>
      </w:r>
    </w:p>
    <w:p w:rsidR="002963AE" w:rsidRPr="00931023" w:rsidRDefault="00E66D34">
      <w:pPr>
        <w:pStyle w:val="ManualHeading2"/>
        <w:rPr>
          <w:noProof/>
          <w:color w:val="000000"/>
          <w:u w:color="000000"/>
          <w:bdr w:val="nil"/>
        </w:rPr>
      </w:pPr>
      <w:r w:rsidRPr="00931023">
        <w:rPr>
          <w:noProof/>
          <w:color w:val="000000"/>
          <w:u w:color="000000"/>
          <w:bdr w:val="nil"/>
        </w:rPr>
        <w:t>•</w:t>
      </w:r>
      <w:r w:rsidRPr="00931023">
        <w:rPr>
          <w:noProof/>
          <w:color w:val="000000"/>
          <w:u w:color="000000"/>
          <w:bdr w:val="nil"/>
        </w:rPr>
        <w:tab/>
      </w:r>
      <w:r w:rsidRPr="00931023">
        <w:rPr>
          <w:noProof/>
        </w:rPr>
        <w:t>Coerența cu dispozițiile de politică deja existente în domeniul de politică vizat</w:t>
      </w:r>
    </w:p>
    <w:p w:rsidR="002963AE" w:rsidRPr="00931023" w:rsidRDefault="00E66D34" w:rsidP="51CADD4D">
      <w:pPr>
        <w:pBdr>
          <w:top w:val="nil"/>
          <w:left w:val="nil"/>
          <w:bottom w:val="nil"/>
          <w:right w:val="nil"/>
          <w:between w:val="nil"/>
          <w:bar w:val="nil"/>
        </w:pBdr>
        <w:spacing w:before="0" w:after="240"/>
        <w:rPr>
          <w:noProof/>
        </w:rPr>
      </w:pPr>
      <w:r w:rsidRPr="00931023">
        <w:rPr>
          <w:noProof/>
        </w:rPr>
        <w:t xml:space="preserve">Propunerea stabilește TAC-uri și cote la niveluri compatibile cu obiectivele Regulamentului de bază privind PCP și ale MAP. </w:t>
      </w:r>
    </w:p>
    <w:p w:rsidR="002963AE" w:rsidRPr="00931023" w:rsidRDefault="00E66D34">
      <w:pPr>
        <w:pStyle w:val="ManualHeading2"/>
        <w:rPr>
          <w:noProof/>
        </w:rPr>
      </w:pPr>
      <w:r w:rsidRPr="00931023">
        <w:rPr>
          <w:noProof/>
          <w:color w:val="000000"/>
          <w:u w:color="000000"/>
          <w:bdr w:val="nil"/>
        </w:rPr>
        <w:t>•</w:t>
      </w:r>
      <w:r w:rsidRPr="00931023">
        <w:rPr>
          <w:noProof/>
          <w:color w:val="000000"/>
          <w:u w:color="000000"/>
          <w:bdr w:val="nil"/>
        </w:rPr>
        <w:tab/>
      </w:r>
      <w:r w:rsidRPr="00931023">
        <w:rPr>
          <w:noProof/>
        </w:rPr>
        <w:t>Coerența cu alte politici ale Uniunii</w:t>
      </w:r>
    </w:p>
    <w:p w:rsidR="002963AE" w:rsidRPr="00931023" w:rsidRDefault="00E66D34">
      <w:pPr>
        <w:rPr>
          <w:noProof/>
        </w:rPr>
      </w:pPr>
      <w:r w:rsidRPr="00931023">
        <w:rPr>
          <w:noProof/>
        </w:rPr>
        <w:t xml:space="preserve">Propunerea este coerentă cu </w:t>
      </w:r>
      <w:r w:rsidRPr="00931023">
        <w:rPr>
          <w:noProof/>
          <w:color w:val="333333"/>
        </w:rPr>
        <w:t>alte politici ale Uniunii, în special cu politicile din domeniul mediului</w:t>
      </w:r>
      <w:r w:rsidRPr="00931023">
        <w:rPr>
          <w:noProof/>
        </w:rPr>
        <w:t>.</w:t>
      </w:r>
    </w:p>
    <w:p w:rsidR="002963AE" w:rsidRPr="00931023" w:rsidRDefault="00E66D34">
      <w:pPr>
        <w:pStyle w:val="ManualHeading1"/>
        <w:rPr>
          <w:noProof/>
        </w:rPr>
      </w:pPr>
      <w:r w:rsidRPr="00931023">
        <w:rPr>
          <w:noProof/>
        </w:rPr>
        <w:t>2.</w:t>
      </w:r>
      <w:r w:rsidRPr="00931023">
        <w:rPr>
          <w:noProof/>
        </w:rPr>
        <w:tab/>
        <w:t>TEMEI JURIDIC, SUBSIDIARITATE ȘI PROPORȚIONALITATE</w:t>
      </w:r>
    </w:p>
    <w:p w:rsidR="002963AE" w:rsidRPr="00931023" w:rsidRDefault="00E66D34">
      <w:pPr>
        <w:pStyle w:val="ManualHeading2"/>
        <w:rPr>
          <w:noProof/>
          <w:u w:color="000000"/>
          <w:bdr w:val="nil"/>
        </w:rPr>
      </w:pPr>
      <w:r w:rsidRPr="00931023">
        <w:rPr>
          <w:noProof/>
          <w:u w:color="000000"/>
          <w:bdr w:val="nil"/>
        </w:rPr>
        <w:t>•</w:t>
      </w:r>
      <w:r w:rsidRPr="00931023">
        <w:rPr>
          <w:noProof/>
          <w:u w:color="000000"/>
          <w:bdr w:val="nil"/>
        </w:rPr>
        <w:tab/>
        <w:t>Temeiul juridic</w:t>
      </w:r>
    </w:p>
    <w:p w:rsidR="002963AE" w:rsidRPr="00931023" w:rsidRDefault="00AD6A34">
      <w:pPr>
        <w:rPr>
          <w:noProof/>
        </w:rPr>
      </w:pPr>
      <w:r w:rsidRPr="00931023">
        <w:rPr>
          <w:noProof/>
        </w:rPr>
        <w:t>Temeiul juridic al propunerii îl constituie articolul 43 alineatul (3) din Tratatul privind funcționarea Uniunii Europene (TFUE).</w:t>
      </w:r>
    </w:p>
    <w:p w:rsidR="002963AE" w:rsidRPr="00931023" w:rsidRDefault="00E66D34">
      <w:pPr>
        <w:pStyle w:val="ManualHeading2"/>
        <w:rPr>
          <w:noProof/>
          <w:u w:color="000000"/>
          <w:bdr w:val="nil"/>
        </w:rPr>
      </w:pPr>
      <w:r w:rsidRPr="00931023">
        <w:rPr>
          <w:noProof/>
          <w:u w:color="000000"/>
          <w:bdr w:val="nil"/>
        </w:rPr>
        <w:t>•</w:t>
      </w:r>
      <w:r w:rsidRPr="00931023">
        <w:rPr>
          <w:noProof/>
          <w:u w:color="000000"/>
          <w:bdr w:val="nil"/>
        </w:rPr>
        <w:tab/>
        <w:t xml:space="preserve">Subsidiaritatea (în cazul competențelor neexclusive) </w:t>
      </w:r>
    </w:p>
    <w:p w:rsidR="00F74183" w:rsidRPr="00931023" w:rsidRDefault="00E66D34">
      <w:pPr>
        <w:rPr>
          <w:noProof/>
        </w:rPr>
      </w:pPr>
      <w:r w:rsidRPr="00931023">
        <w:rPr>
          <w:noProof/>
        </w:rPr>
        <w:t>Propunerea intră în sfera competenței exclusive a Uniunii, menționată la articolul 3 alineatul (1) litera (d) din TFUE. În consecință, principiul subsidiarității nu se aplică.</w:t>
      </w:r>
    </w:p>
    <w:p w:rsidR="002963AE" w:rsidRPr="00931023" w:rsidRDefault="00E66D34">
      <w:pPr>
        <w:pStyle w:val="ManualHeading2"/>
        <w:rPr>
          <w:noProof/>
          <w:u w:color="000000"/>
          <w:bdr w:val="nil"/>
        </w:rPr>
      </w:pPr>
      <w:r w:rsidRPr="00931023">
        <w:rPr>
          <w:noProof/>
          <w:u w:color="000000"/>
          <w:bdr w:val="nil"/>
        </w:rPr>
        <w:t>•</w:t>
      </w:r>
      <w:r w:rsidRPr="00931023">
        <w:rPr>
          <w:noProof/>
          <w:u w:color="000000"/>
          <w:bdr w:val="nil"/>
        </w:rPr>
        <w:tab/>
        <w:t>Proporționalitate</w:t>
      </w:r>
    </w:p>
    <w:p w:rsidR="00F74183" w:rsidRPr="00931023" w:rsidRDefault="00E66D34">
      <w:pPr>
        <w:rPr>
          <w:noProof/>
        </w:rPr>
      </w:pPr>
      <w:r w:rsidRPr="00931023">
        <w:rPr>
          <w:noProof/>
        </w:rPr>
        <w:t>Propunerea alocă posibilități de pescuit statelor membre în conformitate cu obiectivele Regulamentului de bază privind PCP și ale MAP. În temeiul articolului 16 alineatele (6) și (7) și al articolului 17 din Regulamentul de bază privind PCP, statele membre decid modul în care atribuie navelor de pescuit care le arborează pavilionul posibilitățile de pescuit care le-au fost alocate, în conformitate cu anumite criterii stabilite la articolele respective. Prin urmare, statele membre pot face uz de marja de apreciere necesară, în momentul repartizării TAC-urilor alocate, în conformitate cu modelul lor socioeconomic preferat pentru utilizarea posibilităților de pescuit care le-au fost alocate în temeiul propunerii.</w:t>
      </w:r>
    </w:p>
    <w:p w:rsidR="002963AE" w:rsidRPr="00931023" w:rsidRDefault="00E66D34">
      <w:pPr>
        <w:pStyle w:val="ManualHeading2"/>
        <w:rPr>
          <w:noProof/>
          <w:u w:color="000000"/>
          <w:bdr w:val="nil"/>
        </w:rPr>
      </w:pPr>
      <w:r w:rsidRPr="00931023">
        <w:rPr>
          <w:noProof/>
          <w:u w:color="000000"/>
          <w:bdr w:val="nil"/>
        </w:rPr>
        <w:t>•</w:t>
      </w:r>
      <w:r w:rsidRPr="00931023">
        <w:rPr>
          <w:noProof/>
          <w:u w:color="000000"/>
          <w:bdr w:val="nil"/>
        </w:rPr>
        <w:tab/>
        <w:t>Alegerea instrumentului</w:t>
      </w:r>
    </w:p>
    <w:p w:rsidR="00F74183" w:rsidRPr="00931023" w:rsidRDefault="00395C45">
      <w:pPr>
        <w:rPr>
          <w:noProof/>
        </w:rPr>
      </w:pPr>
      <w:r w:rsidRPr="00931023">
        <w:rPr>
          <w:noProof/>
        </w:rPr>
        <w:t>Un regulament este considerat instrumentul cel mai adecvat, deoarece permite stabilirea unor cerințe care se aplică direct statelor membre și întreprinderilor relevante. Acest aspect va contribui la asigurarea faptului că cerințele sunt puse în aplicare în timp util și în mod armonizat, îmbunătățind astfel nivelul de securitate juridică.</w:t>
      </w:r>
    </w:p>
    <w:p w:rsidR="002963AE" w:rsidRPr="00931023" w:rsidRDefault="00E66D34">
      <w:pPr>
        <w:pStyle w:val="ManualHeading1"/>
        <w:rPr>
          <w:noProof/>
        </w:rPr>
      </w:pPr>
      <w:r w:rsidRPr="00931023">
        <w:rPr>
          <w:noProof/>
        </w:rPr>
        <w:t>3.</w:t>
      </w:r>
      <w:r w:rsidRPr="00931023">
        <w:rPr>
          <w:noProof/>
        </w:rPr>
        <w:tab/>
        <w:t>REZULTATELE EVALUĂRILOR EX POST, ALE CONSULTĂRILOR CU PĂRȚILE INTERESATE ȘI ALE EVALUĂRILOR IMPACTULUI</w:t>
      </w:r>
    </w:p>
    <w:p w:rsidR="002963AE" w:rsidRPr="00931023" w:rsidRDefault="00E66D34">
      <w:pPr>
        <w:pStyle w:val="ManualHeading2"/>
        <w:rPr>
          <w:noProof/>
          <w:u w:color="000000"/>
          <w:bdr w:val="nil"/>
        </w:rPr>
      </w:pPr>
      <w:r w:rsidRPr="00931023">
        <w:rPr>
          <w:noProof/>
          <w:u w:color="000000"/>
          <w:bdr w:val="nil"/>
        </w:rPr>
        <w:t>•</w:t>
      </w:r>
      <w:r w:rsidRPr="00931023">
        <w:rPr>
          <w:noProof/>
          <w:u w:color="000000"/>
          <w:bdr w:val="nil"/>
        </w:rPr>
        <w:tab/>
        <w:t>Consultările cu părțile interesate</w:t>
      </w:r>
    </w:p>
    <w:p w:rsidR="00395C45" w:rsidRPr="00931023" w:rsidRDefault="00395C45" w:rsidP="00395C45">
      <w:pPr>
        <w:rPr>
          <w:noProof/>
        </w:rPr>
      </w:pPr>
      <w:r w:rsidRPr="00931023">
        <w:rPr>
          <w:noProof/>
        </w:rPr>
        <w:t>Comisia a consultat părțile interesate (în special prin intermediul Consiliului consultativ pentru Marea Baltică), pe baza comunicării sale intitulate „Pescuit sustenabil în UE: situația actuală și orientări pentru 2026” [COM(2025) 296 final]. Consiliul Internațional pentru Explorarea Apelor Maritime (ICES) a pus la dispoziție baza științifică a propunerii. Opiniile exprimate de părțile interesate consultate cu privire la toate stocurile de pește vizate au fost luate în considerare în măsura în care nu contravin politicilor actuale în domeniu și nu duc la deteriorarea situației resurselor vulnerabile.</w:t>
      </w:r>
    </w:p>
    <w:p w:rsidR="002963AE" w:rsidRPr="00931023" w:rsidRDefault="00395C45" w:rsidP="00395C45">
      <w:pPr>
        <w:rPr>
          <w:noProof/>
        </w:rPr>
      </w:pPr>
      <w:r w:rsidRPr="00931023">
        <w:rPr>
          <w:noProof/>
        </w:rPr>
        <w:t xml:space="preserve">Avizele științifice privind limitările capturilor și starea stocurilor au fost, de asemenea, discutate cu statele membre în cadrul forumului regional BALTFISH din iunie 2025. </w:t>
      </w:r>
    </w:p>
    <w:p w:rsidR="002963AE" w:rsidRPr="00931023" w:rsidRDefault="00E66D34">
      <w:pPr>
        <w:pStyle w:val="ManualHeading2"/>
        <w:rPr>
          <w:noProof/>
          <w:u w:color="000000"/>
          <w:bdr w:val="nil"/>
        </w:rPr>
      </w:pPr>
      <w:r w:rsidRPr="00931023">
        <w:rPr>
          <w:noProof/>
          <w:u w:color="000000"/>
          <w:bdr w:val="nil"/>
        </w:rPr>
        <w:t>•</w:t>
      </w:r>
      <w:r w:rsidRPr="00931023">
        <w:rPr>
          <w:noProof/>
          <w:u w:color="000000"/>
          <w:bdr w:val="nil"/>
        </w:rPr>
        <w:tab/>
        <w:t>Obținerea și utilizarea expertizei</w:t>
      </w:r>
    </w:p>
    <w:p w:rsidR="002963AE" w:rsidRPr="00931023" w:rsidRDefault="002A663D">
      <w:pPr>
        <w:rPr>
          <w:noProof/>
        </w:rPr>
      </w:pPr>
      <w:r w:rsidRPr="00931023">
        <w:rPr>
          <w:noProof/>
        </w:rPr>
        <w:t>Comisia a consultat ICES, ale cărui avize științifice se bazează pe un cadru elaborat de grupurile sale de experți și de organismele sale de decizie și sunt emise în conformitate cu acordul-cadru de parteneriat încheiat cu Comisia.</w:t>
      </w:r>
    </w:p>
    <w:p w:rsidR="003B6381" w:rsidRPr="00931023" w:rsidRDefault="00395C45">
      <w:pPr>
        <w:rPr>
          <w:noProof/>
        </w:rPr>
      </w:pPr>
      <w:r w:rsidRPr="00931023">
        <w:rPr>
          <w:noProof/>
        </w:rPr>
        <w:t>În fiecare an, Uniunea solicită avize științifice din partea ICES cu privire la situația stocurilor de pește importante. Avizele primite acoperă toate stocurile din Marea Baltică, iar pentru stocurile cele mai semnificative din punct de vedere comercial sunt propuse TAC-uri</w:t>
      </w:r>
      <w:r w:rsidRPr="00931023">
        <w:rPr>
          <w:rStyle w:val="FootnoteReference"/>
          <w:noProof/>
        </w:rPr>
        <w:footnoteReference w:id="4"/>
      </w:r>
      <w:r w:rsidRPr="00931023">
        <w:rPr>
          <w:noProof/>
        </w:rPr>
        <w:t>.</w:t>
      </w:r>
    </w:p>
    <w:p w:rsidR="002963AE" w:rsidRPr="00931023" w:rsidRDefault="00E66D34">
      <w:pPr>
        <w:pStyle w:val="ManualHeading2"/>
        <w:rPr>
          <w:noProof/>
          <w:u w:color="000000"/>
          <w:bdr w:val="nil"/>
        </w:rPr>
      </w:pPr>
      <w:r w:rsidRPr="00931023">
        <w:rPr>
          <w:noProof/>
          <w:u w:color="000000"/>
          <w:bdr w:val="nil"/>
        </w:rPr>
        <w:t>•</w:t>
      </w:r>
      <w:r w:rsidRPr="00931023">
        <w:rPr>
          <w:noProof/>
          <w:u w:color="000000"/>
          <w:bdr w:val="nil"/>
        </w:rPr>
        <w:tab/>
        <w:t>Evaluarea impactului</w:t>
      </w:r>
    </w:p>
    <w:p w:rsidR="001C6C39" w:rsidRPr="00931023" w:rsidRDefault="00395C45">
      <w:pPr>
        <w:rPr>
          <w:noProof/>
        </w:rPr>
      </w:pPr>
      <w:r w:rsidRPr="00931023">
        <w:rPr>
          <w:noProof/>
        </w:rPr>
        <w:t>Propunerea se înscrie într-o abordare pe termen lung în care pescuitul este ajustat cu obiectivul de a se contribui la realizarea – și apoi menținerea – unor niveluri sustenabile pe termen lung. În timp, se preconizează că această abordare va avea drept rezultate: (i) o presiune stabilă exercitată de pescuit asupra stocurilor; (ii) cote mai mari și, prin urmare, (iii) venituri îmbunătățite pentru pescari și familiile acestora. Este de așteptat ca mărirea volumului debarcărilor să fie benefică pentru: (i) industria pescuitului; (ii) consumatori; (iii) industria de prelucrare și de vânzare cu amănuntul și (iv) restul industriei legate de pescuitul comercial și recreativ. În acest context, trebuie subliniată legătura dintre pescuitul sustenabil și un mediu marin sănătos în Marea Baltică, în conformitate cu strategia privind biodiversitatea și cu alte inițiative conexe, în special cu planul de acțiune al UE privind ecosistemele marine și pescuitul</w:t>
      </w:r>
      <w:r w:rsidR="00C4156C" w:rsidRPr="00931023">
        <w:rPr>
          <w:rStyle w:val="FootnoteReference"/>
          <w:noProof/>
        </w:rPr>
        <w:footnoteReference w:id="5"/>
      </w:r>
      <w:r w:rsidR="45529439" w:rsidRPr="00931023">
        <w:rPr>
          <w:rStyle w:val="FootnoteReference"/>
          <w:noProof/>
          <w:vertAlign w:val="baseline"/>
        </w:rPr>
        <w:t xml:space="preserve"> </w:t>
      </w:r>
      <w:r w:rsidRPr="00931023">
        <w:rPr>
          <w:rStyle w:val="FootnoteReference"/>
          <w:noProof/>
          <w:vertAlign w:val="baseline"/>
        </w:rPr>
        <w:t>și Pactul european privind oceanul planetar</w:t>
      </w:r>
      <w:r w:rsidRPr="00931023">
        <w:rPr>
          <w:rStyle w:val="FootnoteReference"/>
          <w:noProof/>
        </w:rPr>
        <w:footnoteReference w:id="6"/>
      </w:r>
      <w:r w:rsidRPr="00931023">
        <w:rPr>
          <w:noProof/>
        </w:rPr>
        <w:t>.</w:t>
      </w:r>
    </w:p>
    <w:p w:rsidR="002F1C13" w:rsidRPr="00931023" w:rsidRDefault="002F1C13">
      <w:pPr>
        <w:rPr>
          <w:noProof/>
          <w:sz w:val="22"/>
          <w:u w:val="single"/>
        </w:rPr>
      </w:pPr>
      <w:r w:rsidRPr="00931023">
        <w:rPr>
          <w:noProof/>
        </w:rPr>
        <w:t>Prezenta propunere urmărește evitarea abordărilor pe termen scurt în favoarea sustenabilității pe termen lung. Prin urmare, aceasta ține seama de inițiativele părților interesate și ale consiliilor consultative, în cazul în care acestea au fost evaluate pozitiv de ICES și/sau de Comitetul științific, tehnic și economic pentru pescuit (CSTEP). Propunerea Comisiei [SEC(2011) 891] care a condus la Regulamentul de bază privind PCP s-a bazat pe o evaluare a impactului care a susținut că, deși realizarea obiectivului privind MSY este o condiție necesară pentru sustenabilitatea din punctul de vedere al mediului, economică și socială, cele trei obiective nu pot fi atinse separat.</w:t>
      </w:r>
    </w:p>
    <w:p w:rsidR="002963AE" w:rsidRPr="00931023" w:rsidRDefault="00D03E8D" w:rsidP="00AF7E7D">
      <w:pPr>
        <w:rPr>
          <w:noProof/>
        </w:rPr>
      </w:pPr>
      <w:r w:rsidRPr="00931023">
        <w:rPr>
          <w:noProof/>
        </w:rPr>
        <w:t>Până în 2019, deciziile privind posibilitățile de pescuit din Marea Baltică au reușit să fixeze TAC-uri pentru toate stocurile cu un aviz MSY la nivelul intervalurilor MSY în momentul stabilirii TAC, cu excepția heringului din vestul Mării Baltice. Aceste decizii au contribuit și ele la refacerea stocurilor și la reechilibrarea capacității de pescuit și a posibilităților de pescuit. Cu toate acestea, în 2019, a devenit evident faptul că stocul de cod din estul Mării Baltice se confrunta cu presiuni puternice. De atunci, estimările ICES au sugerat că acest stoc se va menține cel mai probabil sub nivelul de referință pentru conservare B</w:t>
      </w:r>
      <w:r w:rsidRPr="00931023">
        <w:rPr>
          <w:noProof/>
          <w:vertAlign w:val="subscript"/>
        </w:rPr>
        <w:t>lim</w:t>
      </w:r>
      <w:r w:rsidRPr="00931023">
        <w:rPr>
          <w:noProof/>
        </w:rPr>
        <w:t xml:space="preserve"> în anii următori. În 2021, a devenit evident faptul că stocul de cod din vestul Mării Baltice se afla, de asemenea, de mulți ani sub B</w:t>
      </w:r>
      <w:r w:rsidRPr="00931023">
        <w:rPr>
          <w:noProof/>
          <w:vertAlign w:val="subscript"/>
        </w:rPr>
        <w:t>lim</w:t>
      </w:r>
      <w:r w:rsidRPr="00931023">
        <w:rPr>
          <w:noProof/>
        </w:rPr>
        <w:t>, iar ICES a subliniat și că mai multe populații de somon nu se aflau într-o stare bună. Până în 2020, ICES a estimat că biomasa heringului din zona centrală a Mării Baltice se situa sub nivelul de referință pentru conservare MSY B</w:t>
      </w:r>
      <w:r w:rsidRPr="00931023">
        <w:rPr>
          <w:noProof/>
          <w:vertAlign w:val="subscript"/>
        </w:rPr>
        <w:t>trigger</w:t>
      </w:r>
      <w:r w:rsidRPr="00931023">
        <w:rPr>
          <w:noProof/>
        </w:rPr>
        <w:t>. Din 2023, ICES estimează că biomasa fluctua de fapt în jurul B</w:t>
      </w:r>
      <w:r w:rsidRPr="00931023">
        <w:rPr>
          <w:noProof/>
          <w:vertAlign w:val="subscript"/>
        </w:rPr>
        <w:t>lim</w:t>
      </w:r>
      <w:r w:rsidRPr="00931023">
        <w:rPr>
          <w:noProof/>
        </w:rPr>
        <w:t xml:space="preserve"> încă din anii 1990. Biomasa respectivă crește începând din 2021 și se estimează că este peste B</w:t>
      </w:r>
      <w:r w:rsidRPr="00931023">
        <w:rPr>
          <w:noProof/>
          <w:vertAlign w:val="subscript"/>
        </w:rPr>
        <w:t>lim</w:t>
      </w:r>
      <w:r w:rsidRPr="00931023">
        <w:rPr>
          <w:noProof/>
        </w:rPr>
        <w:t>, dar totuși cu mult sub MSY B</w:t>
      </w:r>
      <w:r w:rsidRPr="00931023">
        <w:rPr>
          <w:noProof/>
          <w:vertAlign w:val="subscript"/>
        </w:rPr>
        <w:t>trigger</w:t>
      </w:r>
      <w:r w:rsidRPr="00931023">
        <w:rPr>
          <w:noProof/>
        </w:rPr>
        <w:t>. Biomasa heringului din Golful Botnic a scăzut continuu de la vârful înregistrat în 1994. În urma unei valori de referință din 2024, se estimează că biomasa respectivă a fost sub MSY B</w:t>
      </w:r>
      <w:r w:rsidRPr="00931023">
        <w:rPr>
          <w:noProof/>
          <w:vertAlign w:val="subscript"/>
        </w:rPr>
        <w:t>trigger</w:t>
      </w:r>
      <w:r w:rsidR="00931023">
        <w:rPr>
          <w:noProof/>
          <w:vertAlign w:val="subscript"/>
        </w:rPr>
        <w:t xml:space="preserve"> </w:t>
      </w:r>
      <w:r w:rsidRPr="00931023">
        <w:rPr>
          <w:noProof/>
        </w:rPr>
        <w:t>din 2019 și că a scăzut și mai mult până la unul dintre cele mai scăzute niveluri înregistrate, aflându-se la jumătate între MSY B</w:t>
      </w:r>
      <w:r w:rsidRPr="00931023">
        <w:rPr>
          <w:noProof/>
          <w:vertAlign w:val="subscript"/>
        </w:rPr>
        <w:t>trigger</w:t>
      </w:r>
      <w:r w:rsidRPr="00931023">
        <w:rPr>
          <w:noProof/>
        </w:rPr>
        <w:t xml:space="preserve"> și B</w:t>
      </w:r>
      <w:r w:rsidRPr="00931023">
        <w:rPr>
          <w:noProof/>
          <w:vertAlign w:val="subscript"/>
        </w:rPr>
        <w:t>lim</w:t>
      </w:r>
      <w:r w:rsidRPr="00931023">
        <w:rPr>
          <w:noProof/>
        </w:rPr>
        <w:t>. Biomasa șprotului a scăzut substanțial în ultimii ani la cel mai scăzut nivel din 1990 și s-a apropiat de MSY B</w:t>
      </w:r>
      <w:r w:rsidRPr="00931023">
        <w:rPr>
          <w:noProof/>
          <w:vertAlign w:val="subscript"/>
        </w:rPr>
        <w:t>trigger</w:t>
      </w:r>
      <w:r w:rsidRPr="00931023">
        <w:rPr>
          <w:noProof/>
        </w:rPr>
        <w:t xml:space="preserve">. Prin urmare, sunt necesare în continuare progrese suplimentare pentru a se atinge și a se menține MSY pentru toate stocurile din Marea Baltică. </w:t>
      </w:r>
    </w:p>
    <w:p w:rsidR="009536F8" w:rsidRPr="00931023" w:rsidRDefault="00DC0BE7" w:rsidP="001C6C39">
      <w:pPr>
        <w:rPr>
          <w:noProof/>
        </w:rPr>
      </w:pPr>
      <w:r w:rsidRPr="00931023">
        <w:rPr>
          <w:noProof/>
        </w:rPr>
        <w:t>La 28 mai 2025, ICES și-a publicat avizul științific pentru diferitele stocuri din Marea Baltică pentru 2026, aviz care, pentru codul din estul Mării Baltice, a însemnat o reiterare a avizului emis pentru 2025 din cauza stării (critice) neschimbate a stocului. Avizele pentru codul din estul Mării Baltice (din 2024), codul din vestul Mării Baltice și somonul din Golful Finlandei se bazează pe abordarea precaută. Biomasa ambelor stocuri de cod rămâne sub B</w:t>
      </w:r>
      <w:r w:rsidRPr="00931023">
        <w:rPr>
          <w:noProof/>
          <w:vertAlign w:val="subscript"/>
        </w:rPr>
        <w:t>lim</w:t>
      </w:r>
      <w:r w:rsidRPr="00931023">
        <w:rPr>
          <w:noProof/>
        </w:rPr>
        <w:t>. Celelalte șapte stocuri au primit avize MSY cu următoarele estimări ale biomasei:</w:t>
      </w:r>
    </w:p>
    <w:p w:rsidR="009536F8" w:rsidRPr="00931023" w:rsidRDefault="00284C73" w:rsidP="00BD53D1">
      <w:pPr>
        <w:pStyle w:val="Bullet0"/>
        <w:numPr>
          <w:ilvl w:val="0"/>
          <w:numId w:val="11"/>
        </w:numPr>
        <w:rPr>
          <w:noProof/>
        </w:rPr>
      </w:pPr>
      <w:r w:rsidRPr="00931023">
        <w:rPr>
          <w:noProof/>
        </w:rPr>
        <w:t>se estimează că stocurile de șprot, hering din Golful Riga și cambulă de Baltica se situează peste nivelul MSY B</w:t>
      </w:r>
      <w:r w:rsidRPr="00931023">
        <w:rPr>
          <w:noProof/>
          <w:vertAlign w:val="subscript"/>
        </w:rPr>
        <w:t>trigger</w:t>
      </w:r>
      <w:r w:rsidRPr="00931023">
        <w:rPr>
          <w:noProof/>
        </w:rPr>
        <w:t>;</w:t>
      </w:r>
    </w:p>
    <w:p w:rsidR="00763D74" w:rsidRPr="00931023" w:rsidRDefault="00483A78" w:rsidP="00D97451">
      <w:pPr>
        <w:pStyle w:val="Bullet0"/>
        <w:rPr>
          <w:noProof/>
        </w:rPr>
      </w:pPr>
      <w:r w:rsidRPr="00931023">
        <w:rPr>
          <w:noProof/>
        </w:rPr>
        <w:t>heringul din zona centrală a Mării Baltice și heringul din Golful Botnic sunt estimate a fi sub MSY B</w:t>
      </w:r>
      <w:r w:rsidRPr="00931023">
        <w:rPr>
          <w:noProof/>
          <w:vertAlign w:val="subscript"/>
        </w:rPr>
        <w:t>trigger</w:t>
      </w:r>
      <w:r w:rsidRPr="00931023">
        <w:rPr>
          <w:noProof/>
        </w:rPr>
        <w:t>;</w:t>
      </w:r>
    </w:p>
    <w:p w:rsidR="009536F8" w:rsidRPr="00931023" w:rsidRDefault="005858AD" w:rsidP="00D97451">
      <w:pPr>
        <w:pStyle w:val="Bullet0"/>
        <w:rPr>
          <w:noProof/>
        </w:rPr>
      </w:pPr>
      <w:r w:rsidRPr="00931023">
        <w:rPr>
          <w:noProof/>
        </w:rPr>
        <w:t>se estimează că stocul de hering din vestul Mării Baltice se situează sub nivelul B</w:t>
      </w:r>
      <w:r w:rsidRPr="00931023">
        <w:rPr>
          <w:noProof/>
          <w:vertAlign w:val="subscript"/>
        </w:rPr>
        <w:t>lim</w:t>
      </w:r>
      <w:r w:rsidRPr="00931023">
        <w:rPr>
          <w:noProof/>
        </w:rPr>
        <w:t xml:space="preserve"> și</w:t>
      </w:r>
    </w:p>
    <w:p w:rsidR="001C6C39" w:rsidRPr="00931023" w:rsidRDefault="00FD578B" w:rsidP="00D97451">
      <w:pPr>
        <w:pStyle w:val="Bullet0"/>
        <w:rPr>
          <w:noProof/>
        </w:rPr>
      </w:pPr>
      <w:r w:rsidRPr="00931023">
        <w:rPr>
          <w:noProof/>
        </w:rPr>
        <w:t>se estimează că diferitele populații de somon din bazinul principal rămân în stări foarte variate (între sub R</w:t>
      </w:r>
      <w:r w:rsidRPr="00931023">
        <w:rPr>
          <w:noProof/>
          <w:vertAlign w:val="subscript"/>
        </w:rPr>
        <w:t>lim</w:t>
      </w:r>
      <w:r w:rsidRPr="00931023">
        <w:rPr>
          <w:noProof/>
        </w:rPr>
        <w:t xml:space="preserve"> și peste R</w:t>
      </w:r>
      <w:r w:rsidRPr="00931023">
        <w:rPr>
          <w:noProof/>
          <w:vertAlign w:val="subscript"/>
        </w:rPr>
        <w:t>MSY</w:t>
      </w:r>
      <w:r w:rsidRPr="00931023">
        <w:rPr>
          <w:noProof/>
        </w:rPr>
        <w:t>).</w:t>
      </w:r>
    </w:p>
    <w:p w:rsidR="001C6C39" w:rsidRPr="00931023" w:rsidRDefault="00F73E0B">
      <w:pPr>
        <w:rPr>
          <w:noProof/>
        </w:rPr>
      </w:pPr>
      <w:bookmarkStart w:id="2" w:name="_Hlk202789698"/>
      <w:r w:rsidRPr="00931023">
        <w:rPr>
          <w:noProof/>
        </w:rPr>
        <w:t>Prin urmare, se propune menținerea abordării adoptate în 2025 pentru somonul din bazinul principal</w:t>
      </w:r>
      <w:bookmarkEnd w:id="2"/>
      <w:r w:rsidRPr="00931023">
        <w:rPr>
          <w:noProof/>
        </w:rPr>
        <w:t xml:space="preserve">, reducându-se în același timp TAC cu 27 %. Se propune, de asemenea, reducerea cu 62 % a posibilităților de pescuit în comparație cu 2025 pentru heringul din Golful Botnic, cu 17 % pentru heringul din Golful Riga și cu 3 % pentru cambula de Baltica. Se propune, de asemenea, creșterea posibilităților de pescuit pentru somon în Golful Finlandei cu + 1 % față de 2025 și menținerea neschimbată a posibilităților de pescuit pentru heringul și șprotul din zona centrală a Mării Baltice. </w:t>
      </w:r>
      <w:bookmarkStart w:id="3" w:name="_Hlk202789810"/>
      <w:r w:rsidRPr="00931023">
        <w:rPr>
          <w:noProof/>
        </w:rPr>
        <w:t>Repartizările de capturi accidentale pentru codul din estul și vestul Mării Baltice și pentru heringul din vestul Mării Baltice față de 2025 ar scădea cu 63 %, 84 % și, respectiv, 50 %.</w:t>
      </w:r>
      <w:bookmarkEnd w:id="3"/>
    </w:p>
    <w:p w:rsidR="00EE1228" w:rsidRPr="00931023" w:rsidRDefault="00704C4F" w:rsidP="00EE1228">
      <w:pPr>
        <w:rPr>
          <w:noProof/>
        </w:rPr>
      </w:pPr>
      <w:r w:rsidRPr="00931023">
        <w:rPr>
          <w:noProof/>
        </w:rPr>
        <w:t>Prin urmare, impactul economic al propunerii pentru 2026 va fi acela că, per ansamblu, posibilitățile de pescuit vor scădea pentru șase state membre și vor fi stabile pentru două state membre. Per ansamblu, propunerea conduce la un nivel de aproximativ 295 000 de tone, ceea ce reprezintă o reducere de 14,3 % în comparație cu posibilitățile de pescuit pentru 2025.</w:t>
      </w:r>
    </w:p>
    <w:p w:rsidR="002963AE" w:rsidRPr="00931023" w:rsidRDefault="00E66D34" w:rsidP="00274C77">
      <w:pPr>
        <w:pStyle w:val="ManualHeading2"/>
        <w:rPr>
          <w:noProof/>
          <w:u w:color="000000"/>
          <w:bdr w:val="nil"/>
        </w:rPr>
      </w:pPr>
      <w:r w:rsidRPr="00931023">
        <w:rPr>
          <w:noProof/>
          <w:u w:color="000000"/>
          <w:bdr w:val="nil"/>
        </w:rPr>
        <w:t>•</w:t>
      </w:r>
      <w:r w:rsidRPr="00931023">
        <w:rPr>
          <w:noProof/>
          <w:u w:color="000000"/>
          <w:bdr w:val="nil"/>
        </w:rPr>
        <w:tab/>
        <w:t>Adecvarea reglementărilor și simplificarea</w:t>
      </w:r>
    </w:p>
    <w:p w:rsidR="002963AE" w:rsidRPr="00931023" w:rsidRDefault="00E66D34">
      <w:pPr>
        <w:rPr>
          <w:noProof/>
        </w:rPr>
      </w:pPr>
      <w:r w:rsidRPr="00931023">
        <w:rPr>
          <w:noProof/>
        </w:rPr>
        <w:t>Propunerea rămâne flexibilă în ceea ce privește aplicarea mecanismelor privind schimbul de cote deja prevăzute în regulamentele privind posibilitățile de pescuit din Marea Baltică în anii precedenți. Nu există norme noi sau proceduri administrative noi propuse pentru autoritățile publice ale Uniunii sau naționale care ar putea spori sarcina administrativă.</w:t>
      </w:r>
    </w:p>
    <w:p w:rsidR="002963AE" w:rsidRPr="00931023" w:rsidRDefault="00E66D34">
      <w:pPr>
        <w:rPr>
          <w:noProof/>
        </w:rPr>
      </w:pPr>
      <w:r w:rsidRPr="00931023">
        <w:rPr>
          <w:noProof/>
        </w:rPr>
        <w:t>Propunerea se referă la un regulament anual care se aplică în anul 2026. Prin urmare, ea nu conține o clauză de revizuire.</w:t>
      </w:r>
    </w:p>
    <w:p w:rsidR="002963AE" w:rsidRPr="00931023" w:rsidRDefault="00E66D34">
      <w:pPr>
        <w:pStyle w:val="ManualHeading1"/>
        <w:rPr>
          <w:noProof/>
        </w:rPr>
      </w:pPr>
      <w:r w:rsidRPr="00931023">
        <w:rPr>
          <w:noProof/>
        </w:rPr>
        <w:t>4.</w:t>
      </w:r>
      <w:r w:rsidRPr="00931023">
        <w:rPr>
          <w:noProof/>
        </w:rPr>
        <w:tab/>
        <w:t>IMPLICAȚIILE BUGETARE</w:t>
      </w:r>
    </w:p>
    <w:p w:rsidR="002963AE" w:rsidRPr="00931023" w:rsidRDefault="00E66D34">
      <w:pPr>
        <w:rPr>
          <w:noProof/>
        </w:rPr>
      </w:pPr>
      <w:r w:rsidRPr="00931023">
        <w:rPr>
          <w:noProof/>
        </w:rPr>
        <w:t>Propunerea nu are implicații pentru bugetul Uniunii.</w:t>
      </w:r>
    </w:p>
    <w:p w:rsidR="002963AE" w:rsidRPr="00931023" w:rsidRDefault="00E66D34">
      <w:pPr>
        <w:pStyle w:val="ManualHeading1"/>
        <w:rPr>
          <w:noProof/>
        </w:rPr>
      </w:pPr>
      <w:r w:rsidRPr="00931023">
        <w:rPr>
          <w:noProof/>
        </w:rPr>
        <w:t>5.</w:t>
      </w:r>
      <w:r w:rsidRPr="00931023">
        <w:rPr>
          <w:noProof/>
        </w:rPr>
        <w:tab/>
        <w:t>ALTE ELEMENTE</w:t>
      </w:r>
    </w:p>
    <w:p w:rsidR="002963AE" w:rsidRPr="00931023" w:rsidRDefault="00E66D34">
      <w:pPr>
        <w:pStyle w:val="ManualHeading2"/>
        <w:rPr>
          <w:noProof/>
          <w:u w:color="000000"/>
          <w:bdr w:val="nil"/>
        </w:rPr>
      </w:pPr>
      <w:r w:rsidRPr="00931023">
        <w:rPr>
          <w:noProof/>
          <w:u w:color="000000"/>
          <w:bdr w:val="nil"/>
        </w:rPr>
        <w:t>•</w:t>
      </w:r>
      <w:r w:rsidRPr="00931023">
        <w:rPr>
          <w:noProof/>
          <w:u w:color="000000"/>
          <w:bdr w:val="nil"/>
        </w:rPr>
        <w:tab/>
        <w:t>Planuri de punere în aplicare și modalități de monitorizare, evaluare și raportare</w:t>
      </w:r>
    </w:p>
    <w:p w:rsidR="002963AE" w:rsidRPr="00931023" w:rsidRDefault="00323F89">
      <w:pPr>
        <w:pBdr>
          <w:top w:val="nil"/>
          <w:left w:val="nil"/>
          <w:bottom w:val="nil"/>
          <w:right w:val="nil"/>
          <w:between w:val="nil"/>
          <w:bar w:val="nil"/>
        </w:pBdr>
        <w:spacing w:before="0" w:after="240"/>
        <w:rPr>
          <w:noProof/>
        </w:rPr>
      </w:pPr>
      <w:r w:rsidRPr="00931023">
        <w:rPr>
          <w:noProof/>
        </w:rPr>
        <w:t>Monitorizarea și conformitatea vor fi asigurate în conformitate cu Regulamentul (CE) nr. 1224/2009 al Consiliului</w:t>
      </w:r>
      <w:r w:rsidR="007410FF" w:rsidRPr="00931023">
        <w:rPr>
          <w:rStyle w:val="FootnoteReference"/>
          <w:noProof/>
        </w:rPr>
        <w:footnoteReference w:id="7"/>
      </w:r>
      <w:r w:rsidRPr="00931023">
        <w:rPr>
          <w:noProof/>
        </w:rPr>
        <w:t>.</w:t>
      </w:r>
    </w:p>
    <w:p w:rsidR="002963AE" w:rsidRPr="00931023" w:rsidRDefault="00E66D34">
      <w:pPr>
        <w:pStyle w:val="ManualHeading2"/>
        <w:rPr>
          <w:noProof/>
          <w:u w:color="000000"/>
          <w:bdr w:val="nil"/>
        </w:rPr>
      </w:pPr>
      <w:r w:rsidRPr="00931023">
        <w:rPr>
          <w:noProof/>
          <w:u w:color="000000"/>
          <w:bdr w:val="nil"/>
        </w:rPr>
        <w:t>•</w:t>
      </w:r>
      <w:r w:rsidRPr="00931023">
        <w:rPr>
          <w:noProof/>
          <w:u w:color="000000"/>
          <w:bdr w:val="nil"/>
        </w:rPr>
        <w:tab/>
        <w:t>Explicarea detaliată a dispozițiilor specifice ale propunerii</w:t>
      </w:r>
    </w:p>
    <w:p w:rsidR="00B245C5" w:rsidRPr="00931023" w:rsidRDefault="00E66D34">
      <w:pPr>
        <w:rPr>
          <w:noProof/>
        </w:rPr>
      </w:pPr>
      <w:r w:rsidRPr="00931023">
        <w:rPr>
          <w:noProof/>
        </w:rPr>
        <w:t xml:space="preserve">Propunerea stabilește posibilitățile de pescuit pentru anumite stocuri de pește sau grupuri de stocuri de pește din Marea Baltică pentru anul 2026. </w:t>
      </w:r>
    </w:p>
    <w:p w:rsidR="002963AE" w:rsidRPr="00931023" w:rsidRDefault="006771EB">
      <w:pPr>
        <w:rPr>
          <w:noProof/>
        </w:rPr>
      </w:pPr>
      <w:r w:rsidRPr="00931023">
        <w:rPr>
          <w:noProof/>
        </w:rPr>
        <w:t>Pentru a stabili cotele Uniunii pentru stocurile gestionate în comun cu Federația Rusă, cantitățile respective corespunzătoare cotei istorice a Federației Ruse din aceste stocuri au fost deduse din capturile recomandate de ICES. Posibilitățile de pescuit alocate statelor membre sunt prevăzute în anexa la propunere.</w:t>
      </w:r>
    </w:p>
    <w:p w:rsidR="00F57027" w:rsidRPr="00931023" w:rsidRDefault="00E82761">
      <w:pPr>
        <w:rPr>
          <w:noProof/>
        </w:rPr>
      </w:pPr>
      <w:r w:rsidRPr="00931023">
        <w:rPr>
          <w:noProof/>
        </w:rPr>
        <w:t>Pentru 2026, în ceea ce privește codul din estul Mării Baltice, ICES, în acord cu Comisia, și-a reiterat avizul emis pentru 2025, deoarece stocul rămâne în aceeași stare critică în care se afla în 2025. ICES și-a modificat avizul față de 2025 cu aviz de precauție de categoria 3 și a propus capturi zero pentru al 6-lea an consecutiv</w:t>
      </w:r>
      <w:r w:rsidR="003715BF" w:rsidRPr="00931023">
        <w:rPr>
          <w:rStyle w:val="FootnoteReference"/>
          <w:noProof/>
        </w:rPr>
        <w:footnoteReference w:id="8"/>
      </w:r>
      <w:r w:rsidRPr="00931023">
        <w:rPr>
          <w:noProof/>
        </w:rPr>
        <w:t>. Având în vedere gradul de epuizare a stocurilor, Consiliul a decis, începând cu 2019, să închidă pescuitul direcționat și să adopte măsuri de remediere legate funcțional de posibilitățile de pescuit (o perioadă de închidere a zonelor de reproducere și o interdicție în ceea ce privește pescuitul recreativ, care pentru 2025 a fost extinsă la întreaga zonă de gestionare). Având în vedere că aceste măsuri de remediere nu au avut încă timp să contribuie la îmbunătățirea stării stocurilor, propunerea urmărește menținerea lor, în conformitate cu articolul 3 alineatul (1) din MAP și cu articolul 16 alineatul (4) din Regulamentul de bază privind PCP coroborate cu articolul 2 alineatul (1) și cu articolul 2 alineatul (5) literele (c) și (f) din regulamentul respectiv. În ceea ce privește nivelul TAC-urilor, ICES nu a fost în măsură până în prezent să cuantifice nivelul capturilor accidentale de cod din estul Mării Baltice în cadrul altor activități de pescuit, însă se înregistrează capturi accidentale de cod din estul Mării Baltice în cadrul tuturor celorlalte activități de pescuit</w:t>
      </w:r>
      <w:r w:rsidR="00FD0D94" w:rsidRPr="00931023">
        <w:rPr>
          <w:rStyle w:val="FootnoteReference"/>
          <w:noProof/>
        </w:rPr>
        <w:footnoteReference w:id="9"/>
      </w:r>
      <w:r w:rsidRPr="00931023">
        <w:rPr>
          <w:noProof/>
        </w:rPr>
        <w:t xml:space="preserve">. </w:t>
      </w:r>
      <w:bookmarkStart w:id="4" w:name="_Hlk169604147"/>
      <w:r w:rsidRPr="00931023">
        <w:rPr>
          <w:noProof/>
        </w:rPr>
        <w:t>Fără o repartizare a capturilor accidentale de cod din estul Mării Baltice, toate activitățile de pescuit din zona de gestionare a codului din estul Mării Baltice ar trebui să fie închise. Pentru a evita consecințele socioeconomice potențial grave care rezultă dintr-o astfel de măsură de închidere totală și în lipsa unor informații suplimentare</w:t>
      </w:r>
      <w:bookmarkEnd w:id="4"/>
      <w:r w:rsidRPr="00931023">
        <w:rPr>
          <w:noProof/>
        </w:rPr>
        <w:t>, Comisia propune, ca și pentru anul 2025, stabilirea TAC pentru capturile accidentale de cod din estul Mării Baltice la nivelul debarcărilor raportate în zona de gestionare a codului din estul Mării Baltice în 2024, care este de 159 de tone. Acest lucru ar trebui să garanteze că presiunea exercitată de pescuit asupra acestui stoc nu va crește. În plus, codul este o captură accidentală inevitabilă în cadrul pescuitului de pești plați demersali, iar uneltele de pescuit mai selective, care se preconizează că ar reduce substanțial aceste capturi accidentale de cod, au devenit obligatorii în aprilie 2025 în zona de distribuție principală a codului din estul Mării Baltice</w:t>
      </w:r>
      <w:r w:rsidR="002A4949" w:rsidRPr="00931023">
        <w:rPr>
          <w:rStyle w:val="FootnoteReference"/>
          <w:noProof/>
        </w:rPr>
        <w:footnoteReference w:id="10"/>
      </w:r>
      <w:r w:rsidRPr="00931023">
        <w:rPr>
          <w:noProof/>
        </w:rPr>
        <w:t>.</w:t>
      </w:r>
    </w:p>
    <w:p w:rsidR="00FD0D94" w:rsidRPr="00931023" w:rsidRDefault="00E82761" w:rsidP="00FD0D94">
      <w:pPr>
        <w:rPr>
          <w:noProof/>
        </w:rPr>
      </w:pPr>
      <w:r w:rsidRPr="00931023">
        <w:rPr>
          <w:noProof/>
        </w:rPr>
        <w:t>În ceea ce privește codul din vestul Mării Baltice, în 2023, ICES și-a retrogradat evaluarea la un aviz de precauție de categoria 3. În 2025, ICES a eliberat un aviz de zero capturi pentru 2026 și 2027</w:t>
      </w:r>
      <w:r w:rsidR="003715BF" w:rsidRPr="00931023">
        <w:rPr>
          <w:rStyle w:val="FootnoteReference"/>
          <w:noProof/>
        </w:rPr>
        <w:footnoteReference w:id="11"/>
      </w:r>
      <w:r w:rsidRPr="00931023">
        <w:rPr>
          <w:noProof/>
        </w:rPr>
        <w:t>. Biomasa stocului s-a situat sub nivelul B</w:t>
      </w:r>
      <w:r w:rsidRPr="00931023">
        <w:rPr>
          <w:noProof/>
          <w:vertAlign w:val="subscript"/>
        </w:rPr>
        <w:t>lim</w:t>
      </w:r>
      <w:r w:rsidRPr="00931023">
        <w:rPr>
          <w:noProof/>
        </w:rPr>
        <w:t xml:space="preserve"> în cea mai mare parte a ultimilor 15 ani. Prin urmare, începând din 2021, Consiliul a decis să închidă pescuitul direcționat și să adopte măsuri de remediere legate funcțional de posibilitățile de pescuit (o perioadă de închidere a zonelor de reproducere și o interdicție în ceea ce privește pescuitul recreativ). Având în vedere că aceste măsuri de remediere nu au contribuit încă la îmbunătățirea stării stocurilor, propunerea urmărește menținerea lor, în conformitate cu articolul 3 alineatul (1) din MAP și cu articolul 16 alineatul (4) din Regulamentul de bază privind PCP coroborate cu articolul 2 alineatul (1) și cu articolul 2 alineatul (5) literele (c) și (f) din regulamentul respectiv. În ceea ce privește nivelul TAC-urilor, </w:t>
      </w:r>
      <w:bookmarkStart w:id="5" w:name="_Hlk169013229"/>
      <w:r w:rsidRPr="00931023">
        <w:rPr>
          <w:noProof/>
        </w:rPr>
        <w:t>ICES nu a fost în măsură până în prezent să cuantifice nivelul capturilor accidentale de cod din vestul Mării Baltice în cadrul altor activități de pescuit, însă se înregistrează capturi accidentale de cod din vestul Mării Baltice în cadrul tuturor celorlalte activități de pescuit</w:t>
      </w:r>
      <w:r w:rsidR="00FD0D94" w:rsidRPr="00931023">
        <w:rPr>
          <w:rStyle w:val="FootnoteReference"/>
          <w:noProof/>
        </w:rPr>
        <w:footnoteReference w:id="12"/>
      </w:r>
      <w:r w:rsidRPr="00931023">
        <w:rPr>
          <w:noProof/>
        </w:rPr>
        <w:t>. Fără o repartizare a capturilor accidentale de cod din vestul Mării Baltice, toate activitățile de pescuit din zona de gestionare a codului din vestul Mării Baltice ar trebui închise. Pentru a evita consecințele socioeconomice potențial grave care rezultă dintr-o astfel de măsură de închidere totală și în lipsa unor informații suplimentare, Comisia propune, ca și pentru anul 2025, stabilirea TAC pentru capturile accidentale de cod din vestul Mării Baltice la nivelul debarcărilor raportate în zona de gestionare a codului din vestul Mării Baltice în 2024</w:t>
      </w:r>
      <w:bookmarkEnd w:id="5"/>
      <w:r w:rsidRPr="00931023">
        <w:rPr>
          <w:noProof/>
        </w:rPr>
        <w:t>, care este de 42 de tone. Acest lucru ar trebui să garanteze că presiunea exercitată de pescuit asupra acestui stoc nu va crește. În plus, codul este o captură accidentală inevitabilă în cadrul pescuitului de pești plați demersali, iar uneltele de pescuit mai selective, care se preconizează că ar reduce substanțial aceste capturi accidentale de cod, au devenit obligatorii în aprilie 2025 în zona de gestionare a codului din vestul Mării Baltice</w:t>
      </w:r>
      <w:r w:rsidR="002A4949" w:rsidRPr="00931023">
        <w:rPr>
          <w:rStyle w:val="FootnoteReference"/>
          <w:noProof/>
        </w:rPr>
        <w:footnoteReference w:id="13"/>
      </w:r>
      <w:r w:rsidRPr="00931023">
        <w:rPr>
          <w:noProof/>
        </w:rPr>
        <w:t xml:space="preserve">. </w:t>
      </w:r>
    </w:p>
    <w:p w:rsidR="001940E0" w:rsidRPr="00931023" w:rsidRDefault="00635FB0" w:rsidP="00FD0D94">
      <w:pPr>
        <w:rPr>
          <w:noProof/>
        </w:rPr>
      </w:pPr>
      <w:r w:rsidRPr="00931023">
        <w:rPr>
          <w:noProof/>
        </w:rPr>
        <w:t>În ceea ce privește cambula de Baltica, ICES a furnizat anterior un aviz separat pentru subdiviziunile ICES 21-23 și pentru subdiviziunile ICES 24-32. În urma unui studiu comparativ din 2025, ICES eliberează un aviz MSY care acoperă subdiviziunile ICES 21-32</w:t>
      </w:r>
      <w:r w:rsidR="001940E0" w:rsidRPr="00931023">
        <w:rPr>
          <w:rStyle w:val="FootnoteReference"/>
          <w:noProof/>
        </w:rPr>
        <w:footnoteReference w:id="14"/>
      </w:r>
      <w:r w:rsidRPr="00931023">
        <w:rPr>
          <w:noProof/>
        </w:rPr>
        <w:t>. Conform acestui aviz, biomasa stocului este cea mai ridicată din punct de vedere istoric, deși starea fiecărui pește s-a deteriorat în ultimii cinci ani. În plus, valoarea de referință a modificat percepția stocurilor, ceea ce a determinat ICES să recomande o scădere a capturilor cu 35 % pentru 2026 comparativ cu avizul pentru 2025. Comisia propune stabilirea TAC la valoarea F</w:t>
      </w:r>
      <w:r w:rsidRPr="00931023">
        <w:rPr>
          <w:noProof/>
          <w:vertAlign w:val="subscript"/>
        </w:rPr>
        <w:t>MSY</w:t>
      </w:r>
      <w:r w:rsidRPr="00931023">
        <w:rPr>
          <w:noProof/>
        </w:rPr>
        <w:t xml:space="preserve">, în conformitate cu articolul 4 alineatul (3) din MAP. </w:t>
      </w:r>
    </w:p>
    <w:p w:rsidR="009D6EB7" w:rsidRPr="00931023" w:rsidRDefault="00635FB0" w:rsidP="009D6EB7">
      <w:pPr>
        <w:rPr>
          <w:noProof/>
        </w:rPr>
      </w:pPr>
      <w:r w:rsidRPr="00931023">
        <w:rPr>
          <w:noProof/>
        </w:rPr>
        <w:t>În ceea ce privește heringul din vestul Mării Baltice, ICES recomandă ca pentru al 8-lea an consecutiv să se permită zero capturi. La fel ca pentru 2025, ICES a revizuit negativ dimensiunea stocului și estimează că, deși a crescut din 2024, aceasta reprezintă numai 52 % din nivelul B</w:t>
      </w:r>
      <w:r w:rsidRPr="00931023">
        <w:rPr>
          <w:noProof/>
          <w:vertAlign w:val="subscript"/>
        </w:rPr>
        <w:t>lim</w:t>
      </w:r>
      <w:r w:rsidRPr="00931023">
        <w:rPr>
          <w:noProof/>
        </w:rPr>
        <w:t xml:space="preserve"> în 2025</w:t>
      </w:r>
      <w:r w:rsidR="003715BF" w:rsidRPr="00931023">
        <w:rPr>
          <w:rStyle w:val="FootnoteReference"/>
          <w:noProof/>
        </w:rPr>
        <w:footnoteReference w:id="15"/>
      </w:r>
      <w:r w:rsidRPr="00931023">
        <w:rPr>
          <w:noProof/>
        </w:rPr>
        <w:t>. De asemenea, ICES estimează în continuare că biomasa va rămâne sub nivelul B</w:t>
      </w:r>
      <w:r w:rsidRPr="00931023">
        <w:rPr>
          <w:noProof/>
          <w:vertAlign w:val="subscript"/>
        </w:rPr>
        <w:t>lim</w:t>
      </w:r>
      <w:r w:rsidRPr="00931023">
        <w:rPr>
          <w:noProof/>
        </w:rPr>
        <w:t xml:space="preserve"> cel puțin până în 2027, chiar și în absența totală a pescuitului. Refacerea stocurilor de adulți a înregistrat un nivel minim istoric timp de aproximativ 10 ani. Ca urmare, începând din 2021, Consiliul a decis să închidă pescuitul direcționat, cu excepția pescuitului în scopuri științifice și a pescuitului costier la scară mică, și să stabilească o TAC pentru capturile accidentale inevitabile, pentru a evita periclitarea altor activități de pescuit. Aceste măsuri de remediere nu au condus încă la îmbunătățirea stării stocurilor. Prin urmare, Comisia propune, în conformitate cu articolul 4 alineatul (6) și cu articolul 5 alineatul (2) din MAP, să se mențină închise activitățile de pescuit direcționat și să se suspende derogarea pentru pescuitul costier la scară mică. În ceea ce privește nivelul TAC-urilor, ICES nu a fost în măsură până în prezent să cuantifice nivelul capturilor accidentale de hering din vestul Mării Baltice în cadrul altor activități de pescuit, însă se înregistrează capturi accidentale de hering din vestul Mării Baltice în cadrul activităților de pescuit direcționat de șprot</w:t>
      </w:r>
      <w:r w:rsidR="001B5CD7" w:rsidRPr="00931023">
        <w:rPr>
          <w:rStyle w:val="FootnoteReference"/>
          <w:noProof/>
        </w:rPr>
        <w:footnoteReference w:id="16"/>
      </w:r>
      <w:r w:rsidRPr="00931023">
        <w:rPr>
          <w:noProof/>
        </w:rPr>
        <w:t xml:space="preserve">. Pentru a evita consecințele socioeconomice potențial grave care rezultă din închiderea activităților de pescuit direcționat de șprot în zona de gestionare a heringului din vestul Mării Baltice și în lipsa unor informații suplimentare, Comisia propune stabilirea TAC pentru capturile accidentale de hering din vestul Mării Baltice la 394 de tone. </w:t>
      </w:r>
    </w:p>
    <w:p w:rsidR="001940E0" w:rsidRPr="00931023" w:rsidRDefault="00153C89" w:rsidP="001940E0">
      <w:pPr>
        <w:rPr>
          <w:noProof/>
        </w:rPr>
      </w:pPr>
      <w:r w:rsidRPr="00931023">
        <w:rPr>
          <w:noProof/>
        </w:rPr>
        <w:t>În ceea ce privește heringul din Golful Botnic, ICES estimează că biomasa a continua să scadă, ajungând în 2025 la unul dintre cele mai scăzute niveluri înregistrate, la jumătatea dintre MSY B</w:t>
      </w:r>
      <w:r w:rsidRPr="00931023">
        <w:rPr>
          <w:noProof/>
          <w:vertAlign w:val="subscript"/>
        </w:rPr>
        <w:t>trigger</w:t>
      </w:r>
      <w:r w:rsidRPr="00931023">
        <w:rPr>
          <w:noProof/>
        </w:rPr>
        <w:t xml:space="preserve"> și B</w:t>
      </w:r>
      <w:r w:rsidRPr="00931023">
        <w:rPr>
          <w:noProof/>
          <w:vertAlign w:val="subscript"/>
        </w:rPr>
        <w:t>lim</w:t>
      </w:r>
      <w:r w:rsidRPr="00931023">
        <w:rPr>
          <w:rStyle w:val="FootnoteReference"/>
          <w:noProof/>
        </w:rPr>
        <w:footnoteReference w:id="17"/>
      </w:r>
      <w:r w:rsidRPr="00931023">
        <w:rPr>
          <w:noProof/>
        </w:rPr>
        <w:t>. Avizul pentru capturi la valoarea F</w:t>
      </w:r>
      <w:r w:rsidRPr="00931023">
        <w:rPr>
          <w:noProof/>
          <w:vertAlign w:val="subscript"/>
        </w:rPr>
        <w:t>MSY</w:t>
      </w:r>
      <w:r w:rsidRPr="00931023">
        <w:rPr>
          <w:noProof/>
        </w:rPr>
        <w:t xml:space="preserve"> este pentru o scădere cu 16 % față de avizul pentru 2025. În plus, ICES estimează că, chiar și în absența totală a pescuitului, probabilitatea ca stocul să ajungă peste MSY B</w:t>
      </w:r>
      <w:r w:rsidRPr="00931023">
        <w:rPr>
          <w:noProof/>
          <w:vertAlign w:val="subscript"/>
        </w:rPr>
        <w:t>trigger</w:t>
      </w:r>
      <w:r w:rsidRPr="00931023">
        <w:rPr>
          <w:noProof/>
        </w:rPr>
        <w:t xml:space="preserve"> în 2027 este de doar 30 %. ICES precizează totodată că, cu o TAC la MSY F</w:t>
      </w:r>
      <w:r w:rsidRPr="00931023">
        <w:rPr>
          <w:noProof/>
          <w:vertAlign w:val="subscript"/>
        </w:rPr>
        <w:t>lower</w:t>
      </w:r>
      <w:r w:rsidRPr="00931023">
        <w:rPr>
          <w:noProof/>
        </w:rPr>
        <w:t>, probabilitatea ca biomasa să scadă sub B</w:t>
      </w:r>
      <w:r w:rsidRPr="00931023">
        <w:rPr>
          <w:noProof/>
          <w:vertAlign w:val="subscript"/>
        </w:rPr>
        <w:t>lim</w:t>
      </w:r>
      <w:r w:rsidRPr="00931023">
        <w:rPr>
          <w:noProof/>
        </w:rPr>
        <w:t xml:space="preserve"> în 2027 este de 9%. Prin urmare, Comisia propune stabilirea TAC la 25 560 de tone în conformitate cu articolul 4 alineatul (6) și cu articolul 5 alineatul (1) din MAP și stabilirea, ca măsură de remediere, a unei perioade de închidere de trei luni a zonei de reproducere pe baza similarității modelelor de reproducere cu heringul din zona centrală a Mării Baltice, pentru care ICES a furnizat un aviz special</w:t>
      </w:r>
      <w:r w:rsidR="00E10ABC" w:rsidRPr="00931023">
        <w:rPr>
          <w:rStyle w:val="FootnoteReference"/>
          <w:noProof/>
        </w:rPr>
        <w:footnoteReference w:id="18"/>
      </w:r>
      <w:r w:rsidRPr="00931023">
        <w:rPr>
          <w:noProof/>
        </w:rPr>
        <w:t>.</w:t>
      </w:r>
    </w:p>
    <w:p w:rsidR="009D6EB7" w:rsidRPr="00931023" w:rsidRDefault="00635FB0" w:rsidP="009D6EB7">
      <w:pPr>
        <w:rPr>
          <w:noProof/>
        </w:rPr>
      </w:pPr>
      <w:r w:rsidRPr="00931023">
        <w:rPr>
          <w:noProof/>
        </w:rPr>
        <w:t>În ceea ce privește heringul din zona centrală a Mării Baltice, ICES a realizat un studiu comparativ în 2023 și estimează că biomasa s-a situat sub B</w:t>
      </w:r>
      <w:r w:rsidRPr="00931023">
        <w:rPr>
          <w:noProof/>
          <w:vertAlign w:val="subscript"/>
        </w:rPr>
        <w:t>lim</w:t>
      </w:r>
      <w:r w:rsidRPr="00931023">
        <w:rPr>
          <w:noProof/>
        </w:rPr>
        <w:t xml:space="preserve"> în cea mai mare parte a timpului în ultimii 30 de ani, dar este în creștere din 2022, ajungând să depășească B</w:t>
      </w:r>
      <w:r w:rsidRPr="00931023">
        <w:rPr>
          <w:noProof/>
          <w:vertAlign w:val="subscript"/>
        </w:rPr>
        <w:t>lim</w:t>
      </w:r>
      <w:r w:rsidRPr="00931023">
        <w:rPr>
          <w:noProof/>
        </w:rPr>
        <w:t xml:space="preserve"> în 2024</w:t>
      </w:r>
      <w:r w:rsidR="003715BF" w:rsidRPr="00931023">
        <w:rPr>
          <w:rStyle w:val="FootnoteReference"/>
          <w:noProof/>
        </w:rPr>
        <w:footnoteReference w:id="19"/>
      </w:r>
      <w:r w:rsidRPr="00931023">
        <w:rPr>
          <w:noProof/>
        </w:rPr>
        <w:t xml:space="preserve">. </w:t>
      </w:r>
      <w:bookmarkStart w:id="6" w:name="_Hlk138176138"/>
      <w:r w:rsidRPr="00931023">
        <w:rPr>
          <w:noProof/>
        </w:rPr>
        <w:t>Din cauza unei creșteri a biomasei și a forței potențiale a claselor de vârstă 2024 și 2025, avizul pentru capturi la valoarea F</w:t>
      </w:r>
      <w:r w:rsidRPr="00931023">
        <w:rPr>
          <w:noProof/>
          <w:vertAlign w:val="subscript"/>
        </w:rPr>
        <w:t>MSY</w:t>
      </w:r>
      <w:r w:rsidRPr="00931023">
        <w:rPr>
          <w:noProof/>
        </w:rPr>
        <w:t xml:space="preserve"> este cu 26 % mai mare decât în 2025. Cu toate acestea, ICES afirmă că previziunile privind refacerea stocului de adulți sunt incerte și subliniază din nou problema raportării eronate, care sporește incertitudinea. În plus, clasa de vârstă 2023 este slabă, iar stocul este vulnerabil, fiind alcătuit din diferite subpopulații distincte din punct de vedere genetic. Mai mult, ICES estimează că, chiar și în absența totală a pescuitului, probabilitatea ca stocul să ajungă peste MSY B</w:t>
      </w:r>
      <w:r w:rsidRPr="00931023">
        <w:rPr>
          <w:noProof/>
          <w:vertAlign w:val="subscript"/>
        </w:rPr>
        <w:t>trigger</w:t>
      </w:r>
      <w:r w:rsidRPr="00931023">
        <w:rPr>
          <w:noProof/>
        </w:rPr>
        <w:t xml:space="preserve"> în 2027 este de doar 52 %. ICES precizează totodată că, cu o TAC la MSY F</w:t>
      </w:r>
      <w:r w:rsidRPr="00931023">
        <w:rPr>
          <w:noProof/>
          <w:vertAlign w:val="subscript"/>
        </w:rPr>
        <w:t>lower</w:t>
      </w:r>
      <w:r w:rsidRPr="00931023">
        <w:rPr>
          <w:noProof/>
        </w:rPr>
        <w:t>, probabilitatea ca biomasa să scadă sub B</w:t>
      </w:r>
      <w:r w:rsidRPr="00931023">
        <w:rPr>
          <w:noProof/>
          <w:vertAlign w:val="subscript"/>
        </w:rPr>
        <w:t>lim</w:t>
      </w:r>
      <w:r w:rsidRPr="00931023">
        <w:rPr>
          <w:noProof/>
        </w:rPr>
        <w:t>, așa cum se menționează la articolul 4 alineatul (6) din MAP, este de 6% în 2027. Prin urmare, în conformitate cu articolul 4 alineatul (4) și cu articolul 5 alineatul (1) din MAP</w:t>
      </w:r>
      <w:bookmarkEnd w:id="6"/>
      <w:r w:rsidRPr="00931023">
        <w:rPr>
          <w:noProof/>
        </w:rPr>
        <w:t>, Comisia propune menținerea în 2026 a TAC stabilită pentru 2025 (83 881 de tone) și stabilirea, ca măsură de remediere, a unei închideri de trei luni a zonelor de reproducere pe baza avizului special al ICES</w:t>
      </w:r>
      <w:r w:rsidR="00E10ABC" w:rsidRPr="00931023">
        <w:rPr>
          <w:rStyle w:val="FootnoteReference"/>
          <w:noProof/>
        </w:rPr>
        <w:footnoteReference w:id="20"/>
      </w:r>
      <w:r w:rsidRPr="00931023">
        <w:rPr>
          <w:noProof/>
        </w:rPr>
        <w:t xml:space="preserve">. </w:t>
      </w:r>
    </w:p>
    <w:p w:rsidR="00966B65" w:rsidRPr="00931023" w:rsidRDefault="00635FB0" w:rsidP="00F95C97">
      <w:pPr>
        <w:rPr>
          <w:noProof/>
        </w:rPr>
      </w:pPr>
      <w:r w:rsidRPr="00931023">
        <w:rPr>
          <w:noProof/>
        </w:rPr>
        <w:t>În ceea ce privește heringul din Golful Riga, ICES estimează că, deși biomasa a scăzut ușor, aceasta rămâne peste MSY B</w:t>
      </w:r>
      <w:r w:rsidRPr="00931023">
        <w:rPr>
          <w:noProof/>
          <w:vertAlign w:val="subscript"/>
        </w:rPr>
        <w:t>trigger</w:t>
      </w:r>
      <w:r w:rsidRPr="00931023">
        <w:rPr>
          <w:noProof/>
        </w:rPr>
        <w:t xml:space="preserve"> și la niveluri ridicate record</w:t>
      </w:r>
      <w:r w:rsidR="000F1CA1" w:rsidRPr="00931023">
        <w:rPr>
          <w:rStyle w:val="FootnoteReference"/>
          <w:noProof/>
        </w:rPr>
        <w:footnoteReference w:id="21"/>
      </w:r>
      <w:r w:rsidRPr="00931023">
        <w:rPr>
          <w:noProof/>
        </w:rPr>
        <w:t>. Prin urmare, Comisia propune stabilirea TAC la valoarea F</w:t>
      </w:r>
      <w:r w:rsidRPr="00931023">
        <w:rPr>
          <w:noProof/>
          <w:vertAlign w:val="subscript"/>
        </w:rPr>
        <w:t>MSY</w:t>
      </w:r>
      <w:r w:rsidRPr="00931023">
        <w:rPr>
          <w:noProof/>
        </w:rPr>
        <w:t>, în conformitate cu articolul 4 alineatul (3) din MAP.</w:t>
      </w:r>
    </w:p>
    <w:p w:rsidR="009D6EB7" w:rsidRPr="00931023" w:rsidRDefault="00256575" w:rsidP="009D6EB7">
      <w:pPr>
        <w:rPr>
          <w:noProof/>
        </w:rPr>
      </w:pPr>
      <w:r w:rsidRPr="00931023">
        <w:rPr>
          <w:noProof/>
        </w:rPr>
        <w:t>În ceea ce privește șprotul, ICES estimează că biomasa stocului a continuat să scadă din cauza nivelului scăzut record confirmat de refacere a stocului de adulți în perioada 2021-2023. Deși biomasa rămâne peste MSY B</w:t>
      </w:r>
      <w:r w:rsidRPr="00931023">
        <w:rPr>
          <w:noProof/>
          <w:vertAlign w:val="subscript"/>
        </w:rPr>
        <w:t>trigger</w:t>
      </w:r>
      <w:r w:rsidRPr="00931023">
        <w:rPr>
          <w:noProof/>
        </w:rPr>
        <w:t>, aceasta a atins în 2025 cel mai scăzut nivel din 1990 încoace</w:t>
      </w:r>
      <w:r w:rsidR="003715BF" w:rsidRPr="00931023">
        <w:rPr>
          <w:rStyle w:val="FootnoteReference"/>
          <w:noProof/>
        </w:rPr>
        <w:footnoteReference w:id="22"/>
      </w:r>
      <w:r w:rsidRPr="00931023">
        <w:rPr>
          <w:noProof/>
        </w:rPr>
        <w:t>. Pe baza previziunilor potrivit cărora refacerea stocului de adulți în 2024 este printre cele mai ridicate înregistrate, avizul pentru capturi la valoarea F</w:t>
      </w:r>
      <w:r w:rsidRPr="00931023">
        <w:rPr>
          <w:noProof/>
          <w:vertAlign w:val="subscript"/>
        </w:rPr>
        <w:t>MSY</w:t>
      </w:r>
      <w:r w:rsidRPr="00931023">
        <w:rPr>
          <w:noProof/>
        </w:rPr>
        <w:t xml:space="preserve"> este cu 36 % mai mare decât în 2025. Cu toate acestea, ICES subliniază că previziunea se bazează pe un singur studiu și, prin urmare, este incertă și că probabilitatea ca stocul să se situeze sub nivelurile de referință pentru conservare ar putea fi subestimată. În plus, ICES subliniază problema raportării eronate, care sporește incertitudinea. Comisia observă, de asemenea, că, în multe zone de pescuit, șprotul este capturat împreună cu heringul. Prin urmare, Comisia propune menținerea în 2026 a TAC stabilită pentru 2025 (139 500 de tone) și, prin urmare, stabilirea TAC sub nivelul MSY F</w:t>
      </w:r>
      <w:r w:rsidRPr="00931023">
        <w:rPr>
          <w:noProof/>
          <w:vertAlign w:val="subscript"/>
        </w:rPr>
        <w:t>lower</w:t>
      </w:r>
      <w:r w:rsidRPr="00931023">
        <w:rPr>
          <w:noProof/>
        </w:rPr>
        <w:t xml:space="preserve">, în conformitate cu articolul 4 alineatul (4) din MAP. Comisia propune, de asemenea, menținerea închiderii zonelor de reproducere stabilite de Consiliu pentru 2025. </w:t>
      </w:r>
    </w:p>
    <w:p w:rsidR="001940E0" w:rsidRPr="00931023" w:rsidRDefault="00256575" w:rsidP="003D03C6">
      <w:pPr>
        <w:rPr>
          <w:noProof/>
        </w:rPr>
      </w:pPr>
      <w:r w:rsidRPr="00931023">
        <w:rPr>
          <w:noProof/>
        </w:rPr>
        <w:t>În ceea ce privește stocurile de somon din râuri, cel puțin din anii 1990, ICES a declarat că starea acestor stocuri din zona Mării Baltice este eterogenă, unele stocuri de somon din râuri fiind într-o stare bună, însă altele nu. Începând din 2022, ICES a recomandat de asemenea ca toate capturile de somon din cadrul pescuitului comercial și al pescuitului recreativ să înceteze în bazinul principal, deoarece acestea sunt, prin natura lor, activități de pescuit mixt în cadrul cărora se capturează somon din toate stocurile din râuri. Cu toate acestea, ICES a considerat că ar fi încă posibilă continuarea activităților existente de pescuit direcționat în unele zone costiere nordice în timpul perioadei de vară când are loc migrația somonului. Prin urmare, începând din 2021, Consiliul a decis să închidă pescuitul direcționat de somon din bazinul principal și să stabilească o TAC de capturi accidentale pentru capturile accidentale inevitabile, cu excepția pescuitului în scopuri științifice, menținând în același timp deschis pescuitul direcționat de somon în timpul perioadei de vară în zonele costiere nordice relevante. Începând din 2021, Consiliul a adoptat, de asemenea, măsuri de remediere legate funcțional de posibilitățile de pescuit (interdicția de a utiliza paragate și de a pescui păstrăv de mare în afara zonelor costiere; o limită zilnică a capturilor de un exemplar de somon cu înotătoarea tăiată per pescar în majoritatea zonelor). Avizul ICES pentru 2026 urmează aceeași abordare ca în anii precedenți, dar recomandă ca nivelul capturilor maxime recomandate să fie redus și mai mult din cauza incertitudinilor suplimentare cu privire la abundența somonului în râul cu cea mai importantă populație de somon</w:t>
      </w:r>
      <w:r w:rsidR="00BC1057" w:rsidRPr="00931023">
        <w:rPr>
          <w:rStyle w:val="FootnoteReference"/>
          <w:noProof/>
        </w:rPr>
        <w:footnoteReference w:id="23"/>
      </w:r>
      <w:r w:rsidRPr="00931023">
        <w:rPr>
          <w:noProof/>
        </w:rPr>
        <w:t xml:space="preserve">. ICES menționează, de asemenea, declinul semnificativ al unei anumite populații fluviale și, prin urmare, recomandă amânarea începerii sezonului de pescuit din mai până în iunie în Marea Åland și în jurul gurii de vărsare a acestui râu. ICES continuă, de asemenea, să estimeze că mortalitatea după eliberare a somonului sălbatic în cadrul pescuitului recreativ la trenă de somon cu înotătoarea adipoasă tăiată (și anume, de crescătorie) este de 24 % (observând în același timp că rezultatele preliminare ale unui nou studiu indică faptul că mortalitatea ar putea fi considerabil mai mică), ceea ce reprezintă aproximativ 2 500 de exemplare moarte de somon sălbatic. Prin urmare, în conformitate cu articolul 16 alineatul (4) din Regulamentul de bază privind PCP coroborat cu articolul 2 alineatul (1) și cu articolul 2 alineatul (5) literele (c) și (f) din regulamentul respectiv, Comisia propune următoarele: (i) să se limiteze în principiu TAC la capturile accidentale inevitabile; (ii) să se permită o derogare pentru pescuitul comercial direcționat de somon în perioada de vară în zonele costiere din subdiviziunile ICES 29 Nord-31, ținând seama de începerea mai târzie recomandată a sezonului de pescuit în subdiviziunea ICES 29 Nord și în jurul gurii de vărsare a unui râu din subdiviziunea ICES 31; (iii) să se ajusteze TAC la nivelul recomandat de ICES; (iv) să se mențină aceleași măsuri de remediere ca pentru 2025; (v) să se mențină flexibilitatea interzonală limitată pentru 2026 pentru a asigura utilizarea deplină a posibilităților de pescuit costier în subdiviziunea ICES 32 și (vi) să se întrerupă posibilitatea practicării pescuitului recreativ de somon, cu excepția zonelor costiere din subdiviziunile ICES 29 Nord-31, în aceleași perioade ca pescuitul comercial. </w:t>
      </w:r>
    </w:p>
    <w:p w:rsidR="001940E0" w:rsidRPr="00931023" w:rsidRDefault="00256575" w:rsidP="009D6EB7">
      <w:pPr>
        <w:rPr>
          <w:noProof/>
        </w:rPr>
      </w:pPr>
      <w:r w:rsidRPr="00931023">
        <w:rPr>
          <w:noProof/>
        </w:rPr>
        <w:t>În ceea ce privește somonul din Golful Finlandei, ICES a emis un aviz de precauție pentru 2026</w:t>
      </w:r>
      <w:r w:rsidR="001940E0" w:rsidRPr="00931023">
        <w:rPr>
          <w:rStyle w:val="FootnoteReference"/>
          <w:noProof/>
        </w:rPr>
        <w:footnoteReference w:id="24"/>
      </w:r>
      <w:r w:rsidRPr="00931023">
        <w:rPr>
          <w:noProof/>
        </w:rPr>
        <w:t xml:space="preserve">. Prin urmare, Comisia propune o TAC la nivelul din avizul de precauție în conformitate cu articolul 16 alineatul (4) din Regulamentul de bază privind PCP. Pe baza consumului anterior de cote, Comisia propune totodată menținerea flexibilității interzonale limitate între cele două TAC-uri pentru somon pentru Estonia, pentru a evita riscul de periclitare a pescuitului costier pentru alte specii. </w:t>
      </w:r>
    </w:p>
    <w:p w:rsidR="00464893" w:rsidRPr="00931023" w:rsidRDefault="00E66D34" w:rsidP="00A725DB">
      <w:pPr>
        <w:rPr>
          <w:noProof/>
        </w:rPr>
      </w:pPr>
      <w:r w:rsidRPr="00931023">
        <w:rPr>
          <w:noProof/>
        </w:rPr>
        <w:t>În Regulamentul (CE) nr. 847/96 al Consiliului sunt prevăzute condiții suplimentare pentru gestionarea de la an la an a TAC-urilor, inclusiv, la articolele 3 și 4, dispoziții privind flexibilitatea pentru stocurile care fac obiectul unor TAC-uri de precauție și, respectiv, analitice. La articolul 2 se prevede că, atunci când stabilește TAC-urile, Consiliul trebuie să decidă cu privire la stocurile pentru care nu ar trebui să se aplice articolele 3 și 4, în special în funcție de starea biologică a stocurilor. Dată fiind situația deosebit de fragilă a ecosistemului Mării Baltice și a mai multor stocuri de pește, Comisia propune excluderea flexibilității de la an la an în temeiul articolelor 3 și 4 din Regulamentul (CE) nr. 847/96 pentru stocurile cu o biomasă sub nivelul MSY B</w:t>
      </w:r>
      <w:r w:rsidRPr="00931023">
        <w:rPr>
          <w:noProof/>
          <w:vertAlign w:val="subscript"/>
        </w:rPr>
        <w:t>trigger</w:t>
      </w:r>
      <w:r w:rsidRPr="00931023">
        <w:rPr>
          <w:noProof/>
        </w:rPr>
        <w:t xml:space="preserve"> și pentru stocurile pentru care ICES recomandă fie capturi zero, fie suspendarea activităților de pescuit direcționat. Articolul 15 alineatul (9) din Regulamentul de bază privind PCP prevede, de asemenea, un mecanism de flexibilitate de la an la an pentru toate stocurile care fac obiectul obligației de debarcare. Pentru a se evita o flexibilitate excesivă care ar submina principiul exploatării raționale și responsabile a resurselor biologice marine și ar îngreuna realizarea obiectivelor PCP, Comisia propune și ca articolele 3 și 4 din Regulamentul (CE) nr. 847/96 să se aplice numai atunci când statele membre nu utilizează flexibilitatea de la an la an prevăzută la articolul 15 alineatul (9) din Regulamentul de bază privind PCP. În plus, flexibilitatea de la an la an pentru cotele prevăzute la articolul 15 alineatul (9) din Regulamentul de bază privind PCP trebuie, de asemenea, să fie exclusă dacă ar submina realizarea obiectivelor PCP, în special pentru stocurile cu o biomasă sub nivelul MSY B</w:t>
      </w:r>
      <w:r w:rsidRPr="00931023">
        <w:rPr>
          <w:noProof/>
          <w:vertAlign w:val="subscript"/>
        </w:rPr>
        <w:t>trigger</w:t>
      </w:r>
      <w:r w:rsidRPr="00931023">
        <w:rPr>
          <w:noProof/>
        </w:rPr>
        <w:t xml:space="preserve"> și pentru stocurile pentru care vor fi permise numai capturi accidentale sau activități de pescuit în scop științific.</w:t>
      </w:r>
    </w:p>
    <w:p w:rsidR="00E10FDB" w:rsidRPr="00931023" w:rsidRDefault="75622A73">
      <w:pPr>
        <w:rPr>
          <w:noProof/>
        </w:rPr>
      </w:pPr>
      <w:r w:rsidRPr="00931023">
        <w:rPr>
          <w:noProof/>
        </w:rPr>
        <w:t>Comisia propune, de asemenea, modificarea Regulamentului (UE) 2025/202 al Consiliului pentru a stabili o TAC pentru merluciul norvegian, al cărui sezon de pescuit începe la 1 noiembrie 2025. Nivelul TAC este marcat cu mențiunea „p.m.” (</w:t>
      </w:r>
      <w:r w:rsidRPr="00931023">
        <w:rPr>
          <w:i/>
          <w:noProof/>
        </w:rPr>
        <w:t>pro memoria</w:t>
      </w:r>
      <w:r w:rsidRPr="00931023">
        <w:rPr>
          <w:noProof/>
        </w:rPr>
        <w:t xml:space="preserve">) până la publicarea avizului ICES preconizat pentru 10 octombrie 2025 și în așteptarea rezultatelor consultărilor cu Regatul Unit. </w:t>
      </w:r>
    </w:p>
    <w:p w:rsidR="00E10FDB" w:rsidRPr="00931023" w:rsidRDefault="00E10FDB">
      <w:pPr>
        <w:rPr>
          <w:noProof/>
        </w:rPr>
        <w:sectPr w:rsidR="00E10FDB" w:rsidRPr="00931023" w:rsidSect="00615FA2">
          <w:headerReference w:type="even" r:id="rId14"/>
          <w:footerReference w:type="even" r:id="rId15"/>
          <w:footerReference w:type="default" r:id="rId16"/>
          <w:headerReference w:type="first" r:id="rId17"/>
          <w:footerReference w:type="first" r:id="rId18"/>
          <w:footnotePr>
            <w:numRestart w:val="eachSect"/>
          </w:footnotePr>
          <w:pgSz w:w="11907" w:h="16839"/>
          <w:pgMar w:top="1134" w:right="1417" w:bottom="1134" w:left="1417" w:header="709" w:footer="709" w:gutter="0"/>
          <w:cols w:space="708"/>
          <w:docGrid w:linePitch="360"/>
        </w:sectPr>
      </w:pPr>
    </w:p>
    <w:p w:rsidR="00BF7BCA" w:rsidRDefault="00B35D89">
      <w:pPr>
        <w:pStyle w:val="Rfrenceinterinstitutionnelle"/>
        <w:rPr>
          <w:noProof/>
        </w:rPr>
      </w:pPr>
      <w:r>
        <w:rPr>
          <w:noProof/>
        </w:rPr>
        <w:t>2025/0253 (NLE)</w:t>
      </w:r>
    </w:p>
    <w:p w:rsidR="000463D7" w:rsidRPr="00931023" w:rsidRDefault="001F34EA" w:rsidP="001F34EA">
      <w:pPr>
        <w:pStyle w:val="Statut"/>
        <w:rPr>
          <w:noProof/>
        </w:rPr>
      </w:pPr>
      <w:bookmarkStart w:id="7" w:name="_Hlk198910971"/>
      <w:r w:rsidRPr="00931023">
        <w:rPr>
          <w:noProof/>
        </w:rPr>
        <w:t>Propunere de</w:t>
      </w:r>
    </w:p>
    <w:p w:rsidR="002963AE" w:rsidRPr="00931023" w:rsidRDefault="001F34EA" w:rsidP="001F34EA">
      <w:pPr>
        <w:pStyle w:val="Typedudocument"/>
        <w:rPr>
          <w:noProof/>
        </w:rPr>
      </w:pPr>
      <w:r w:rsidRPr="00931023">
        <w:rPr>
          <w:noProof/>
        </w:rPr>
        <w:t>REGULAMENT AL CONSILIULUI</w:t>
      </w:r>
    </w:p>
    <w:p w:rsidR="002963AE" w:rsidRPr="00931023" w:rsidRDefault="001F34EA" w:rsidP="001F34EA">
      <w:pPr>
        <w:pStyle w:val="Titreobjet"/>
        <w:rPr>
          <w:noProof/>
        </w:rPr>
      </w:pPr>
      <w:r w:rsidRPr="00931023">
        <w:rPr>
          <w:noProof/>
        </w:rPr>
        <w:t>de stabilire, pentru anul 2026, a posibilităților de pescuit pentru anumite stocuri de pește și grupuri de stocuri de pește aplicabile în Marea Baltică și de modificare a Regulamentului (UE) 2025/202 în ceea ce privește anumite posibilități de pescuit în alte ape</w:t>
      </w:r>
    </w:p>
    <w:bookmarkEnd w:id="7"/>
    <w:p w:rsidR="002963AE" w:rsidRPr="00931023" w:rsidRDefault="00E66D34">
      <w:pPr>
        <w:pStyle w:val="Institutionquiagit"/>
        <w:rPr>
          <w:noProof/>
        </w:rPr>
      </w:pPr>
      <w:r w:rsidRPr="00931023">
        <w:rPr>
          <w:noProof/>
        </w:rPr>
        <w:t>CONSILIUL UNIUNII EUROPENE,</w:t>
      </w:r>
    </w:p>
    <w:p w:rsidR="002963AE" w:rsidRPr="00931023" w:rsidRDefault="00E66D34">
      <w:pPr>
        <w:rPr>
          <w:noProof/>
        </w:rPr>
      </w:pPr>
      <w:r w:rsidRPr="00931023">
        <w:rPr>
          <w:noProof/>
        </w:rPr>
        <w:t>având în vedere Tratatul privind funcționarea Uniunii Europene, în special articolul 43 alineatul (3),</w:t>
      </w:r>
    </w:p>
    <w:p w:rsidR="002963AE" w:rsidRPr="00931023" w:rsidRDefault="00E66D34">
      <w:pPr>
        <w:rPr>
          <w:noProof/>
        </w:rPr>
      </w:pPr>
      <w:r w:rsidRPr="00931023">
        <w:rPr>
          <w:noProof/>
        </w:rPr>
        <w:t>având în vedere propunerea Comisiei Europene,</w:t>
      </w:r>
    </w:p>
    <w:p w:rsidR="002963AE" w:rsidRPr="00931023" w:rsidRDefault="00E66D34">
      <w:pPr>
        <w:rPr>
          <w:noProof/>
        </w:rPr>
      </w:pPr>
      <w:r w:rsidRPr="00931023">
        <w:rPr>
          <w:noProof/>
        </w:rPr>
        <w:t>întrucât:</w:t>
      </w:r>
    </w:p>
    <w:p w:rsidR="000E3CB5" w:rsidRPr="00931023" w:rsidRDefault="00713351" w:rsidP="00713351">
      <w:pPr>
        <w:pStyle w:val="ManualConsidrant"/>
        <w:rPr>
          <w:noProof/>
        </w:rPr>
      </w:pPr>
      <w:r w:rsidRPr="00713351">
        <w:rPr>
          <w:noProof/>
        </w:rPr>
        <w:t>(1)</w:t>
      </w:r>
      <w:r w:rsidRPr="00713351">
        <w:rPr>
          <w:noProof/>
        </w:rPr>
        <w:tab/>
      </w:r>
      <w:r w:rsidR="000E3CB5" w:rsidRPr="00931023">
        <w:rPr>
          <w:noProof/>
        </w:rPr>
        <w:t>Consiliul trebuie să adopte măsuri privind stabilirea și repartizarea posibilităților de pescuit, inclusiv privind anumite condiții legate funcțional de respectivele posibilități de pescuit. În temeiul articolului 16 alineatul (4) din Regulamentul (UE) nr. 1380/2013 al Parlamentului European și al Consiliului</w:t>
      </w:r>
      <w:r w:rsidR="000E3CB5" w:rsidRPr="00931023">
        <w:rPr>
          <w:rStyle w:val="FootnoteReference"/>
          <w:noProof/>
        </w:rPr>
        <w:footnoteReference w:id="25"/>
      </w:r>
      <w:r w:rsidR="000E3CB5" w:rsidRPr="00931023">
        <w:rPr>
          <w:noProof/>
        </w:rPr>
        <w:t>, posibilitățile de pescuit se stabilesc în conformitate cu obiectivele politicii comune în domeniul pescuitului (PCP) prevăzute la articolul 2 alineatul (2) din regulamentul respectiv. Conform articolului 16 alineatul (1) din Regulamentul (UE) nr. 1380/2013, posibilitățile de pescuit trebuie alocate statelor membre în așa fel încât să se asigure o relativă stabilitate a activităților de pescuit desfășurate de fiecare stat membru pentru fiecare stoc sau activitate de pescuit.</w:t>
      </w:r>
    </w:p>
    <w:p w:rsidR="004162A2" w:rsidRPr="00931023" w:rsidRDefault="00713351" w:rsidP="00713351">
      <w:pPr>
        <w:pStyle w:val="ManualConsidrant"/>
        <w:rPr>
          <w:noProof/>
        </w:rPr>
      </w:pPr>
      <w:r w:rsidRPr="00713351">
        <w:rPr>
          <w:noProof/>
        </w:rPr>
        <w:t>(2)</w:t>
      </w:r>
      <w:r w:rsidRPr="00713351">
        <w:rPr>
          <w:noProof/>
        </w:rPr>
        <w:tab/>
      </w:r>
      <w:r w:rsidR="72980F98" w:rsidRPr="00931023">
        <w:rPr>
          <w:noProof/>
        </w:rPr>
        <w:t>Prin urmare, capturile totale admisibile (TAC) trebuie să fie stabilite, în conformitate cu articolul 3 din Regulamentul (UE) nr. 1380/2013, pe baza avizelor științifice disponibile, ținându-se seama de aspectele biologice și socioeconomice și asigurându-se totodată un tratament echitabil pentru toate sectoarele de pescuit, precum și pe baza opiniilor exprimate cu ocazia consultării părților interesate.</w:t>
      </w:r>
    </w:p>
    <w:p w:rsidR="004162A2" w:rsidRPr="00931023" w:rsidRDefault="00713351" w:rsidP="00713351">
      <w:pPr>
        <w:pStyle w:val="ManualConsidrant"/>
        <w:rPr>
          <w:noProof/>
        </w:rPr>
      </w:pPr>
      <w:r w:rsidRPr="00713351">
        <w:rPr>
          <w:noProof/>
        </w:rPr>
        <w:t>(3)</w:t>
      </w:r>
      <w:r w:rsidRPr="00713351">
        <w:rPr>
          <w:noProof/>
        </w:rPr>
        <w:tab/>
      </w:r>
      <w:r w:rsidR="72980F98" w:rsidRPr="00931023">
        <w:rPr>
          <w:noProof/>
        </w:rPr>
        <w:t>Regulamentul (UE) 2016/1139 al Parlamentului European și al Consiliului</w:t>
      </w:r>
      <w:r w:rsidR="004162A2" w:rsidRPr="00931023">
        <w:rPr>
          <w:rStyle w:val="FootnoteReference"/>
          <w:noProof/>
        </w:rPr>
        <w:footnoteReference w:id="26"/>
      </w:r>
      <w:r w:rsidR="72980F98" w:rsidRPr="00931023">
        <w:rPr>
          <w:noProof/>
        </w:rPr>
        <w:t xml:space="preserve"> stabilește un plan multianual pentru stocurile de cod, hering și șprot din Marea Baltică și pentru activitățile de pescuit care exploatează stocurile respective. În conformitate cu articolul 3 alineatul (1) din regulamentul menționat, acest plan urmărește să contribuie la îndeplinirea obiectivelor PCP enumerate la articolul 2 din Regulamentul (UE) nr. 1380/2013. Planul urmărește, de asemenea, să garanteze că exploatarea resurselor biologice marine reface și menține populațiile de specii exploatate peste nivelurile care permit obținerea producției maxime sustenabile (MSY). De asemenea, planul urmărește să contribuie la garantarea faptului că activitățile de pescuit și de acvacultură asigură condiții de mediu sustenabile pe termen lung și sunt gestionate într-un mod care este coerent cu obiectivul de a realiza beneficii economice, sociale și de ocupare a forței de muncă și cu obiectivul de a contribui la disponibilitatea aprovizionării cu alimente. Printre aceste obiective, astfel cum se specifică la articolul 2 alineatul (5) literele (c) și (f) din Regulamentul (UE) nr. 1380/2013, se numără crearea condițiilor pentru o industrie viabilă și competitivă a pescuitului, a capturării și a prelucrării resurselor piscicole și pentru activități desfășurate pe uscat legate de pescuit viabile și competitive. În plus, acestea urmăresc să asigure un nivel de trai echitabil pentru persoanele care depind de activitățile de pescuit, ținând seama în special de pescuitul costier și de aspectele socioeconomice. </w:t>
      </w:r>
    </w:p>
    <w:p w:rsidR="002F1C13" w:rsidRPr="00931023" w:rsidRDefault="00713351" w:rsidP="00713351">
      <w:pPr>
        <w:pStyle w:val="ManualConsidrant"/>
        <w:rPr>
          <w:noProof/>
          <w:sz w:val="22"/>
        </w:rPr>
      </w:pPr>
      <w:r w:rsidRPr="00713351">
        <w:rPr>
          <w:noProof/>
        </w:rPr>
        <w:t>(4)</w:t>
      </w:r>
      <w:r w:rsidRPr="00713351">
        <w:rPr>
          <w:noProof/>
        </w:rPr>
        <w:tab/>
      </w:r>
      <w:r w:rsidR="0052486F" w:rsidRPr="00931023">
        <w:rPr>
          <w:noProof/>
        </w:rPr>
        <w:t>La 28 mai 2025, Consiliul Internațional pentru Explorarea Apelor Maritime (ICES) și-a publicat avizul anual privind stocurile de pește din Marea Baltică pentru 2026, deși, pentru codul din estul Mării Baltice, ICES și-a reiterat avizul emis pentru 2025. Potrivit ICES, majoritatea activităților de pescuit din Marea Baltică sunt caracterizate, cel puțin într-o anumită măsură, de o amestecare a stocurilor. Această amestecare se referă atât la stocuri care sunt gestionate prin TAC-uri, cât și la stocuri care nu sunt gestionate prin TAC-uri. Gradul cel mai important de amestecare are loc între speciile pelagice și speciile demersale.</w:t>
      </w:r>
    </w:p>
    <w:p w:rsidR="003A002A" w:rsidRPr="00931023" w:rsidRDefault="00713351" w:rsidP="00713351">
      <w:pPr>
        <w:pStyle w:val="ManualConsidrant"/>
        <w:rPr>
          <w:noProof/>
        </w:rPr>
      </w:pPr>
      <w:r w:rsidRPr="00713351">
        <w:rPr>
          <w:noProof/>
        </w:rPr>
        <w:t>(5)</w:t>
      </w:r>
      <w:r w:rsidRPr="00713351">
        <w:rPr>
          <w:noProof/>
        </w:rPr>
        <w:tab/>
      </w:r>
      <w:r w:rsidR="00E44063" w:rsidRPr="00931023">
        <w:rPr>
          <w:noProof/>
        </w:rPr>
        <w:t>Pentru 2026, ICES recomandă capturi zero de hering din vestul Mării Baltice, de cod din estul și vestul Mării Baltice și de somon în subdiviziunile ICES 22-31. Prin urmare, dacă TAC-urile pentru aceste stocuri ar fi stabilite la nivelurile recomandate de ICES, obligația de a debarca integral capturile, inclusiv capturile accidentale din stocurile respective în cadrul activităților de pescuit mixt, ar conduce la fenomenul „speciilor de blocaj”. Codul este capturat în mod accidental în cadrul tuturor activităților de pescuit, heringul din vestul Mării Baltice este capturat în mod accidental în cadrul activităților de pescuit direcționat de șprot, iar somonul poate fi capturat în mod accidental în cadrul a numeroase activități de pescuit. O situație de blocaj ar afecta în special navele care pescuiesc specii de pești plați și pelagici, ceea ce le-ar putea obliga să înceteze operațiunile de pescuit în 2026 și ar duce la o încheiere prematură a acestor activități de pescuit. Pe baza datelor furnizate de Observatorul pieței europene pentru produse provenite din pescuit și din acvacultură, valoarea la prima vânzare a capturilor de cambulă de Baltica, de șprot și de hering relevante permise în limitele TAC-urilor și care ar urma să fie realizate în zona respectivă este estimată la 25 300 000 EUR, la 55 700 000 EUR și, respectiv, la 43 400 000 EUR. Numeroase activități de pescuit, în special cele de pescuit costier la scară mică de specii care nu sunt gestionate prin TAC, ar fi nevoite, de asemenea, să înceteze în 2026. Pentru a se asigura un echilibru între menținerea activităților de pescuit, având în vedere potențialele implicații socioeconomice grave în cazul încetării acestor activități și necesitatea de a atinge o stare biologică bună pentru aceste stocuri și luând în considerare dificultatea de a pescui toate stocurile din cadrul unei activități de pescuit mixt la nivelul MSY, este necesar să se mențină TAC-urile exclusiv pentru capturile accidentale inevitabile de hering din vestul Mării Baltice, de cod din estul Mării Baltice, de cod din vestul Mării Baltice și de somon din bazinul principal.</w:t>
      </w:r>
    </w:p>
    <w:p w:rsidR="003A002A" w:rsidRPr="00931023" w:rsidRDefault="00713351" w:rsidP="00713351">
      <w:pPr>
        <w:pStyle w:val="ManualConsidrant"/>
        <w:rPr>
          <w:noProof/>
        </w:rPr>
      </w:pPr>
      <w:r w:rsidRPr="00713351">
        <w:rPr>
          <w:noProof/>
        </w:rPr>
        <w:t>(6)</w:t>
      </w:r>
      <w:r w:rsidRPr="00713351">
        <w:rPr>
          <w:noProof/>
        </w:rPr>
        <w:tab/>
      </w:r>
      <w:r w:rsidR="003A002A" w:rsidRPr="00931023">
        <w:rPr>
          <w:noProof/>
        </w:rPr>
        <w:t>În ceea ce privește stocul de cod din estul Mării Baltice, ICES a recomandat zero capturi pentru stocul respectiv începând din 2019. Întrucât stocul rămâne în aceeași stare critică, pentru 2026 ICES și-a reiterat avizul emis pentru 2025, în care ICES se arăta încrezător în ceea ce privește tendințele biomasei stocului și estima că biomasa era cu mult sub nivelul de referință pentru conservare (B</w:t>
      </w:r>
      <w:r w:rsidR="003A002A" w:rsidRPr="00931023">
        <w:rPr>
          <w:noProof/>
          <w:vertAlign w:val="subscript"/>
        </w:rPr>
        <w:t>lim</w:t>
      </w:r>
      <w:r w:rsidR="003A002A" w:rsidRPr="00931023">
        <w:rPr>
          <w:noProof/>
        </w:rPr>
        <w:t xml:space="preserve">), sub care capacitatea de reproducere poate fi redusă. Prin urmare, în conformitate cu articolul 3 alineatul (1) din Regulamentul (UE) 2016/1139 și cu articolul 16 alineatul (4) din Regulamentul de bază privind PCP, este necesar să se suspende activitățile de pescuit direcționat și să se adopte măsuri de remediere legate funcțional de acestea. În conformitate cu articolul 2 alineatul (1) și cu articolul 2 alineatul (5) literele (c) și (f) din Regulamentul (UE) nr. 1380/2013, posibilitățile de pescuit pentru capturile accidentale inevitabile trebuie, de asemenea, să fie stabilite la un nivel scăzut, pentru a se evita implicațiile socioeconomice potențial grave care ar rezulta din stabilirea la zero a posibilităților de pescuit. </w:t>
      </w:r>
    </w:p>
    <w:p w:rsidR="00746FE8" w:rsidRPr="00931023" w:rsidRDefault="00713351" w:rsidP="00713351">
      <w:pPr>
        <w:pStyle w:val="ManualConsidrant"/>
        <w:rPr>
          <w:noProof/>
        </w:rPr>
      </w:pPr>
      <w:r w:rsidRPr="00713351">
        <w:rPr>
          <w:noProof/>
        </w:rPr>
        <w:t>(7)</w:t>
      </w:r>
      <w:r w:rsidRPr="00713351">
        <w:rPr>
          <w:noProof/>
        </w:rPr>
        <w:tab/>
      </w:r>
      <w:r w:rsidR="72980F98" w:rsidRPr="00931023">
        <w:rPr>
          <w:noProof/>
        </w:rPr>
        <w:t>În ceea ce privește stocul de cod din vestul Mării Baltice, după ce a recomandat un nivel scăzut de capturi timp de mai mulți ani, ICES recomandă capturi zero pentru 2026 deoarece biomasa stocului este estimată a fi sub nivelul B</w:t>
      </w:r>
      <w:r w:rsidR="72980F98" w:rsidRPr="00931023">
        <w:rPr>
          <w:noProof/>
          <w:vertAlign w:val="subscript"/>
        </w:rPr>
        <w:t>lim</w:t>
      </w:r>
      <w:r w:rsidR="72980F98" w:rsidRPr="00931023">
        <w:rPr>
          <w:noProof/>
        </w:rPr>
        <w:t xml:space="preserve"> în 2025 și nu se întrevede refacerea peste nivelul B</w:t>
      </w:r>
      <w:r w:rsidR="72980F98" w:rsidRPr="00931023">
        <w:rPr>
          <w:noProof/>
          <w:vertAlign w:val="subscript"/>
        </w:rPr>
        <w:t>lim</w:t>
      </w:r>
      <w:r w:rsidR="72980F98" w:rsidRPr="00931023">
        <w:rPr>
          <w:noProof/>
        </w:rPr>
        <w:t xml:space="preserve"> în 2027. Prin urmare, în conformitate cu articolul 3 alineatul (1) din Regulamentul (UE) 2016/1139 și cu articolul 16 alineatul (4) din Regulamentul de bază privind PCP, este necesar să se suspende activitățile de pescuit direcționat și să se adopte măsuri de remediere legate funcțional de acestea. În conformitate cu articolul 2 alineatul (1) și cu articolul 2 alineatul (5) literele (c) și (f) din Regulamentul (UE) nr. 1380/2013, posibilitățile de pescuit pentru capturile accidentale inevitabile trebuie, de asemenea, să fie stabilite la un nivel scăzut, pentru a se evita consecințele socioeconomice care ar rezulta din stabilirea unor posibilități de pescuit egale cu zero. </w:t>
      </w:r>
    </w:p>
    <w:p w:rsidR="00270F04" w:rsidRPr="00931023" w:rsidRDefault="00713351" w:rsidP="00713351">
      <w:pPr>
        <w:pStyle w:val="ManualConsidrant"/>
        <w:rPr>
          <w:noProof/>
        </w:rPr>
      </w:pPr>
      <w:r w:rsidRPr="00713351">
        <w:rPr>
          <w:noProof/>
        </w:rPr>
        <w:t>(8)</w:t>
      </w:r>
      <w:r w:rsidRPr="00713351">
        <w:rPr>
          <w:noProof/>
        </w:rPr>
        <w:tab/>
      </w:r>
      <w:r w:rsidR="174A54BC" w:rsidRPr="00931023">
        <w:rPr>
          <w:noProof/>
        </w:rPr>
        <w:t>În ceea ce privește somonul din subdiviziunile ICES 22-31, ICES și-a menținut avizul de zero capturi, luând în considerare, în același timp, pentru 2026, posibilitatea continuării pe timpul perioadei de vară a activităților de pescuit costier comercial și recreativ direcționat în zona situată la nord de latitudinea 59° 30′ N (subdiviziunile ICES 29 Nord-31). De asemenea, ICES și-a redus și mai mult avizul privind capturile în comparație cu 2025, din cauza incertitudinilor suplimentare cu privire la abundența somonului în râul cu cea mai importantă populație de somon. În plus, ICES menționează că începerea pescuitului abia în luna iunie în subdiviziunea ICES 29 nord și în afara gurii de vărsare a râului Råneälven ar contribui la protejarea în continuare a acestei populații deosebit de fragile de somon sălbatic, precum și a altor populații de somon sălbatic care migrează timpuriu. Totodată, se înregistrează o mortalitate după eliberare a somonului sălbatic în cadrul pescuitului recreativ de somon cu înotătoarea adipoasă tăiată. Prin urmare, în conformitate cu articolul 16 alineatul (4) din Regulamentul de bază privind PCP, este oportun să se stabilească nivelul posibilităților de pescuit, precum și zona și perioada de pescuit în conformitate cu avizul ICES și să se adopte măsuri de remediere legate funcțional de acestea (interdicția de a utiliza paragate și de a pescui păstrăv de mare în afara zonelor costiere; autorizarea pescuitului recreativ numai atunci când pescuitul comercial direcționat este permis).</w:t>
      </w:r>
    </w:p>
    <w:p w:rsidR="00270F04" w:rsidRPr="00931023" w:rsidRDefault="00713351" w:rsidP="00713351">
      <w:pPr>
        <w:pStyle w:val="ManualConsidrant"/>
        <w:rPr>
          <w:noProof/>
        </w:rPr>
      </w:pPr>
      <w:r w:rsidRPr="00713351">
        <w:rPr>
          <w:noProof/>
        </w:rPr>
        <w:t>(9)</w:t>
      </w:r>
      <w:r w:rsidRPr="00713351">
        <w:rPr>
          <w:noProof/>
        </w:rPr>
        <w:tab/>
      </w:r>
      <w:r w:rsidR="00270F04" w:rsidRPr="00931023">
        <w:rPr>
          <w:noProof/>
        </w:rPr>
        <w:t>Pentru a asigura utilizarea deplină a posibilităților de pescuit costier de somon în subdiviziunea ICES 32, este oportun să se mențină flexibilitatea interzonală limitată pentru somon între subdiviziunile ICES 22-31 și subdiviziunea ICES 32.</w:t>
      </w:r>
    </w:p>
    <w:p w:rsidR="00270F04" w:rsidRPr="00931023" w:rsidRDefault="00713351" w:rsidP="00713351">
      <w:pPr>
        <w:pStyle w:val="ManualConsidrant"/>
        <w:rPr>
          <w:noProof/>
        </w:rPr>
      </w:pPr>
      <w:r w:rsidRPr="00713351">
        <w:rPr>
          <w:noProof/>
        </w:rPr>
        <w:t>(10)</w:t>
      </w:r>
      <w:r w:rsidRPr="00713351">
        <w:rPr>
          <w:noProof/>
        </w:rPr>
        <w:tab/>
      </w:r>
      <w:r w:rsidR="000A6D85" w:rsidRPr="00931023">
        <w:rPr>
          <w:noProof/>
        </w:rPr>
        <w:t>Pentru a reduce riscul de raportare eronată a somonului ca păstrăv de mare în cadrul activităților de pescuit de somon, este oportun să se interzică pescuitul de păstrăv de mare dincolo de patru mile marine măsurate de la liniile de bază și să se limiteze capturile accidentale de păstrăv de mare la 3 % din captura combinată de păstrăv de mare și somon.</w:t>
      </w:r>
    </w:p>
    <w:p w:rsidR="00270F04" w:rsidRPr="00931023" w:rsidRDefault="00713351" w:rsidP="00713351">
      <w:pPr>
        <w:pStyle w:val="ManualConsidrant"/>
        <w:rPr>
          <w:noProof/>
        </w:rPr>
      </w:pPr>
      <w:r w:rsidRPr="00713351">
        <w:rPr>
          <w:noProof/>
        </w:rPr>
        <w:t>(11)</w:t>
      </w:r>
      <w:r w:rsidRPr="00713351">
        <w:rPr>
          <w:noProof/>
        </w:rPr>
        <w:tab/>
      </w:r>
      <w:r w:rsidR="00270F04" w:rsidRPr="00931023">
        <w:rPr>
          <w:noProof/>
        </w:rPr>
        <w:t>Măsurile privind pescuitul recreativ de cod și somon și măsurile de conservare a stocurilor de păstrăv de mare și de somon nu trebuie să aducă atingere măsurilor naționale mai stricte adoptate în temeiul articolelor 19 și 20 din Regulamentul (UE) nr. 1380/2013.</w:t>
      </w:r>
    </w:p>
    <w:p w:rsidR="004162A2" w:rsidRPr="00931023" w:rsidRDefault="00713351" w:rsidP="00713351">
      <w:pPr>
        <w:pStyle w:val="ManualConsidrant"/>
        <w:rPr>
          <w:noProof/>
        </w:rPr>
      </w:pPr>
      <w:r w:rsidRPr="00713351">
        <w:rPr>
          <w:noProof/>
        </w:rPr>
        <w:t>(12)</w:t>
      </w:r>
      <w:r w:rsidRPr="00713351">
        <w:rPr>
          <w:noProof/>
        </w:rPr>
        <w:tab/>
      </w:r>
      <w:r w:rsidR="00F85CC7" w:rsidRPr="00931023">
        <w:rPr>
          <w:noProof/>
        </w:rPr>
        <w:t>În ceea ce privește heringul din Golful Botnic, ICES estimează că biomasa a continuat să scadă și se află în prezent la jumătate între nivelul B</w:t>
      </w:r>
      <w:r w:rsidR="00F85CC7" w:rsidRPr="00931023">
        <w:rPr>
          <w:noProof/>
          <w:vertAlign w:val="subscript"/>
        </w:rPr>
        <w:t>lim</w:t>
      </w:r>
      <w:r w:rsidR="00F85CC7" w:rsidRPr="00931023">
        <w:rPr>
          <w:noProof/>
        </w:rPr>
        <w:t xml:space="preserve"> și nivelul de referință pentru conservare (MSY B</w:t>
      </w:r>
      <w:r w:rsidR="00F85CC7" w:rsidRPr="00931023">
        <w:rPr>
          <w:noProof/>
          <w:vertAlign w:val="subscript"/>
        </w:rPr>
        <w:t>trigger</w:t>
      </w:r>
      <w:r w:rsidR="00F85CC7" w:rsidRPr="00931023">
        <w:rPr>
          <w:noProof/>
        </w:rPr>
        <w:t>), nivel sub care trebuie luate măsuri de remediere adecvate pentru a asigura revenirea rapidă a stocului la niveluri peste cele care pot asigura MSY. ICES menționează, de asemenea, incertitudini în ceea ce privește estimarea grupelor de vârstă mică și a raportului greutate-vârstă. În plus, ICES constată în continuare că este puțin probabil să se înregistreze o creștere a proporției de exemplare mature în cadrul populației dacă posibilitățile de pescuit ar fi stabilite la valoarea F</w:t>
      </w:r>
      <w:r w:rsidR="00F85CC7" w:rsidRPr="00931023">
        <w:rPr>
          <w:noProof/>
          <w:vertAlign w:val="subscript"/>
        </w:rPr>
        <w:t>MSY</w:t>
      </w:r>
      <w:r w:rsidR="00F85CC7" w:rsidRPr="00931023">
        <w:rPr>
          <w:noProof/>
        </w:rPr>
        <w:t>. În plus, ICES observă că este probabil ca stocul să fie vulnerabil la pierderea diversității genetice. De asemenea, niciunul dintre scenariile de captură care se încadrează în intervalele F</w:t>
      </w:r>
      <w:r w:rsidR="00F85CC7" w:rsidRPr="00931023">
        <w:rPr>
          <w:noProof/>
          <w:vertAlign w:val="subscript"/>
        </w:rPr>
        <w:t>MSY</w:t>
      </w:r>
      <w:r w:rsidR="00F85CC7" w:rsidRPr="00931023">
        <w:rPr>
          <w:noProof/>
        </w:rPr>
        <w:t xml:space="preserve"> nu garantează că probabilitatea ca biomasa stocului să scadă sub nivelul B</w:t>
      </w:r>
      <w:r w:rsidR="00F85CC7" w:rsidRPr="00931023">
        <w:rPr>
          <w:noProof/>
          <w:vertAlign w:val="subscript"/>
        </w:rPr>
        <w:t>lim</w:t>
      </w:r>
      <w:r w:rsidR="00F85CC7" w:rsidRPr="00931023">
        <w:rPr>
          <w:noProof/>
        </w:rPr>
        <w:t xml:space="preserve"> în 2027 este mai mică de 5 %. În plus, chiar și în lipsa pescuitului, se preconizează că probabilitatea ca stocul să se redreseze peste MSY B</w:t>
      </w:r>
      <w:r w:rsidR="00F85CC7" w:rsidRPr="00931023">
        <w:rPr>
          <w:noProof/>
          <w:vertAlign w:val="subscript"/>
        </w:rPr>
        <w:t>trigger</w:t>
      </w:r>
      <w:r w:rsidR="00F85CC7" w:rsidRPr="00931023">
        <w:rPr>
          <w:noProof/>
        </w:rPr>
        <w:t xml:space="preserve"> în 2027 este de numai 30 %. Prin urmare, în conformitate cu articolul 4 alineatul (6) și cu articolul 5 alineatul (1) din Regulamentul (UE) 2016/1139, este oportun să se stabilească posibilitățile de pescuit în consecință și să se stabilească, ca măsură de remediere legată funcțional de acestea, o perioadă de închidere de trei luni a zonei de reproducere.</w:t>
      </w:r>
    </w:p>
    <w:p w:rsidR="00270F04" w:rsidRPr="00931023" w:rsidRDefault="00713351" w:rsidP="00713351">
      <w:pPr>
        <w:pStyle w:val="ManualConsidrant"/>
        <w:rPr>
          <w:noProof/>
        </w:rPr>
      </w:pPr>
      <w:r w:rsidRPr="00713351">
        <w:rPr>
          <w:noProof/>
        </w:rPr>
        <w:t>(13)</w:t>
      </w:r>
      <w:r w:rsidRPr="00713351">
        <w:rPr>
          <w:noProof/>
        </w:rPr>
        <w:tab/>
      </w:r>
      <w:r w:rsidR="00E62428" w:rsidRPr="00931023">
        <w:rPr>
          <w:noProof/>
        </w:rPr>
        <w:t>În ceea ce privește heringul din vestul Mării Baltice, ICES recomandă capturi zero pentru stocul respectiv pentru al optulea an consecutiv. La fel ca în 2024, ICES a revizuit estimările privind biomasa în sens descrescător pentru anii precedenți și estimează că biomasa este de doar 52 % din B</w:t>
      </w:r>
      <w:r w:rsidR="00E62428" w:rsidRPr="00931023">
        <w:rPr>
          <w:noProof/>
          <w:vertAlign w:val="subscript"/>
        </w:rPr>
        <w:t>lim</w:t>
      </w:r>
      <w:r w:rsidR="00E62428" w:rsidRPr="00931023">
        <w:rPr>
          <w:noProof/>
        </w:rPr>
        <w:t xml:space="preserve"> în 2025, chiar dacă a crescut continuu din 2021. În plus, refacerea stocurilor de adulți rămâne la niveluri minime istorice și nu se preconizează o refacere a biomasei peste nivelul B</w:t>
      </w:r>
      <w:r w:rsidR="00E62428" w:rsidRPr="00931023">
        <w:rPr>
          <w:noProof/>
          <w:vertAlign w:val="subscript"/>
        </w:rPr>
        <w:t>lim</w:t>
      </w:r>
      <w:r w:rsidR="00E62428" w:rsidRPr="00931023">
        <w:rPr>
          <w:noProof/>
        </w:rPr>
        <w:t xml:space="preserve"> în 2027. Prin urmare, în conformitate cu articolul 4 alineatul (6) și cu articolul 5 alineatul (2) din Regulamentul (UE) 2016/1139, este oportun să se suspende activitățile de pescuit direcționat și să se suspende excepția pentru micii pescari. În conformitate cu articolul 2 alineatul (1) și cu articolul 2 alineatul (5) literele (c) și (f) din Regulamentul (UE) nr. 1380/2013, posibilitățile de pescuit pentru capturile accidentale inevitabile trebuie, de asemenea, să fie stabilite la un nivel scăzut, pentru a se evita consecințele socioeconomice care ar rezulta din stabilirea posibilităților de pescuit la nivelul zero. </w:t>
      </w:r>
    </w:p>
    <w:p w:rsidR="00593A7A" w:rsidRPr="00931023" w:rsidRDefault="00713351" w:rsidP="00713351">
      <w:pPr>
        <w:pStyle w:val="ManualConsidrant"/>
        <w:rPr>
          <w:noProof/>
        </w:rPr>
      </w:pPr>
      <w:r w:rsidRPr="00713351">
        <w:rPr>
          <w:noProof/>
        </w:rPr>
        <w:t>(14)</w:t>
      </w:r>
      <w:r w:rsidRPr="00713351">
        <w:rPr>
          <w:noProof/>
        </w:rPr>
        <w:tab/>
      </w:r>
      <w:r w:rsidR="22A956AC" w:rsidRPr="00931023">
        <w:rPr>
          <w:noProof/>
        </w:rPr>
        <w:t>În ceea ce privește heringul din zona centrală a Mării Baltice, ICES estimează că, în cea mai mare parte a ultimilor 30 de ani, stocul s-a situat sub nivelul B</w:t>
      </w:r>
      <w:r w:rsidR="22A956AC" w:rsidRPr="00931023">
        <w:rPr>
          <w:noProof/>
          <w:vertAlign w:val="subscript"/>
        </w:rPr>
        <w:t>lim</w:t>
      </w:r>
      <w:r w:rsidR="22A956AC" w:rsidRPr="00931023">
        <w:rPr>
          <w:noProof/>
        </w:rPr>
        <w:t>. ICES estimează că, în urma creșterii raportului greutate-vârstă și a gradului mai puternic de refacere a stocului de adulți în 2022, stocul s-a situat peste nivelul B</w:t>
      </w:r>
      <w:r w:rsidR="22A956AC" w:rsidRPr="00931023">
        <w:rPr>
          <w:noProof/>
          <w:vertAlign w:val="subscript"/>
        </w:rPr>
        <w:t>lim</w:t>
      </w:r>
      <w:r w:rsidR="22A956AC" w:rsidRPr="00931023">
        <w:rPr>
          <w:noProof/>
        </w:rPr>
        <w:t xml:space="preserve"> începând din 2024, dar că acesta este încă mult sub nivelul MSY B</w:t>
      </w:r>
      <w:r w:rsidR="22A956AC" w:rsidRPr="00931023">
        <w:rPr>
          <w:noProof/>
          <w:vertAlign w:val="subscript"/>
        </w:rPr>
        <w:t>trigger</w:t>
      </w:r>
      <w:r w:rsidR="22A956AC" w:rsidRPr="00931023">
        <w:rPr>
          <w:noProof/>
        </w:rPr>
        <w:t xml:space="preserve">. ICES estimează că refacerea stocului de adulți în 2024 și 2025 ar putea fi puternică, </w:t>
      </w:r>
      <w:bookmarkStart w:id="8" w:name="_Hlk201076154"/>
      <w:r w:rsidR="22A956AC" w:rsidRPr="00931023">
        <w:rPr>
          <w:noProof/>
        </w:rPr>
        <w:t>dar subliniază că aceste estimări sunt incerte.</w:t>
      </w:r>
      <w:bookmarkEnd w:id="8"/>
      <w:r w:rsidR="22A956AC" w:rsidRPr="00931023">
        <w:rPr>
          <w:noProof/>
        </w:rPr>
        <w:t xml:space="preserve"> Refacerea stocului de adulți în 2023 este sub medie. În plus, ICES reamintește că raportarea eronată continuă a speciilor sporește incertitudinea avizului. De asemenea, niciunul dintre scenariile de captură care se încadrează în intervalele F</w:t>
      </w:r>
      <w:r w:rsidR="22A956AC" w:rsidRPr="00931023">
        <w:rPr>
          <w:noProof/>
          <w:vertAlign w:val="subscript"/>
        </w:rPr>
        <w:t>MSY</w:t>
      </w:r>
      <w:r w:rsidR="22A956AC" w:rsidRPr="00931023">
        <w:rPr>
          <w:noProof/>
        </w:rPr>
        <w:t xml:space="preserve"> nu garantează că probabilitatea ca biomasa stocului să scadă sub nivelul B</w:t>
      </w:r>
      <w:r w:rsidR="22A956AC" w:rsidRPr="00931023">
        <w:rPr>
          <w:noProof/>
          <w:vertAlign w:val="subscript"/>
        </w:rPr>
        <w:t>lim</w:t>
      </w:r>
      <w:r w:rsidR="22A956AC" w:rsidRPr="00931023">
        <w:rPr>
          <w:noProof/>
        </w:rPr>
        <w:t xml:space="preserve"> în 2027 este mai mică de 5 %. În plus, probabilitatea ca stocul să se mențină sub nivelul MSY B</w:t>
      </w:r>
      <w:r w:rsidR="22A956AC" w:rsidRPr="00931023">
        <w:rPr>
          <w:noProof/>
          <w:vertAlign w:val="subscript"/>
        </w:rPr>
        <w:t>trigger</w:t>
      </w:r>
      <w:r w:rsidR="22A956AC" w:rsidRPr="00931023">
        <w:rPr>
          <w:noProof/>
        </w:rPr>
        <w:t xml:space="preserve"> în 2027 este în continuare de 52 %, chiar și în absența totală a pescuitului și asta în pofida previziunilor pozitive. Prin urmare, în conformitate cu articolul 4 alineatul (4) și cu articolul 5 alineatul (1) din Regulamentul (UE) 2016/1139, este oportun să se stabilească posibilitățile de pescuit în consecință și să se stabilească, ca măsură de remediere legată funcțional de acestea, o perioadă de închidere de trei luni a zonei de reproducere.</w:t>
      </w:r>
    </w:p>
    <w:p w:rsidR="00BE672F" w:rsidRPr="00931023" w:rsidRDefault="00713351" w:rsidP="00713351">
      <w:pPr>
        <w:pStyle w:val="ManualConsidrant"/>
        <w:rPr>
          <w:noProof/>
        </w:rPr>
      </w:pPr>
      <w:r w:rsidRPr="00713351">
        <w:rPr>
          <w:noProof/>
        </w:rPr>
        <w:t>(15)</w:t>
      </w:r>
      <w:r w:rsidRPr="00713351">
        <w:rPr>
          <w:noProof/>
        </w:rPr>
        <w:tab/>
      </w:r>
      <w:r w:rsidR="00AC5545" w:rsidRPr="00931023">
        <w:rPr>
          <w:noProof/>
        </w:rPr>
        <w:t>În ceea ce privește heringul din Golful Riga și cambula de Baltica, ICES estimează că biomasa se situează peste nivelul MSY B</w:t>
      </w:r>
      <w:r w:rsidR="00AC5545" w:rsidRPr="00931023">
        <w:rPr>
          <w:noProof/>
          <w:vertAlign w:val="subscript"/>
        </w:rPr>
        <w:t>trigger</w:t>
      </w:r>
      <w:r w:rsidR="00AC5545" w:rsidRPr="00931023">
        <w:rPr>
          <w:noProof/>
        </w:rPr>
        <w:t>, iar presiunea exercitată de pescuit asupra stocurilor se află sub nivelul F</w:t>
      </w:r>
      <w:r w:rsidR="00AC5545" w:rsidRPr="00931023">
        <w:rPr>
          <w:noProof/>
          <w:vertAlign w:val="subscript"/>
        </w:rPr>
        <w:t>MSY</w:t>
      </w:r>
      <w:r w:rsidR="00AC5545" w:rsidRPr="00931023">
        <w:rPr>
          <w:rStyle w:val="FootnoteReference"/>
          <w:noProof/>
          <w:vertAlign w:val="baseline"/>
        </w:rPr>
        <w:t>.</w:t>
      </w:r>
      <w:r w:rsidR="00AC5545" w:rsidRPr="00931023">
        <w:rPr>
          <w:noProof/>
        </w:rPr>
        <w:t xml:space="preserve"> Prin urmare, în conformitate cu articolul 4 alineatul (3) din Regulamentul (UE) 2016/1139, este oportun să se stabilească posibilitățile de pescuit în consecință.</w:t>
      </w:r>
    </w:p>
    <w:p w:rsidR="00581D64" w:rsidRPr="00931023" w:rsidRDefault="00713351" w:rsidP="00713351">
      <w:pPr>
        <w:pStyle w:val="ManualConsidrant"/>
        <w:rPr>
          <w:noProof/>
        </w:rPr>
      </w:pPr>
      <w:r w:rsidRPr="00713351">
        <w:rPr>
          <w:noProof/>
        </w:rPr>
        <w:t>(16)</w:t>
      </w:r>
      <w:r w:rsidRPr="00713351">
        <w:rPr>
          <w:noProof/>
        </w:rPr>
        <w:tab/>
      </w:r>
      <w:r w:rsidR="00AC5545" w:rsidRPr="00931023">
        <w:rPr>
          <w:noProof/>
        </w:rPr>
        <w:t>În ceea ce privește șprotul, ICES estimează că, deși biomasa se situează în continuare peste nivelul MSY B</w:t>
      </w:r>
      <w:r w:rsidR="00AC5545" w:rsidRPr="00931023">
        <w:rPr>
          <w:noProof/>
          <w:vertAlign w:val="subscript"/>
        </w:rPr>
        <w:t>trigger</w:t>
      </w:r>
      <w:r w:rsidR="00AC5545" w:rsidRPr="00931023">
        <w:rPr>
          <w:noProof/>
        </w:rPr>
        <w:t>, aceasta a continuat să scadă din cauza nivelului minim istoric confirmat al refacerii stocurilor de adulți din perioada 2021-2023. Se estimează că biomasa va fi în 2025 la cel mai scăzut nivel de după 1990 și aproape de MSY B</w:t>
      </w:r>
      <w:r w:rsidR="00AC5545" w:rsidRPr="00931023">
        <w:rPr>
          <w:noProof/>
          <w:vertAlign w:val="subscript"/>
        </w:rPr>
        <w:t>trigger</w:t>
      </w:r>
      <w:r w:rsidR="00AC5545" w:rsidRPr="00931023">
        <w:rPr>
          <w:noProof/>
        </w:rPr>
        <w:t xml:space="preserve">. ICES estimează că refacerea stocului de adulți în 2024 ar putea fi excepțional de ridicată, dar subliniază că estimarea este incertă și că probabilitatea ca biomasa să se situeze sub nivelurile de referință pentru conservare ar putea fi subestimată. În plus, ICES reamintește că raportarea eronată continuă a speciilor sporește incertitudinea avizului. Prin urmare, în conformitate cu articolul 4 alineatul (4) din Regulamentul (UE) 2016/1139, este oportun să se stabilească posibilitățile de pescuit în consecință. În conformitate cu articolul 16 alineatul (4) din Regulamentul (UE) nr. 1380/2013, Comisia propune, de asemenea, menținerea perioadei existente de închidere de trei luni a zonei de reproducere. </w:t>
      </w:r>
    </w:p>
    <w:p w:rsidR="004162A2" w:rsidRPr="00931023" w:rsidRDefault="00713351" w:rsidP="00713351">
      <w:pPr>
        <w:pStyle w:val="ManualConsidrant"/>
        <w:rPr>
          <w:noProof/>
        </w:rPr>
      </w:pPr>
      <w:r w:rsidRPr="00713351">
        <w:rPr>
          <w:noProof/>
        </w:rPr>
        <w:t>(17)</w:t>
      </w:r>
      <w:r w:rsidRPr="00713351">
        <w:rPr>
          <w:noProof/>
        </w:rPr>
        <w:tab/>
      </w:r>
      <w:r w:rsidR="72980F98" w:rsidRPr="00931023">
        <w:rPr>
          <w:noProof/>
        </w:rPr>
        <w:t>Utilizarea posibilităților de pescuit prevăzute în prezentul regulament va fi monitorizată și controlată în conformitate cu Regulamentul (CE) nr. 1224/2009 al Consiliului</w:t>
      </w:r>
      <w:r w:rsidR="004162A2" w:rsidRPr="00931023">
        <w:rPr>
          <w:rStyle w:val="FootnoteReference"/>
          <w:noProof/>
        </w:rPr>
        <w:footnoteReference w:id="27"/>
      </w:r>
      <w:r w:rsidR="72980F98" w:rsidRPr="00931023">
        <w:rPr>
          <w:noProof/>
        </w:rPr>
        <w:t>, în special cu articolele 33 și 34 din respectivul regulament, referitoare la înregistrarea capturilor și a efortului de pescuit și la transmiterea datelor privind epuizarea posibilităților de pescuit către Comisie. Prin urmare, este necesar să se precizeze codurile utilizate de statele membre atunci când transmit Comisiei date cu privire la debarcarea stocurilor care fac obiectul prezentului regulament.</w:t>
      </w:r>
    </w:p>
    <w:p w:rsidR="004162A2" w:rsidRPr="00931023" w:rsidRDefault="00713351" w:rsidP="00713351">
      <w:pPr>
        <w:pStyle w:val="ManualConsidrant"/>
        <w:rPr>
          <w:noProof/>
        </w:rPr>
      </w:pPr>
      <w:r w:rsidRPr="00713351">
        <w:rPr>
          <w:noProof/>
        </w:rPr>
        <w:t>(18)</w:t>
      </w:r>
      <w:r w:rsidRPr="00713351">
        <w:rPr>
          <w:noProof/>
        </w:rPr>
        <w:tab/>
      </w:r>
      <w:r w:rsidR="00111901" w:rsidRPr="00931023">
        <w:rPr>
          <w:noProof/>
        </w:rPr>
        <w:t>La articolele 3 și 4 din Regulamentul (CE) nr. 847/96 al Consiliului</w:t>
      </w:r>
      <w:r w:rsidR="004162A2" w:rsidRPr="00931023">
        <w:rPr>
          <w:rStyle w:val="FootnoteReference"/>
          <w:noProof/>
        </w:rPr>
        <w:footnoteReference w:id="28"/>
      </w:r>
      <w:r w:rsidR="00111901" w:rsidRPr="00931023">
        <w:rPr>
          <w:noProof/>
        </w:rPr>
        <w:t xml:space="preserve"> se prevede o flexibilitate de la an la an în ceea ce privește cotele pentru stocurile care fac obiectul atât al unor TAC de precauție, cât și al unor TAC analitice. În temeiul articolului 2 din regulamentul respectiv, atunci când stabilește TAC-urile, Consiliul decide cu privire la stocurile cărora nu li se aplică articolele 3 și 4, în special în funcție de starea lor biologică, deoarece acest mecanism conduce la niveluri ale cotelor disponibile într-un anumit an care depășesc cotele stabilite inițial pentru anul respectiv. Până în prezent, aceste articole nu s-au aplicat stocurilor cu o biomasă sub nivelul B</w:t>
      </w:r>
      <w:r w:rsidR="00111901" w:rsidRPr="00931023">
        <w:rPr>
          <w:noProof/>
          <w:vertAlign w:val="subscript"/>
        </w:rPr>
        <w:t>lim</w:t>
      </w:r>
      <w:r w:rsidR="00111901" w:rsidRPr="00931023">
        <w:rPr>
          <w:noProof/>
        </w:rPr>
        <w:t>. Dată fiind situația fragilă a ecosistemului Mării Baltice și a stocurilor sale de pește, este, de asemenea, adecvat ca aceste articole să nu se aplice stocurilor cu o biomasă între B</w:t>
      </w:r>
      <w:r w:rsidR="00111901" w:rsidRPr="00931023">
        <w:rPr>
          <w:noProof/>
          <w:vertAlign w:val="subscript"/>
        </w:rPr>
        <w:t>lim</w:t>
      </w:r>
      <w:r w:rsidR="00111901" w:rsidRPr="00931023">
        <w:rPr>
          <w:noProof/>
        </w:rPr>
        <w:t xml:space="preserve"> și MSY B</w:t>
      </w:r>
      <w:r w:rsidR="00111901" w:rsidRPr="00931023">
        <w:rPr>
          <w:noProof/>
          <w:vertAlign w:val="subscript"/>
        </w:rPr>
        <w:t>trigger</w:t>
      </w:r>
      <w:r w:rsidR="00111901" w:rsidRPr="00931023">
        <w:rPr>
          <w:noProof/>
        </w:rPr>
        <w:t>. În plus, la articolul 15 alineatul (9) din Regulamentul (UE) nr. 1380/2013 se prevede o flexibilitate de la an la an suplimentară pentru toate stocurile care fac obiectul obligației de debarcare. Pentru a se evita o flexibilitate excesivă care ar submina realizarea obiectivelor PCP, flexibilitatea de la an la an în ceea ce privește cotele în temeiul articolelor 3 și 4 din Regulamentul (CE) nr. 847/96 și al articolului 15 alineatul (9) din Regulamentul (UE) nr. 1380/2013 nu trebuie să se aplice cumulativ. Flexibilitatea de la an la an prevăzută la articolul 15 alineatul (9) din Regulamentul (UE) nr. 1380/2013 trebuie, după caz, să fie exclusă în funcție de starea biologică a stocurilor.</w:t>
      </w:r>
    </w:p>
    <w:p w:rsidR="004162A2" w:rsidRPr="00931023" w:rsidRDefault="00713351" w:rsidP="00713351">
      <w:pPr>
        <w:pStyle w:val="ManualConsidrant"/>
        <w:rPr>
          <w:noProof/>
        </w:rPr>
      </w:pPr>
      <w:r w:rsidRPr="00713351">
        <w:rPr>
          <w:noProof/>
        </w:rPr>
        <w:t>(19)</w:t>
      </w:r>
      <w:r w:rsidRPr="00713351">
        <w:rPr>
          <w:noProof/>
        </w:rPr>
        <w:tab/>
      </w:r>
      <w:r w:rsidR="001D386D" w:rsidRPr="00931023">
        <w:rPr>
          <w:noProof/>
        </w:rPr>
        <w:t>Biomasa stocurilor de cod din estul Mării Baltice, de cod din vestul Mării Baltice și de hering din vestul Mării Baltice se situează sub nivelul B</w:t>
      </w:r>
      <w:r w:rsidR="001D386D" w:rsidRPr="00931023">
        <w:rPr>
          <w:noProof/>
          <w:vertAlign w:val="subscript"/>
        </w:rPr>
        <w:t>lim</w:t>
      </w:r>
      <w:r w:rsidR="001D386D" w:rsidRPr="00931023">
        <w:rPr>
          <w:noProof/>
        </w:rPr>
        <w:t>. Pentru toate aceste stocuri, în 2026 sunt permise numai capturile accidentale și activități de pescuit în scop științific. Biomasa heringului din Golful Botnic și a heringului din zona centrală a Mării Baltice este cu mult sub MSY B</w:t>
      </w:r>
      <w:r w:rsidR="001D386D" w:rsidRPr="00931023">
        <w:rPr>
          <w:noProof/>
          <w:vertAlign w:val="subscript"/>
        </w:rPr>
        <w:t>trigger</w:t>
      </w:r>
      <w:r w:rsidR="001D386D" w:rsidRPr="00931023">
        <w:rPr>
          <w:noProof/>
        </w:rPr>
        <w:t xml:space="preserve">. Prin urmare, având în vedere reziliența relativ scăzută a ecosistemului Mării Baltice, statele membre care au o cotă din TAC-urile relevante s-au angajat să nu aplice flexibilitatea de la an la an prevăzută la articolul 15 alineatul (9) din Regulamentul (UE) nr. 1380/2013 pentru stocurile respective în 2026, astfel încât capturile din 2026 să nu depășească TAC-urile relevante. În plus, la sud de latitudinea </w:t>
      </w:r>
      <w:bookmarkStart w:id="9" w:name="_Hlk169260453"/>
      <w:r w:rsidR="001D386D" w:rsidRPr="00931023">
        <w:rPr>
          <w:noProof/>
        </w:rPr>
        <w:t>59° 30′ N</w:t>
      </w:r>
      <w:bookmarkEnd w:id="9"/>
      <w:r w:rsidR="001D386D" w:rsidRPr="00931023">
        <w:rPr>
          <w:noProof/>
        </w:rPr>
        <w:t>, biomasa a aproape tuturor stocurilor de somon din râuri se situează sub nivelul-limită de referință pentru producția de somon tânăr (R</w:t>
      </w:r>
      <w:r w:rsidR="001D386D" w:rsidRPr="00931023">
        <w:rPr>
          <w:noProof/>
          <w:vertAlign w:val="subscript"/>
        </w:rPr>
        <w:t>lim</w:t>
      </w:r>
      <w:r w:rsidR="001D386D" w:rsidRPr="00931023">
        <w:rPr>
          <w:noProof/>
        </w:rPr>
        <w:t>) și numai capturile accidentale și activitățile de pescuit în scop științific sunt permise în 2026. Prin urmare, statele membre în cauză și-au asumat un angajament similar privind flexibilitatea de la an la an în ceea ce privește capturile de somon din bazinul principal în 2026.</w:t>
      </w:r>
    </w:p>
    <w:p w:rsidR="004162A2" w:rsidRPr="00931023" w:rsidRDefault="00713351" w:rsidP="00713351">
      <w:pPr>
        <w:pStyle w:val="ManualConsidrant"/>
        <w:rPr>
          <w:noProof/>
        </w:rPr>
      </w:pPr>
      <w:r w:rsidRPr="00713351">
        <w:rPr>
          <w:noProof/>
        </w:rPr>
        <w:t>(20)</w:t>
      </w:r>
      <w:r w:rsidRPr="00713351">
        <w:rPr>
          <w:noProof/>
        </w:rPr>
        <w:tab/>
      </w:r>
      <w:r w:rsidR="7851E69E" w:rsidRPr="00931023">
        <w:rPr>
          <w:noProof/>
        </w:rPr>
        <w:t>[</w:t>
      </w:r>
      <w:r w:rsidR="7851E69E" w:rsidRPr="00931023">
        <w:rPr>
          <w:i/>
          <w:noProof/>
        </w:rPr>
        <w:t>spațiu rezervat pentru merluciul norvegian:</w:t>
      </w:r>
      <w:r w:rsidR="7851E69E" w:rsidRPr="00931023">
        <w:rPr>
          <w:noProof/>
        </w:rPr>
        <w:t xml:space="preserve"> Uniunea și Regatul Unit au organizat, la [XX] octombrie 2025, consultări bilaterale cu privire la TAC pentru merluciul norvegian în diviziunea ICES 3a (Skagerrak-Kattegat), în apele Regatului Unit și în apele Uniunii din subzona ICES 4 și în apele Regatului Unit din diviziunea ICES 2a (Marea Nordului) pentru perioada 1 noiembrie 2025-31 octombrie 2026. Consultările respective au avut loc în temeiul articolului 498 alineatul (2) din Acordul comercial și de cooperare între Uniunea Europeană și Comunitatea Europeană a Energiei Atomice, pe de o parte, și Regatul Unit al Marii Britanii și Irlandei de Nord, pe de altă parte</w:t>
      </w:r>
      <w:r w:rsidR="00494753" w:rsidRPr="00931023">
        <w:rPr>
          <w:rStyle w:val="FootnoteReference"/>
          <w:noProof/>
        </w:rPr>
        <w:footnoteReference w:id="29"/>
      </w:r>
      <w:r w:rsidR="7851E69E" w:rsidRPr="00931023">
        <w:rPr>
          <w:noProof/>
        </w:rPr>
        <w:t>. Uniunea a participat la consultările respective pe baza specificării poziției Uniunii care a fost aprobată de Consiliu la [XX] octombrie 2025, în temeiul articolului 2 din Decizia (UE) 2021/1875 a Consiliului</w:t>
      </w:r>
      <w:r w:rsidR="006F5D22" w:rsidRPr="00931023">
        <w:rPr>
          <w:rStyle w:val="FootnoteReference"/>
          <w:noProof/>
        </w:rPr>
        <w:footnoteReference w:id="30"/>
      </w:r>
      <w:r w:rsidR="7851E69E" w:rsidRPr="00931023">
        <w:rPr>
          <w:noProof/>
        </w:rPr>
        <w:t xml:space="preserve">. Uniunea și Regatul Unit au convenit asupra unei TAC pe baza avizului ICES pentru merluciul norvegian din subzona ICES 4 și din diviziunea ICES 3a pentru perioada respectivă, publicat la [XX] octombrie 2025. Rezultatul consultărilor a fost consemnat într-un proces-verbal care a fost semnat de șeful delegației Uniunii și de șeful delegației Regatului Unit la [XX] octombrie 2025. Prin urmare, TAC pentru perioada 1 noiembrie 2025-31 octombrie 2026 ar trebui stabilită la nivelul indicat în respectivul proces-verbal.] </w:t>
      </w:r>
    </w:p>
    <w:p w:rsidR="004162A2" w:rsidRPr="00931023" w:rsidRDefault="00713351" w:rsidP="00713351">
      <w:pPr>
        <w:pStyle w:val="ManualConsidrant"/>
        <w:rPr>
          <w:noProof/>
        </w:rPr>
      </w:pPr>
      <w:r w:rsidRPr="00713351">
        <w:rPr>
          <w:noProof/>
        </w:rPr>
        <w:t>(21)</w:t>
      </w:r>
      <w:r w:rsidRPr="00713351">
        <w:rPr>
          <w:noProof/>
        </w:rPr>
        <w:tab/>
      </w:r>
      <w:r w:rsidR="7851E69E" w:rsidRPr="00931023">
        <w:rPr>
          <w:noProof/>
        </w:rPr>
        <w:t>[spațiu rezervat pentru alte eventuale modificări aduse Regulamentului (UE) 2025/202 al Consiliului].</w:t>
      </w:r>
    </w:p>
    <w:p w:rsidR="007811AE" w:rsidRPr="00931023" w:rsidRDefault="00713351" w:rsidP="00713351">
      <w:pPr>
        <w:pStyle w:val="ManualConsidrant"/>
        <w:rPr>
          <w:noProof/>
        </w:rPr>
      </w:pPr>
      <w:r w:rsidRPr="00713351">
        <w:rPr>
          <w:noProof/>
        </w:rPr>
        <w:t>(22)</w:t>
      </w:r>
      <w:r w:rsidRPr="00713351">
        <w:rPr>
          <w:noProof/>
        </w:rPr>
        <w:tab/>
      </w:r>
      <w:r w:rsidR="4910A489" w:rsidRPr="00931023">
        <w:rPr>
          <w:noProof/>
        </w:rPr>
        <w:t>Prin urmare, Regulamentul (UE) 2025/202</w:t>
      </w:r>
      <w:r w:rsidR="002E79F0" w:rsidRPr="00931023">
        <w:rPr>
          <w:rStyle w:val="FootnoteReference"/>
          <w:noProof/>
        </w:rPr>
        <w:footnoteReference w:id="31"/>
      </w:r>
      <w:r w:rsidR="4910A489" w:rsidRPr="00931023">
        <w:rPr>
          <w:noProof/>
        </w:rPr>
        <w:t xml:space="preserve"> ar trebui să fie modificat în consecință.</w:t>
      </w:r>
    </w:p>
    <w:p w:rsidR="004162A2" w:rsidRPr="00931023" w:rsidRDefault="00713351" w:rsidP="00713351">
      <w:pPr>
        <w:pStyle w:val="ManualConsidrant"/>
        <w:rPr>
          <w:noProof/>
        </w:rPr>
      </w:pPr>
      <w:r w:rsidRPr="00713351">
        <w:rPr>
          <w:noProof/>
        </w:rPr>
        <w:t>(23)</w:t>
      </w:r>
      <w:r w:rsidRPr="00713351">
        <w:rPr>
          <w:noProof/>
        </w:rPr>
        <w:tab/>
      </w:r>
      <w:r w:rsidR="4910A489" w:rsidRPr="00931023">
        <w:rPr>
          <w:noProof/>
        </w:rPr>
        <w:t xml:space="preserve">Pentru a se evita întreruperea activităților de pescuit și pentru a se garanta mijloacele de subzistență pentru pescari, dispozițiile prezentului regulament în ceea privește Marea Baltică ar trebui să se aplice de la 1 ianuarie 2026. Cu toate acestea, dispozițiile referitoare la merluciul norvegian din Skagerrak-Kattegat și din Marea Nordului trebuie să se aplice retroactiv de la 1 noiembrie 2025 până la 31 octombrie 2026, deoarece acesta este sezonul de pescuit pentru merluciul norvegian. Din motive de urgență, prezentul regulament ar trebui să intre în vigoare imediat după publicarea sa în </w:t>
      </w:r>
      <w:r w:rsidR="4910A489" w:rsidRPr="00931023">
        <w:rPr>
          <w:i/>
          <w:noProof/>
        </w:rPr>
        <w:t>Jurnalul Oficial al Uniunii Europene</w:t>
      </w:r>
      <w:r w:rsidR="4910A489" w:rsidRPr="00931023">
        <w:rPr>
          <w:noProof/>
        </w:rPr>
        <w:t>,</w:t>
      </w:r>
    </w:p>
    <w:p w:rsidR="002963AE" w:rsidRPr="00931023" w:rsidRDefault="00E66D34">
      <w:pPr>
        <w:pStyle w:val="Formuledadoption"/>
        <w:rPr>
          <w:noProof/>
        </w:rPr>
      </w:pPr>
      <w:r w:rsidRPr="00931023">
        <w:rPr>
          <w:noProof/>
        </w:rPr>
        <w:t>ADOPTĂ PREZENTUL REGULAMENT:</w:t>
      </w:r>
    </w:p>
    <w:p w:rsidR="002963AE" w:rsidRPr="00931023" w:rsidRDefault="00E66D34" w:rsidP="00D12122">
      <w:pPr>
        <w:pStyle w:val="ChapterTitle"/>
        <w:rPr>
          <w:noProof/>
        </w:rPr>
      </w:pPr>
      <w:r w:rsidRPr="00931023">
        <w:rPr>
          <w:noProof/>
        </w:rPr>
        <w:t xml:space="preserve">CAPITOLUL I </w:t>
      </w:r>
      <w:r w:rsidRPr="00931023">
        <w:rPr>
          <w:noProof/>
        </w:rPr>
        <w:br/>
        <w:t xml:space="preserve">DISPOZIȚII GENERALE </w:t>
      </w:r>
    </w:p>
    <w:p w:rsidR="002963AE" w:rsidRPr="00931023" w:rsidRDefault="00E66D34" w:rsidP="00D12122">
      <w:pPr>
        <w:pStyle w:val="Titrearticle"/>
        <w:rPr>
          <w:noProof/>
        </w:rPr>
      </w:pPr>
      <w:r w:rsidRPr="00931023">
        <w:rPr>
          <w:noProof/>
        </w:rPr>
        <w:t xml:space="preserve">Articolul 1 </w:t>
      </w:r>
      <w:r w:rsidRPr="00931023">
        <w:rPr>
          <w:noProof/>
        </w:rPr>
        <w:br/>
      </w:r>
      <w:r w:rsidRPr="00931023">
        <w:rPr>
          <w:b/>
          <w:i w:val="0"/>
          <w:noProof/>
        </w:rPr>
        <w:t xml:space="preserve">Obiect </w:t>
      </w:r>
    </w:p>
    <w:p w:rsidR="002963AE" w:rsidRPr="00931023" w:rsidRDefault="00DE02AF" w:rsidP="3D74621C">
      <w:pPr>
        <w:rPr>
          <w:b/>
          <w:noProof/>
        </w:rPr>
      </w:pPr>
      <w:r w:rsidRPr="00931023">
        <w:rPr>
          <w:noProof/>
        </w:rPr>
        <w:t>Prezentul regulament stabilește, pentru anul 2026, posibilitățile de pescuit pentru anumite stocuri de pește și grupuri de stocuri de pește din Marea Baltică și modifică anumite posibilități de pescuit în alte ape, stabilite prin Regulamentul (UE) 2025/202.</w:t>
      </w:r>
    </w:p>
    <w:p w:rsidR="002963AE" w:rsidRPr="00931023" w:rsidRDefault="00E66D34" w:rsidP="00D12122">
      <w:pPr>
        <w:pStyle w:val="Titrearticle"/>
        <w:rPr>
          <w:noProof/>
        </w:rPr>
      </w:pPr>
      <w:r w:rsidRPr="00931023">
        <w:rPr>
          <w:noProof/>
        </w:rPr>
        <w:t xml:space="preserve">Articolul 2 </w:t>
      </w:r>
      <w:r w:rsidRPr="00931023">
        <w:rPr>
          <w:noProof/>
        </w:rPr>
        <w:br/>
      </w:r>
      <w:r w:rsidRPr="00931023">
        <w:rPr>
          <w:b/>
          <w:i w:val="0"/>
          <w:noProof/>
        </w:rPr>
        <w:t xml:space="preserve">Sfera de desfășurare a activității </w:t>
      </w:r>
    </w:p>
    <w:p w:rsidR="002963AE" w:rsidRPr="00931023" w:rsidRDefault="00713351" w:rsidP="00713351">
      <w:pPr>
        <w:pStyle w:val="ManualNumPar1"/>
        <w:rPr>
          <w:noProof/>
        </w:rPr>
      </w:pPr>
      <w:r w:rsidRPr="00713351">
        <w:rPr>
          <w:noProof/>
        </w:rPr>
        <w:t>1.</w:t>
      </w:r>
      <w:r w:rsidRPr="00713351">
        <w:rPr>
          <w:noProof/>
        </w:rPr>
        <w:tab/>
      </w:r>
      <w:r w:rsidR="00E66D34" w:rsidRPr="00931023">
        <w:rPr>
          <w:noProof/>
        </w:rPr>
        <w:t xml:space="preserve">Prezentul regulament se aplică navelor de pescuit ale Uniunii care își desfășoară activitatea în Marea Baltică. </w:t>
      </w:r>
    </w:p>
    <w:p w:rsidR="002963AE" w:rsidRPr="00931023" w:rsidRDefault="00DC6317" w:rsidP="00F85CC7">
      <w:pPr>
        <w:rPr>
          <w:noProof/>
        </w:rPr>
      </w:pPr>
      <w:r w:rsidRPr="00931023">
        <w:rPr>
          <w:noProof/>
        </w:rPr>
        <w:t>De asemenea, regulamentul se aplică pescuitului recreativ, în cazul în care acesta este menționat în mod explicit în dispozițiile relevante.</w:t>
      </w:r>
    </w:p>
    <w:p w:rsidR="002963AE" w:rsidRPr="00931023" w:rsidRDefault="00E66D34" w:rsidP="00D12122">
      <w:pPr>
        <w:pStyle w:val="Titrearticle"/>
        <w:rPr>
          <w:noProof/>
        </w:rPr>
      </w:pPr>
      <w:r w:rsidRPr="00931023">
        <w:rPr>
          <w:noProof/>
        </w:rPr>
        <w:t xml:space="preserve">Articolul 3 </w:t>
      </w:r>
      <w:r w:rsidRPr="00931023">
        <w:rPr>
          <w:noProof/>
        </w:rPr>
        <w:br/>
      </w:r>
      <w:r w:rsidRPr="00931023">
        <w:rPr>
          <w:b/>
          <w:i w:val="0"/>
          <w:noProof/>
        </w:rPr>
        <w:t xml:space="preserve">Definiții </w:t>
      </w:r>
    </w:p>
    <w:p w:rsidR="00E30C02" w:rsidRPr="00931023" w:rsidRDefault="00E66D34" w:rsidP="000A4814">
      <w:pPr>
        <w:rPr>
          <w:noProof/>
        </w:rPr>
      </w:pPr>
      <w:r w:rsidRPr="00931023">
        <w:rPr>
          <w:noProof/>
        </w:rPr>
        <w:t xml:space="preserve">În sensul prezentului regulament, se aplică definițiile prevăzute la articolul 4 din Regulamentul (UE) nr. 1380/2013. </w:t>
      </w:r>
    </w:p>
    <w:p w:rsidR="002963AE" w:rsidRPr="00931023" w:rsidRDefault="00E66D34" w:rsidP="000A4814">
      <w:pPr>
        <w:rPr>
          <w:noProof/>
        </w:rPr>
      </w:pPr>
      <w:r w:rsidRPr="00931023">
        <w:rPr>
          <w:noProof/>
        </w:rPr>
        <w:t>În plus, se aplică următoarele definiții:</w:t>
      </w:r>
    </w:p>
    <w:p w:rsidR="002963AE" w:rsidRPr="00931023" w:rsidRDefault="00713351" w:rsidP="00713351">
      <w:pPr>
        <w:pStyle w:val="Point0"/>
        <w:rPr>
          <w:noProof/>
        </w:rPr>
      </w:pPr>
      <w:r w:rsidRPr="00713351">
        <w:rPr>
          <w:noProof/>
        </w:rPr>
        <w:t>(1)</w:t>
      </w:r>
      <w:r w:rsidRPr="00713351">
        <w:rPr>
          <w:noProof/>
        </w:rPr>
        <w:tab/>
      </w:r>
      <w:r w:rsidR="00E30C02" w:rsidRPr="00931023">
        <w:rPr>
          <w:noProof/>
        </w:rPr>
        <w:t>„subdiviziune” înseamnă o subdiviziune a Mării Baltice a Consiliului Internațional pentru Explorarea Apelor Maritime (ICES), astfel cum este definită în anexa III la Regulamentul (CE) nr. 218/2009 al Parlamentului European și al Consiliului</w:t>
      </w:r>
      <w:r w:rsidR="00E66D34" w:rsidRPr="00931023">
        <w:rPr>
          <w:rStyle w:val="FootnoteReference"/>
          <w:noProof/>
        </w:rPr>
        <w:footnoteReference w:id="32"/>
      </w:r>
      <w:r w:rsidR="00E30C02" w:rsidRPr="00931023">
        <w:rPr>
          <w:noProof/>
        </w:rPr>
        <w:t>;</w:t>
      </w:r>
    </w:p>
    <w:p w:rsidR="002963AE" w:rsidRPr="00931023" w:rsidRDefault="00713351" w:rsidP="00713351">
      <w:pPr>
        <w:pStyle w:val="Point0"/>
        <w:rPr>
          <w:noProof/>
        </w:rPr>
      </w:pPr>
      <w:r w:rsidRPr="00713351">
        <w:rPr>
          <w:noProof/>
        </w:rPr>
        <w:t>(2)</w:t>
      </w:r>
      <w:r w:rsidRPr="00713351">
        <w:rPr>
          <w:noProof/>
        </w:rPr>
        <w:tab/>
      </w:r>
      <w:r w:rsidR="1AB4ED57" w:rsidRPr="00931023">
        <w:rPr>
          <w:noProof/>
        </w:rPr>
        <w:t>„captură totală admisibilă (TAC)” înseamnă:</w:t>
      </w:r>
    </w:p>
    <w:p w:rsidR="002963AE" w:rsidRPr="00931023" w:rsidRDefault="00713351" w:rsidP="00713351">
      <w:pPr>
        <w:pStyle w:val="Point1"/>
        <w:rPr>
          <w:noProof/>
        </w:rPr>
      </w:pPr>
      <w:r w:rsidRPr="00713351">
        <w:rPr>
          <w:noProof/>
        </w:rPr>
        <w:t>(a)</w:t>
      </w:r>
      <w:r w:rsidRPr="00713351">
        <w:rPr>
          <w:noProof/>
        </w:rPr>
        <w:tab/>
      </w:r>
      <w:r w:rsidR="4911B031" w:rsidRPr="00931023">
        <w:rPr>
          <w:noProof/>
        </w:rPr>
        <w:t>în cadrul activităților de pescuit care fac obiectul excepției de la obligația de debarcare menționată la articolul 15 alineatele (4)-(7) din Regulamentul (UE) nr. 1380/2013, cantitatea de pește care poate fi debarcată anual din fiecare stoc;</w:t>
      </w:r>
    </w:p>
    <w:p w:rsidR="002963AE" w:rsidRPr="00931023" w:rsidRDefault="00713351" w:rsidP="00713351">
      <w:pPr>
        <w:pStyle w:val="Point1"/>
        <w:rPr>
          <w:noProof/>
        </w:rPr>
      </w:pPr>
      <w:r w:rsidRPr="00713351">
        <w:rPr>
          <w:noProof/>
        </w:rPr>
        <w:t>(b)</w:t>
      </w:r>
      <w:r w:rsidRPr="00713351">
        <w:rPr>
          <w:noProof/>
        </w:rPr>
        <w:tab/>
      </w:r>
      <w:r w:rsidR="4911B031" w:rsidRPr="00931023">
        <w:rPr>
          <w:noProof/>
        </w:rPr>
        <w:t>în cadrul tuturor celorlalte activități de pescuit, cantitatea de pește care poate fi capturată anual din fiecare stoc;</w:t>
      </w:r>
    </w:p>
    <w:p w:rsidR="002963AE" w:rsidRPr="00931023" w:rsidRDefault="00713351" w:rsidP="00713351">
      <w:pPr>
        <w:pStyle w:val="Point0"/>
        <w:rPr>
          <w:noProof/>
        </w:rPr>
      </w:pPr>
      <w:r w:rsidRPr="00713351">
        <w:rPr>
          <w:noProof/>
        </w:rPr>
        <w:t>(3)</w:t>
      </w:r>
      <w:r w:rsidRPr="00713351">
        <w:rPr>
          <w:noProof/>
        </w:rPr>
        <w:tab/>
      </w:r>
      <w:r w:rsidR="1AB4ED57" w:rsidRPr="00931023">
        <w:rPr>
          <w:noProof/>
        </w:rPr>
        <w:t>„cotă” înseamnă o proporție din TAC alocată Uniunii, unui stat membru sau unei țări terțe;</w:t>
      </w:r>
    </w:p>
    <w:p w:rsidR="002963AE" w:rsidRPr="00931023" w:rsidRDefault="00713351" w:rsidP="00713351">
      <w:pPr>
        <w:pStyle w:val="Point0"/>
        <w:rPr>
          <w:noProof/>
        </w:rPr>
      </w:pPr>
      <w:r w:rsidRPr="00713351">
        <w:rPr>
          <w:noProof/>
        </w:rPr>
        <w:t>(4)</w:t>
      </w:r>
      <w:r w:rsidRPr="00713351">
        <w:rPr>
          <w:noProof/>
        </w:rPr>
        <w:tab/>
      </w:r>
      <w:r w:rsidR="1AB4ED57" w:rsidRPr="00931023">
        <w:rPr>
          <w:noProof/>
        </w:rPr>
        <w:t>„pescuit recreativ” înseamnă activități de pescuit necomerciale care exploatează resursele biologice marine în scop recreativ, turistic sau sportiv;</w:t>
      </w:r>
    </w:p>
    <w:p w:rsidR="00C276FF" w:rsidRPr="00931023" w:rsidRDefault="00713351" w:rsidP="00713351">
      <w:pPr>
        <w:pStyle w:val="Point0"/>
        <w:rPr>
          <w:noProof/>
        </w:rPr>
      </w:pPr>
      <w:r w:rsidRPr="00713351">
        <w:rPr>
          <w:noProof/>
        </w:rPr>
        <w:t>(5)</w:t>
      </w:r>
      <w:r w:rsidRPr="00713351">
        <w:rPr>
          <w:noProof/>
        </w:rPr>
        <w:tab/>
      </w:r>
      <w:r w:rsidR="00C276FF" w:rsidRPr="00931023">
        <w:rPr>
          <w:noProof/>
        </w:rPr>
        <w:t>„evaluare analitică” înseamnă o evaluare cantitativă a tendințelor unui anumit stoc, bazată pe date privind biologia și exploatarea stocului, inclusiv pe aproximări, și despre care s-a stabilit, printr-o analiză științifică, că are o calitate suficientă pentru a servi drept bază pentru avize științifice;</w:t>
      </w:r>
    </w:p>
    <w:p w:rsidR="00EC1F9A" w:rsidRPr="00931023" w:rsidRDefault="00713351" w:rsidP="00713351">
      <w:pPr>
        <w:pStyle w:val="Point0"/>
        <w:rPr>
          <w:noProof/>
        </w:rPr>
      </w:pPr>
      <w:r w:rsidRPr="00713351">
        <w:rPr>
          <w:noProof/>
        </w:rPr>
        <w:t>(6)</w:t>
      </w:r>
      <w:r w:rsidRPr="00713351">
        <w:rPr>
          <w:noProof/>
        </w:rPr>
        <w:tab/>
      </w:r>
      <w:r w:rsidR="00C276FF" w:rsidRPr="00931023">
        <w:rPr>
          <w:noProof/>
        </w:rPr>
        <w:t>„TAC analitică” înseamnă TAC pentru care este disponibilă o evaluare analitică;</w:t>
      </w:r>
    </w:p>
    <w:p w:rsidR="00C276FF" w:rsidRPr="00931023" w:rsidRDefault="00713351" w:rsidP="00713351">
      <w:pPr>
        <w:pStyle w:val="Point0"/>
        <w:rPr>
          <w:noProof/>
        </w:rPr>
      </w:pPr>
      <w:r w:rsidRPr="00713351">
        <w:rPr>
          <w:noProof/>
        </w:rPr>
        <w:t>(7)</w:t>
      </w:r>
      <w:r w:rsidRPr="00713351">
        <w:rPr>
          <w:noProof/>
        </w:rPr>
        <w:tab/>
      </w:r>
      <w:r w:rsidR="00EC1F9A" w:rsidRPr="00931023">
        <w:rPr>
          <w:noProof/>
        </w:rPr>
        <w:t>„TAC de precauție” înseamnă o TAC pentru care nu este disponibilă o evaluare analitică, dar pentru care este disponibilă, în schimb, o evaluare bazată pe abordarea precaută sau nu este disponibilă nicio evaluare.</w:t>
      </w:r>
    </w:p>
    <w:p w:rsidR="002963AE" w:rsidRPr="00931023" w:rsidRDefault="00E66D34" w:rsidP="00763AB4">
      <w:pPr>
        <w:pStyle w:val="ChapterTitle"/>
        <w:rPr>
          <w:noProof/>
        </w:rPr>
      </w:pPr>
      <w:r w:rsidRPr="00931023">
        <w:rPr>
          <w:noProof/>
        </w:rPr>
        <w:t xml:space="preserve">CAPITOLUL II </w:t>
      </w:r>
      <w:r w:rsidRPr="00931023">
        <w:rPr>
          <w:noProof/>
        </w:rPr>
        <w:br/>
        <w:t xml:space="preserve">POSIBILITĂȚI DE PESCUIT </w:t>
      </w:r>
    </w:p>
    <w:p w:rsidR="002963AE" w:rsidRPr="00931023" w:rsidRDefault="00E66D34" w:rsidP="00763AB4">
      <w:pPr>
        <w:pStyle w:val="Titrearticle"/>
        <w:rPr>
          <w:noProof/>
        </w:rPr>
      </w:pPr>
      <w:r w:rsidRPr="00931023">
        <w:rPr>
          <w:noProof/>
        </w:rPr>
        <w:t xml:space="preserve">Articolul 4 </w:t>
      </w:r>
      <w:r w:rsidRPr="00931023">
        <w:rPr>
          <w:noProof/>
        </w:rPr>
        <w:br/>
      </w:r>
      <w:r w:rsidRPr="00931023">
        <w:rPr>
          <w:b/>
          <w:i w:val="0"/>
          <w:noProof/>
        </w:rPr>
        <w:t xml:space="preserve">TAC-uri și repartizări </w:t>
      </w:r>
    </w:p>
    <w:p w:rsidR="002963AE" w:rsidRPr="00931023" w:rsidRDefault="00E66D34">
      <w:pPr>
        <w:rPr>
          <w:b/>
          <w:noProof/>
        </w:rPr>
      </w:pPr>
      <w:r w:rsidRPr="00931023">
        <w:rPr>
          <w:noProof/>
        </w:rPr>
        <w:t>TAC-urile, cotele și, după caz, măsurile legate funcțional de acestea sunt prevăzute în anexă.</w:t>
      </w:r>
    </w:p>
    <w:p w:rsidR="002963AE" w:rsidRPr="00931023" w:rsidRDefault="00E66D34" w:rsidP="00763AB4">
      <w:pPr>
        <w:pStyle w:val="Titrearticle"/>
        <w:rPr>
          <w:noProof/>
        </w:rPr>
      </w:pPr>
      <w:r w:rsidRPr="00931023">
        <w:rPr>
          <w:noProof/>
        </w:rPr>
        <w:t>Articolul 5</w:t>
      </w:r>
      <w:r w:rsidRPr="00931023">
        <w:rPr>
          <w:noProof/>
        </w:rPr>
        <w:br/>
      </w:r>
      <w:r w:rsidRPr="00931023">
        <w:rPr>
          <w:b/>
          <w:i w:val="0"/>
          <w:noProof/>
        </w:rPr>
        <w:t xml:space="preserve">Dispoziții speciale privind repartizarea posibilităților de pescuit </w:t>
      </w:r>
    </w:p>
    <w:p w:rsidR="002963AE" w:rsidRPr="00931023" w:rsidRDefault="00713351" w:rsidP="00713351">
      <w:pPr>
        <w:pStyle w:val="ManualNumPar1"/>
        <w:rPr>
          <w:noProof/>
        </w:rPr>
      </w:pPr>
      <w:r w:rsidRPr="00713351">
        <w:rPr>
          <w:noProof/>
        </w:rPr>
        <w:t>1.</w:t>
      </w:r>
      <w:r w:rsidRPr="00713351">
        <w:rPr>
          <w:noProof/>
        </w:rPr>
        <w:tab/>
      </w:r>
      <w:r w:rsidR="00E66D34" w:rsidRPr="00931023">
        <w:rPr>
          <w:noProof/>
        </w:rPr>
        <w:t>Repartizarea posibilităților de pescuit între statele membre conform prezentului regulament nu aduce atingere:</w:t>
      </w:r>
    </w:p>
    <w:p w:rsidR="002963AE" w:rsidRPr="00931023" w:rsidRDefault="00713351" w:rsidP="00713351">
      <w:pPr>
        <w:pStyle w:val="Point1"/>
        <w:rPr>
          <w:noProof/>
        </w:rPr>
      </w:pPr>
      <w:r w:rsidRPr="00713351">
        <w:rPr>
          <w:noProof/>
        </w:rPr>
        <w:t>(a)</w:t>
      </w:r>
      <w:r w:rsidRPr="00713351">
        <w:rPr>
          <w:noProof/>
        </w:rPr>
        <w:tab/>
      </w:r>
      <w:r w:rsidR="51895326" w:rsidRPr="00931023">
        <w:rPr>
          <w:noProof/>
        </w:rPr>
        <w:t xml:space="preserve">schimburilor efectuate în temeiul articolului 16 alineatul (8) din Regulamentul (UE) nr. 1380/2013; </w:t>
      </w:r>
    </w:p>
    <w:p w:rsidR="002963AE" w:rsidRPr="00931023" w:rsidRDefault="00713351" w:rsidP="00713351">
      <w:pPr>
        <w:pStyle w:val="Point1"/>
        <w:rPr>
          <w:noProof/>
        </w:rPr>
      </w:pPr>
      <w:r w:rsidRPr="00713351">
        <w:rPr>
          <w:noProof/>
        </w:rPr>
        <w:t>(b)</w:t>
      </w:r>
      <w:r w:rsidRPr="00713351">
        <w:rPr>
          <w:noProof/>
        </w:rPr>
        <w:tab/>
      </w:r>
      <w:r w:rsidR="51895326" w:rsidRPr="00931023">
        <w:rPr>
          <w:noProof/>
        </w:rPr>
        <w:t xml:space="preserve">deducerilor și realocărilor efectuate în temeiul articolului 37 din Regulamentul (CE) nr. 1224/2009; </w:t>
      </w:r>
    </w:p>
    <w:p w:rsidR="002963AE" w:rsidRPr="00931023" w:rsidRDefault="00713351" w:rsidP="00713351">
      <w:pPr>
        <w:pStyle w:val="Point1"/>
        <w:rPr>
          <w:noProof/>
        </w:rPr>
      </w:pPr>
      <w:r w:rsidRPr="00713351">
        <w:rPr>
          <w:noProof/>
        </w:rPr>
        <w:t>(c)</w:t>
      </w:r>
      <w:r w:rsidRPr="00713351">
        <w:rPr>
          <w:noProof/>
        </w:rPr>
        <w:tab/>
      </w:r>
      <w:r w:rsidR="51895326" w:rsidRPr="00931023">
        <w:rPr>
          <w:noProof/>
        </w:rPr>
        <w:t xml:space="preserve">debarcărilor suplimentare autorizate în temeiul articolului 3 din Regulamentul (CE) nr. 847/96 și al articolului 15 alineatul (9) din Regulamentul (UE) nr. 1380/2013; </w:t>
      </w:r>
    </w:p>
    <w:p w:rsidR="002963AE" w:rsidRPr="00931023" w:rsidRDefault="00713351" w:rsidP="00713351">
      <w:pPr>
        <w:pStyle w:val="Point1"/>
        <w:rPr>
          <w:noProof/>
        </w:rPr>
      </w:pPr>
      <w:r w:rsidRPr="00713351">
        <w:rPr>
          <w:noProof/>
        </w:rPr>
        <w:t>(d)</w:t>
      </w:r>
      <w:r w:rsidRPr="00713351">
        <w:rPr>
          <w:noProof/>
        </w:rPr>
        <w:tab/>
      </w:r>
      <w:r w:rsidR="51895326" w:rsidRPr="00931023">
        <w:rPr>
          <w:noProof/>
        </w:rPr>
        <w:t xml:space="preserve">cantităților reținute în conformitate cu articolul 4 din Regulamentul (CE) nr. 847/96 și transferate în temeiul articolului 15 alineatul (9) din Regulamentul (UE) nr. 1380/2013; </w:t>
      </w:r>
    </w:p>
    <w:p w:rsidR="002963AE" w:rsidRPr="00931023" w:rsidRDefault="00713351" w:rsidP="00713351">
      <w:pPr>
        <w:pStyle w:val="Point1"/>
        <w:rPr>
          <w:noProof/>
        </w:rPr>
      </w:pPr>
      <w:r w:rsidRPr="00713351">
        <w:rPr>
          <w:noProof/>
        </w:rPr>
        <w:t>(e)</w:t>
      </w:r>
      <w:r w:rsidRPr="00713351">
        <w:rPr>
          <w:noProof/>
        </w:rPr>
        <w:tab/>
      </w:r>
      <w:r w:rsidR="51895326" w:rsidRPr="00931023">
        <w:rPr>
          <w:noProof/>
        </w:rPr>
        <w:t xml:space="preserve">deducerilor efectuate în temeiul articolelor 105, 106 și 107 din Regulamentul (CE) nr. 1224/2009. </w:t>
      </w:r>
    </w:p>
    <w:p w:rsidR="4407B23E" w:rsidRPr="00931023" w:rsidRDefault="00713351" w:rsidP="00713351">
      <w:pPr>
        <w:pStyle w:val="ManualNumPar1"/>
        <w:rPr>
          <w:noProof/>
        </w:rPr>
      </w:pPr>
      <w:r w:rsidRPr="00713351">
        <w:rPr>
          <w:noProof/>
        </w:rPr>
        <w:t>2.</w:t>
      </w:r>
      <w:r w:rsidRPr="00713351">
        <w:rPr>
          <w:noProof/>
        </w:rPr>
        <w:tab/>
      </w:r>
      <w:r w:rsidR="4407B23E" w:rsidRPr="00931023">
        <w:rPr>
          <w:noProof/>
        </w:rPr>
        <w:t>Stocurile care fac obiectul unor TAC-uri de precauție sau analitice în scopul gestionării de la an la an a TAC-urilor și a cotelor de pescuit prevăzute în Regulamentul (CE) nr. 847/96 sunt specificate în anexa la prezentul regulament.</w:t>
      </w:r>
    </w:p>
    <w:p w:rsidR="03D8B8C0" w:rsidRPr="00931023" w:rsidRDefault="00713351" w:rsidP="00713351">
      <w:pPr>
        <w:pStyle w:val="ManualNumPar1"/>
        <w:rPr>
          <w:noProof/>
        </w:rPr>
      </w:pPr>
      <w:r w:rsidRPr="00713351">
        <w:rPr>
          <w:noProof/>
        </w:rPr>
        <w:t>3.</w:t>
      </w:r>
      <w:r w:rsidRPr="00713351">
        <w:rPr>
          <w:noProof/>
        </w:rPr>
        <w:tab/>
      </w:r>
      <w:r w:rsidR="03D8B8C0" w:rsidRPr="00931023">
        <w:rPr>
          <w:noProof/>
        </w:rPr>
        <w:t xml:space="preserve">Cu excepția cazurilor în care există dispoziții contrare în anexa la prezentul regulament, articolul 3 din Regulamentul (CE) nr. 847/96 se aplică stocurilor care fac obiectul unor TAC-uri de precauție, iar articolul 3 alineatele (2) și (3) și articolul 4 din regulamentul respectiv se aplică stocurilor care fac obiectul unor TAC-uri analitice. </w:t>
      </w:r>
    </w:p>
    <w:p w:rsidR="03D8B8C0" w:rsidRPr="00931023" w:rsidRDefault="00713351" w:rsidP="00713351">
      <w:pPr>
        <w:pStyle w:val="ManualNumPar1"/>
        <w:rPr>
          <w:noProof/>
        </w:rPr>
      </w:pPr>
      <w:r w:rsidRPr="00713351">
        <w:rPr>
          <w:noProof/>
        </w:rPr>
        <w:t>4.</w:t>
      </w:r>
      <w:r w:rsidRPr="00713351">
        <w:rPr>
          <w:noProof/>
        </w:rPr>
        <w:tab/>
      </w:r>
      <w:r w:rsidR="03D8B8C0" w:rsidRPr="00931023">
        <w:rPr>
          <w:noProof/>
        </w:rPr>
        <w:t>Articolele 3 și 4 din Regulamentul (CE) nr. 847/96 nu se aplică în cazul în care un stat membru utilizează flexibilitatea de la an la an prevăzută la articolul 15 alineatul (9) din Regulamentul (UE) nr. 1380/2013.</w:t>
      </w:r>
    </w:p>
    <w:p w:rsidR="002963AE" w:rsidRPr="00931023" w:rsidRDefault="00E66D34" w:rsidP="00763AB4">
      <w:pPr>
        <w:pStyle w:val="Titrearticle"/>
        <w:rPr>
          <w:noProof/>
        </w:rPr>
      </w:pPr>
      <w:r w:rsidRPr="00931023">
        <w:rPr>
          <w:noProof/>
        </w:rPr>
        <w:t xml:space="preserve">Articolul 6 </w:t>
      </w:r>
      <w:r w:rsidRPr="00931023">
        <w:rPr>
          <w:noProof/>
        </w:rPr>
        <w:br/>
      </w:r>
      <w:r w:rsidRPr="00931023">
        <w:rPr>
          <w:b/>
          <w:i w:val="0"/>
          <w:noProof/>
        </w:rPr>
        <w:t xml:space="preserve">Condiții referitoare la debarcarea capturilor și a capturilor accidentale </w:t>
      </w:r>
    </w:p>
    <w:p w:rsidR="002963AE" w:rsidRPr="00931023" w:rsidRDefault="00EC1F9A" w:rsidP="21A5AA23">
      <w:pPr>
        <w:rPr>
          <w:noProof/>
        </w:rPr>
      </w:pPr>
      <w:r w:rsidRPr="00931023">
        <w:rPr>
          <w:noProof/>
        </w:rPr>
        <w:t xml:space="preserve">Stocurile de specii nevizate în limitele biologice de siguranță menționate la articolul 15 alineatul (8) din Regulamentul (UE) nr. 1380/2013 cărora li se aplică derogarea de la obligația de scădere a capturilor din cotele relevante sunt identificate în tabelele TAC-urilor relevante din anexa la prezentul regulament. </w:t>
      </w:r>
    </w:p>
    <w:p w:rsidR="00CE640C" w:rsidRPr="00931023" w:rsidRDefault="00CE640C" w:rsidP="00763AB4">
      <w:pPr>
        <w:pStyle w:val="Titrearticle"/>
        <w:rPr>
          <w:noProof/>
        </w:rPr>
      </w:pPr>
      <w:r w:rsidRPr="00931023">
        <w:rPr>
          <w:noProof/>
        </w:rPr>
        <w:t xml:space="preserve">Articolul 7 </w:t>
      </w:r>
      <w:r w:rsidRPr="00931023">
        <w:rPr>
          <w:noProof/>
        </w:rPr>
        <w:br/>
      </w:r>
      <w:r w:rsidRPr="00931023">
        <w:rPr>
          <w:b/>
          <w:i w:val="0"/>
          <w:noProof/>
        </w:rPr>
        <w:t>Închiderea zonelor de reproducere a codului în scop de protecție</w:t>
      </w:r>
    </w:p>
    <w:p w:rsidR="001B642D" w:rsidRPr="00931023" w:rsidRDefault="00713351" w:rsidP="00713351">
      <w:pPr>
        <w:pStyle w:val="ManualNumPar1"/>
        <w:rPr>
          <w:noProof/>
        </w:rPr>
      </w:pPr>
      <w:r w:rsidRPr="00713351">
        <w:rPr>
          <w:noProof/>
        </w:rPr>
        <w:t>1.</w:t>
      </w:r>
      <w:r w:rsidRPr="00713351">
        <w:rPr>
          <w:noProof/>
        </w:rPr>
        <w:tab/>
      </w:r>
      <w:r w:rsidR="00CE640C" w:rsidRPr="00931023">
        <w:rPr>
          <w:noProof/>
        </w:rPr>
        <w:t>Se interzice pescuitul cu orice tip de unealtă de pescuit în subdiviziunile 25 și 26 în perioada 1 mai-31 august.</w:t>
      </w:r>
    </w:p>
    <w:p w:rsidR="00F94622" w:rsidRPr="00931023" w:rsidRDefault="00713351" w:rsidP="00713351">
      <w:pPr>
        <w:pStyle w:val="ManualNumPar1"/>
        <w:rPr>
          <w:noProof/>
        </w:rPr>
      </w:pPr>
      <w:r w:rsidRPr="00713351">
        <w:rPr>
          <w:noProof/>
        </w:rPr>
        <w:t>2.</w:t>
      </w:r>
      <w:r w:rsidRPr="00713351">
        <w:rPr>
          <w:noProof/>
        </w:rPr>
        <w:tab/>
      </w:r>
      <w:r w:rsidR="00050967" w:rsidRPr="00931023">
        <w:rPr>
          <w:noProof/>
        </w:rPr>
        <w:t>Interdicția prevăzută la alineatul (1) nu se aplică în următoarele cazuri:</w:t>
      </w:r>
    </w:p>
    <w:p w:rsidR="001B642D" w:rsidRPr="00931023" w:rsidRDefault="00713351" w:rsidP="00713351">
      <w:pPr>
        <w:pStyle w:val="Point1"/>
        <w:rPr>
          <w:noProof/>
        </w:rPr>
      </w:pPr>
      <w:r w:rsidRPr="00713351">
        <w:rPr>
          <w:noProof/>
        </w:rPr>
        <w:t>(a)</w:t>
      </w:r>
      <w:r w:rsidRPr="00713351">
        <w:rPr>
          <w:noProof/>
        </w:rPr>
        <w:tab/>
      </w:r>
      <w:r w:rsidR="7B8F27F6" w:rsidRPr="00931023">
        <w:rPr>
          <w:noProof/>
        </w:rPr>
        <w:t>pentru operațiunile de pescuit desfășurate în scopul exclusiv al cercetărilor științifice, cu condiția ca aceste cercetări să fie efectuate în conformitate cu condițiile prevăzute la articolul 25 din Regulamentul (UE) 2019/1241 al Parlamentului European și al Consiliului</w:t>
      </w:r>
      <w:r w:rsidR="00EE7BDD" w:rsidRPr="00931023">
        <w:rPr>
          <w:rStyle w:val="FootnoteReference"/>
          <w:noProof/>
        </w:rPr>
        <w:footnoteReference w:id="33"/>
      </w:r>
      <w:r w:rsidR="7B8F27F6" w:rsidRPr="00931023">
        <w:rPr>
          <w:noProof/>
        </w:rPr>
        <w:t>;</w:t>
      </w:r>
    </w:p>
    <w:p w:rsidR="00EC1F9A" w:rsidRPr="00931023" w:rsidRDefault="00713351" w:rsidP="00713351">
      <w:pPr>
        <w:pStyle w:val="Point1"/>
        <w:rPr>
          <w:noProof/>
        </w:rPr>
      </w:pPr>
      <w:r w:rsidRPr="00713351">
        <w:rPr>
          <w:noProof/>
        </w:rPr>
        <w:t>(b)</w:t>
      </w:r>
      <w:r w:rsidRPr="00713351">
        <w:rPr>
          <w:noProof/>
        </w:rPr>
        <w:tab/>
      </w:r>
      <w:r w:rsidR="68052A07" w:rsidRPr="00931023">
        <w:rPr>
          <w:noProof/>
        </w:rPr>
        <w:t>pentru navele de pescuit ale Uniunii cu o lungime totală mai mică de 12 metri care pescuiesc cu setci, cu plase de încurcare sau cu setci cu sirec, cu paragate de fund, cu paragate, cu paragate flotante, cu undițe de mână și cu echipament de pescuit la dandinetă sau cu unelte de pescuit pasiv similare în zone în care adâncimea apei este mai mică de 20 de metri conform coordonatelor din harta marină oficială emisă de autoritățile naționale competente;</w:t>
      </w:r>
    </w:p>
    <w:p w:rsidR="00E30C02" w:rsidRPr="00931023" w:rsidRDefault="00713351" w:rsidP="00713351">
      <w:pPr>
        <w:pStyle w:val="Point1"/>
        <w:rPr>
          <w:noProof/>
        </w:rPr>
      </w:pPr>
      <w:r w:rsidRPr="00713351">
        <w:rPr>
          <w:noProof/>
        </w:rPr>
        <w:t>(c)</w:t>
      </w:r>
      <w:r w:rsidRPr="00713351">
        <w:rPr>
          <w:noProof/>
        </w:rPr>
        <w:tab/>
      </w:r>
      <w:r w:rsidR="00941266" w:rsidRPr="00931023">
        <w:rPr>
          <w:noProof/>
        </w:rPr>
        <w:t>fără a aduce atingere perioadelor de interdicție prevăzute la articolul 8 alineatul (1) litera (a) și la articolul 9 alineatul (1), pentru navele de pescuit ale Uniunii care pescuiesc în subdiviziunea 25 stocuri de pești pelagici pentru consumul uman direct, utilizând unelte cu o dimensiune a ochiului de plasă de cel mult 45 mm, în zone în care adâncimea apei este mai mică de 50 de metri conform coordonatelor din harta marină oficială emisă de autoritățile naționale competente și ale căror debarcări sunt sortate.</w:t>
      </w:r>
    </w:p>
    <w:p w:rsidR="001B642D" w:rsidRPr="00931023" w:rsidRDefault="00713351" w:rsidP="00713351">
      <w:pPr>
        <w:pStyle w:val="ManualNumPar1"/>
        <w:rPr>
          <w:noProof/>
        </w:rPr>
      </w:pPr>
      <w:r w:rsidRPr="00713351">
        <w:rPr>
          <w:noProof/>
        </w:rPr>
        <w:t>3.</w:t>
      </w:r>
      <w:r w:rsidRPr="00713351">
        <w:rPr>
          <w:noProof/>
        </w:rPr>
        <w:tab/>
      </w:r>
      <w:r w:rsidR="001B642D" w:rsidRPr="00931023">
        <w:rPr>
          <w:noProof/>
        </w:rPr>
        <w:t xml:space="preserve">Se interzice pescuitul cu orice tip de unealtă de pescuit în subdiviziunile 22 și 23 în perioada 15 ianuarie-31 martie și în subdiviziunea 24 în perioada 15 mai-15 august. </w:t>
      </w:r>
    </w:p>
    <w:p w:rsidR="001B642D" w:rsidRPr="00931023" w:rsidRDefault="00713351" w:rsidP="00713351">
      <w:pPr>
        <w:pStyle w:val="ManualNumPar1"/>
        <w:rPr>
          <w:noProof/>
        </w:rPr>
      </w:pPr>
      <w:r w:rsidRPr="00713351">
        <w:rPr>
          <w:noProof/>
        </w:rPr>
        <w:t>4.</w:t>
      </w:r>
      <w:r w:rsidRPr="00713351">
        <w:rPr>
          <w:noProof/>
        </w:rPr>
        <w:tab/>
      </w:r>
      <w:r w:rsidR="00050967" w:rsidRPr="00931023">
        <w:rPr>
          <w:noProof/>
        </w:rPr>
        <w:t>Interdicția prevăzută la alineatul (3) nu se aplică în următoarele cazuri:</w:t>
      </w:r>
    </w:p>
    <w:p w:rsidR="001B642D" w:rsidRPr="00931023" w:rsidRDefault="00713351" w:rsidP="00713351">
      <w:pPr>
        <w:pStyle w:val="Point1"/>
        <w:rPr>
          <w:noProof/>
        </w:rPr>
      </w:pPr>
      <w:r w:rsidRPr="00713351">
        <w:rPr>
          <w:noProof/>
        </w:rPr>
        <w:t>(a)</w:t>
      </w:r>
      <w:r w:rsidRPr="00713351">
        <w:rPr>
          <w:noProof/>
        </w:rPr>
        <w:tab/>
      </w:r>
      <w:r w:rsidR="001B642D" w:rsidRPr="00931023">
        <w:rPr>
          <w:noProof/>
        </w:rPr>
        <w:t>pentru operațiunile de pescuit desfășurate în scopul exclusiv al cercetărilor științifice, cu condiția ca aceste cercetări să fie efectuate în conformitate cu condițiile prevăzute la articolul 25 din Regulamentul (UE) 2019/1241;</w:t>
      </w:r>
    </w:p>
    <w:p w:rsidR="00793CA8" w:rsidRPr="00931023" w:rsidRDefault="00713351" w:rsidP="00713351">
      <w:pPr>
        <w:pStyle w:val="Point1"/>
        <w:rPr>
          <w:noProof/>
        </w:rPr>
      </w:pPr>
      <w:r w:rsidRPr="00713351">
        <w:rPr>
          <w:noProof/>
        </w:rPr>
        <w:t>(b)</w:t>
      </w:r>
      <w:r w:rsidRPr="00713351">
        <w:rPr>
          <w:noProof/>
        </w:rPr>
        <w:tab/>
      </w:r>
      <w:r w:rsidR="001B642D" w:rsidRPr="00931023">
        <w:rPr>
          <w:noProof/>
        </w:rPr>
        <w:t>pentru navele de pescuit ale Uniunii cu o lungime totală mai mică de 12 metri care pescuiesc cu setci, cu plase de încurcare sau cu setci cu sirec, cu paragate de fund, cu paragate, cu paragate flotante, cu undițe de mână și cu echipament de pescuit la dandinetă sau cu unelte de pescuit pasiv similare în zone în care adâncimea apei este mai mică de 20 de metri conform coordonatelor din harta marină oficială emisă de autoritățile naționale competente;</w:t>
      </w:r>
    </w:p>
    <w:p w:rsidR="001B642D" w:rsidRPr="00931023" w:rsidRDefault="00713351" w:rsidP="00713351">
      <w:pPr>
        <w:pStyle w:val="Point1"/>
        <w:rPr>
          <w:noProof/>
        </w:rPr>
      </w:pPr>
      <w:r w:rsidRPr="00713351">
        <w:rPr>
          <w:noProof/>
        </w:rPr>
        <w:t>(c)</w:t>
      </w:r>
      <w:r w:rsidRPr="00713351">
        <w:rPr>
          <w:noProof/>
        </w:rPr>
        <w:tab/>
      </w:r>
      <w:r w:rsidR="00793CA8" w:rsidRPr="00931023">
        <w:rPr>
          <w:noProof/>
        </w:rPr>
        <w:t xml:space="preserve">pentru navele de pescuit ale Uniunii care pescuiesc în subdiviziunea 24 stocuri de pești pelagici pentru consumul uman direct, utilizând unelte cu o dimensiune a ochiului de plasă de cel mult 45 mm, în zone în care adâncimea apei este mai mică de 40 de metri conform coordonatelor din harta marină oficială emisă de autoritățile naționale competente și ale căror debarcări sunt sortate; </w:t>
      </w:r>
    </w:p>
    <w:p w:rsidR="006230DA" w:rsidRPr="00931023" w:rsidRDefault="00713351" w:rsidP="00713351">
      <w:pPr>
        <w:pStyle w:val="Point1"/>
        <w:rPr>
          <w:noProof/>
        </w:rPr>
      </w:pPr>
      <w:r w:rsidRPr="00713351">
        <w:rPr>
          <w:noProof/>
        </w:rPr>
        <w:t>(d)</w:t>
      </w:r>
      <w:r w:rsidRPr="00713351">
        <w:rPr>
          <w:noProof/>
        </w:rPr>
        <w:tab/>
      </w:r>
      <w:r w:rsidR="00F41B32" w:rsidRPr="00931023">
        <w:rPr>
          <w:noProof/>
        </w:rPr>
        <w:t>pentru navele de pescuit ale Uniunii care pescuiesc cu drage moluște bivalve în subdiviziunea 22, în zone în care adâncimea apei este mai mică de 20 de metri conform coordonatelor din harta marină oficială emisă de autoritățile naționale competente.</w:t>
      </w:r>
    </w:p>
    <w:p w:rsidR="00CE640C" w:rsidRPr="00931023" w:rsidRDefault="00713351" w:rsidP="00713351">
      <w:pPr>
        <w:pStyle w:val="ManualNumPar1"/>
        <w:rPr>
          <w:noProof/>
        </w:rPr>
      </w:pPr>
      <w:r w:rsidRPr="00713351">
        <w:rPr>
          <w:noProof/>
        </w:rPr>
        <w:t>5.</w:t>
      </w:r>
      <w:r w:rsidRPr="00713351">
        <w:rPr>
          <w:noProof/>
        </w:rPr>
        <w:tab/>
      </w:r>
      <w:r w:rsidR="00F41B32" w:rsidRPr="00931023">
        <w:rPr>
          <w:noProof/>
        </w:rPr>
        <w:t>Comandanții navelor de pescuit ale Uniunii menționate la alineatul (2) litera (b) sau (c) și la alineatul (4) litera (b), (c) sau (d) se asigură că activitățile lor de pescuit pot fi monitorizate în orice moment de către autoritățile de control ale statului membru competent.</w:t>
      </w:r>
    </w:p>
    <w:p w:rsidR="00652DB3" w:rsidRPr="00931023" w:rsidRDefault="00652DB3" w:rsidP="00652DB3">
      <w:pPr>
        <w:pStyle w:val="Titrearticle"/>
        <w:rPr>
          <w:noProof/>
        </w:rPr>
      </w:pPr>
      <w:r w:rsidRPr="00931023">
        <w:rPr>
          <w:noProof/>
        </w:rPr>
        <w:t xml:space="preserve">Articolul 8 </w:t>
      </w:r>
      <w:r w:rsidRPr="00931023">
        <w:rPr>
          <w:noProof/>
        </w:rPr>
        <w:br/>
      </w:r>
      <w:r w:rsidRPr="00931023">
        <w:rPr>
          <w:b/>
          <w:i w:val="0"/>
          <w:noProof/>
        </w:rPr>
        <w:t>Închiderea zonelor de reproducere a heringului în scop de protecție în subdiviziunile 25, 26, 27, 28.2, 29, 30, 31 și 32</w:t>
      </w:r>
    </w:p>
    <w:p w:rsidR="00652DB3" w:rsidRPr="00931023" w:rsidRDefault="00713351" w:rsidP="00713351">
      <w:pPr>
        <w:pStyle w:val="ManualNumPar1"/>
        <w:rPr>
          <w:noProof/>
        </w:rPr>
      </w:pPr>
      <w:r w:rsidRPr="00713351">
        <w:rPr>
          <w:noProof/>
        </w:rPr>
        <w:t>1.</w:t>
      </w:r>
      <w:r w:rsidRPr="00713351">
        <w:rPr>
          <w:noProof/>
        </w:rPr>
        <w:tab/>
      </w:r>
      <w:r w:rsidR="00652DB3" w:rsidRPr="00931023">
        <w:rPr>
          <w:noProof/>
        </w:rPr>
        <w:t>Se interzice pescuitul de specii pelagice utilizând traule pelagice în zonele costiere de până la patru mile marine măsurate de la liniile de bază și unde adâncimea apei este mai mică de 20 de metri conform coordonatelor din harta marină oficială emisă de autoritatea națională competentă în următoarele perioade și zone:</w:t>
      </w:r>
    </w:p>
    <w:p w:rsidR="00652DB3" w:rsidRPr="00931023" w:rsidRDefault="00713351" w:rsidP="00713351">
      <w:pPr>
        <w:pStyle w:val="Point1"/>
        <w:rPr>
          <w:noProof/>
        </w:rPr>
      </w:pPr>
      <w:r w:rsidRPr="00713351">
        <w:rPr>
          <w:noProof/>
        </w:rPr>
        <w:t>(a)</w:t>
      </w:r>
      <w:r w:rsidRPr="00713351">
        <w:rPr>
          <w:noProof/>
        </w:rPr>
        <w:tab/>
      </w:r>
      <w:r w:rsidR="00652DB3" w:rsidRPr="00931023">
        <w:rPr>
          <w:noProof/>
        </w:rPr>
        <w:t>de la 16 martie la 15 iunie în subdiviziunile 25 și 26;</w:t>
      </w:r>
    </w:p>
    <w:p w:rsidR="00E743FD" w:rsidRPr="00931023" w:rsidRDefault="00713351" w:rsidP="00713351">
      <w:pPr>
        <w:pStyle w:val="Point1"/>
        <w:rPr>
          <w:noProof/>
        </w:rPr>
      </w:pPr>
      <w:r w:rsidRPr="00713351">
        <w:rPr>
          <w:noProof/>
        </w:rPr>
        <w:t>(b)</w:t>
      </w:r>
      <w:r w:rsidRPr="00713351">
        <w:rPr>
          <w:noProof/>
        </w:rPr>
        <w:tab/>
      </w:r>
      <w:r w:rsidR="00E743FD" w:rsidRPr="00931023">
        <w:rPr>
          <w:noProof/>
        </w:rPr>
        <w:t>de la 1 aprilie la 30 iunie în subdiviziunile 27 și 28.2;</w:t>
      </w:r>
    </w:p>
    <w:p w:rsidR="00652DB3" w:rsidRPr="00931023" w:rsidRDefault="00713351" w:rsidP="00713351">
      <w:pPr>
        <w:pStyle w:val="Point1"/>
        <w:rPr>
          <w:noProof/>
        </w:rPr>
      </w:pPr>
      <w:r w:rsidRPr="00713351">
        <w:rPr>
          <w:noProof/>
        </w:rPr>
        <w:t>(c)</w:t>
      </w:r>
      <w:r w:rsidRPr="00713351">
        <w:rPr>
          <w:noProof/>
        </w:rPr>
        <w:tab/>
      </w:r>
      <w:r w:rsidR="00E743FD" w:rsidRPr="00931023">
        <w:rPr>
          <w:noProof/>
        </w:rPr>
        <w:t>de la 1 mai la 31 iulie în subdiviziunile 29-32.</w:t>
      </w:r>
    </w:p>
    <w:p w:rsidR="00B13BA7" w:rsidRPr="00931023" w:rsidRDefault="00713351" w:rsidP="00713351">
      <w:pPr>
        <w:pStyle w:val="ManualNumPar1"/>
        <w:rPr>
          <w:noProof/>
        </w:rPr>
      </w:pPr>
      <w:r w:rsidRPr="00713351">
        <w:rPr>
          <w:noProof/>
        </w:rPr>
        <w:t>2.</w:t>
      </w:r>
      <w:r w:rsidRPr="00713351">
        <w:rPr>
          <w:noProof/>
        </w:rPr>
        <w:tab/>
      </w:r>
      <w:r w:rsidR="00697DC2" w:rsidRPr="00931023">
        <w:rPr>
          <w:noProof/>
        </w:rPr>
        <w:t xml:space="preserve">Interdicția prevăzută la alineatul (1) nu se aplică operațiunilor de pescuit desfășurate exclusiv în scopul cercetărilor științifice, cu condiția ca aceste cercetări să fie efectuate în deplină conformitate cu condițiile stabilite la articolul 25 din Regulamentul (UE) 2019/1241. Utilizarea acestei derogări se limitează la repartizarea inițială a cotelor fiecărui stat membru. </w:t>
      </w:r>
    </w:p>
    <w:p w:rsidR="002963AE" w:rsidRPr="00931023" w:rsidRDefault="00E66D34" w:rsidP="00763AB4">
      <w:pPr>
        <w:pStyle w:val="Titrearticle"/>
        <w:rPr>
          <w:noProof/>
        </w:rPr>
      </w:pPr>
      <w:r w:rsidRPr="00931023">
        <w:rPr>
          <w:noProof/>
        </w:rPr>
        <w:t xml:space="preserve">Articolul 9 </w:t>
      </w:r>
      <w:r w:rsidRPr="00931023">
        <w:rPr>
          <w:noProof/>
        </w:rPr>
        <w:br/>
      </w:r>
      <w:r w:rsidRPr="00931023">
        <w:rPr>
          <w:b/>
          <w:i w:val="0"/>
          <w:noProof/>
        </w:rPr>
        <w:t>Închiderea zonelor de reproducere a șprotului în scop de protecție în subdiviziunile 25, 26, 27, 28.2, 29 și 32</w:t>
      </w:r>
    </w:p>
    <w:p w:rsidR="00CE6DA1" w:rsidRPr="00931023" w:rsidRDefault="00713351" w:rsidP="00713351">
      <w:pPr>
        <w:pStyle w:val="ManualNumPar1"/>
        <w:rPr>
          <w:noProof/>
        </w:rPr>
      </w:pPr>
      <w:r w:rsidRPr="00713351">
        <w:rPr>
          <w:noProof/>
        </w:rPr>
        <w:t>1.</w:t>
      </w:r>
      <w:r w:rsidRPr="00713351">
        <w:rPr>
          <w:noProof/>
        </w:rPr>
        <w:tab/>
      </w:r>
      <w:r w:rsidR="00F85CC7" w:rsidRPr="00931023">
        <w:rPr>
          <w:noProof/>
        </w:rPr>
        <w:t>În perioada 1 mai-31 iulie, se interzice navelor de pescuit din Uniune să pescuiască stocuri de pești pelagici cu unelte de pescuit activ în zone dincolo de 12 mile marine măsurate de la liniile de bază în subdiviziunile 25, 26, 27, 28.2, 29 și la vest de 24° 00′ E în subdiviziunea 32.</w:t>
      </w:r>
    </w:p>
    <w:p w:rsidR="00F85CC7" w:rsidRPr="00931023" w:rsidRDefault="00713351" w:rsidP="00713351">
      <w:pPr>
        <w:pStyle w:val="ManualNumPar1"/>
        <w:rPr>
          <w:noProof/>
        </w:rPr>
      </w:pPr>
      <w:bookmarkStart w:id="10" w:name="_Hlk201161466"/>
      <w:r w:rsidRPr="00713351">
        <w:rPr>
          <w:noProof/>
        </w:rPr>
        <w:t>2.</w:t>
      </w:r>
      <w:r w:rsidRPr="00713351">
        <w:rPr>
          <w:noProof/>
        </w:rPr>
        <w:tab/>
      </w:r>
      <w:r w:rsidR="00F85CC7" w:rsidRPr="00931023">
        <w:rPr>
          <w:noProof/>
        </w:rPr>
        <w:t xml:space="preserve">Interdicția prevăzută la alineatul (1) nu se aplică în </w:t>
      </w:r>
      <w:bookmarkEnd w:id="10"/>
      <w:r w:rsidR="00F85CC7" w:rsidRPr="00931023">
        <w:rPr>
          <w:noProof/>
        </w:rPr>
        <w:t>următoarele cazuri:</w:t>
      </w:r>
    </w:p>
    <w:p w:rsidR="00F85CC7" w:rsidRPr="00931023" w:rsidRDefault="00713351" w:rsidP="00713351">
      <w:pPr>
        <w:pStyle w:val="Point1"/>
        <w:rPr>
          <w:noProof/>
        </w:rPr>
      </w:pPr>
      <w:r w:rsidRPr="00713351">
        <w:rPr>
          <w:noProof/>
        </w:rPr>
        <w:t>(a)</w:t>
      </w:r>
      <w:r w:rsidRPr="00713351">
        <w:rPr>
          <w:noProof/>
        </w:rPr>
        <w:tab/>
      </w:r>
      <w:r w:rsidR="00F85CC7" w:rsidRPr="00931023">
        <w:rPr>
          <w:noProof/>
        </w:rPr>
        <w:t>pentru operațiunile de pescuit desfășurate în scopul exclusiv al cercetărilor științifice, cu condiția ca aceste cercetări să fie efectuate în conformitate cu condițiile prevăzute la articolul 25 din Regulamentul (UE) 2019/1241; utilizarea acestei derogări se limitează la repartizarea inițială a cotelor fiecărui stat membru.</w:t>
      </w:r>
    </w:p>
    <w:p w:rsidR="00F85CC7" w:rsidRPr="00931023" w:rsidRDefault="00713351" w:rsidP="00713351">
      <w:pPr>
        <w:pStyle w:val="Point1"/>
        <w:rPr>
          <w:noProof/>
        </w:rPr>
      </w:pPr>
      <w:r w:rsidRPr="00713351">
        <w:rPr>
          <w:noProof/>
        </w:rPr>
        <w:t>(b)</w:t>
      </w:r>
      <w:r w:rsidRPr="00713351">
        <w:rPr>
          <w:noProof/>
        </w:rPr>
        <w:tab/>
      </w:r>
      <w:r w:rsidR="00F71A51" w:rsidRPr="00931023">
        <w:rPr>
          <w:noProof/>
        </w:rPr>
        <w:t>pentru navele de pescuit din Uniune cu o lungime totală mai mică de 12 metri care pescuiesc cu setci, cu plase de încurcare sau cu setci cu sirec, cu paragate de fund, cu paragate, cu paragate flotante, cu undițe de mână și cu echipament de pescuit la dandinetă sau cu unelte de pescuit pasiv similare.</w:t>
      </w:r>
    </w:p>
    <w:p w:rsidR="00F85CC7" w:rsidRPr="00931023" w:rsidRDefault="00F85CC7" w:rsidP="00F85CC7">
      <w:pPr>
        <w:pStyle w:val="Titrearticle"/>
        <w:rPr>
          <w:noProof/>
        </w:rPr>
      </w:pPr>
      <w:r w:rsidRPr="00931023">
        <w:rPr>
          <w:noProof/>
        </w:rPr>
        <w:t xml:space="preserve">Articolul 10 </w:t>
      </w:r>
      <w:r w:rsidRPr="00931023">
        <w:rPr>
          <w:noProof/>
        </w:rPr>
        <w:br/>
      </w:r>
      <w:r w:rsidRPr="00931023">
        <w:rPr>
          <w:b/>
          <w:i w:val="0"/>
          <w:noProof/>
        </w:rPr>
        <w:t>Măsuri privind pescuitul recreativ de cod în subdiviziunile 22-32</w:t>
      </w:r>
    </w:p>
    <w:p w:rsidR="00F85CC7" w:rsidRPr="00931023" w:rsidRDefault="00713351" w:rsidP="00713351">
      <w:pPr>
        <w:pStyle w:val="ManualNumPar1"/>
        <w:rPr>
          <w:noProof/>
        </w:rPr>
      </w:pPr>
      <w:r w:rsidRPr="00713351">
        <w:rPr>
          <w:noProof/>
        </w:rPr>
        <w:t>1.</w:t>
      </w:r>
      <w:r w:rsidRPr="00713351">
        <w:rPr>
          <w:noProof/>
        </w:rPr>
        <w:tab/>
      </w:r>
      <w:r w:rsidR="00F85CC7" w:rsidRPr="00931023">
        <w:rPr>
          <w:noProof/>
        </w:rPr>
        <w:t>Pescuitul recreativ de cod este interzis în subdiviziunile 22-32. Orice exemplar de cod capturat în mod accidental se eliberează imediat înapoi în mare.</w:t>
      </w:r>
    </w:p>
    <w:p w:rsidR="00F85CC7" w:rsidRPr="00931023" w:rsidRDefault="00713351" w:rsidP="00713351">
      <w:pPr>
        <w:pStyle w:val="ManualNumPar1"/>
        <w:rPr>
          <w:noProof/>
        </w:rPr>
      </w:pPr>
      <w:r w:rsidRPr="00713351">
        <w:rPr>
          <w:noProof/>
        </w:rPr>
        <w:t>2.</w:t>
      </w:r>
      <w:r w:rsidRPr="00713351">
        <w:rPr>
          <w:noProof/>
        </w:rPr>
        <w:tab/>
      </w:r>
      <w:r w:rsidR="00F85CC7" w:rsidRPr="00931023">
        <w:rPr>
          <w:noProof/>
        </w:rPr>
        <w:t>În pofida alineatului (1), se pot reține capturile accidentale de cod din cadrul pescuitului recreativ de alte specii în subdiviziunile 27-32.</w:t>
      </w:r>
    </w:p>
    <w:p w:rsidR="00CE16E8" w:rsidRPr="00931023" w:rsidRDefault="00AC02FD" w:rsidP="00763AB4">
      <w:pPr>
        <w:pStyle w:val="Titrearticle"/>
        <w:rPr>
          <w:noProof/>
        </w:rPr>
      </w:pPr>
      <w:r w:rsidRPr="00931023">
        <w:rPr>
          <w:noProof/>
        </w:rPr>
        <w:t xml:space="preserve">Articolul 11 </w:t>
      </w:r>
      <w:r w:rsidRPr="00931023">
        <w:rPr>
          <w:noProof/>
        </w:rPr>
        <w:br/>
      </w:r>
      <w:r w:rsidRPr="00931023">
        <w:rPr>
          <w:b/>
          <w:i w:val="0"/>
          <w:noProof/>
        </w:rPr>
        <w:t xml:space="preserve">Măsuri privind pescuitul recreativ de somon în subdiviziunile 22-31 </w:t>
      </w:r>
    </w:p>
    <w:p w:rsidR="00B07DBC" w:rsidRPr="00931023" w:rsidRDefault="00713351" w:rsidP="00713351">
      <w:pPr>
        <w:pStyle w:val="ManualNumPar1"/>
        <w:rPr>
          <w:noProof/>
        </w:rPr>
      </w:pPr>
      <w:r w:rsidRPr="00713351">
        <w:rPr>
          <w:noProof/>
        </w:rPr>
        <w:t>1.</w:t>
      </w:r>
      <w:r w:rsidRPr="00713351">
        <w:rPr>
          <w:noProof/>
        </w:rPr>
        <w:tab/>
      </w:r>
      <w:r w:rsidR="00CE6DA1" w:rsidRPr="00931023">
        <w:rPr>
          <w:noProof/>
        </w:rPr>
        <w:t>Pescuitul recreativ de somon este interzis în subdiviziunile 22-31. Orice exemplar de somon capturat în mod accidental se eliberează imediat înapoi în mare.</w:t>
      </w:r>
    </w:p>
    <w:p w:rsidR="00E62428" w:rsidRPr="00931023" w:rsidRDefault="00713351" w:rsidP="00713351">
      <w:pPr>
        <w:pStyle w:val="ManualNumPar1"/>
        <w:rPr>
          <w:noProof/>
        </w:rPr>
      </w:pPr>
      <w:r w:rsidRPr="00713351">
        <w:rPr>
          <w:noProof/>
        </w:rPr>
        <w:t>2.</w:t>
      </w:r>
      <w:r w:rsidRPr="00713351">
        <w:rPr>
          <w:noProof/>
        </w:rPr>
        <w:tab/>
      </w:r>
      <w:r w:rsidR="00F41B32" w:rsidRPr="00931023">
        <w:rPr>
          <w:noProof/>
        </w:rPr>
        <w:t>Prin derogare de la alineatul (1), pescuitul recreativ de somon este permis în zone situate în limita a patru mile marine măsurate de la liniile de bază în următoarele perioade și zone:</w:t>
      </w:r>
    </w:p>
    <w:p w:rsidR="00E62428" w:rsidRPr="00931023" w:rsidRDefault="00713351" w:rsidP="00713351">
      <w:pPr>
        <w:pStyle w:val="Point1"/>
        <w:rPr>
          <w:noProof/>
        </w:rPr>
      </w:pPr>
      <w:r w:rsidRPr="00713351">
        <w:rPr>
          <w:noProof/>
        </w:rPr>
        <w:t>(a)</w:t>
      </w:r>
      <w:r w:rsidRPr="00713351">
        <w:rPr>
          <w:noProof/>
        </w:rPr>
        <w:tab/>
      </w:r>
      <w:r w:rsidR="00E62428" w:rsidRPr="00931023">
        <w:rPr>
          <w:noProof/>
        </w:rPr>
        <w:t>de la 1 iunie la 31 august în subdiviziunea ICES 29 la nord de 59° 30 ′ latitudine nordică;</w:t>
      </w:r>
    </w:p>
    <w:p w:rsidR="00E62428" w:rsidRPr="00931023" w:rsidRDefault="00713351" w:rsidP="00713351">
      <w:pPr>
        <w:pStyle w:val="Point1"/>
        <w:rPr>
          <w:noProof/>
        </w:rPr>
      </w:pPr>
      <w:r w:rsidRPr="00713351">
        <w:rPr>
          <w:noProof/>
        </w:rPr>
        <w:t>(b)</w:t>
      </w:r>
      <w:r w:rsidRPr="00713351">
        <w:rPr>
          <w:noProof/>
        </w:rPr>
        <w:tab/>
      </w:r>
      <w:r w:rsidR="00E62428" w:rsidRPr="00931023">
        <w:rPr>
          <w:noProof/>
        </w:rPr>
        <w:t>de la 1 mai la 31 august în subdiviziunile ICES 30 și 31, cu excepția lunii mai, în zona situată în limita a patru mile marine măsurate de la gura de vărsare a râului Råneälven.</w:t>
      </w:r>
    </w:p>
    <w:p w:rsidR="00096303" w:rsidRPr="00931023" w:rsidRDefault="00713351" w:rsidP="00713351">
      <w:pPr>
        <w:pStyle w:val="ManualNumPar1"/>
        <w:rPr>
          <w:noProof/>
        </w:rPr>
      </w:pPr>
      <w:r w:rsidRPr="00713351">
        <w:rPr>
          <w:noProof/>
        </w:rPr>
        <w:t>3.</w:t>
      </w:r>
      <w:r w:rsidRPr="00713351">
        <w:rPr>
          <w:noProof/>
        </w:rPr>
        <w:tab/>
      </w:r>
      <w:r w:rsidR="00F41B32" w:rsidRPr="00931023">
        <w:rPr>
          <w:noProof/>
        </w:rPr>
        <w:t>Prezentul articol nu aduce atingere măsurilor naționale mai stricte adoptate în temeiul articolelor 19 și 20 din Regulamentul (UE) nr. 1380/2013.</w:t>
      </w:r>
    </w:p>
    <w:p w:rsidR="00F41B32" w:rsidRPr="00931023" w:rsidRDefault="00F41B32" w:rsidP="00763AB4">
      <w:pPr>
        <w:pStyle w:val="Titrearticle"/>
        <w:rPr>
          <w:noProof/>
        </w:rPr>
      </w:pPr>
      <w:r w:rsidRPr="00931023">
        <w:rPr>
          <w:noProof/>
        </w:rPr>
        <w:t xml:space="preserve">Articolul 12 </w:t>
      </w:r>
      <w:r w:rsidRPr="00931023">
        <w:rPr>
          <w:noProof/>
        </w:rPr>
        <w:br/>
      </w:r>
      <w:r w:rsidRPr="00931023">
        <w:rPr>
          <w:b/>
          <w:i w:val="0"/>
          <w:noProof/>
        </w:rPr>
        <w:t xml:space="preserve">Măsuri pentru conservarea stocurilor de păstrăv de mare și de somon în subdiviziunile 22-32 </w:t>
      </w:r>
    </w:p>
    <w:p w:rsidR="00F41B32" w:rsidRPr="00931023" w:rsidRDefault="00713351" w:rsidP="00713351">
      <w:pPr>
        <w:pStyle w:val="ManualNumPar1"/>
        <w:rPr>
          <w:noProof/>
        </w:rPr>
      </w:pPr>
      <w:r w:rsidRPr="00713351">
        <w:rPr>
          <w:noProof/>
        </w:rPr>
        <w:t>1.</w:t>
      </w:r>
      <w:r w:rsidRPr="00713351">
        <w:rPr>
          <w:noProof/>
        </w:rPr>
        <w:tab/>
      </w:r>
      <w:r w:rsidR="1BB9E3CA" w:rsidRPr="00931023">
        <w:rPr>
          <w:noProof/>
        </w:rPr>
        <w:t>Se interzice navelor de pescuit ale Uniunii să pescuiască păstrăv de mare dincolo de patru mile marine măsurate de la liniile de bază din subdiviziunile 22-32. În cazul pescuitului de somon dincolo de patru mile marine măsurate de la liniile de bază în subdiviziunea 32, capturile accidentale de păstrăv de mare nu depășesc în niciun moment 3 % din captura totală de somon și de păstrăv de mare prezentă la bord sau debarcată după fiecare campanie de pescuit.</w:t>
      </w:r>
    </w:p>
    <w:p w:rsidR="00F41B32" w:rsidRPr="00931023" w:rsidRDefault="00713351" w:rsidP="00713351">
      <w:pPr>
        <w:pStyle w:val="ManualNumPar1"/>
        <w:rPr>
          <w:noProof/>
        </w:rPr>
      </w:pPr>
      <w:r w:rsidRPr="00713351">
        <w:rPr>
          <w:noProof/>
        </w:rPr>
        <w:t>2.</w:t>
      </w:r>
      <w:r w:rsidRPr="00713351">
        <w:rPr>
          <w:noProof/>
        </w:rPr>
        <w:tab/>
      </w:r>
      <w:r w:rsidR="00F41B32" w:rsidRPr="00931023">
        <w:rPr>
          <w:noProof/>
        </w:rPr>
        <w:t>Pescuitul cu paragate de păstrăv de mare sau de somon dincolo de patru mile marine măsurate de la liniile de bază în subdiviziunile 22-31 este interzis.</w:t>
      </w:r>
    </w:p>
    <w:p w:rsidR="00F41B32" w:rsidRPr="00931023" w:rsidRDefault="00713351" w:rsidP="00713351">
      <w:pPr>
        <w:pStyle w:val="ManualNumPar1"/>
        <w:rPr>
          <w:noProof/>
        </w:rPr>
      </w:pPr>
      <w:r w:rsidRPr="00713351">
        <w:rPr>
          <w:noProof/>
        </w:rPr>
        <w:t>3.</w:t>
      </w:r>
      <w:r w:rsidRPr="00713351">
        <w:rPr>
          <w:noProof/>
        </w:rPr>
        <w:tab/>
      </w:r>
      <w:r w:rsidR="00F41B32" w:rsidRPr="00931023">
        <w:rPr>
          <w:noProof/>
        </w:rPr>
        <w:t>Prezentul articol nu aduce atingere măsurilor naționale mai stricte adoptate în temeiul articolelor 19 și 20 din Regulamentul (UE) nr. 1380/2013.</w:t>
      </w:r>
    </w:p>
    <w:p w:rsidR="00E26500" w:rsidRPr="00931023" w:rsidRDefault="00E26500" w:rsidP="00763AB4">
      <w:pPr>
        <w:pStyle w:val="Titrearticle"/>
        <w:rPr>
          <w:noProof/>
        </w:rPr>
      </w:pPr>
      <w:r w:rsidRPr="00931023">
        <w:rPr>
          <w:noProof/>
        </w:rPr>
        <w:t>Articolul 13</w:t>
      </w:r>
      <w:r w:rsidRPr="00931023">
        <w:rPr>
          <w:noProof/>
        </w:rPr>
        <w:br/>
      </w:r>
      <w:r w:rsidRPr="00931023">
        <w:rPr>
          <w:b/>
          <w:i w:val="0"/>
          <w:noProof/>
        </w:rPr>
        <w:t xml:space="preserve">Transmiterea datelor </w:t>
      </w:r>
    </w:p>
    <w:p w:rsidR="00AC02FD" w:rsidRPr="00931023" w:rsidRDefault="00E26500" w:rsidP="00E05BF7">
      <w:pPr>
        <w:rPr>
          <w:noProof/>
        </w:rPr>
      </w:pPr>
      <w:r w:rsidRPr="00931023">
        <w:rPr>
          <w:noProof/>
        </w:rPr>
        <w:t xml:space="preserve">Atunci când statele membre transmit Comisiei date privind cantitățile capturate sau debarcate din stocuri în conformitate cu articolele 33 și 34 din Regulamentul (CE) nr. 1224/2009, acestea utilizează codurile stocurilor prevăzute în anexa la prezentul regulament. </w:t>
      </w:r>
    </w:p>
    <w:p w:rsidR="004258CD" w:rsidRPr="00931023" w:rsidRDefault="00E66D34" w:rsidP="00763AB4">
      <w:pPr>
        <w:pStyle w:val="ChapterTitle"/>
        <w:rPr>
          <w:noProof/>
        </w:rPr>
      </w:pPr>
      <w:r w:rsidRPr="00931023">
        <w:rPr>
          <w:noProof/>
        </w:rPr>
        <w:t xml:space="preserve">CAPITOLUL III </w:t>
      </w:r>
      <w:r w:rsidRPr="00931023">
        <w:rPr>
          <w:noProof/>
        </w:rPr>
        <w:br/>
        <w:t xml:space="preserve">DISPOZIȚII FINALE </w:t>
      </w:r>
    </w:p>
    <w:p w:rsidR="00E26500" w:rsidRPr="00931023" w:rsidRDefault="00E26500" w:rsidP="00763AB4">
      <w:pPr>
        <w:pStyle w:val="Titrearticle"/>
        <w:rPr>
          <w:b/>
          <w:i w:val="0"/>
          <w:noProof/>
        </w:rPr>
      </w:pPr>
      <w:r w:rsidRPr="00931023">
        <w:rPr>
          <w:noProof/>
        </w:rPr>
        <w:t xml:space="preserve">Articolul 14 </w:t>
      </w:r>
      <w:r w:rsidRPr="00931023">
        <w:rPr>
          <w:noProof/>
        </w:rPr>
        <w:br/>
      </w:r>
      <w:r w:rsidRPr="00931023">
        <w:rPr>
          <w:b/>
          <w:i w:val="0"/>
          <w:noProof/>
        </w:rPr>
        <w:t xml:space="preserve">Modificarea Regulamentului (UE) 2025/202 </w:t>
      </w:r>
    </w:p>
    <w:p w:rsidR="00437F2A" w:rsidRPr="00931023" w:rsidRDefault="00142205" w:rsidP="00BC3901">
      <w:pPr>
        <w:rPr>
          <w:noProof/>
        </w:rPr>
      </w:pPr>
      <w:r w:rsidRPr="00931023">
        <w:rPr>
          <w:noProof/>
        </w:rPr>
        <w:t>Regulamentul (UE) 2025/202 se modifică după cum urmează:</w:t>
      </w:r>
    </w:p>
    <w:p w:rsidR="00E26500" w:rsidRPr="00931023" w:rsidRDefault="00713351" w:rsidP="00713351">
      <w:pPr>
        <w:pStyle w:val="Point0"/>
        <w:rPr>
          <w:noProof/>
        </w:rPr>
      </w:pPr>
      <w:r w:rsidRPr="00713351">
        <w:rPr>
          <w:noProof/>
        </w:rPr>
        <w:t>(1)</w:t>
      </w:r>
      <w:r w:rsidRPr="00713351">
        <w:rPr>
          <w:noProof/>
        </w:rPr>
        <w:tab/>
      </w:r>
      <w:r w:rsidR="00E3614F" w:rsidRPr="00931023">
        <w:rPr>
          <w:noProof/>
        </w:rPr>
        <w:t>În anexa IA partea B, tabelul 122 se înlocuiește cu următorul text:</w:t>
      </w:r>
    </w:p>
    <w:p w:rsidR="008F7CB3" w:rsidRPr="00931023" w:rsidRDefault="00BC3901" w:rsidP="001D386D">
      <w:pPr>
        <w:rPr>
          <w:noProof/>
        </w:rPr>
      </w:pPr>
      <w:r w:rsidRPr="00931023">
        <w:rPr>
          <w:noProof/>
        </w:rPr>
        <w:t>„</w:t>
      </w:r>
    </w:p>
    <w:p w:rsidR="009B0894" w:rsidRPr="00931023" w:rsidRDefault="008F7CB3" w:rsidP="008F7CB3">
      <w:pPr>
        <w:jc w:val="center"/>
        <w:rPr>
          <w:b/>
          <w:noProof/>
        </w:rPr>
      </w:pPr>
      <w:r w:rsidRPr="00931023">
        <w:rPr>
          <w:b/>
          <w:noProof/>
        </w:rPr>
        <w:t>Tabel 122</w:t>
      </w:r>
    </w:p>
    <w:tbl>
      <w:tblPr>
        <w:tblpPr w:leftFromText="180" w:rightFromText="180" w:vertAnchor="text" w:horzAnchor="margin" w:tblpXSpec="center" w:tblpY="254"/>
        <w:tblW w:w="11000" w:type="dxa"/>
        <w:tblLook w:val="04A0" w:firstRow="1" w:lastRow="0" w:firstColumn="1" w:lastColumn="0" w:noHBand="0" w:noVBand="1"/>
      </w:tblPr>
      <w:tblGrid>
        <w:gridCol w:w="1486"/>
        <w:gridCol w:w="1323"/>
        <w:gridCol w:w="756"/>
        <w:gridCol w:w="1540"/>
        <w:gridCol w:w="1002"/>
        <w:gridCol w:w="837"/>
        <w:gridCol w:w="1947"/>
        <w:gridCol w:w="88"/>
        <w:gridCol w:w="530"/>
        <w:gridCol w:w="679"/>
        <w:gridCol w:w="274"/>
        <w:gridCol w:w="85"/>
        <w:gridCol w:w="194"/>
        <w:gridCol w:w="256"/>
        <w:gridCol w:w="47"/>
      </w:tblGrid>
      <w:tr w:rsidR="00E7452C" w:rsidRPr="00931023" w:rsidTr="00F30FCB">
        <w:trPr>
          <w:trHeight w:val="250"/>
        </w:trPr>
        <w:tc>
          <w:tcPr>
            <w:tcW w:w="1486" w:type="dxa"/>
            <w:tcBorders>
              <w:top w:val="single" w:sz="8" w:space="0" w:color="000000" w:themeColor="text1"/>
              <w:left w:val="nil"/>
              <w:bottom w:val="nil"/>
              <w:right w:val="nil"/>
            </w:tcBorders>
            <w:shd w:val="clear" w:color="auto" w:fill="auto"/>
            <w:noWrap/>
          </w:tcPr>
          <w:p w:rsidR="00E7452C" w:rsidRPr="00931023" w:rsidRDefault="00E7452C" w:rsidP="00E7452C">
            <w:pPr>
              <w:spacing w:before="0" w:after="0"/>
              <w:jc w:val="left"/>
              <w:rPr>
                <w:noProof/>
                <w:color w:val="000000"/>
                <w:sz w:val="18"/>
              </w:rPr>
            </w:pPr>
            <w:r w:rsidRPr="00931023">
              <w:rPr>
                <w:noProof/>
                <w:color w:val="000000"/>
                <w:sz w:val="18"/>
              </w:rPr>
              <w:t>Specia:</w:t>
            </w:r>
          </w:p>
        </w:tc>
        <w:tc>
          <w:tcPr>
            <w:tcW w:w="4577" w:type="dxa"/>
            <w:gridSpan w:val="4"/>
            <w:tcBorders>
              <w:top w:val="single" w:sz="8" w:space="0" w:color="000000" w:themeColor="text1"/>
              <w:left w:val="nil"/>
              <w:bottom w:val="nil"/>
              <w:right w:val="single" w:sz="8" w:space="0" w:color="000000" w:themeColor="text1"/>
            </w:tcBorders>
            <w:shd w:val="clear" w:color="auto" w:fill="auto"/>
            <w:noWrap/>
          </w:tcPr>
          <w:p w:rsidR="00E7452C" w:rsidRPr="00931023" w:rsidRDefault="00E7452C" w:rsidP="00EE27BD">
            <w:pPr>
              <w:spacing w:before="0" w:after="0"/>
              <w:jc w:val="left"/>
              <w:rPr>
                <w:noProof/>
                <w:sz w:val="18"/>
              </w:rPr>
            </w:pPr>
            <w:r w:rsidRPr="00931023">
              <w:rPr>
                <w:noProof/>
                <w:sz w:val="18"/>
              </w:rPr>
              <w:t>Merluciu norvegian și capturi accidentale asociate</w:t>
            </w:r>
          </w:p>
          <w:p w:rsidR="00E7452C" w:rsidRPr="00931023" w:rsidRDefault="00E7452C" w:rsidP="00453199">
            <w:pPr>
              <w:spacing w:before="0" w:after="0"/>
              <w:jc w:val="left"/>
              <w:rPr>
                <w:noProof/>
                <w:color w:val="000000"/>
                <w:sz w:val="18"/>
              </w:rPr>
            </w:pPr>
          </w:p>
        </w:tc>
        <w:tc>
          <w:tcPr>
            <w:tcW w:w="837" w:type="dxa"/>
            <w:tcBorders>
              <w:top w:val="single" w:sz="8" w:space="0" w:color="000000" w:themeColor="text1"/>
              <w:left w:val="single" w:sz="8" w:space="0" w:color="000000" w:themeColor="text1"/>
              <w:bottom w:val="nil"/>
              <w:right w:val="nil"/>
            </w:tcBorders>
            <w:shd w:val="clear" w:color="auto" w:fill="auto"/>
            <w:noWrap/>
          </w:tcPr>
          <w:p w:rsidR="00E7452C" w:rsidRPr="00931023" w:rsidRDefault="00E7452C" w:rsidP="00E7452C">
            <w:pPr>
              <w:spacing w:before="0" w:after="0"/>
              <w:jc w:val="left"/>
              <w:rPr>
                <w:noProof/>
                <w:color w:val="000000"/>
                <w:sz w:val="18"/>
              </w:rPr>
            </w:pPr>
            <w:r w:rsidRPr="00931023">
              <w:rPr>
                <w:noProof/>
                <w:color w:val="000000"/>
                <w:sz w:val="18"/>
              </w:rPr>
              <w:t>Zona:</w:t>
            </w:r>
          </w:p>
        </w:tc>
        <w:tc>
          <w:tcPr>
            <w:tcW w:w="4100" w:type="dxa"/>
            <w:gridSpan w:val="9"/>
            <w:tcBorders>
              <w:top w:val="single" w:sz="8" w:space="0" w:color="000000" w:themeColor="text1"/>
              <w:left w:val="nil"/>
              <w:bottom w:val="nil"/>
              <w:right w:val="nil"/>
            </w:tcBorders>
            <w:shd w:val="clear" w:color="auto" w:fill="auto"/>
            <w:noWrap/>
          </w:tcPr>
          <w:p w:rsidR="00E7452C" w:rsidRPr="00931023" w:rsidRDefault="00E7452C" w:rsidP="00E7452C">
            <w:pPr>
              <w:spacing w:before="0" w:after="0"/>
              <w:jc w:val="left"/>
              <w:rPr>
                <w:noProof/>
                <w:color w:val="000000"/>
                <w:sz w:val="18"/>
              </w:rPr>
            </w:pPr>
            <w:r w:rsidRPr="00931023">
              <w:rPr>
                <w:noProof/>
                <w:color w:val="000000"/>
                <w:sz w:val="18"/>
              </w:rPr>
              <w:t>3a; apele Regatului Unit și apele Uniunii din zona 4; apele Regatului Unit din zona 2a</w:t>
            </w:r>
          </w:p>
        </w:tc>
      </w:tr>
      <w:tr w:rsidR="00E7452C" w:rsidRPr="00931023" w:rsidTr="00F30FCB">
        <w:trPr>
          <w:trHeight w:val="250"/>
        </w:trPr>
        <w:tc>
          <w:tcPr>
            <w:tcW w:w="1486" w:type="dxa"/>
            <w:tcBorders>
              <w:top w:val="nil"/>
              <w:left w:val="nil"/>
              <w:bottom w:val="single" w:sz="8" w:space="0" w:color="000000" w:themeColor="text1"/>
              <w:right w:val="nil"/>
            </w:tcBorders>
            <w:shd w:val="clear" w:color="auto" w:fill="auto"/>
            <w:noWrap/>
          </w:tcPr>
          <w:p w:rsidR="00E7452C" w:rsidRPr="00931023" w:rsidRDefault="00E7452C" w:rsidP="00E7452C">
            <w:pPr>
              <w:spacing w:before="0" w:after="0"/>
              <w:jc w:val="left"/>
              <w:rPr>
                <w:noProof/>
                <w:color w:val="000000"/>
                <w:sz w:val="18"/>
              </w:rPr>
            </w:pPr>
          </w:p>
        </w:tc>
        <w:tc>
          <w:tcPr>
            <w:tcW w:w="2079" w:type="dxa"/>
            <w:gridSpan w:val="2"/>
            <w:tcBorders>
              <w:top w:val="nil"/>
              <w:left w:val="nil"/>
              <w:bottom w:val="single" w:sz="8" w:space="0" w:color="auto"/>
              <w:right w:val="nil"/>
            </w:tcBorders>
            <w:shd w:val="clear" w:color="auto" w:fill="auto"/>
            <w:noWrap/>
          </w:tcPr>
          <w:p w:rsidR="00E7452C" w:rsidRPr="00931023" w:rsidRDefault="00E7452C" w:rsidP="00E7452C">
            <w:pPr>
              <w:spacing w:before="0" w:after="0"/>
              <w:jc w:val="left"/>
              <w:rPr>
                <w:i/>
                <w:noProof/>
                <w:sz w:val="18"/>
              </w:rPr>
            </w:pPr>
            <w:r w:rsidRPr="00931023">
              <w:rPr>
                <w:i/>
                <w:noProof/>
                <w:sz w:val="18"/>
              </w:rPr>
              <w:t>Trisopterus esmarkii</w:t>
            </w:r>
          </w:p>
        </w:tc>
        <w:tc>
          <w:tcPr>
            <w:tcW w:w="2498" w:type="dxa"/>
            <w:gridSpan w:val="2"/>
            <w:tcBorders>
              <w:top w:val="nil"/>
              <w:left w:val="nil"/>
              <w:bottom w:val="single" w:sz="8" w:space="0" w:color="auto"/>
              <w:right w:val="single" w:sz="8" w:space="0" w:color="000000" w:themeColor="text1"/>
            </w:tcBorders>
            <w:shd w:val="clear" w:color="auto" w:fill="auto"/>
            <w:noWrap/>
          </w:tcPr>
          <w:p w:rsidR="00E7452C" w:rsidRPr="00931023" w:rsidRDefault="00E7452C" w:rsidP="00E7452C">
            <w:pPr>
              <w:spacing w:before="0" w:after="0"/>
              <w:jc w:val="left"/>
              <w:rPr>
                <w:noProof/>
                <w:color w:val="000000"/>
                <w:sz w:val="18"/>
              </w:rPr>
            </w:pPr>
          </w:p>
        </w:tc>
        <w:tc>
          <w:tcPr>
            <w:tcW w:w="837" w:type="dxa"/>
            <w:tcBorders>
              <w:top w:val="nil"/>
              <w:left w:val="nil"/>
              <w:bottom w:val="single" w:sz="8" w:space="0" w:color="000000" w:themeColor="text1"/>
              <w:right w:val="nil"/>
            </w:tcBorders>
            <w:shd w:val="clear" w:color="auto" w:fill="auto"/>
            <w:noWrap/>
          </w:tcPr>
          <w:p w:rsidR="00E7452C" w:rsidRPr="00931023" w:rsidRDefault="00E7452C" w:rsidP="00E7452C">
            <w:pPr>
              <w:spacing w:before="0" w:after="0"/>
              <w:jc w:val="left"/>
              <w:rPr>
                <w:noProof/>
                <w:color w:val="000000"/>
                <w:sz w:val="18"/>
              </w:rPr>
            </w:pPr>
          </w:p>
        </w:tc>
        <w:tc>
          <w:tcPr>
            <w:tcW w:w="2565" w:type="dxa"/>
            <w:gridSpan w:val="3"/>
            <w:tcBorders>
              <w:top w:val="nil"/>
              <w:left w:val="nil"/>
              <w:bottom w:val="single" w:sz="8" w:space="0" w:color="000000" w:themeColor="text1"/>
              <w:right w:val="nil"/>
            </w:tcBorders>
            <w:shd w:val="clear" w:color="auto" w:fill="auto"/>
            <w:noWrap/>
          </w:tcPr>
          <w:p w:rsidR="00E7452C" w:rsidRPr="00931023" w:rsidRDefault="00E7452C" w:rsidP="00E7452C">
            <w:pPr>
              <w:spacing w:before="0" w:after="0"/>
              <w:jc w:val="left"/>
              <w:rPr>
                <w:noProof/>
                <w:color w:val="000000"/>
                <w:sz w:val="18"/>
              </w:rPr>
            </w:pPr>
            <w:r w:rsidRPr="00931023">
              <w:rPr>
                <w:noProof/>
                <w:color w:val="000000"/>
                <w:sz w:val="18"/>
              </w:rPr>
              <w:t>(NOP/2A3A4.)</w:t>
            </w:r>
          </w:p>
        </w:tc>
        <w:tc>
          <w:tcPr>
            <w:tcW w:w="679" w:type="dxa"/>
            <w:tcBorders>
              <w:top w:val="nil"/>
              <w:left w:val="nil"/>
              <w:bottom w:val="single" w:sz="8" w:space="0" w:color="000000" w:themeColor="text1"/>
              <w:right w:val="nil"/>
            </w:tcBorders>
            <w:shd w:val="clear" w:color="auto" w:fill="auto"/>
            <w:noWrap/>
          </w:tcPr>
          <w:p w:rsidR="00E7452C" w:rsidRPr="00931023" w:rsidRDefault="00E7452C" w:rsidP="00E7452C">
            <w:pPr>
              <w:spacing w:before="0" w:after="0"/>
              <w:jc w:val="left"/>
              <w:rPr>
                <w:noProof/>
                <w:color w:val="000000"/>
                <w:sz w:val="18"/>
              </w:rPr>
            </w:pPr>
          </w:p>
        </w:tc>
        <w:tc>
          <w:tcPr>
            <w:tcW w:w="856" w:type="dxa"/>
            <w:gridSpan w:val="5"/>
            <w:tcBorders>
              <w:top w:val="nil"/>
              <w:left w:val="nil"/>
              <w:bottom w:val="single" w:sz="8" w:space="0" w:color="000000" w:themeColor="text1"/>
              <w:right w:val="nil"/>
            </w:tcBorders>
            <w:shd w:val="clear" w:color="auto" w:fill="auto"/>
            <w:noWrap/>
          </w:tcPr>
          <w:p w:rsidR="00E7452C" w:rsidRPr="00931023" w:rsidRDefault="00E7452C" w:rsidP="00E7452C">
            <w:pPr>
              <w:spacing w:before="0" w:after="0"/>
              <w:jc w:val="left"/>
              <w:rPr>
                <w:noProof/>
                <w:color w:val="000000"/>
                <w:sz w:val="18"/>
              </w:rPr>
            </w:pPr>
          </w:p>
        </w:tc>
      </w:tr>
      <w:tr w:rsidR="00E7452C" w:rsidRPr="00931023" w:rsidTr="00F30FCB">
        <w:trPr>
          <w:trHeight w:val="250"/>
        </w:trPr>
        <w:tc>
          <w:tcPr>
            <w:tcW w:w="1486" w:type="dxa"/>
            <w:tcBorders>
              <w:top w:val="nil"/>
              <w:left w:val="nil"/>
              <w:right w:val="nil"/>
            </w:tcBorders>
            <w:shd w:val="clear" w:color="auto" w:fill="auto"/>
            <w:noWrap/>
          </w:tcPr>
          <w:p w:rsidR="00E7452C" w:rsidRPr="00931023" w:rsidRDefault="00E7452C" w:rsidP="00E7452C">
            <w:pPr>
              <w:spacing w:before="0" w:after="0"/>
              <w:jc w:val="left"/>
              <w:rPr>
                <w:b/>
                <w:noProof/>
                <w:color w:val="000000"/>
                <w:sz w:val="18"/>
              </w:rPr>
            </w:pPr>
            <w:r w:rsidRPr="00931023">
              <w:rPr>
                <w:b/>
                <w:noProof/>
                <w:color w:val="000000"/>
                <w:sz w:val="18"/>
              </w:rPr>
              <w:t>Anul</w:t>
            </w:r>
          </w:p>
        </w:tc>
        <w:tc>
          <w:tcPr>
            <w:tcW w:w="1323" w:type="dxa"/>
            <w:tcBorders>
              <w:top w:val="single" w:sz="8" w:space="0" w:color="auto"/>
              <w:left w:val="nil"/>
              <w:right w:val="nil"/>
            </w:tcBorders>
            <w:shd w:val="clear" w:color="auto" w:fill="auto"/>
            <w:noWrap/>
          </w:tcPr>
          <w:p w:rsidR="00E7452C" w:rsidRPr="00931023" w:rsidRDefault="00E7452C" w:rsidP="00E7452C">
            <w:pPr>
              <w:spacing w:before="0" w:after="0"/>
              <w:jc w:val="right"/>
              <w:rPr>
                <w:b/>
                <w:noProof/>
                <w:sz w:val="18"/>
              </w:rPr>
            </w:pPr>
            <w:r w:rsidRPr="00931023">
              <w:rPr>
                <w:b/>
                <w:noProof/>
                <w:sz w:val="18"/>
              </w:rPr>
              <w:t>2025</w:t>
            </w:r>
          </w:p>
        </w:tc>
        <w:tc>
          <w:tcPr>
            <w:tcW w:w="756" w:type="dxa"/>
            <w:tcBorders>
              <w:top w:val="single" w:sz="8" w:space="0" w:color="auto"/>
              <w:left w:val="nil"/>
              <w:right w:val="nil"/>
            </w:tcBorders>
          </w:tcPr>
          <w:p w:rsidR="00E7452C" w:rsidRPr="00931023" w:rsidRDefault="00E7452C" w:rsidP="00E7452C">
            <w:pPr>
              <w:spacing w:before="0" w:after="0"/>
              <w:jc w:val="right"/>
              <w:rPr>
                <w:b/>
                <w:noProof/>
                <w:color w:val="000000"/>
                <w:sz w:val="18"/>
              </w:rPr>
            </w:pPr>
          </w:p>
        </w:tc>
        <w:tc>
          <w:tcPr>
            <w:tcW w:w="1540" w:type="dxa"/>
            <w:tcBorders>
              <w:top w:val="single" w:sz="8" w:space="0" w:color="auto"/>
              <w:left w:val="nil"/>
              <w:bottom w:val="nil"/>
              <w:right w:val="nil"/>
            </w:tcBorders>
            <w:shd w:val="clear" w:color="auto" w:fill="auto"/>
            <w:noWrap/>
          </w:tcPr>
          <w:p w:rsidR="00E7452C" w:rsidRPr="00931023" w:rsidRDefault="00E7452C" w:rsidP="00E7452C">
            <w:pPr>
              <w:spacing w:before="0" w:after="0"/>
              <w:ind w:left="-96"/>
              <w:jc w:val="right"/>
              <w:rPr>
                <w:b/>
                <w:noProof/>
                <w:color w:val="000000"/>
                <w:sz w:val="18"/>
              </w:rPr>
            </w:pPr>
            <w:r w:rsidRPr="00931023">
              <w:rPr>
                <w:b/>
                <w:noProof/>
                <w:color w:val="000000"/>
                <w:sz w:val="18"/>
              </w:rPr>
              <w:t>2026</w:t>
            </w:r>
          </w:p>
        </w:tc>
        <w:tc>
          <w:tcPr>
            <w:tcW w:w="1119" w:type="dxa"/>
            <w:tcBorders>
              <w:top w:val="single" w:sz="8" w:space="0" w:color="auto"/>
              <w:left w:val="nil"/>
              <w:bottom w:val="nil"/>
              <w:right w:val="nil"/>
            </w:tcBorders>
          </w:tcPr>
          <w:p w:rsidR="00E7452C" w:rsidRPr="00931023" w:rsidRDefault="00E7452C" w:rsidP="00E7452C">
            <w:pPr>
              <w:spacing w:before="0" w:after="0"/>
              <w:jc w:val="left"/>
              <w:rPr>
                <w:noProof/>
                <w:color w:val="000000"/>
                <w:sz w:val="18"/>
              </w:rPr>
            </w:pPr>
          </w:p>
        </w:tc>
        <w:tc>
          <w:tcPr>
            <w:tcW w:w="676" w:type="dxa"/>
            <w:tcBorders>
              <w:top w:val="single" w:sz="8" w:space="0" w:color="auto"/>
              <w:left w:val="nil"/>
              <w:bottom w:val="nil"/>
              <w:right w:val="nil"/>
            </w:tcBorders>
            <w:shd w:val="clear" w:color="auto" w:fill="auto"/>
            <w:noWrap/>
          </w:tcPr>
          <w:p w:rsidR="00E7452C" w:rsidRPr="00931023" w:rsidRDefault="00E7452C" w:rsidP="00E7452C">
            <w:pPr>
              <w:spacing w:before="0" w:after="0"/>
              <w:jc w:val="left"/>
              <w:rPr>
                <w:noProof/>
                <w:color w:val="000000"/>
                <w:sz w:val="18"/>
              </w:rPr>
            </w:pPr>
          </w:p>
        </w:tc>
        <w:tc>
          <w:tcPr>
            <w:tcW w:w="3603" w:type="dxa"/>
            <w:gridSpan w:val="6"/>
            <w:tcBorders>
              <w:top w:val="single" w:sz="4" w:space="0" w:color="auto"/>
              <w:left w:val="nil"/>
              <w:right w:val="nil"/>
            </w:tcBorders>
            <w:shd w:val="clear" w:color="auto" w:fill="auto"/>
            <w:noWrap/>
          </w:tcPr>
          <w:p w:rsidR="00E7452C" w:rsidRPr="00931023" w:rsidRDefault="00E7452C" w:rsidP="00E7452C">
            <w:pPr>
              <w:spacing w:before="0" w:after="0"/>
              <w:jc w:val="left"/>
              <w:rPr>
                <w:noProof/>
                <w:color w:val="000000"/>
                <w:sz w:val="18"/>
              </w:rPr>
            </w:pPr>
          </w:p>
          <w:p w:rsidR="00E7452C" w:rsidRPr="00931023" w:rsidRDefault="00E7452C" w:rsidP="00E7452C">
            <w:pPr>
              <w:spacing w:before="0" w:after="0"/>
              <w:jc w:val="left"/>
              <w:rPr>
                <w:noProof/>
                <w:color w:val="000000"/>
                <w:sz w:val="18"/>
              </w:rPr>
            </w:pPr>
            <w:r w:rsidRPr="00931023">
              <w:rPr>
                <w:noProof/>
                <w:color w:val="000000"/>
                <w:sz w:val="18"/>
              </w:rPr>
              <w:t>TAC analitică</w:t>
            </w:r>
          </w:p>
        </w:tc>
        <w:tc>
          <w:tcPr>
            <w:tcW w:w="497" w:type="dxa"/>
            <w:gridSpan w:val="3"/>
            <w:tcBorders>
              <w:top w:val="nil"/>
              <w:left w:val="nil"/>
              <w:right w:val="nil"/>
            </w:tcBorders>
            <w:shd w:val="clear" w:color="auto" w:fill="auto"/>
            <w:noWrap/>
          </w:tcPr>
          <w:p w:rsidR="00E7452C" w:rsidRPr="00931023" w:rsidRDefault="00E7452C" w:rsidP="00E7452C">
            <w:pPr>
              <w:spacing w:before="0" w:after="0"/>
              <w:jc w:val="left"/>
              <w:rPr>
                <w:noProof/>
                <w:color w:val="000000"/>
                <w:sz w:val="18"/>
              </w:rPr>
            </w:pPr>
          </w:p>
        </w:tc>
      </w:tr>
      <w:tr w:rsidR="00E7452C" w:rsidRPr="00931023" w:rsidTr="00F30FCB">
        <w:trPr>
          <w:trHeight w:val="250"/>
        </w:trPr>
        <w:tc>
          <w:tcPr>
            <w:tcW w:w="1486" w:type="dxa"/>
            <w:tcBorders>
              <w:top w:val="nil"/>
              <w:left w:val="nil"/>
            </w:tcBorders>
            <w:shd w:val="clear" w:color="auto" w:fill="auto"/>
            <w:noWrap/>
          </w:tcPr>
          <w:p w:rsidR="00E7452C" w:rsidRPr="00931023" w:rsidRDefault="00E7452C" w:rsidP="00E7452C">
            <w:pPr>
              <w:spacing w:before="0" w:after="0"/>
              <w:jc w:val="left"/>
              <w:rPr>
                <w:noProof/>
                <w:color w:val="000000"/>
                <w:sz w:val="18"/>
              </w:rPr>
            </w:pPr>
            <w:bookmarkStart w:id="11" w:name="_Hlk138178072"/>
            <w:r w:rsidRPr="00931023">
              <w:rPr>
                <w:noProof/>
                <w:color w:val="000000"/>
                <w:sz w:val="18"/>
              </w:rPr>
              <w:t>Danemarca</w:t>
            </w:r>
          </w:p>
        </w:tc>
        <w:tc>
          <w:tcPr>
            <w:tcW w:w="1323" w:type="dxa"/>
            <w:tcBorders>
              <w:top w:val="nil"/>
            </w:tcBorders>
            <w:shd w:val="clear" w:color="auto" w:fill="auto"/>
            <w:noWrap/>
          </w:tcPr>
          <w:p w:rsidR="00E7452C" w:rsidRPr="00931023" w:rsidRDefault="00210DA7" w:rsidP="00E7452C">
            <w:pPr>
              <w:spacing w:before="0" w:after="0"/>
              <w:jc w:val="right"/>
              <w:rPr>
                <w:noProof/>
                <w:color w:val="000000"/>
                <w:sz w:val="18"/>
              </w:rPr>
            </w:pPr>
            <w:r w:rsidRPr="00931023">
              <w:rPr>
                <w:noProof/>
                <w:color w:val="000000"/>
                <w:sz w:val="18"/>
              </w:rPr>
              <w:t>299,722</w:t>
            </w:r>
          </w:p>
        </w:tc>
        <w:tc>
          <w:tcPr>
            <w:tcW w:w="756" w:type="dxa"/>
            <w:tcBorders>
              <w:top w:val="nil"/>
              <w:right w:val="nil"/>
            </w:tcBorders>
          </w:tcPr>
          <w:p w:rsidR="00E7452C" w:rsidRPr="00931023" w:rsidRDefault="00E7452C" w:rsidP="00E7452C">
            <w:pPr>
              <w:spacing w:before="0" w:after="0"/>
              <w:jc w:val="left"/>
              <w:rPr>
                <w:b/>
                <w:noProof/>
                <w:color w:val="000000"/>
                <w:sz w:val="18"/>
              </w:rPr>
            </w:pPr>
            <w:r w:rsidRPr="00931023">
              <w:rPr>
                <w:b/>
                <w:noProof/>
                <w:color w:val="000000"/>
                <w:sz w:val="18"/>
              </w:rPr>
              <w:t>(</w:t>
            </w:r>
            <w:r w:rsidRPr="00931023">
              <w:rPr>
                <w:b/>
                <w:noProof/>
                <w:color w:val="000000"/>
                <w:sz w:val="18"/>
                <w:vertAlign w:val="superscript"/>
              </w:rPr>
              <w:t>1</w:t>
            </w:r>
            <w:r w:rsidRPr="00931023">
              <w:rPr>
                <w:b/>
                <w:noProof/>
                <w:color w:val="000000"/>
                <w:sz w:val="18"/>
              </w:rPr>
              <w:t>)(</w:t>
            </w:r>
            <w:r w:rsidRPr="00931023">
              <w:rPr>
                <w:b/>
                <w:noProof/>
                <w:color w:val="000000"/>
                <w:sz w:val="18"/>
                <w:vertAlign w:val="superscript"/>
              </w:rPr>
              <w:t>2</w:t>
            </w:r>
            <w:r w:rsidRPr="00931023">
              <w:rPr>
                <w:b/>
                <w:noProof/>
                <w:color w:val="000000"/>
                <w:sz w:val="18"/>
              </w:rPr>
              <w:t>)</w:t>
            </w:r>
          </w:p>
        </w:tc>
        <w:tc>
          <w:tcPr>
            <w:tcW w:w="1540" w:type="dxa"/>
            <w:tcBorders>
              <w:top w:val="nil"/>
              <w:left w:val="nil"/>
              <w:bottom w:val="nil"/>
              <w:right w:val="nil"/>
            </w:tcBorders>
            <w:shd w:val="clear" w:color="auto" w:fill="auto"/>
            <w:noWrap/>
          </w:tcPr>
          <w:p w:rsidR="00E7452C" w:rsidRPr="00931023" w:rsidRDefault="00E7452C" w:rsidP="00E7452C">
            <w:pPr>
              <w:spacing w:before="0" w:after="0"/>
              <w:jc w:val="right"/>
              <w:rPr>
                <w:noProof/>
                <w:color w:val="000000"/>
                <w:sz w:val="18"/>
              </w:rPr>
            </w:pPr>
            <w:r w:rsidRPr="00931023">
              <w:rPr>
                <w:i/>
                <w:noProof/>
                <w:color w:val="000000"/>
                <w:sz w:val="18"/>
              </w:rPr>
              <w:t>pro memoria</w:t>
            </w:r>
            <w:r w:rsidRPr="00931023">
              <w:rPr>
                <w:noProof/>
                <w:color w:val="000000"/>
                <w:sz w:val="18"/>
              </w:rPr>
              <w:t xml:space="preserve"> (</w:t>
            </w:r>
            <w:r w:rsidRPr="00931023">
              <w:rPr>
                <w:i/>
                <w:noProof/>
                <w:color w:val="000000"/>
                <w:sz w:val="18"/>
              </w:rPr>
              <w:t>pm</w:t>
            </w:r>
            <w:r w:rsidRPr="00931023">
              <w:rPr>
                <w:noProof/>
                <w:color w:val="000000"/>
                <w:sz w:val="18"/>
              </w:rPr>
              <w:t>)</w:t>
            </w:r>
          </w:p>
        </w:tc>
        <w:tc>
          <w:tcPr>
            <w:tcW w:w="1119" w:type="dxa"/>
            <w:tcBorders>
              <w:top w:val="nil"/>
              <w:left w:val="nil"/>
              <w:bottom w:val="nil"/>
              <w:right w:val="nil"/>
            </w:tcBorders>
          </w:tcPr>
          <w:p w:rsidR="00E7452C" w:rsidRPr="00931023" w:rsidRDefault="00E7452C" w:rsidP="00E7452C">
            <w:pPr>
              <w:spacing w:before="0" w:after="0"/>
              <w:jc w:val="left"/>
              <w:rPr>
                <w:b/>
                <w:noProof/>
                <w:color w:val="000000"/>
                <w:sz w:val="18"/>
              </w:rPr>
            </w:pPr>
            <w:r w:rsidRPr="00931023">
              <w:rPr>
                <w:b/>
                <w:noProof/>
                <w:color w:val="000000"/>
                <w:sz w:val="18"/>
              </w:rPr>
              <w:t>(</w:t>
            </w:r>
            <w:r w:rsidRPr="00931023">
              <w:rPr>
                <w:b/>
                <w:noProof/>
                <w:color w:val="000000"/>
                <w:sz w:val="18"/>
                <w:vertAlign w:val="superscript"/>
              </w:rPr>
              <w:t>4</w:t>
            </w:r>
            <w:r w:rsidRPr="00931023">
              <w:rPr>
                <w:b/>
                <w:noProof/>
                <w:color w:val="000000"/>
                <w:sz w:val="18"/>
              </w:rPr>
              <w:t>)</w:t>
            </w:r>
          </w:p>
        </w:tc>
        <w:tc>
          <w:tcPr>
            <w:tcW w:w="676" w:type="dxa"/>
            <w:tcBorders>
              <w:top w:val="nil"/>
              <w:left w:val="nil"/>
              <w:bottom w:val="nil"/>
            </w:tcBorders>
            <w:shd w:val="clear" w:color="auto" w:fill="auto"/>
            <w:noWrap/>
          </w:tcPr>
          <w:p w:rsidR="00E7452C" w:rsidRPr="00931023" w:rsidRDefault="00E7452C" w:rsidP="00E7452C">
            <w:pPr>
              <w:spacing w:before="0" w:after="0"/>
              <w:jc w:val="left"/>
              <w:rPr>
                <w:noProof/>
                <w:color w:val="000000"/>
                <w:sz w:val="18"/>
              </w:rPr>
            </w:pPr>
          </w:p>
        </w:tc>
        <w:tc>
          <w:tcPr>
            <w:tcW w:w="4100" w:type="dxa"/>
            <w:gridSpan w:val="9"/>
            <w:shd w:val="clear" w:color="auto" w:fill="auto"/>
            <w:noWrap/>
          </w:tcPr>
          <w:p w:rsidR="00E7452C" w:rsidRPr="00931023" w:rsidRDefault="00E7452C" w:rsidP="00E7452C">
            <w:pPr>
              <w:spacing w:before="0" w:after="0"/>
              <w:jc w:val="left"/>
              <w:rPr>
                <w:noProof/>
                <w:color w:val="000000"/>
                <w:sz w:val="18"/>
              </w:rPr>
            </w:pPr>
            <w:r w:rsidRPr="00931023">
              <w:rPr>
                <w:noProof/>
                <w:color w:val="000000"/>
                <w:sz w:val="18"/>
              </w:rPr>
              <w:t>Articolul 3 alineatele (2) și (3) din Regulamentul (CE) nr. 847/96 nu se aplică.</w:t>
            </w:r>
          </w:p>
        </w:tc>
      </w:tr>
      <w:tr w:rsidR="00E7452C" w:rsidRPr="00931023" w:rsidTr="00F30FCB">
        <w:trPr>
          <w:trHeight w:val="250"/>
        </w:trPr>
        <w:tc>
          <w:tcPr>
            <w:tcW w:w="1486" w:type="dxa"/>
            <w:tcBorders>
              <w:left w:val="nil"/>
            </w:tcBorders>
            <w:shd w:val="clear" w:color="auto" w:fill="auto"/>
            <w:noWrap/>
          </w:tcPr>
          <w:p w:rsidR="00E7452C" w:rsidRPr="00931023" w:rsidRDefault="00E7452C" w:rsidP="00E7452C">
            <w:pPr>
              <w:spacing w:before="0" w:after="0"/>
              <w:jc w:val="left"/>
              <w:rPr>
                <w:noProof/>
                <w:color w:val="000000"/>
                <w:sz w:val="18"/>
              </w:rPr>
            </w:pPr>
            <w:r w:rsidRPr="00931023">
              <w:rPr>
                <w:noProof/>
                <w:color w:val="000000"/>
                <w:sz w:val="18"/>
              </w:rPr>
              <w:t>Germania</w:t>
            </w:r>
          </w:p>
        </w:tc>
        <w:tc>
          <w:tcPr>
            <w:tcW w:w="1323" w:type="dxa"/>
            <w:shd w:val="clear" w:color="auto" w:fill="auto"/>
            <w:noWrap/>
          </w:tcPr>
          <w:p w:rsidR="00E7452C" w:rsidRPr="00931023" w:rsidRDefault="00210DA7" w:rsidP="00E7452C">
            <w:pPr>
              <w:spacing w:before="0" w:after="0"/>
              <w:jc w:val="right"/>
              <w:rPr>
                <w:noProof/>
                <w:color w:val="000000"/>
                <w:sz w:val="18"/>
              </w:rPr>
            </w:pPr>
            <w:r w:rsidRPr="00931023">
              <w:rPr>
                <w:noProof/>
                <w:color w:val="000000"/>
                <w:sz w:val="18"/>
              </w:rPr>
              <w:t>0,057</w:t>
            </w:r>
          </w:p>
        </w:tc>
        <w:tc>
          <w:tcPr>
            <w:tcW w:w="756" w:type="dxa"/>
            <w:tcBorders>
              <w:right w:val="nil"/>
            </w:tcBorders>
          </w:tcPr>
          <w:p w:rsidR="00E7452C" w:rsidRPr="00931023" w:rsidRDefault="00E7452C" w:rsidP="00E7452C">
            <w:pPr>
              <w:spacing w:before="0" w:after="0"/>
              <w:jc w:val="left"/>
              <w:rPr>
                <w:b/>
                <w:noProof/>
                <w:color w:val="000000"/>
                <w:sz w:val="18"/>
              </w:rPr>
            </w:pPr>
            <w:r w:rsidRPr="00931023">
              <w:rPr>
                <w:b/>
                <w:noProof/>
                <w:color w:val="000000"/>
                <w:sz w:val="18"/>
              </w:rPr>
              <w:t>(</w:t>
            </w:r>
            <w:r w:rsidRPr="00931023">
              <w:rPr>
                <w:b/>
                <w:noProof/>
                <w:color w:val="000000"/>
                <w:sz w:val="18"/>
                <w:vertAlign w:val="superscript"/>
              </w:rPr>
              <w:t>1</w:t>
            </w:r>
            <w:r w:rsidRPr="00931023">
              <w:rPr>
                <w:b/>
                <w:noProof/>
                <w:color w:val="000000"/>
                <w:sz w:val="18"/>
              </w:rPr>
              <w:t>)(</w:t>
            </w:r>
            <w:r w:rsidRPr="00931023">
              <w:rPr>
                <w:b/>
                <w:noProof/>
                <w:color w:val="000000"/>
                <w:sz w:val="18"/>
                <w:vertAlign w:val="superscript"/>
              </w:rPr>
              <w:t>2</w:t>
            </w:r>
            <w:r w:rsidRPr="00931023">
              <w:rPr>
                <w:b/>
                <w:noProof/>
                <w:color w:val="000000"/>
                <w:sz w:val="18"/>
              </w:rPr>
              <w:t>)(</w:t>
            </w:r>
            <w:r w:rsidRPr="00931023">
              <w:rPr>
                <w:b/>
                <w:noProof/>
                <w:color w:val="000000"/>
                <w:sz w:val="18"/>
                <w:vertAlign w:val="superscript"/>
              </w:rPr>
              <w:t>3</w:t>
            </w:r>
            <w:r w:rsidRPr="00931023">
              <w:rPr>
                <w:b/>
                <w:noProof/>
                <w:color w:val="000000"/>
                <w:sz w:val="18"/>
              </w:rPr>
              <w:t>)</w:t>
            </w:r>
          </w:p>
        </w:tc>
        <w:tc>
          <w:tcPr>
            <w:tcW w:w="1540" w:type="dxa"/>
            <w:tcBorders>
              <w:top w:val="nil"/>
              <w:left w:val="nil"/>
              <w:bottom w:val="nil"/>
              <w:right w:val="nil"/>
            </w:tcBorders>
            <w:shd w:val="clear" w:color="auto" w:fill="auto"/>
            <w:noWrap/>
          </w:tcPr>
          <w:p w:rsidR="00E7452C" w:rsidRPr="00931023" w:rsidRDefault="00E7452C" w:rsidP="00E7452C">
            <w:pPr>
              <w:spacing w:before="0" w:after="0"/>
              <w:jc w:val="right"/>
              <w:rPr>
                <w:noProof/>
                <w:color w:val="000000"/>
                <w:sz w:val="18"/>
              </w:rPr>
            </w:pPr>
            <w:r w:rsidRPr="00931023">
              <w:rPr>
                <w:noProof/>
                <w:color w:val="000000"/>
                <w:sz w:val="18"/>
              </w:rPr>
              <w:t>pm</w:t>
            </w:r>
          </w:p>
        </w:tc>
        <w:tc>
          <w:tcPr>
            <w:tcW w:w="1119" w:type="dxa"/>
            <w:tcBorders>
              <w:top w:val="nil"/>
              <w:left w:val="nil"/>
              <w:bottom w:val="nil"/>
              <w:right w:val="nil"/>
            </w:tcBorders>
          </w:tcPr>
          <w:p w:rsidR="00E7452C" w:rsidRPr="00931023" w:rsidRDefault="00E7452C" w:rsidP="00E7452C">
            <w:pPr>
              <w:spacing w:before="0" w:after="0"/>
              <w:jc w:val="left"/>
              <w:rPr>
                <w:b/>
                <w:noProof/>
                <w:color w:val="000000"/>
                <w:sz w:val="18"/>
              </w:rPr>
            </w:pPr>
            <w:r w:rsidRPr="00931023">
              <w:rPr>
                <w:b/>
                <w:noProof/>
                <w:color w:val="000000"/>
                <w:sz w:val="18"/>
              </w:rPr>
              <w:t>(</w:t>
            </w:r>
            <w:r w:rsidRPr="00931023">
              <w:rPr>
                <w:b/>
                <w:noProof/>
                <w:color w:val="000000"/>
                <w:sz w:val="18"/>
                <w:vertAlign w:val="superscript"/>
              </w:rPr>
              <w:t>4</w:t>
            </w:r>
            <w:r w:rsidRPr="00931023">
              <w:rPr>
                <w:b/>
                <w:noProof/>
                <w:color w:val="000000"/>
                <w:sz w:val="18"/>
              </w:rPr>
              <w:t>)</w:t>
            </w:r>
          </w:p>
        </w:tc>
        <w:tc>
          <w:tcPr>
            <w:tcW w:w="676" w:type="dxa"/>
            <w:tcBorders>
              <w:top w:val="nil"/>
              <w:left w:val="nil"/>
              <w:bottom w:val="nil"/>
              <w:right w:val="nil"/>
            </w:tcBorders>
            <w:shd w:val="clear" w:color="auto" w:fill="auto"/>
            <w:noWrap/>
          </w:tcPr>
          <w:p w:rsidR="00E7452C" w:rsidRPr="00931023" w:rsidRDefault="00E7452C" w:rsidP="00E7452C">
            <w:pPr>
              <w:spacing w:before="0" w:after="0"/>
              <w:jc w:val="left"/>
              <w:rPr>
                <w:noProof/>
                <w:color w:val="000000"/>
                <w:sz w:val="18"/>
              </w:rPr>
            </w:pPr>
          </w:p>
        </w:tc>
        <w:tc>
          <w:tcPr>
            <w:tcW w:w="4100" w:type="dxa"/>
            <w:gridSpan w:val="9"/>
            <w:tcBorders>
              <w:left w:val="nil"/>
              <w:bottom w:val="nil"/>
              <w:right w:val="nil"/>
            </w:tcBorders>
            <w:shd w:val="clear" w:color="auto" w:fill="auto"/>
            <w:noWrap/>
          </w:tcPr>
          <w:p w:rsidR="00E7452C" w:rsidRPr="00931023" w:rsidRDefault="00E7452C" w:rsidP="00E7452C">
            <w:pPr>
              <w:spacing w:before="0" w:after="0"/>
              <w:jc w:val="left"/>
              <w:rPr>
                <w:noProof/>
                <w:color w:val="000000"/>
                <w:sz w:val="18"/>
              </w:rPr>
            </w:pPr>
            <w:r w:rsidRPr="00931023">
              <w:rPr>
                <w:noProof/>
                <w:color w:val="000000"/>
                <w:sz w:val="18"/>
              </w:rPr>
              <w:t>Articolul 4 din Regulamentul (CE) nr. 847/96 nu se aplică.</w:t>
            </w:r>
          </w:p>
        </w:tc>
      </w:tr>
      <w:tr w:rsidR="00E7452C" w:rsidRPr="00931023" w:rsidTr="00F30FCB">
        <w:trPr>
          <w:trHeight w:val="250"/>
        </w:trPr>
        <w:tc>
          <w:tcPr>
            <w:tcW w:w="1486" w:type="dxa"/>
            <w:tcBorders>
              <w:left w:val="nil"/>
            </w:tcBorders>
            <w:shd w:val="clear" w:color="auto" w:fill="auto"/>
            <w:noWrap/>
          </w:tcPr>
          <w:p w:rsidR="00E7452C" w:rsidRPr="00931023" w:rsidRDefault="00E7452C" w:rsidP="00E7452C">
            <w:pPr>
              <w:spacing w:before="0" w:after="0"/>
              <w:jc w:val="left"/>
              <w:rPr>
                <w:noProof/>
                <w:color w:val="000000"/>
                <w:sz w:val="18"/>
              </w:rPr>
            </w:pPr>
            <w:r w:rsidRPr="00931023">
              <w:rPr>
                <w:noProof/>
                <w:color w:val="000000"/>
                <w:sz w:val="18"/>
              </w:rPr>
              <w:t>Țările de Jos</w:t>
            </w:r>
          </w:p>
        </w:tc>
        <w:tc>
          <w:tcPr>
            <w:tcW w:w="1323" w:type="dxa"/>
            <w:shd w:val="clear" w:color="auto" w:fill="auto"/>
            <w:noWrap/>
          </w:tcPr>
          <w:p w:rsidR="00E7452C" w:rsidRPr="00931023" w:rsidRDefault="00210DA7" w:rsidP="00E7452C">
            <w:pPr>
              <w:spacing w:before="0" w:after="0"/>
              <w:jc w:val="right"/>
              <w:rPr>
                <w:noProof/>
                <w:color w:val="000000"/>
                <w:sz w:val="18"/>
              </w:rPr>
            </w:pPr>
            <w:r w:rsidRPr="00931023">
              <w:rPr>
                <w:noProof/>
                <w:color w:val="000000"/>
                <w:sz w:val="18"/>
              </w:rPr>
              <w:t>0,221</w:t>
            </w:r>
          </w:p>
        </w:tc>
        <w:tc>
          <w:tcPr>
            <w:tcW w:w="756" w:type="dxa"/>
            <w:tcBorders>
              <w:right w:val="nil"/>
            </w:tcBorders>
          </w:tcPr>
          <w:p w:rsidR="00E7452C" w:rsidRPr="00931023" w:rsidRDefault="00E7452C" w:rsidP="00E7452C">
            <w:pPr>
              <w:spacing w:before="0" w:after="0"/>
              <w:jc w:val="left"/>
              <w:rPr>
                <w:b/>
                <w:noProof/>
                <w:color w:val="000000"/>
                <w:sz w:val="18"/>
              </w:rPr>
            </w:pPr>
            <w:r w:rsidRPr="00931023">
              <w:rPr>
                <w:b/>
                <w:noProof/>
                <w:color w:val="000000"/>
                <w:sz w:val="18"/>
              </w:rPr>
              <w:t>(</w:t>
            </w:r>
            <w:r w:rsidRPr="00931023">
              <w:rPr>
                <w:b/>
                <w:noProof/>
                <w:color w:val="000000"/>
                <w:sz w:val="18"/>
                <w:vertAlign w:val="superscript"/>
              </w:rPr>
              <w:t>1</w:t>
            </w:r>
            <w:r w:rsidRPr="00931023">
              <w:rPr>
                <w:b/>
                <w:noProof/>
                <w:color w:val="000000"/>
                <w:sz w:val="18"/>
              </w:rPr>
              <w:t>)(</w:t>
            </w:r>
            <w:r w:rsidRPr="00931023">
              <w:rPr>
                <w:b/>
                <w:noProof/>
                <w:color w:val="000000"/>
                <w:sz w:val="18"/>
                <w:vertAlign w:val="superscript"/>
              </w:rPr>
              <w:t>2</w:t>
            </w:r>
            <w:r w:rsidRPr="00931023">
              <w:rPr>
                <w:b/>
                <w:noProof/>
                <w:color w:val="000000"/>
                <w:sz w:val="18"/>
              </w:rPr>
              <w:t>)(</w:t>
            </w:r>
            <w:r w:rsidRPr="00931023">
              <w:rPr>
                <w:b/>
                <w:noProof/>
                <w:color w:val="000000"/>
                <w:sz w:val="18"/>
                <w:vertAlign w:val="superscript"/>
              </w:rPr>
              <w:t>3</w:t>
            </w:r>
            <w:r w:rsidRPr="00931023">
              <w:rPr>
                <w:b/>
                <w:noProof/>
                <w:color w:val="000000"/>
                <w:sz w:val="18"/>
              </w:rPr>
              <w:t>)</w:t>
            </w:r>
          </w:p>
        </w:tc>
        <w:tc>
          <w:tcPr>
            <w:tcW w:w="1540" w:type="dxa"/>
            <w:tcBorders>
              <w:top w:val="nil"/>
              <w:left w:val="nil"/>
              <w:bottom w:val="nil"/>
              <w:right w:val="nil"/>
            </w:tcBorders>
            <w:shd w:val="clear" w:color="auto" w:fill="auto"/>
            <w:noWrap/>
          </w:tcPr>
          <w:p w:rsidR="00E7452C" w:rsidRPr="00931023" w:rsidRDefault="00E7452C" w:rsidP="00E7452C">
            <w:pPr>
              <w:spacing w:before="0" w:after="0"/>
              <w:jc w:val="right"/>
              <w:rPr>
                <w:noProof/>
                <w:color w:val="000000"/>
                <w:sz w:val="18"/>
              </w:rPr>
            </w:pPr>
            <w:r w:rsidRPr="00931023">
              <w:rPr>
                <w:noProof/>
                <w:color w:val="000000"/>
                <w:sz w:val="18"/>
              </w:rPr>
              <w:t>pm</w:t>
            </w:r>
          </w:p>
        </w:tc>
        <w:tc>
          <w:tcPr>
            <w:tcW w:w="1119" w:type="dxa"/>
            <w:tcBorders>
              <w:top w:val="nil"/>
              <w:left w:val="nil"/>
              <w:bottom w:val="nil"/>
              <w:right w:val="nil"/>
            </w:tcBorders>
          </w:tcPr>
          <w:p w:rsidR="00E7452C" w:rsidRPr="00931023" w:rsidRDefault="00E7452C" w:rsidP="00E7452C">
            <w:pPr>
              <w:spacing w:before="0" w:after="0"/>
              <w:jc w:val="left"/>
              <w:rPr>
                <w:b/>
                <w:noProof/>
                <w:color w:val="000000"/>
                <w:sz w:val="18"/>
              </w:rPr>
            </w:pPr>
            <w:r w:rsidRPr="00931023">
              <w:rPr>
                <w:b/>
                <w:noProof/>
                <w:color w:val="000000"/>
                <w:sz w:val="18"/>
              </w:rPr>
              <w:t>(</w:t>
            </w:r>
            <w:r w:rsidRPr="00931023">
              <w:rPr>
                <w:b/>
                <w:noProof/>
                <w:color w:val="000000"/>
                <w:sz w:val="18"/>
                <w:vertAlign w:val="superscript"/>
              </w:rPr>
              <w:t>4</w:t>
            </w:r>
            <w:r w:rsidRPr="00931023">
              <w:rPr>
                <w:b/>
                <w:noProof/>
                <w:color w:val="000000"/>
                <w:sz w:val="18"/>
              </w:rPr>
              <w:t>)</w:t>
            </w:r>
          </w:p>
        </w:tc>
        <w:tc>
          <w:tcPr>
            <w:tcW w:w="676" w:type="dxa"/>
            <w:tcBorders>
              <w:top w:val="nil"/>
              <w:left w:val="nil"/>
              <w:bottom w:val="nil"/>
              <w:right w:val="nil"/>
            </w:tcBorders>
            <w:shd w:val="clear" w:color="auto" w:fill="auto"/>
            <w:noWrap/>
          </w:tcPr>
          <w:p w:rsidR="00E7452C" w:rsidRPr="00931023" w:rsidRDefault="00E7452C" w:rsidP="00E7452C">
            <w:pPr>
              <w:spacing w:before="0" w:after="0"/>
              <w:jc w:val="left"/>
              <w:rPr>
                <w:noProof/>
                <w:color w:val="000000"/>
                <w:sz w:val="18"/>
              </w:rPr>
            </w:pPr>
          </w:p>
        </w:tc>
        <w:tc>
          <w:tcPr>
            <w:tcW w:w="2035" w:type="dxa"/>
            <w:gridSpan w:val="2"/>
            <w:tcBorders>
              <w:top w:val="nil"/>
              <w:left w:val="nil"/>
              <w:bottom w:val="nil"/>
              <w:right w:val="nil"/>
            </w:tcBorders>
            <w:shd w:val="clear" w:color="auto" w:fill="auto"/>
            <w:noWrap/>
          </w:tcPr>
          <w:p w:rsidR="00E7452C" w:rsidRPr="00931023" w:rsidRDefault="00E7452C" w:rsidP="00E7452C">
            <w:pPr>
              <w:spacing w:before="0" w:after="0"/>
              <w:jc w:val="left"/>
              <w:rPr>
                <w:noProof/>
                <w:color w:val="000000"/>
                <w:sz w:val="18"/>
              </w:rPr>
            </w:pPr>
          </w:p>
        </w:tc>
        <w:tc>
          <w:tcPr>
            <w:tcW w:w="1209" w:type="dxa"/>
            <w:gridSpan w:val="2"/>
            <w:tcBorders>
              <w:top w:val="nil"/>
              <w:left w:val="nil"/>
              <w:bottom w:val="nil"/>
              <w:right w:val="nil"/>
            </w:tcBorders>
            <w:shd w:val="clear" w:color="auto" w:fill="auto"/>
            <w:noWrap/>
          </w:tcPr>
          <w:p w:rsidR="00E7452C" w:rsidRPr="00931023" w:rsidRDefault="00E7452C" w:rsidP="00E7452C">
            <w:pPr>
              <w:spacing w:before="0" w:after="0"/>
              <w:jc w:val="left"/>
              <w:rPr>
                <w:noProof/>
                <w:color w:val="000000"/>
                <w:sz w:val="18"/>
              </w:rPr>
            </w:pPr>
          </w:p>
        </w:tc>
        <w:tc>
          <w:tcPr>
            <w:tcW w:w="553" w:type="dxa"/>
            <w:gridSpan w:val="3"/>
            <w:tcBorders>
              <w:top w:val="nil"/>
              <w:left w:val="nil"/>
              <w:bottom w:val="nil"/>
              <w:right w:val="nil"/>
            </w:tcBorders>
            <w:shd w:val="clear" w:color="auto" w:fill="auto"/>
            <w:noWrap/>
          </w:tcPr>
          <w:p w:rsidR="00E7452C" w:rsidRPr="00931023" w:rsidRDefault="00E7452C" w:rsidP="00E7452C">
            <w:pPr>
              <w:spacing w:before="0" w:after="0"/>
              <w:jc w:val="left"/>
              <w:rPr>
                <w:noProof/>
                <w:color w:val="000000"/>
                <w:sz w:val="18"/>
              </w:rPr>
            </w:pPr>
          </w:p>
        </w:tc>
        <w:tc>
          <w:tcPr>
            <w:tcW w:w="303" w:type="dxa"/>
            <w:gridSpan w:val="2"/>
            <w:tcBorders>
              <w:top w:val="nil"/>
              <w:left w:val="nil"/>
              <w:bottom w:val="nil"/>
              <w:right w:val="nil"/>
            </w:tcBorders>
            <w:shd w:val="clear" w:color="auto" w:fill="auto"/>
            <w:noWrap/>
          </w:tcPr>
          <w:p w:rsidR="00E7452C" w:rsidRPr="00931023" w:rsidRDefault="00E7452C" w:rsidP="00E7452C">
            <w:pPr>
              <w:spacing w:before="0" w:after="0"/>
              <w:jc w:val="left"/>
              <w:rPr>
                <w:noProof/>
                <w:color w:val="000000"/>
                <w:sz w:val="18"/>
              </w:rPr>
            </w:pPr>
          </w:p>
        </w:tc>
      </w:tr>
      <w:tr w:rsidR="00E7452C" w:rsidRPr="00931023" w:rsidTr="00F30FCB">
        <w:trPr>
          <w:trHeight w:val="250"/>
        </w:trPr>
        <w:tc>
          <w:tcPr>
            <w:tcW w:w="1486" w:type="dxa"/>
            <w:tcBorders>
              <w:left w:val="nil"/>
            </w:tcBorders>
            <w:shd w:val="clear" w:color="auto" w:fill="auto"/>
            <w:noWrap/>
          </w:tcPr>
          <w:p w:rsidR="00E7452C" w:rsidRPr="00931023" w:rsidRDefault="00E7452C" w:rsidP="00E7452C">
            <w:pPr>
              <w:spacing w:before="0" w:after="0"/>
              <w:jc w:val="left"/>
              <w:rPr>
                <w:noProof/>
                <w:color w:val="000000"/>
                <w:sz w:val="18"/>
              </w:rPr>
            </w:pPr>
            <w:r w:rsidRPr="00931023">
              <w:rPr>
                <w:noProof/>
                <w:color w:val="000000"/>
                <w:sz w:val="18"/>
              </w:rPr>
              <w:t>Uniunea Europeană</w:t>
            </w:r>
          </w:p>
        </w:tc>
        <w:tc>
          <w:tcPr>
            <w:tcW w:w="1323" w:type="dxa"/>
            <w:shd w:val="clear" w:color="auto" w:fill="auto"/>
            <w:noWrap/>
          </w:tcPr>
          <w:p w:rsidR="00E7452C" w:rsidRPr="00931023" w:rsidRDefault="00210DA7" w:rsidP="00E7452C">
            <w:pPr>
              <w:spacing w:before="0" w:after="0"/>
              <w:jc w:val="right"/>
              <w:rPr>
                <w:noProof/>
                <w:color w:val="000000"/>
                <w:sz w:val="18"/>
              </w:rPr>
            </w:pPr>
            <w:r w:rsidRPr="00931023">
              <w:rPr>
                <w:noProof/>
                <w:color w:val="000000"/>
                <w:sz w:val="18"/>
              </w:rPr>
              <w:t>300</w:t>
            </w:r>
          </w:p>
        </w:tc>
        <w:tc>
          <w:tcPr>
            <w:tcW w:w="756" w:type="dxa"/>
            <w:tcBorders>
              <w:right w:val="nil"/>
            </w:tcBorders>
          </w:tcPr>
          <w:p w:rsidR="00E7452C" w:rsidRPr="00931023" w:rsidRDefault="00E7452C" w:rsidP="00E7452C">
            <w:pPr>
              <w:spacing w:before="0" w:after="0"/>
              <w:jc w:val="left"/>
              <w:rPr>
                <w:b/>
                <w:noProof/>
                <w:color w:val="000000"/>
                <w:sz w:val="18"/>
              </w:rPr>
            </w:pPr>
            <w:r w:rsidRPr="00931023">
              <w:rPr>
                <w:b/>
                <w:noProof/>
                <w:color w:val="000000"/>
                <w:sz w:val="18"/>
              </w:rPr>
              <w:t>(</w:t>
            </w:r>
            <w:r w:rsidRPr="00931023">
              <w:rPr>
                <w:b/>
                <w:noProof/>
                <w:color w:val="000000"/>
                <w:sz w:val="18"/>
                <w:vertAlign w:val="superscript"/>
              </w:rPr>
              <w:t>1</w:t>
            </w:r>
            <w:r w:rsidRPr="00931023">
              <w:rPr>
                <w:b/>
                <w:noProof/>
                <w:color w:val="000000"/>
                <w:sz w:val="18"/>
              </w:rPr>
              <w:t>)(</w:t>
            </w:r>
            <w:r w:rsidRPr="00931023">
              <w:rPr>
                <w:b/>
                <w:noProof/>
                <w:color w:val="000000"/>
                <w:sz w:val="18"/>
                <w:vertAlign w:val="superscript"/>
              </w:rPr>
              <w:t>2</w:t>
            </w:r>
            <w:r w:rsidRPr="00931023">
              <w:rPr>
                <w:b/>
                <w:noProof/>
                <w:color w:val="000000"/>
                <w:sz w:val="18"/>
              </w:rPr>
              <w:t>)(</w:t>
            </w:r>
            <w:r w:rsidRPr="00931023">
              <w:rPr>
                <w:b/>
                <w:noProof/>
                <w:color w:val="000000"/>
                <w:sz w:val="18"/>
                <w:vertAlign w:val="superscript"/>
              </w:rPr>
              <w:t>3</w:t>
            </w:r>
            <w:r w:rsidRPr="00931023">
              <w:rPr>
                <w:b/>
                <w:noProof/>
                <w:color w:val="000000"/>
                <w:sz w:val="18"/>
              </w:rPr>
              <w:t>)</w:t>
            </w:r>
          </w:p>
        </w:tc>
        <w:tc>
          <w:tcPr>
            <w:tcW w:w="1540" w:type="dxa"/>
            <w:tcBorders>
              <w:top w:val="nil"/>
              <w:left w:val="nil"/>
              <w:bottom w:val="nil"/>
              <w:right w:val="nil"/>
            </w:tcBorders>
            <w:shd w:val="clear" w:color="auto" w:fill="auto"/>
            <w:noWrap/>
          </w:tcPr>
          <w:p w:rsidR="00E7452C" w:rsidRPr="00931023" w:rsidRDefault="00E7452C" w:rsidP="00E7452C">
            <w:pPr>
              <w:spacing w:before="0" w:after="0"/>
              <w:jc w:val="right"/>
              <w:rPr>
                <w:noProof/>
                <w:color w:val="000000"/>
                <w:sz w:val="18"/>
              </w:rPr>
            </w:pPr>
            <w:r w:rsidRPr="00931023">
              <w:rPr>
                <w:noProof/>
                <w:color w:val="000000"/>
                <w:sz w:val="18"/>
              </w:rPr>
              <w:t>pm</w:t>
            </w:r>
          </w:p>
        </w:tc>
        <w:tc>
          <w:tcPr>
            <w:tcW w:w="1119" w:type="dxa"/>
            <w:tcBorders>
              <w:top w:val="nil"/>
              <w:left w:val="nil"/>
              <w:bottom w:val="nil"/>
              <w:right w:val="nil"/>
            </w:tcBorders>
          </w:tcPr>
          <w:p w:rsidR="00E7452C" w:rsidRPr="00931023" w:rsidRDefault="00E7452C" w:rsidP="00E7452C">
            <w:pPr>
              <w:spacing w:before="0" w:after="0"/>
              <w:jc w:val="left"/>
              <w:rPr>
                <w:b/>
                <w:noProof/>
                <w:color w:val="000000"/>
                <w:sz w:val="18"/>
                <w:vertAlign w:val="superscript"/>
              </w:rPr>
            </w:pPr>
            <w:r w:rsidRPr="00931023">
              <w:rPr>
                <w:b/>
                <w:noProof/>
                <w:color w:val="000000"/>
                <w:sz w:val="18"/>
              </w:rPr>
              <w:t>(</w:t>
            </w:r>
            <w:r w:rsidRPr="00931023">
              <w:rPr>
                <w:b/>
                <w:noProof/>
                <w:color w:val="000000"/>
                <w:sz w:val="18"/>
                <w:vertAlign w:val="superscript"/>
              </w:rPr>
              <w:t>4</w:t>
            </w:r>
            <w:r w:rsidRPr="00931023">
              <w:rPr>
                <w:b/>
                <w:noProof/>
                <w:color w:val="000000"/>
                <w:sz w:val="18"/>
              </w:rPr>
              <w:t>)</w:t>
            </w:r>
          </w:p>
        </w:tc>
        <w:tc>
          <w:tcPr>
            <w:tcW w:w="676" w:type="dxa"/>
            <w:tcBorders>
              <w:top w:val="nil"/>
              <w:left w:val="nil"/>
              <w:bottom w:val="nil"/>
              <w:right w:val="nil"/>
            </w:tcBorders>
            <w:shd w:val="clear" w:color="auto" w:fill="auto"/>
            <w:noWrap/>
          </w:tcPr>
          <w:p w:rsidR="00E7452C" w:rsidRPr="00931023" w:rsidRDefault="00E7452C" w:rsidP="00E7452C">
            <w:pPr>
              <w:spacing w:before="0" w:after="0"/>
              <w:jc w:val="left"/>
              <w:rPr>
                <w:noProof/>
                <w:color w:val="000000"/>
                <w:sz w:val="18"/>
              </w:rPr>
            </w:pPr>
          </w:p>
        </w:tc>
        <w:tc>
          <w:tcPr>
            <w:tcW w:w="2035" w:type="dxa"/>
            <w:gridSpan w:val="2"/>
            <w:tcBorders>
              <w:top w:val="nil"/>
              <w:left w:val="nil"/>
              <w:bottom w:val="nil"/>
              <w:right w:val="nil"/>
            </w:tcBorders>
            <w:shd w:val="clear" w:color="auto" w:fill="auto"/>
            <w:noWrap/>
          </w:tcPr>
          <w:p w:rsidR="00E7452C" w:rsidRPr="00931023" w:rsidRDefault="00E7452C" w:rsidP="00E7452C">
            <w:pPr>
              <w:spacing w:before="0" w:after="0"/>
              <w:jc w:val="left"/>
              <w:rPr>
                <w:noProof/>
                <w:color w:val="000000"/>
                <w:sz w:val="18"/>
              </w:rPr>
            </w:pPr>
          </w:p>
        </w:tc>
        <w:tc>
          <w:tcPr>
            <w:tcW w:w="1209" w:type="dxa"/>
            <w:gridSpan w:val="2"/>
            <w:tcBorders>
              <w:top w:val="nil"/>
              <w:left w:val="nil"/>
              <w:bottom w:val="nil"/>
              <w:right w:val="nil"/>
            </w:tcBorders>
            <w:shd w:val="clear" w:color="auto" w:fill="auto"/>
            <w:noWrap/>
          </w:tcPr>
          <w:p w:rsidR="00E7452C" w:rsidRPr="00931023" w:rsidRDefault="00E7452C" w:rsidP="00E7452C">
            <w:pPr>
              <w:spacing w:before="0" w:after="0"/>
              <w:jc w:val="left"/>
              <w:rPr>
                <w:noProof/>
                <w:color w:val="000000"/>
                <w:sz w:val="18"/>
              </w:rPr>
            </w:pPr>
          </w:p>
        </w:tc>
        <w:tc>
          <w:tcPr>
            <w:tcW w:w="553" w:type="dxa"/>
            <w:gridSpan w:val="3"/>
            <w:tcBorders>
              <w:top w:val="nil"/>
              <w:left w:val="nil"/>
              <w:bottom w:val="nil"/>
              <w:right w:val="nil"/>
            </w:tcBorders>
            <w:shd w:val="clear" w:color="auto" w:fill="auto"/>
            <w:noWrap/>
          </w:tcPr>
          <w:p w:rsidR="00E7452C" w:rsidRPr="00931023" w:rsidRDefault="00E7452C" w:rsidP="00E7452C">
            <w:pPr>
              <w:spacing w:before="0" w:after="0"/>
              <w:jc w:val="left"/>
              <w:rPr>
                <w:noProof/>
                <w:color w:val="000000"/>
                <w:sz w:val="18"/>
              </w:rPr>
            </w:pPr>
          </w:p>
        </w:tc>
        <w:tc>
          <w:tcPr>
            <w:tcW w:w="303" w:type="dxa"/>
            <w:gridSpan w:val="2"/>
            <w:tcBorders>
              <w:top w:val="nil"/>
              <w:left w:val="nil"/>
              <w:bottom w:val="nil"/>
              <w:right w:val="nil"/>
            </w:tcBorders>
            <w:shd w:val="clear" w:color="auto" w:fill="auto"/>
            <w:noWrap/>
          </w:tcPr>
          <w:p w:rsidR="00E7452C" w:rsidRPr="00931023" w:rsidRDefault="00E7452C" w:rsidP="00E7452C">
            <w:pPr>
              <w:spacing w:before="0" w:after="0"/>
              <w:jc w:val="left"/>
              <w:rPr>
                <w:noProof/>
                <w:color w:val="000000"/>
                <w:sz w:val="18"/>
              </w:rPr>
            </w:pPr>
          </w:p>
        </w:tc>
      </w:tr>
      <w:tr w:rsidR="00E7452C" w:rsidRPr="00931023" w:rsidTr="00F30FCB">
        <w:trPr>
          <w:trHeight w:val="250"/>
        </w:trPr>
        <w:tc>
          <w:tcPr>
            <w:tcW w:w="1486" w:type="dxa"/>
            <w:tcBorders>
              <w:left w:val="nil"/>
            </w:tcBorders>
            <w:shd w:val="clear" w:color="auto" w:fill="auto"/>
            <w:noWrap/>
          </w:tcPr>
          <w:p w:rsidR="00E7452C" w:rsidRPr="00931023" w:rsidRDefault="00696087" w:rsidP="00E7452C">
            <w:pPr>
              <w:spacing w:before="0" w:after="0"/>
              <w:jc w:val="left"/>
              <w:rPr>
                <w:noProof/>
                <w:color w:val="000000"/>
                <w:sz w:val="18"/>
              </w:rPr>
            </w:pPr>
            <w:r w:rsidRPr="00931023">
              <w:rPr>
                <w:noProof/>
                <w:color w:val="000000"/>
                <w:sz w:val="18"/>
              </w:rPr>
              <w:t>Regatul Unit</w:t>
            </w:r>
          </w:p>
        </w:tc>
        <w:tc>
          <w:tcPr>
            <w:tcW w:w="1323" w:type="dxa"/>
            <w:shd w:val="clear" w:color="auto" w:fill="auto"/>
            <w:noWrap/>
          </w:tcPr>
          <w:p w:rsidR="00E7452C" w:rsidRPr="00931023" w:rsidRDefault="00210DA7" w:rsidP="00E7452C">
            <w:pPr>
              <w:spacing w:before="0" w:after="0"/>
              <w:jc w:val="right"/>
              <w:rPr>
                <w:noProof/>
                <w:color w:val="000000"/>
                <w:sz w:val="18"/>
              </w:rPr>
            </w:pPr>
            <w:r w:rsidRPr="00931023">
              <w:rPr>
                <w:noProof/>
                <w:color w:val="000000"/>
                <w:sz w:val="18"/>
              </w:rPr>
              <w:t>100</w:t>
            </w:r>
          </w:p>
        </w:tc>
        <w:tc>
          <w:tcPr>
            <w:tcW w:w="756" w:type="dxa"/>
            <w:tcBorders>
              <w:right w:val="nil"/>
            </w:tcBorders>
          </w:tcPr>
          <w:p w:rsidR="00E7452C" w:rsidRPr="00931023" w:rsidRDefault="00E7452C" w:rsidP="00E7452C">
            <w:pPr>
              <w:spacing w:before="0" w:after="0"/>
              <w:jc w:val="left"/>
              <w:rPr>
                <w:b/>
                <w:noProof/>
                <w:color w:val="000000"/>
                <w:sz w:val="18"/>
              </w:rPr>
            </w:pPr>
            <w:r w:rsidRPr="00931023">
              <w:rPr>
                <w:b/>
                <w:noProof/>
                <w:color w:val="000000"/>
                <w:sz w:val="18"/>
              </w:rPr>
              <w:t>(</w:t>
            </w:r>
            <w:r w:rsidRPr="00931023">
              <w:rPr>
                <w:b/>
                <w:noProof/>
                <w:color w:val="000000"/>
                <w:sz w:val="18"/>
                <w:vertAlign w:val="superscript"/>
              </w:rPr>
              <w:t>1</w:t>
            </w:r>
            <w:r w:rsidRPr="00931023">
              <w:rPr>
                <w:b/>
                <w:noProof/>
                <w:color w:val="000000"/>
                <w:sz w:val="18"/>
              </w:rPr>
              <w:t>)</w:t>
            </w:r>
          </w:p>
        </w:tc>
        <w:tc>
          <w:tcPr>
            <w:tcW w:w="1540" w:type="dxa"/>
            <w:tcBorders>
              <w:top w:val="nil"/>
              <w:left w:val="nil"/>
              <w:bottom w:val="nil"/>
              <w:right w:val="nil"/>
            </w:tcBorders>
            <w:shd w:val="clear" w:color="auto" w:fill="auto"/>
            <w:noWrap/>
          </w:tcPr>
          <w:p w:rsidR="00E7452C" w:rsidRPr="00931023" w:rsidRDefault="00E7452C" w:rsidP="00E7452C">
            <w:pPr>
              <w:spacing w:before="0" w:after="0"/>
              <w:jc w:val="right"/>
              <w:rPr>
                <w:noProof/>
                <w:color w:val="000000"/>
                <w:sz w:val="18"/>
              </w:rPr>
            </w:pPr>
            <w:r w:rsidRPr="00931023">
              <w:rPr>
                <w:noProof/>
                <w:color w:val="000000"/>
                <w:sz w:val="18"/>
              </w:rPr>
              <w:t>pm</w:t>
            </w:r>
          </w:p>
        </w:tc>
        <w:tc>
          <w:tcPr>
            <w:tcW w:w="1119" w:type="dxa"/>
            <w:tcBorders>
              <w:top w:val="nil"/>
              <w:left w:val="nil"/>
              <w:bottom w:val="nil"/>
              <w:right w:val="nil"/>
            </w:tcBorders>
          </w:tcPr>
          <w:p w:rsidR="00E7452C" w:rsidRPr="00931023" w:rsidRDefault="00E7452C" w:rsidP="00E7452C">
            <w:pPr>
              <w:spacing w:before="0" w:after="0"/>
              <w:jc w:val="left"/>
              <w:rPr>
                <w:b/>
                <w:noProof/>
                <w:color w:val="000000"/>
                <w:sz w:val="18"/>
              </w:rPr>
            </w:pPr>
            <w:r w:rsidRPr="00931023">
              <w:rPr>
                <w:b/>
                <w:noProof/>
                <w:color w:val="000000"/>
                <w:sz w:val="18"/>
              </w:rPr>
              <w:t>(</w:t>
            </w:r>
            <w:r w:rsidRPr="00931023">
              <w:rPr>
                <w:b/>
                <w:noProof/>
                <w:color w:val="000000"/>
                <w:sz w:val="18"/>
                <w:vertAlign w:val="superscript"/>
              </w:rPr>
              <w:t>4</w:t>
            </w:r>
            <w:r w:rsidRPr="00931023">
              <w:rPr>
                <w:b/>
                <w:noProof/>
                <w:color w:val="000000"/>
                <w:sz w:val="18"/>
              </w:rPr>
              <w:t>)</w:t>
            </w:r>
          </w:p>
        </w:tc>
        <w:tc>
          <w:tcPr>
            <w:tcW w:w="676" w:type="dxa"/>
            <w:tcBorders>
              <w:top w:val="nil"/>
              <w:left w:val="nil"/>
              <w:bottom w:val="nil"/>
              <w:right w:val="nil"/>
            </w:tcBorders>
            <w:shd w:val="clear" w:color="auto" w:fill="auto"/>
            <w:noWrap/>
          </w:tcPr>
          <w:p w:rsidR="00E7452C" w:rsidRPr="00931023" w:rsidRDefault="00E7452C" w:rsidP="00E7452C">
            <w:pPr>
              <w:spacing w:before="0" w:after="0"/>
              <w:jc w:val="left"/>
              <w:rPr>
                <w:noProof/>
                <w:color w:val="000000"/>
                <w:sz w:val="18"/>
              </w:rPr>
            </w:pPr>
          </w:p>
        </w:tc>
        <w:tc>
          <w:tcPr>
            <w:tcW w:w="2035" w:type="dxa"/>
            <w:gridSpan w:val="2"/>
            <w:tcBorders>
              <w:top w:val="nil"/>
              <w:left w:val="nil"/>
              <w:bottom w:val="nil"/>
              <w:right w:val="nil"/>
            </w:tcBorders>
            <w:shd w:val="clear" w:color="auto" w:fill="auto"/>
            <w:noWrap/>
          </w:tcPr>
          <w:p w:rsidR="00E7452C" w:rsidRPr="00931023" w:rsidRDefault="00E7452C" w:rsidP="00E7452C">
            <w:pPr>
              <w:spacing w:before="0" w:after="0"/>
              <w:jc w:val="left"/>
              <w:rPr>
                <w:noProof/>
                <w:color w:val="000000"/>
                <w:sz w:val="18"/>
              </w:rPr>
            </w:pPr>
          </w:p>
        </w:tc>
        <w:tc>
          <w:tcPr>
            <w:tcW w:w="1209" w:type="dxa"/>
            <w:gridSpan w:val="2"/>
            <w:tcBorders>
              <w:top w:val="nil"/>
              <w:left w:val="nil"/>
              <w:bottom w:val="nil"/>
              <w:right w:val="nil"/>
            </w:tcBorders>
            <w:shd w:val="clear" w:color="auto" w:fill="auto"/>
            <w:noWrap/>
          </w:tcPr>
          <w:p w:rsidR="00E7452C" w:rsidRPr="00931023" w:rsidRDefault="00E7452C" w:rsidP="00E7452C">
            <w:pPr>
              <w:spacing w:before="0" w:after="0"/>
              <w:jc w:val="left"/>
              <w:rPr>
                <w:noProof/>
                <w:color w:val="000000"/>
                <w:sz w:val="18"/>
              </w:rPr>
            </w:pPr>
          </w:p>
        </w:tc>
        <w:tc>
          <w:tcPr>
            <w:tcW w:w="553" w:type="dxa"/>
            <w:gridSpan w:val="3"/>
            <w:tcBorders>
              <w:top w:val="nil"/>
              <w:left w:val="nil"/>
              <w:bottom w:val="nil"/>
              <w:right w:val="nil"/>
            </w:tcBorders>
            <w:shd w:val="clear" w:color="auto" w:fill="auto"/>
            <w:noWrap/>
          </w:tcPr>
          <w:p w:rsidR="00E7452C" w:rsidRPr="00931023" w:rsidRDefault="00E7452C" w:rsidP="00E7452C">
            <w:pPr>
              <w:spacing w:before="0" w:after="0"/>
              <w:jc w:val="left"/>
              <w:rPr>
                <w:noProof/>
                <w:color w:val="000000"/>
                <w:sz w:val="18"/>
              </w:rPr>
            </w:pPr>
          </w:p>
        </w:tc>
        <w:tc>
          <w:tcPr>
            <w:tcW w:w="303" w:type="dxa"/>
            <w:gridSpan w:val="2"/>
            <w:tcBorders>
              <w:top w:val="nil"/>
              <w:left w:val="nil"/>
              <w:bottom w:val="nil"/>
              <w:right w:val="nil"/>
            </w:tcBorders>
            <w:shd w:val="clear" w:color="auto" w:fill="auto"/>
            <w:noWrap/>
          </w:tcPr>
          <w:p w:rsidR="00E7452C" w:rsidRPr="00931023" w:rsidRDefault="00E7452C" w:rsidP="00E7452C">
            <w:pPr>
              <w:spacing w:before="0" w:after="0"/>
              <w:jc w:val="left"/>
              <w:rPr>
                <w:noProof/>
                <w:color w:val="000000"/>
                <w:sz w:val="18"/>
              </w:rPr>
            </w:pPr>
          </w:p>
        </w:tc>
      </w:tr>
      <w:tr w:rsidR="00E7452C" w:rsidRPr="00931023" w:rsidTr="00F30FCB">
        <w:trPr>
          <w:trHeight w:val="250"/>
        </w:trPr>
        <w:tc>
          <w:tcPr>
            <w:tcW w:w="1486" w:type="dxa"/>
            <w:tcBorders>
              <w:left w:val="nil"/>
              <w:bottom w:val="single" w:sz="8" w:space="0" w:color="auto"/>
            </w:tcBorders>
            <w:shd w:val="clear" w:color="auto" w:fill="auto"/>
            <w:noWrap/>
          </w:tcPr>
          <w:p w:rsidR="00E7452C" w:rsidRPr="00931023" w:rsidRDefault="00E7452C" w:rsidP="00E7452C">
            <w:pPr>
              <w:spacing w:before="0" w:after="0"/>
              <w:jc w:val="left"/>
              <w:rPr>
                <w:noProof/>
                <w:color w:val="000000"/>
                <w:sz w:val="18"/>
              </w:rPr>
            </w:pPr>
            <w:r w:rsidRPr="00931023">
              <w:rPr>
                <w:noProof/>
                <w:color w:val="000000"/>
                <w:sz w:val="18"/>
              </w:rPr>
              <w:t>TAC</w:t>
            </w:r>
          </w:p>
          <w:p w:rsidR="00E7452C" w:rsidRPr="00931023" w:rsidRDefault="00E7452C" w:rsidP="00E7452C">
            <w:pPr>
              <w:spacing w:before="0" w:after="0"/>
              <w:jc w:val="left"/>
              <w:rPr>
                <w:noProof/>
                <w:color w:val="000000"/>
                <w:sz w:val="18"/>
              </w:rPr>
            </w:pPr>
          </w:p>
        </w:tc>
        <w:tc>
          <w:tcPr>
            <w:tcW w:w="1323" w:type="dxa"/>
            <w:tcBorders>
              <w:bottom w:val="single" w:sz="8" w:space="0" w:color="auto"/>
            </w:tcBorders>
            <w:shd w:val="clear" w:color="auto" w:fill="auto"/>
            <w:noWrap/>
          </w:tcPr>
          <w:p w:rsidR="00E7452C" w:rsidRPr="00931023" w:rsidRDefault="00210DA7" w:rsidP="00E7452C">
            <w:pPr>
              <w:spacing w:before="0" w:after="0"/>
              <w:jc w:val="right"/>
              <w:rPr>
                <w:noProof/>
                <w:color w:val="000000"/>
                <w:sz w:val="18"/>
              </w:rPr>
            </w:pPr>
            <w:r w:rsidRPr="00931023">
              <w:rPr>
                <w:noProof/>
                <w:color w:val="000000"/>
                <w:sz w:val="18"/>
              </w:rPr>
              <w:t>400</w:t>
            </w:r>
          </w:p>
        </w:tc>
        <w:tc>
          <w:tcPr>
            <w:tcW w:w="756" w:type="dxa"/>
            <w:tcBorders>
              <w:bottom w:val="single" w:sz="8" w:space="0" w:color="auto"/>
              <w:right w:val="nil"/>
            </w:tcBorders>
          </w:tcPr>
          <w:p w:rsidR="00E7452C" w:rsidRPr="00931023" w:rsidRDefault="00210DA7" w:rsidP="00210DA7">
            <w:pPr>
              <w:spacing w:before="0" w:after="0"/>
              <w:jc w:val="left"/>
              <w:rPr>
                <w:noProof/>
                <w:color w:val="000000"/>
                <w:sz w:val="18"/>
              </w:rPr>
            </w:pPr>
            <w:r w:rsidRPr="00931023">
              <w:rPr>
                <w:noProof/>
                <w:color w:val="000000"/>
                <w:sz w:val="18"/>
              </w:rPr>
              <w:t>(</w:t>
            </w:r>
            <w:r w:rsidRPr="00931023">
              <w:rPr>
                <w:noProof/>
                <w:color w:val="000000"/>
                <w:sz w:val="18"/>
                <w:vertAlign w:val="superscript"/>
              </w:rPr>
              <w:t>1</w:t>
            </w:r>
            <w:r w:rsidRPr="00931023">
              <w:rPr>
                <w:noProof/>
                <w:color w:val="000000"/>
                <w:sz w:val="18"/>
              </w:rPr>
              <w:t>)</w:t>
            </w:r>
          </w:p>
        </w:tc>
        <w:tc>
          <w:tcPr>
            <w:tcW w:w="1540" w:type="dxa"/>
            <w:tcBorders>
              <w:top w:val="nil"/>
              <w:left w:val="nil"/>
              <w:bottom w:val="single" w:sz="8" w:space="0" w:color="auto"/>
              <w:right w:val="nil"/>
            </w:tcBorders>
            <w:shd w:val="clear" w:color="auto" w:fill="auto"/>
            <w:noWrap/>
          </w:tcPr>
          <w:p w:rsidR="00E7452C" w:rsidRPr="00931023" w:rsidRDefault="007336BF" w:rsidP="00E7452C">
            <w:pPr>
              <w:spacing w:before="0" w:after="0"/>
              <w:jc w:val="right"/>
              <w:rPr>
                <w:noProof/>
                <w:color w:val="000000"/>
                <w:sz w:val="18"/>
              </w:rPr>
            </w:pPr>
            <w:r w:rsidRPr="00931023">
              <w:rPr>
                <w:noProof/>
                <w:color w:val="000000"/>
                <w:sz w:val="18"/>
              </w:rPr>
              <w:t>pm</w:t>
            </w:r>
          </w:p>
          <w:p w:rsidR="00E7452C" w:rsidRPr="00931023" w:rsidRDefault="00E7452C" w:rsidP="00E7452C">
            <w:pPr>
              <w:spacing w:before="0" w:after="0"/>
              <w:jc w:val="right"/>
              <w:rPr>
                <w:noProof/>
                <w:color w:val="000000"/>
                <w:sz w:val="18"/>
              </w:rPr>
            </w:pPr>
          </w:p>
        </w:tc>
        <w:tc>
          <w:tcPr>
            <w:tcW w:w="1119" w:type="dxa"/>
            <w:tcBorders>
              <w:top w:val="nil"/>
              <w:left w:val="nil"/>
              <w:bottom w:val="single" w:sz="8" w:space="0" w:color="000000" w:themeColor="text1"/>
              <w:right w:val="nil"/>
            </w:tcBorders>
          </w:tcPr>
          <w:p w:rsidR="00E7452C" w:rsidRPr="00931023" w:rsidRDefault="007336BF" w:rsidP="00E7452C">
            <w:pPr>
              <w:spacing w:before="0" w:after="0"/>
              <w:jc w:val="left"/>
              <w:rPr>
                <w:noProof/>
                <w:color w:val="000000"/>
                <w:sz w:val="18"/>
              </w:rPr>
            </w:pPr>
            <w:r w:rsidRPr="00931023">
              <w:rPr>
                <w:noProof/>
                <w:color w:val="000000"/>
                <w:sz w:val="18"/>
              </w:rPr>
              <w:t>(</w:t>
            </w:r>
            <w:r w:rsidRPr="00931023">
              <w:rPr>
                <w:noProof/>
                <w:color w:val="000000"/>
                <w:sz w:val="18"/>
                <w:vertAlign w:val="superscript"/>
              </w:rPr>
              <w:t>4</w:t>
            </w:r>
            <w:r w:rsidRPr="00931023">
              <w:rPr>
                <w:noProof/>
                <w:color w:val="000000"/>
                <w:sz w:val="18"/>
              </w:rPr>
              <w:t>)</w:t>
            </w:r>
          </w:p>
        </w:tc>
        <w:tc>
          <w:tcPr>
            <w:tcW w:w="676" w:type="dxa"/>
            <w:tcBorders>
              <w:top w:val="nil"/>
              <w:left w:val="nil"/>
              <w:bottom w:val="single" w:sz="8" w:space="0" w:color="000000" w:themeColor="text1"/>
              <w:right w:val="nil"/>
            </w:tcBorders>
            <w:shd w:val="clear" w:color="auto" w:fill="auto"/>
            <w:noWrap/>
          </w:tcPr>
          <w:p w:rsidR="00E7452C" w:rsidRPr="00931023" w:rsidRDefault="00E7452C" w:rsidP="00E7452C">
            <w:pPr>
              <w:spacing w:before="0" w:after="0"/>
              <w:jc w:val="left"/>
              <w:rPr>
                <w:noProof/>
                <w:color w:val="000000"/>
                <w:sz w:val="18"/>
              </w:rPr>
            </w:pPr>
          </w:p>
        </w:tc>
        <w:tc>
          <w:tcPr>
            <w:tcW w:w="2035" w:type="dxa"/>
            <w:gridSpan w:val="2"/>
            <w:tcBorders>
              <w:top w:val="nil"/>
              <w:left w:val="nil"/>
              <w:bottom w:val="single" w:sz="8" w:space="0" w:color="000000" w:themeColor="text1"/>
              <w:right w:val="nil"/>
            </w:tcBorders>
            <w:shd w:val="clear" w:color="auto" w:fill="auto"/>
            <w:noWrap/>
          </w:tcPr>
          <w:p w:rsidR="00E7452C" w:rsidRPr="00931023" w:rsidRDefault="00E7452C" w:rsidP="00E7452C">
            <w:pPr>
              <w:spacing w:before="0" w:after="0"/>
              <w:jc w:val="left"/>
              <w:rPr>
                <w:noProof/>
                <w:color w:val="000000"/>
                <w:sz w:val="18"/>
              </w:rPr>
            </w:pPr>
          </w:p>
        </w:tc>
        <w:tc>
          <w:tcPr>
            <w:tcW w:w="1209" w:type="dxa"/>
            <w:gridSpan w:val="2"/>
            <w:tcBorders>
              <w:top w:val="nil"/>
              <w:left w:val="nil"/>
              <w:bottom w:val="single" w:sz="8" w:space="0" w:color="000000" w:themeColor="text1"/>
              <w:right w:val="nil"/>
            </w:tcBorders>
            <w:shd w:val="clear" w:color="auto" w:fill="auto"/>
            <w:noWrap/>
          </w:tcPr>
          <w:p w:rsidR="00E7452C" w:rsidRPr="00931023" w:rsidRDefault="00E7452C" w:rsidP="00E7452C">
            <w:pPr>
              <w:spacing w:before="0" w:after="0"/>
              <w:jc w:val="left"/>
              <w:rPr>
                <w:noProof/>
                <w:color w:val="000000"/>
                <w:sz w:val="18"/>
              </w:rPr>
            </w:pPr>
          </w:p>
        </w:tc>
        <w:tc>
          <w:tcPr>
            <w:tcW w:w="553" w:type="dxa"/>
            <w:gridSpan w:val="3"/>
            <w:tcBorders>
              <w:top w:val="nil"/>
              <w:left w:val="nil"/>
              <w:bottom w:val="single" w:sz="8" w:space="0" w:color="000000" w:themeColor="text1"/>
              <w:right w:val="nil"/>
            </w:tcBorders>
            <w:shd w:val="clear" w:color="auto" w:fill="auto"/>
            <w:noWrap/>
          </w:tcPr>
          <w:p w:rsidR="00E7452C" w:rsidRPr="00931023" w:rsidRDefault="00E7452C" w:rsidP="00E7452C">
            <w:pPr>
              <w:spacing w:before="0" w:after="0"/>
              <w:jc w:val="left"/>
              <w:rPr>
                <w:noProof/>
                <w:color w:val="000000"/>
                <w:sz w:val="18"/>
              </w:rPr>
            </w:pPr>
          </w:p>
        </w:tc>
        <w:tc>
          <w:tcPr>
            <w:tcW w:w="303" w:type="dxa"/>
            <w:gridSpan w:val="2"/>
            <w:tcBorders>
              <w:top w:val="nil"/>
              <w:left w:val="nil"/>
              <w:bottom w:val="single" w:sz="8" w:space="0" w:color="000000" w:themeColor="text1"/>
              <w:right w:val="nil"/>
            </w:tcBorders>
            <w:shd w:val="clear" w:color="auto" w:fill="auto"/>
            <w:noWrap/>
          </w:tcPr>
          <w:p w:rsidR="00E7452C" w:rsidRPr="00931023" w:rsidRDefault="00E7452C" w:rsidP="00E7452C">
            <w:pPr>
              <w:spacing w:before="0" w:after="0"/>
              <w:jc w:val="left"/>
              <w:rPr>
                <w:noProof/>
                <w:color w:val="000000"/>
                <w:sz w:val="18"/>
              </w:rPr>
            </w:pPr>
          </w:p>
        </w:tc>
      </w:tr>
      <w:bookmarkEnd w:id="11"/>
      <w:tr w:rsidR="00E7452C" w:rsidRPr="00931023" w:rsidTr="00F30FCB">
        <w:trPr>
          <w:gridAfter w:val="1"/>
          <w:wAfter w:w="47" w:type="dxa"/>
          <w:trHeight w:val="324"/>
        </w:trPr>
        <w:tc>
          <w:tcPr>
            <w:tcW w:w="1486" w:type="dxa"/>
            <w:tcBorders>
              <w:top w:val="nil"/>
              <w:left w:val="nil"/>
              <w:bottom w:val="nil"/>
              <w:right w:val="nil"/>
            </w:tcBorders>
            <w:shd w:val="clear" w:color="auto" w:fill="auto"/>
            <w:noWrap/>
            <w:hideMark/>
          </w:tcPr>
          <w:p w:rsidR="00E7452C" w:rsidRPr="00931023" w:rsidRDefault="00E7452C" w:rsidP="00E7452C">
            <w:pPr>
              <w:spacing w:before="0" w:after="0"/>
              <w:jc w:val="left"/>
              <w:rPr>
                <w:b/>
                <w:noProof/>
                <w:color w:val="000000"/>
                <w:sz w:val="18"/>
                <w:vertAlign w:val="superscript"/>
              </w:rPr>
            </w:pPr>
            <w:r w:rsidRPr="00931023">
              <w:rPr>
                <w:b/>
                <w:noProof/>
                <w:color w:val="000000"/>
                <w:sz w:val="18"/>
                <w:vertAlign w:val="superscript"/>
              </w:rPr>
              <w:t>(1)</w:t>
            </w:r>
          </w:p>
        </w:tc>
        <w:tc>
          <w:tcPr>
            <w:tcW w:w="9467" w:type="dxa"/>
            <w:gridSpan w:val="13"/>
            <w:tcBorders>
              <w:top w:val="nil"/>
              <w:left w:val="nil"/>
              <w:bottom w:val="nil"/>
              <w:right w:val="nil"/>
            </w:tcBorders>
            <w:shd w:val="clear" w:color="auto" w:fill="auto"/>
            <w:noWrap/>
            <w:hideMark/>
          </w:tcPr>
          <w:p w:rsidR="00E7452C" w:rsidRPr="00931023" w:rsidRDefault="00210DA7" w:rsidP="00E7452C">
            <w:pPr>
              <w:spacing w:before="0" w:after="0"/>
              <w:jc w:val="left"/>
              <w:rPr>
                <w:noProof/>
                <w:sz w:val="18"/>
                <w:vertAlign w:val="superscript"/>
              </w:rPr>
            </w:pPr>
            <w:r w:rsidRPr="00931023">
              <w:rPr>
                <w:noProof/>
                <w:sz w:val="18"/>
                <w:vertAlign w:val="superscript"/>
              </w:rPr>
              <w:t>Se poate pescui doar între 1 noiembrie 2024 și 31 octombrie 2025.</w:t>
            </w:r>
          </w:p>
        </w:tc>
      </w:tr>
      <w:tr w:rsidR="00E7452C" w:rsidRPr="00931023" w:rsidTr="00F30FCB">
        <w:trPr>
          <w:gridAfter w:val="1"/>
          <w:wAfter w:w="47" w:type="dxa"/>
          <w:trHeight w:val="324"/>
        </w:trPr>
        <w:tc>
          <w:tcPr>
            <w:tcW w:w="1486" w:type="dxa"/>
            <w:tcBorders>
              <w:top w:val="nil"/>
              <w:left w:val="nil"/>
              <w:bottom w:val="nil"/>
              <w:right w:val="nil"/>
            </w:tcBorders>
            <w:shd w:val="clear" w:color="auto" w:fill="auto"/>
            <w:noWrap/>
            <w:hideMark/>
          </w:tcPr>
          <w:p w:rsidR="00E7452C" w:rsidRPr="00931023" w:rsidRDefault="00E7452C" w:rsidP="00E7452C">
            <w:pPr>
              <w:spacing w:before="0" w:after="0"/>
              <w:jc w:val="left"/>
              <w:rPr>
                <w:b/>
                <w:noProof/>
                <w:color w:val="000000"/>
                <w:sz w:val="18"/>
              </w:rPr>
            </w:pPr>
            <w:r w:rsidRPr="00931023">
              <w:rPr>
                <w:b/>
                <w:noProof/>
                <w:color w:val="000000"/>
                <w:sz w:val="18"/>
                <w:vertAlign w:val="superscript"/>
              </w:rPr>
              <w:t>(2)</w:t>
            </w:r>
          </w:p>
        </w:tc>
        <w:tc>
          <w:tcPr>
            <w:tcW w:w="7405" w:type="dxa"/>
            <w:gridSpan w:val="6"/>
            <w:tcBorders>
              <w:top w:val="nil"/>
              <w:left w:val="nil"/>
              <w:bottom w:val="nil"/>
              <w:right w:val="nil"/>
            </w:tcBorders>
            <w:shd w:val="clear" w:color="auto" w:fill="auto"/>
            <w:noWrap/>
            <w:hideMark/>
          </w:tcPr>
          <w:p w:rsidR="00E7452C" w:rsidRPr="00931023" w:rsidRDefault="00210DA7" w:rsidP="00E7452C">
            <w:pPr>
              <w:spacing w:before="0" w:after="0"/>
              <w:jc w:val="left"/>
              <w:rPr>
                <w:noProof/>
                <w:sz w:val="18"/>
              </w:rPr>
            </w:pPr>
            <w:r w:rsidRPr="00931023">
              <w:rPr>
                <w:noProof/>
                <w:sz w:val="18"/>
                <w:vertAlign w:val="superscript"/>
              </w:rPr>
              <w:t>Exclusiv pentru capturi accidentale. Pescuitul direcționat de merluciu norvegian nu este autorizat în cadrul acestei cote.</w:t>
            </w:r>
          </w:p>
        </w:tc>
        <w:tc>
          <w:tcPr>
            <w:tcW w:w="1293" w:type="dxa"/>
            <w:gridSpan w:val="3"/>
            <w:tcBorders>
              <w:top w:val="nil"/>
              <w:left w:val="nil"/>
              <w:bottom w:val="nil"/>
              <w:right w:val="nil"/>
            </w:tcBorders>
            <w:shd w:val="clear" w:color="auto" w:fill="auto"/>
            <w:noWrap/>
            <w:hideMark/>
          </w:tcPr>
          <w:p w:rsidR="00E7452C" w:rsidRPr="00931023" w:rsidRDefault="00E7452C" w:rsidP="00E7452C">
            <w:pPr>
              <w:spacing w:before="0" w:after="0"/>
              <w:jc w:val="left"/>
              <w:rPr>
                <w:noProof/>
                <w:color w:val="000000"/>
                <w:sz w:val="18"/>
              </w:rPr>
            </w:pPr>
          </w:p>
        </w:tc>
        <w:tc>
          <w:tcPr>
            <w:tcW w:w="274" w:type="dxa"/>
            <w:tcBorders>
              <w:top w:val="nil"/>
              <w:left w:val="nil"/>
              <w:bottom w:val="nil"/>
              <w:right w:val="nil"/>
            </w:tcBorders>
            <w:shd w:val="clear" w:color="auto" w:fill="auto"/>
            <w:noWrap/>
            <w:hideMark/>
          </w:tcPr>
          <w:p w:rsidR="00E7452C" w:rsidRPr="00931023" w:rsidRDefault="00E7452C" w:rsidP="00E7452C">
            <w:pPr>
              <w:spacing w:before="0" w:after="0"/>
              <w:jc w:val="left"/>
              <w:rPr>
                <w:noProof/>
                <w:color w:val="000000"/>
                <w:sz w:val="18"/>
              </w:rPr>
            </w:pPr>
          </w:p>
        </w:tc>
        <w:tc>
          <w:tcPr>
            <w:tcW w:w="239" w:type="dxa"/>
            <w:gridSpan w:val="2"/>
            <w:tcBorders>
              <w:top w:val="nil"/>
              <w:left w:val="nil"/>
              <w:bottom w:val="nil"/>
              <w:right w:val="nil"/>
            </w:tcBorders>
            <w:shd w:val="clear" w:color="auto" w:fill="auto"/>
            <w:noWrap/>
            <w:hideMark/>
          </w:tcPr>
          <w:p w:rsidR="00E7452C" w:rsidRPr="00931023" w:rsidRDefault="00E7452C" w:rsidP="00E7452C">
            <w:pPr>
              <w:spacing w:before="0" w:after="0"/>
              <w:jc w:val="left"/>
              <w:rPr>
                <w:noProof/>
                <w:color w:val="000000"/>
                <w:sz w:val="18"/>
              </w:rPr>
            </w:pPr>
          </w:p>
        </w:tc>
        <w:tc>
          <w:tcPr>
            <w:tcW w:w="256" w:type="dxa"/>
            <w:tcBorders>
              <w:top w:val="nil"/>
              <w:left w:val="nil"/>
              <w:bottom w:val="nil"/>
              <w:right w:val="nil"/>
            </w:tcBorders>
            <w:shd w:val="clear" w:color="auto" w:fill="auto"/>
            <w:noWrap/>
            <w:hideMark/>
          </w:tcPr>
          <w:p w:rsidR="00E7452C" w:rsidRPr="00931023" w:rsidRDefault="00E7452C" w:rsidP="00E7452C">
            <w:pPr>
              <w:spacing w:before="0" w:after="0"/>
              <w:jc w:val="left"/>
              <w:rPr>
                <w:noProof/>
                <w:color w:val="000000"/>
                <w:sz w:val="18"/>
              </w:rPr>
            </w:pPr>
          </w:p>
        </w:tc>
      </w:tr>
      <w:tr w:rsidR="00E7452C" w:rsidRPr="00931023" w:rsidTr="00F30FCB">
        <w:trPr>
          <w:gridAfter w:val="1"/>
          <w:wAfter w:w="47" w:type="dxa"/>
          <w:trHeight w:val="324"/>
        </w:trPr>
        <w:tc>
          <w:tcPr>
            <w:tcW w:w="1486" w:type="dxa"/>
            <w:tcBorders>
              <w:top w:val="nil"/>
              <w:left w:val="nil"/>
              <w:right w:val="nil"/>
            </w:tcBorders>
            <w:shd w:val="clear" w:color="auto" w:fill="auto"/>
            <w:noWrap/>
            <w:hideMark/>
          </w:tcPr>
          <w:p w:rsidR="00E7452C" w:rsidRPr="00931023" w:rsidRDefault="00E7452C" w:rsidP="00E7452C">
            <w:pPr>
              <w:spacing w:before="0" w:after="0"/>
              <w:jc w:val="left"/>
              <w:rPr>
                <w:b/>
                <w:noProof/>
                <w:color w:val="000000"/>
                <w:sz w:val="18"/>
              </w:rPr>
            </w:pPr>
            <w:r w:rsidRPr="00931023">
              <w:rPr>
                <w:b/>
                <w:noProof/>
                <w:color w:val="000000"/>
                <w:sz w:val="18"/>
                <w:vertAlign w:val="superscript"/>
              </w:rPr>
              <w:t>(3)</w:t>
            </w:r>
          </w:p>
        </w:tc>
        <w:tc>
          <w:tcPr>
            <w:tcW w:w="7405" w:type="dxa"/>
            <w:gridSpan w:val="6"/>
            <w:tcBorders>
              <w:top w:val="nil"/>
              <w:left w:val="nil"/>
              <w:right w:val="nil"/>
            </w:tcBorders>
            <w:shd w:val="clear" w:color="auto" w:fill="auto"/>
            <w:noWrap/>
            <w:hideMark/>
          </w:tcPr>
          <w:p w:rsidR="00E7452C" w:rsidRPr="00931023" w:rsidRDefault="00210DA7" w:rsidP="00E7452C">
            <w:pPr>
              <w:spacing w:before="0" w:after="0"/>
              <w:jc w:val="left"/>
              <w:rPr>
                <w:noProof/>
                <w:sz w:val="18"/>
              </w:rPr>
            </w:pPr>
            <w:r w:rsidRPr="00931023">
              <w:rPr>
                <w:noProof/>
                <w:sz w:val="18"/>
                <w:vertAlign w:val="superscript"/>
              </w:rPr>
              <w:t>Cota de capturi accidentale poate fi pescuită exclusiv în apele Regatului Unit și în apele Uniunii din zonele ICES 2a, 3a și 4.</w:t>
            </w:r>
          </w:p>
        </w:tc>
        <w:tc>
          <w:tcPr>
            <w:tcW w:w="1293" w:type="dxa"/>
            <w:gridSpan w:val="3"/>
            <w:tcBorders>
              <w:top w:val="nil"/>
              <w:left w:val="nil"/>
              <w:right w:val="nil"/>
            </w:tcBorders>
            <w:shd w:val="clear" w:color="auto" w:fill="auto"/>
            <w:noWrap/>
            <w:hideMark/>
          </w:tcPr>
          <w:p w:rsidR="00E7452C" w:rsidRPr="00931023" w:rsidRDefault="00E7452C" w:rsidP="00E7452C">
            <w:pPr>
              <w:spacing w:before="0" w:after="0"/>
              <w:jc w:val="left"/>
              <w:rPr>
                <w:noProof/>
                <w:color w:val="000000"/>
                <w:sz w:val="18"/>
              </w:rPr>
            </w:pPr>
          </w:p>
        </w:tc>
        <w:tc>
          <w:tcPr>
            <w:tcW w:w="274" w:type="dxa"/>
            <w:tcBorders>
              <w:top w:val="nil"/>
              <w:left w:val="nil"/>
              <w:right w:val="nil"/>
            </w:tcBorders>
            <w:shd w:val="clear" w:color="auto" w:fill="auto"/>
            <w:noWrap/>
            <w:hideMark/>
          </w:tcPr>
          <w:p w:rsidR="00E7452C" w:rsidRPr="00931023" w:rsidRDefault="00E7452C" w:rsidP="00E7452C">
            <w:pPr>
              <w:spacing w:before="0" w:after="0"/>
              <w:jc w:val="left"/>
              <w:rPr>
                <w:noProof/>
                <w:color w:val="000000"/>
                <w:sz w:val="18"/>
              </w:rPr>
            </w:pPr>
          </w:p>
        </w:tc>
        <w:tc>
          <w:tcPr>
            <w:tcW w:w="239" w:type="dxa"/>
            <w:gridSpan w:val="2"/>
            <w:tcBorders>
              <w:top w:val="nil"/>
              <w:left w:val="nil"/>
              <w:right w:val="nil"/>
            </w:tcBorders>
            <w:shd w:val="clear" w:color="auto" w:fill="auto"/>
            <w:noWrap/>
            <w:hideMark/>
          </w:tcPr>
          <w:p w:rsidR="00E7452C" w:rsidRPr="00931023" w:rsidRDefault="00E7452C" w:rsidP="00E7452C">
            <w:pPr>
              <w:spacing w:before="0" w:after="0"/>
              <w:jc w:val="left"/>
              <w:rPr>
                <w:noProof/>
                <w:color w:val="000000"/>
                <w:sz w:val="18"/>
              </w:rPr>
            </w:pPr>
          </w:p>
        </w:tc>
        <w:tc>
          <w:tcPr>
            <w:tcW w:w="256" w:type="dxa"/>
            <w:tcBorders>
              <w:top w:val="nil"/>
              <w:left w:val="nil"/>
              <w:right w:val="nil"/>
            </w:tcBorders>
            <w:shd w:val="clear" w:color="auto" w:fill="auto"/>
            <w:noWrap/>
            <w:hideMark/>
          </w:tcPr>
          <w:p w:rsidR="00E7452C" w:rsidRPr="00931023" w:rsidRDefault="00E7452C" w:rsidP="00E7452C">
            <w:pPr>
              <w:spacing w:before="0" w:after="0"/>
              <w:jc w:val="left"/>
              <w:rPr>
                <w:noProof/>
                <w:color w:val="000000"/>
                <w:sz w:val="18"/>
                <w:highlight w:val="yellow"/>
              </w:rPr>
            </w:pPr>
          </w:p>
        </w:tc>
      </w:tr>
      <w:tr w:rsidR="00E7452C" w:rsidRPr="00931023" w:rsidTr="00F30FCB">
        <w:trPr>
          <w:gridAfter w:val="1"/>
          <w:wAfter w:w="47" w:type="dxa"/>
          <w:trHeight w:val="324"/>
        </w:trPr>
        <w:tc>
          <w:tcPr>
            <w:tcW w:w="1486" w:type="dxa"/>
            <w:tcBorders>
              <w:top w:val="nil"/>
              <w:left w:val="nil"/>
              <w:bottom w:val="single" w:sz="4" w:space="0" w:color="auto"/>
              <w:right w:val="nil"/>
            </w:tcBorders>
            <w:shd w:val="clear" w:color="auto" w:fill="auto"/>
            <w:noWrap/>
          </w:tcPr>
          <w:p w:rsidR="00E7452C" w:rsidRPr="00931023" w:rsidRDefault="00E7452C" w:rsidP="00E7452C">
            <w:pPr>
              <w:spacing w:before="0" w:after="0"/>
              <w:jc w:val="left"/>
              <w:rPr>
                <w:b/>
                <w:noProof/>
                <w:color w:val="000000"/>
                <w:sz w:val="18"/>
              </w:rPr>
            </w:pPr>
            <w:r w:rsidRPr="00931023">
              <w:rPr>
                <w:b/>
                <w:noProof/>
                <w:color w:val="000000"/>
                <w:sz w:val="18"/>
                <w:vertAlign w:val="superscript"/>
              </w:rPr>
              <w:t>(4)</w:t>
            </w:r>
          </w:p>
        </w:tc>
        <w:tc>
          <w:tcPr>
            <w:tcW w:w="5458" w:type="dxa"/>
            <w:gridSpan w:val="5"/>
            <w:tcBorders>
              <w:top w:val="nil"/>
              <w:left w:val="nil"/>
              <w:bottom w:val="single" w:sz="4" w:space="0" w:color="auto"/>
              <w:right w:val="nil"/>
            </w:tcBorders>
            <w:shd w:val="clear" w:color="auto" w:fill="auto"/>
            <w:noWrap/>
          </w:tcPr>
          <w:p w:rsidR="00E7452C" w:rsidRPr="00931023" w:rsidRDefault="00210DA7" w:rsidP="00E7452C">
            <w:pPr>
              <w:spacing w:before="0" w:after="0"/>
              <w:jc w:val="left"/>
              <w:rPr>
                <w:noProof/>
                <w:sz w:val="18"/>
              </w:rPr>
            </w:pPr>
            <w:r w:rsidRPr="00931023">
              <w:rPr>
                <w:noProof/>
                <w:sz w:val="18"/>
                <w:vertAlign w:val="superscript"/>
              </w:rPr>
              <w:t>Se poate pescui doar în perioada 1 noiembrie 2025-31 octombrie 2026.</w:t>
            </w:r>
          </w:p>
        </w:tc>
        <w:tc>
          <w:tcPr>
            <w:tcW w:w="1947" w:type="dxa"/>
            <w:tcBorders>
              <w:top w:val="nil"/>
              <w:left w:val="nil"/>
              <w:bottom w:val="single" w:sz="4" w:space="0" w:color="auto"/>
              <w:right w:val="nil"/>
            </w:tcBorders>
            <w:shd w:val="clear" w:color="auto" w:fill="auto"/>
            <w:noWrap/>
          </w:tcPr>
          <w:p w:rsidR="00E7452C" w:rsidRPr="00931023" w:rsidRDefault="00E7452C" w:rsidP="00E7452C">
            <w:pPr>
              <w:spacing w:before="0" w:after="0"/>
              <w:jc w:val="left"/>
              <w:rPr>
                <w:noProof/>
                <w:color w:val="000000"/>
                <w:sz w:val="18"/>
              </w:rPr>
            </w:pPr>
          </w:p>
        </w:tc>
        <w:tc>
          <w:tcPr>
            <w:tcW w:w="1293" w:type="dxa"/>
            <w:gridSpan w:val="3"/>
            <w:tcBorders>
              <w:top w:val="nil"/>
              <w:left w:val="nil"/>
              <w:bottom w:val="single" w:sz="4" w:space="0" w:color="auto"/>
              <w:right w:val="nil"/>
            </w:tcBorders>
            <w:shd w:val="clear" w:color="auto" w:fill="auto"/>
            <w:noWrap/>
          </w:tcPr>
          <w:p w:rsidR="00E7452C" w:rsidRPr="00931023" w:rsidRDefault="00E7452C" w:rsidP="00E7452C">
            <w:pPr>
              <w:spacing w:before="0" w:after="0"/>
              <w:jc w:val="left"/>
              <w:rPr>
                <w:noProof/>
                <w:color w:val="000000"/>
                <w:sz w:val="18"/>
              </w:rPr>
            </w:pPr>
          </w:p>
        </w:tc>
        <w:tc>
          <w:tcPr>
            <w:tcW w:w="274" w:type="dxa"/>
            <w:tcBorders>
              <w:top w:val="nil"/>
              <w:left w:val="nil"/>
              <w:bottom w:val="single" w:sz="4" w:space="0" w:color="auto"/>
              <w:right w:val="nil"/>
            </w:tcBorders>
            <w:shd w:val="clear" w:color="auto" w:fill="auto"/>
            <w:noWrap/>
          </w:tcPr>
          <w:p w:rsidR="00E7452C" w:rsidRPr="00931023" w:rsidRDefault="00E7452C" w:rsidP="00E7452C">
            <w:pPr>
              <w:spacing w:before="0" w:after="0"/>
              <w:jc w:val="left"/>
              <w:rPr>
                <w:noProof/>
                <w:color w:val="000000"/>
                <w:sz w:val="18"/>
              </w:rPr>
            </w:pPr>
          </w:p>
        </w:tc>
        <w:tc>
          <w:tcPr>
            <w:tcW w:w="239" w:type="dxa"/>
            <w:gridSpan w:val="2"/>
            <w:tcBorders>
              <w:top w:val="nil"/>
              <w:left w:val="nil"/>
              <w:bottom w:val="single" w:sz="4" w:space="0" w:color="auto"/>
              <w:right w:val="nil"/>
            </w:tcBorders>
            <w:shd w:val="clear" w:color="auto" w:fill="auto"/>
            <w:noWrap/>
          </w:tcPr>
          <w:p w:rsidR="00E7452C" w:rsidRPr="00931023" w:rsidRDefault="00E7452C" w:rsidP="00E7452C">
            <w:pPr>
              <w:spacing w:before="0" w:after="0"/>
              <w:jc w:val="left"/>
              <w:rPr>
                <w:noProof/>
                <w:color w:val="000000"/>
                <w:sz w:val="18"/>
              </w:rPr>
            </w:pPr>
          </w:p>
        </w:tc>
        <w:tc>
          <w:tcPr>
            <w:tcW w:w="256" w:type="dxa"/>
            <w:tcBorders>
              <w:top w:val="nil"/>
              <w:left w:val="nil"/>
              <w:bottom w:val="single" w:sz="4" w:space="0" w:color="auto"/>
              <w:right w:val="nil"/>
            </w:tcBorders>
            <w:shd w:val="clear" w:color="auto" w:fill="auto"/>
            <w:noWrap/>
            <w:hideMark/>
          </w:tcPr>
          <w:p w:rsidR="00E7452C" w:rsidRPr="00931023" w:rsidRDefault="00E7452C" w:rsidP="00E7452C">
            <w:pPr>
              <w:spacing w:before="0" w:after="0"/>
              <w:jc w:val="left"/>
              <w:rPr>
                <w:noProof/>
                <w:color w:val="000000"/>
                <w:sz w:val="18"/>
                <w:highlight w:val="yellow"/>
              </w:rPr>
            </w:pPr>
          </w:p>
        </w:tc>
      </w:tr>
    </w:tbl>
    <w:p w:rsidR="00C35C3A" w:rsidRPr="00931023" w:rsidRDefault="00BC3901" w:rsidP="006F3454">
      <w:pPr>
        <w:rPr>
          <w:noProof/>
        </w:rPr>
      </w:pPr>
      <w:r w:rsidRPr="00931023">
        <w:rPr>
          <w:noProof/>
        </w:rPr>
        <w:t>„</w:t>
      </w:r>
    </w:p>
    <w:p w:rsidR="00BB0917" w:rsidRPr="00931023" w:rsidRDefault="00713351" w:rsidP="00713351">
      <w:pPr>
        <w:pStyle w:val="Point0"/>
        <w:rPr>
          <w:noProof/>
        </w:rPr>
      </w:pPr>
      <w:r w:rsidRPr="00713351">
        <w:rPr>
          <w:noProof/>
        </w:rPr>
        <w:t>(2)</w:t>
      </w:r>
      <w:r w:rsidRPr="00713351">
        <w:rPr>
          <w:noProof/>
        </w:rPr>
        <w:tab/>
      </w:r>
      <w:r w:rsidR="6B67B4C1" w:rsidRPr="00931023">
        <w:rPr>
          <w:noProof/>
        </w:rPr>
        <w:t>[spațiu rezervat pentru alte modificări aduse Regulamentului (UE) 2025/202 al Consiliului].</w:t>
      </w:r>
    </w:p>
    <w:p w:rsidR="00EB79F0" w:rsidRPr="00931023" w:rsidRDefault="00EB79F0" w:rsidP="00BC3901">
      <w:pPr>
        <w:pStyle w:val="Titrearticle"/>
        <w:rPr>
          <w:noProof/>
        </w:rPr>
      </w:pPr>
      <w:r w:rsidRPr="00931023">
        <w:rPr>
          <w:noProof/>
        </w:rPr>
        <w:t xml:space="preserve">Articolul 15 </w:t>
      </w:r>
      <w:r w:rsidRPr="00931023">
        <w:rPr>
          <w:noProof/>
        </w:rPr>
        <w:br/>
      </w:r>
      <w:r w:rsidRPr="00931023">
        <w:rPr>
          <w:b/>
          <w:i w:val="0"/>
          <w:noProof/>
        </w:rPr>
        <w:t>Intrarea în vigoare și aplicarea</w:t>
      </w:r>
    </w:p>
    <w:p w:rsidR="00EB79F0" w:rsidRPr="00931023" w:rsidRDefault="00EB79F0" w:rsidP="00EB79F0">
      <w:pPr>
        <w:rPr>
          <w:noProof/>
        </w:rPr>
      </w:pPr>
      <w:r w:rsidRPr="00931023">
        <w:rPr>
          <w:noProof/>
        </w:rPr>
        <w:t xml:space="preserve">Prezentul regulament intră în vigoare în ziua următoare datei publicării în </w:t>
      </w:r>
      <w:r w:rsidRPr="00931023">
        <w:rPr>
          <w:i/>
          <w:noProof/>
        </w:rPr>
        <w:t>Jurnalul Oficial al Uniunii Europene</w:t>
      </w:r>
      <w:r w:rsidRPr="00931023">
        <w:rPr>
          <w:noProof/>
        </w:rPr>
        <w:t xml:space="preserve">. </w:t>
      </w:r>
    </w:p>
    <w:p w:rsidR="00F41B32" w:rsidRPr="00931023" w:rsidRDefault="00EB79F0" w:rsidP="00EB79F0">
      <w:pPr>
        <w:rPr>
          <w:noProof/>
        </w:rPr>
      </w:pPr>
      <w:r w:rsidRPr="00931023">
        <w:rPr>
          <w:noProof/>
        </w:rPr>
        <w:t xml:space="preserve">Se aplică de la 1 ianuarie până la 31 decembrie 2026. </w:t>
      </w:r>
    </w:p>
    <w:p w:rsidR="00142205" w:rsidRPr="00931023" w:rsidRDefault="00142205">
      <w:pPr>
        <w:rPr>
          <w:noProof/>
        </w:rPr>
      </w:pPr>
      <w:r w:rsidRPr="00931023">
        <w:rPr>
          <w:noProof/>
        </w:rPr>
        <w:t>Prin derogare de la al doilea paragraf:</w:t>
      </w:r>
    </w:p>
    <w:p w:rsidR="00F41B32" w:rsidRPr="00931023" w:rsidRDefault="00713351" w:rsidP="00713351">
      <w:pPr>
        <w:pStyle w:val="Point0"/>
        <w:rPr>
          <w:noProof/>
        </w:rPr>
      </w:pPr>
      <w:r w:rsidRPr="00713351">
        <w:rPr>
          <w:noProof/>
        </w:rPr>
        <w:t>(a)</w:t>
      </w:r>
      <w:r w:rsidRPr="00713351">
        <w:rPr>
          <w:noProof/>
        </w:rPr>
        <w:tab/>
      </w:r>
      <w:r w:rsidR="11DB2E21" w:rsidRPr="00931023">
        <w:rPr>
          <w:noProof/>
        </w:rPr>
        <w:t>articolul 14 punctul 1 se aplică de la 1 noiembrie 2025 până la 31 octombrie 2026;</w:t>
      </w:r>
    </w:p>
    <w:p w:rsidR="00142205" w:rsidRPr="00931023" w:rsidRDefault="00713351" w:rsidP="00713351">
      <w:pPr>
        <w:pStyle w:val="Point0"/>
        <w:rPr>
          <w:noProof/>
        </w:rPr>
      </w:pPr>
      <w:r w:rsidRPr="00713351">
        <w:rPr>
          <w:noProof/>
        </w:rPr>
        <w:t>(b)</w:t>
      </w:r>
      <w:r w:rsidRPr="00713351">
        <w:rPr>
          <w:noProof/>
        </w:rPr>
        <w:tab/>
      </w:r>
      <w:r w:rsidR="11DB2E21" w:rsidRPr="00931023">
        <w:rPr>
          <w:noProof/>
        </w:rPr>
        <w:t>[spațiu rezervat pentru alte modificări aduse Regulamentului (UE) 2025/202 al Consiliului].</w:t>
      </w:r>
    </w:p>
    <w:p w:rsidR="00EB79F0" w:rsidRPr="00931023" w:rsidRDefault="00EB79F0" w:rsidP="00EB79F0">
      <w:pPr>
        <w:pStyle w:val="Applicationdirecte"/>
        <w:rPr>
          <w:noProof/>
        </w:rPr>
      </w:pPr>
      <w:r w:rsidRPr="00931023">
        <w:rPr>
          <w:noProof/>
        </w:rPr>
        <w:t>Prezentul regulament este obligatoriu în toate elementele sale și se aplică direct în toate statele membre.</w:t>
      </w:r>
    </w:p>
    <w:p w:rsidR="00EB79F0" w:rsidRPr="00931023" w:rsidRDefault="001F34EA" w:rsidP="00385E97">
      <w:pPr>
        <w:pStyle w:val="Fait"/>
        <w:rPr>
          <w:noProof/>
        </w:rPr>
      </w:pPr>
      <w:r>
        <w:rPr>
          <w:noProof/>
        </w:rPr>
        <w:t>Adoptat la Bruxelles,</w:t>
      </w:r>
    </w:p>
    <w:p w:rsidR="00EB79F0" w:rsidRPr="00931023" w:rsidRDefault="00EB79F0" w:rsidP="00385E97">
      <w:pPr>
        <w:pStyle w:val="Institutionquisigne"/>
        <w:rPr>
          <w:noProof/>
        </w:rPr>
      </w:pPr>
      <w:r w:rsidRPr="00931023">
        <w:rPr>
          <w:noProof/>
        </w:rPr>
        <w:tab/>
        <w:t>Pentru Consiliu</w:t>
      </w:r>
    </w:p>
    <w:p w:rsidR="00E36005" w:rsidRPr="00931023" w:rsidRDefault="00EB79F0" w:rsidP="00DB4C5C">
      <w:pPr>
        <w:pStyle w:val="Personnequisigne"/>
        <w:rPr>
          <w:noProof/>
        </w:rPr>
      </w:pPr>
      <w:r w:rsidRPr="00931023">
        <w:rPr>
          <w:noProof/>
        </w:rPr>
        <w:tab/>
        <w:t>Președintele</w:t>
      </w:r>
    </w:p>
    <w:sectPr w:rsidR="00E36005" w:rsidRPr="00931023" w:rsidSect="00615FA2">
      <w:footnotePr>
        <w:numRestart w:val="eachSect"/>
      </w:footnotePr>
      <w:pgSz w:w="11907" w:h="16840" w:code="9"/>
      <w:pgMar w:top="1134" w:right="1418" w:bottom="1134"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0CF" w:rsidRPr="00931023" w:rsidRDefault="001440CF">
      <w:pPr>
        <w:spacing w:before="0" w:after="0"/>
      </w:pPr>
      <w:r w:rsidRPr="00931023">
        <w:separator/>
      </w:r>
    </w:p>
  </w:endnote>
  <w:endnote w:type="continuationSeparator" w:id="0">
    <w:p w:rsidR="001440CF" w:rsidRPr="00931023" w:rsidRDefault="001440CF">
      <w:pPr>
        <w:spacing w:before="0" w:after="0"/>
      </w:pPr>
      <w:r w:rsidRPr="00931023">
        <w:continuationSeparator/>
      </w:r>
    </w:p>
  </w:endnote>
  <w:endnote w:type="continuationNotice" w:id="1">
    <w:p w:rsidR="001440CF" w:rsidRPr="00931023" w:rsidRDefault="001440C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FA2" w:rsidRPr="00615FA2" w:rsidRDefault="00615FA2" w:rsidP="00615FA2">
    <w:pPr>
      <w:pStyle w:val="Footer"/>
      <w:rPr>
        <w:rFonts w:ascii="Arial" w:hAnsi="Arial" w:cs="Arial"/>
        <w:b/>
        <w:sz w:val="48"/>
      </w:rPr>
    </w:pPr>
    <w:r w:rsidRPr="00615FA2">
      <w:rPr>
        <w:rFonts w:ascii="Arial" w:hAnsi="Arial" w:cs="Arial"/>
        <w:b/>
        <w:sz w:val="48"/>
      </w:rPr>
      <w:t>RO</w:t>
    </w:r>
    <w:r w:rsidRPr="00615FA2">
      <w:rPr>
        <w:rFonts w:ascii="Arial" w:hAnsi="Arial" w:cs="Arial"/>
        <w:b/>
        <w:sz w:val="48"/>
      </w:rPr>
      <w:tab/>
    </w:r>
    <w:r w:rsidRPr="00615FA2">
      <w:rPr>
        <w:rFonts w:ascii="Arial" w:hAnsi="Arial" w:cs="Arial"/>
        <w:b/>
        <w:sz w:val="48"/>
      </w:rPr>
      <w:tab/>
    </w:r>
    <w:r w:rsidRPr="00615FA2">
      <w:tab/>
    </w:r>
    <w:r w:rsidRPr="00615FA2">
      <w:rPr>
        <w:rFonts w:ascii="Arial" w:hAnsi="Arial" w:cs="Arial"/>
        <w:b/>
        <w:sz w:val="48"/>
      </w:rPr>
      <w:t>RO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FA2" w:rsidRPr="00615FA2" w:rsidRDefault="00615FA2" w:rsidP="00615FA2">
    <w:pPr>
      <w:pStyle w:val="Footer"/>
      <w:rPr>
        <w:rFonts w:ascii="Arial" w:hAnsi="Arial" w:cs="Arial"/>
        <w:b/>
        <w:sz w:val="48"/>
      </w:rPr>
    </w:pPr>
    <w:r w:rsidRPr="00615FA2">
      <w:rPr>
        <w:rFonts w:ascii="Arial" w:hAnsi="Arial" w:cs="Arial"/>
        <w:b/>
        <w:sz w:val="48"/>
      </w:rPr>
      <w:t>RO</w:t>
    </w:r>
    <w:r w:rsidRPr="00615FA2">
      <w:rPr>
        <w:rFonts w:ascii="Arial" w:hAnsi="Arial" w:cs="Arial"/>
        <w:b/>
        <w:sz w:val="48"/>
      </w:rPr>
      <w:tab/>
    </w:r>
    <w:r w:rsidRPr="00615FA2">
      <w:rPr>
        <w:rFonts w:ascii="Arial" w:hAnsi="Arial" w:cs="Arial"/>
        <w:b/>
        <w:sz w:val="48"/>
      </w:rPr>
      <w:tab/>
    </w:r>
    <w:r w:rsidRPr="00615FA2">
      <w:tab/>
    </w:r>
    <w:r w:rsidRPr="00615FA2">
      <w:rPr>
        <w:rFonts w:ascii="Arial" w:hAnsi="Arial" w:cs="Arial"/>
        <w:b/>
        <w:sz w:val="48"/>
      </w:rPr>
      <w:t>RO</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FA2" w:rsidRDefault="00615F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FA2" w:rsidRPr="00615FA2" w:rsidRDefault="00615FA2" w:rsidP="00615FA2">
    <w:pPr>
      <w:pStyle w:val="Footer"/>
      <w:rPr>
        <w:rFonts w:ascii="Arial" w:hAnsi="Arial" w:cs="Arial"/>
        <w:b/>
        <w:sz w:val="48"/>
      </w:rPr>
    </w:pPr>
    <w:r w:rsidRPr="00615FA2">
      <w:rPr>
        <w:rFonts w:ascii="Arial" w:hAnsi="Arial" w:cs="Arial"/>
        <w:b/>
        <w:sz w:val="48"/>
      </w:rPr>
      <w:t>RO</w:t>
    </w:r>
    <w:r w:rsidRPr="00615FA2">
      <w:rPr>
        <w:rFonts w:ascii="Arial" w:hAnsi="Arial" w:cs="Arial"/>
        <w:b/>
        <w:sz w:val="48"/>
      </w:rPr>
      <w:tab/>
    </w:r>
    <w:r>
      <w:fldChar w:fldCharType="begin"/>
    </w:r>
    <w:r>
      <w:instrText xml:space="preserve"> PAGE  \* MERGEFORMAT </w:instrText>
    </w:r>
    <w:r>
      <w:fldChar w:fldCharType="separate"/>
    </w:r>
    <w:r w:rsidR="00385E97">
      <w:rPr>
        <w:noProof/>
      </w:rPr>
      <w:t>22</w:t>
    </w:r>
    <w:r>
      <w:fldChar w:fldCharType="end"/>
    </w:r>
    <w:r>
      <w:tab/>
    </w:r>
    <w:r w:rsidRPr="00615FA2">
      <w:tab/>
    </w:r>
    <w:r w:rsidRPr="00615FA2">
      <w:rPr>
        <w:rFonts w:ascii="Arial" w:hAnsi="Arial" w:cs="Arial"/>
        <w:b/>
        <w:sz w:val="48"/>
      </w:rPr>
      <w:t>RO</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FA2" w:rsidRDefault="00615FA2" w:rsidP="00615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0CF" w:rsidRPr="00931023" w:rsidRDefault="001440CF">
      <w:pPr>
        <w:spacing w:before="0" w:after="0"/>
      </w:pPr>
      <w:r w:rsidRPr="00931023">
        <w:separator/>
      </w:r>
    </w:p>
  </w:footnote>
  <w:footnote w:type="continuationSeparator" w:id="0">
    <w:p w:rsidR="001440CF" w:rsidRPr="00931023" w:rsidRDefault="001440CF">
      <w:pPr>
        <w:spacing w:before="0" w:after="0"/>
      </w:pPr>
      <w:r w:rsidRPr="00931023">
        <w:continuationSeparator/>
      </w:r>
    </w:p>
  </w:footnote>
  <w:footnote w:type="continuationNotice" w:id="1">
    <w:p w:rsidR="001440CF" w:rsidRPr="00931023" w:rsidRDefault="001440CF">
      <w:pPr>
        <w:spacing w:before="0" w:after="0"/>
      </w:pPr>
    </w:p>
  </w:footnote>
  <w:footnote w:id="2">
    <w:p w:rsidR="00395C45" w:rsidRPr="00931023" w:rsidRDefault="00395C45" w:rsidP="00395C45">
      <w:pPr>
        <w:pStyle w:val="FootnoteText"/>
      </w:pPr>
      <w:r w:rsidRPr="00931023">
        <w:rPr>
          <w:rStyle w:val="FootnoteReference"/>
        </w:rPr>
        <w:footnoteRef/>
      </w:r>
      <w:r w:rsidRPr="00931023">
        <w:tab/>
        <w:t>Regulamentul (UE) nr. 1380/2013 al Parlamentului European și al Consiliului din 11 decembrie 2013 privind politica comună în domeniul pescuitului, de modificare a Regulamentelor (CE) nr. 1954/2003 și (CE) nr. 1224/2009 ale Consiliului și de abrogare a Regulamentelor (CE) nr. 2371/2002 și (CE) nr. 639/2004 ale Consiliului și a Deciziei 2004/585/CE a Consiliului (JO</w:t>
      </w:r>
      <w:r w:rsidR="00931023">
        <w:t> </w:t>
      </w:r>
      <w:r w:rsidRPr="00931023">
        <w:t xml:space="preserve">L 354, 28.12.2013, p. 22, ELI: </w:t>
      </w:r>
      <w:hyperlink r:id="rId1" w:history="1">
        <w:r w:rsidRPr="00931023">
          <w:rPr>
            <w:rStyle w:val="Hyperlink"/>
          </w:rPr>
          <w:t>http://data.europa.eu/eli/reg/2013/1380/2023-01-01</w:t>
        </w:r>
      </w:hyperlink>
      <w:r w:rsidRPr="00931023">
        <w:t>).</w:t>
      </w:r>
    </w:p>
  </w:footnote>
  <w:footnote w:id="3">
    <w:p w:rsidR="00395C45" w:rsidRPr="00931023" w:rsidRDefault="00395C45" w:rsidP="00395C45">
      <w:pPr>
        <w:pStyle w:val="FootnoteText"/>
      </w:pPr>
      <w:r w:rsidRPr="00931023">
        <w:rPr>
          <w:rStyle w:val="FootnoteReference"/>
        </w:rPr>
        <w:footnoteRef/>
      </w:r>
      <w:r w:rsidRPr="00931023">
        <w:tab/>
        <w:t xml:space="preserve">Regulamentul (UE) 2016/1139 al Parlamentului European și al Consiliului din 6 iulie 2016 de stabilire a unui plan multianual pentru stocurile de cod, hering și șprot din Marea Baltică și pentru activitățile de pescuit care exploatează stocurile respective, de modificare a Regulamentului (CE) nr. 2187/2005 al Consiliului și de abrogare a Regulamentului (CE) nr. 1098/2007 al Consiliului (JO L 191, 15.7.2016, p. 1, ELI: </w:t>
      </w:r>
      <w:hyperlink r:id="rId2" w:history="1">
        <w:r w:rsidRPr="00931023">
          <w:rPr>
            <w:rStyle w:val="Hyperlink"/>
          </w:rPr>
          <w:t>http://data.europa.eu/eli/reg/2016/1139/oj</w:t>
        </w:r>
      </w:hyperlink>
      <w:r w:rsidRPr="00931023">
        <w:t>).</w:t>
      </w:r>
    </w:p>
  </w:footnote>
  <w:footnote w:id="4">
    <w:p w:rsidR="00395C45" w:rsidRPr="00931023" w:rsidRDefault="00395C45" w:rsidP="00395C45">
      <w:pPr>
        <w:pStyle w:val="FootnoteText"/>
      </w:pPr>
      <w:r w:rsidRPr="00931023">
        <w:rPr>
          <w:rStyle w:val="FootnoteReference"/>
        </w:rPr>
        <w:footnoteRef/>
      </w:r>
      <w:r w:rsidRPr="00931023">
        <w:tab/>
      </w:r>
      <w:hyperlink r:id="rId3" w:history="1">
        <w:r w:rsidRPr="00931023">
          <w:rPr>
            <w:rStyle w:val="Hyperlink"/>
          </w:rPr>
          <w:t>http://www.ices.dk/advice/Pages/Latest-Advice.aspx</w:t>
        </w:r>
      </w:hyperlink>
      <w:r w:rsidR="00931023">
        <w:t>.</w:t>
      </w:r>
    </w:p>
  </w:footnote>
  <w:footnote w:id="5">
    <w:p w:rsidR="00C4156C" w:rsidRPr="00931023" w:rsidRDefault="00C4156C">
      <w:pPr>
        <w:pStyle w:val="FootnoteText"/>
      </w:pPr>
      <w:r w:rsidRPr="00931023">
        <w:rPr>
          <w:rStyle w:val="FootnoteReference"/>
        </w:rPr>
        <w:footnoteRef/>
      </w:r>
      <w:r w:rsidRPr="00931023">
        <w:tab/>
        <w:t>Comunicarea Comisiei din 21 februarie 2023 către Parlamentul European, Consiliu, Comitetul Economic și Social European și Comitetul Regiunilor, intitulată Planul de acțiune al UE: Protejarea și refacerea ecosistemelor marine pentru un pescuit sustenabil și rezilient, [COM(2023) 102 final].</w:t>
      </w:r>
    </w:p>
  </w:footnote>
  <w:footnote w:id="6">
    <w:p w:rsidR="61DB2177" w:rsidRPr="00931023" w:rsidRDefault="61DB2177" w:rsidP="00F30FCB">
      <w:pPr>
        <w:pStyle w:val="FootnoteText"/>
      </w:pPr>
      <w:r w:rsidRPr="00931023">
        <w:rPr>
          <w:rStyle w:val="FootnoteReference"/>
        </w:rPr>
        <w:footnoteRef/>
      </w:r>
      <w:r w:rsidRPr="00931023">
        <w:tab/>
        <w:t>Comunicare a Comisiei din 5 iunie 2025 către Parlamentul European, Consiliu, Comitetul Economic și Social European și Comitetul Regiunilor, intitulată Pactul european privind oceanul planetar [COM(2025) 281 final].</w:t>
      </w:r>
    </w:p>
  </w:footnote>
  <w:footnote w:id="7">
    <w:p w:rsidR="007410FF" w:rsidRPr="00931023" w:rsidRDefault="007410FF">
      <w:pPr>
        <w:pStyle w:val="FootnoteText"/>
      </w:pPr>
      <w:r w:rsidRPr="00931023">
        <w:rPr>
          <w:rStyle w:val="FootnoteReference"/>
        </w:rPr>
        <w:footnoteRef/>
      </w:r>
      <w:r w:rsidRPr="00931023">
        <w:tab/>
        <w:t xml:space="preserve">Regulamentul (CE) nr. 1224/2009 al Consiliului din 20 noiembrie 2009 de stabilire a unui sistem de control al Uniunii pentru asigurarea respectării normelor politicii comune în domeniul pescuitului, de modificare a Regulamentelor (CE) nr. 847/96, (CE) nr. 2371/2002, (CE) nr. 811/2004, (CE) nr. 768/2005, (CE) nr. 2115/2005, (CE) nr. 2166/2005, (CE) nr. 388/2006, (CE) nr. 509/2007, (CE) nr. 676/2007, (CE) nr. 1098/2007, (CE) nr. 1300/2008, (CE) nr. 1342/2008 și de abrogare a Regulamentelor (CEE) nr. 2847/93, (CE) nr. 1627/94 și (CE) nr. 1966/2006 (JO L 343, 22.12.2009, p. 1, ELI: </w:t>
      </w:r>
      <w:hyperlink r:id="rId4" w:history="1">
        <w:r w:rsidRPr="00931023">
          <w:rPr>
            <w:rStyle w:val="Hyperlink"/>
          </w:rPr>
          <w:t>http://data.europa.eu/eli/reg/2009/1224/oj</w:t>
        </w:r>
      </w:hyperlink>
      <w:r w:rsidRPr="00931023">
        <w:t xml:space="preserve">). </w:t>
      </w:r>
    </w:p>
  </w:footnote>
  <w:footnote w:id="8">
    <w:p w:rsidR="003715BF" w:rsidRPr="00931023" w:rsidRDefault="003715BF" w:rsidP="003715BF">
      <w:pPr>
        <w:pStyle w:val="FootnoteText"/>
      </w:pPr>
      <w:r w:rsidRPr="00931023">
        <w:rPr>
          <w:rStyle w:val="FootnoteReference"/>
        </w:rPr>
        <w:footnoteRef/>
      </w:r>
      <w:r w:rsidRPr="00931023">
        <w:tab/>
      </w:r>
      <w:hyperlink r:id="rId5" w:history="1">
        <w:r w:rsidRPr="00931023">
          <w:rPr>
            <w:rStyle w:val="Hyperlink"/>
          </w:rPr>
          <w:t>https://doi.org/10.17895/ices.advice.27202563</w:t>
        </w:r>
      </w:hyperlink>
      <w:r w:rsidR="00931023">
        <w:t>.</w:t>
      </w:r>
    </w:p>
  </w:footnote>
  <w:footnote w:id="9">
    <w:p w:rsidR="00FD0D94" w:rsidRPr="00931023" w:rsidRDefault="00FD0D94" w:rsidP="00F30FCB">
      <w:pPr>
        <w:pStyle w:val="FootnoteText"/>
        <w:jc w:val="left"/>
      </w:pPr>
      <w:r w:rsidRPr="00931023">
        <w:rPr>
          <w:rStyle w:val="FootnoteReference"/>
        </w:rPr>
        <w:footnoteRef/>
      </w:r>
      <w:r w:rsidRPr="00931023">
        <w:tab/>
      </w:r>
      <w:hyperlink r:id="rId6" w:history="1">
        <w:r w:rsidRPr="00931023">
          <w:rPr>
            <w:rStyle w:val="Hyperlink"/>
          </w:rPr>
          <w:t>https://doi.org/10.17895/ices.advice.5276</w:t>
        </w:r>
      </w:hyperlink>
      <w:r w:rsidRPr="00931023">
        <w:t xml:space="preserve">; </w:t>
      </w:r>
      <w:hyperlink r:id="rId7" w:history="1">
        <w:r w:rsidRPr="00931023">
          <w:rPr>
            <w:rStyle w:val="Hyperlink"/>
          </w:rPr>
          <w:t>https://doi.org/10.17895/ices.advice.5649</w:t>
        </w:r>
      </w:hyperlink>
      <w:r w:rsidRPr="00931023">
        <w:rPr>
          <w:rStyle w:val="Hyperlink"/>
        </w:rPr>
        <w:t xml:space="preserve">; </w:t>
      </w:r>
      <w:hyperlink r:id="rId8" w:history="1">
        <w:r w:rsidRPr="00931023">
          <w:rPr>
            <w:rStyle w:val="Hyperlink"/>
          </w:rPr>
          <w:t>https://doi.org/10.17895/ices.advice.24799266</w:t>
        </w:r>
      </w:hyperlink>
      <w:r w:rsidR="00931023">
        <w:t>.</w:t>
      </w:r>
    </w:p>
  </w:footnote>
  <w:footnote w:id="10">
    <w:p w:rsidR="002A4949" w:rsidRPr="00931023" w:rsidRDefault="002A4949">
      <w:pPr>
        <w:pStyle w:val="FootnoteText"/>
      </w:pPr>
      <w:r w:rsidRPr="00931023">
        <w:rPr>
          <w:rStyle w:val="FootnoteReference"/>
        </w:rPr>
        <w:footnoteRef/>
      </w:r>
      <w:r w:rsidRPr="00931023">
        <w:tab/>
        <w:t xml:space="preserve">Regulamentul delegat (UE) 2024/3093 al Comisiei din 13 octombrie 2022 de modificare a Regulamentului (UE) 2019/1241 al Parlamentului European și al Consiliului în ceea ce privește măsurile tehnice specifice de reducere a capturilor accidentale de cod în Marea Baltică (JO L 2024/3093, 10.12.2024, ELI: </w:t>
      </w:r>
      <w:hyperlink r:id="rId9" w:history="1">
        <w:r w:rsidRPr="00931023">
          <w:rPr>
            <w:rStyle w:val="Hyperlink"/>
          </w:rPr>
          <w:t>http://data.europa.eu/eli/reg_del/2024/3093/oj</w:t>
        </w:r>
      </w:hyperlink>
      <w:r w:rsidRPr="00931023">
        <w:t>).</w:t>
      </w:r>
    </w:p>
  </w:footnote>
  <w:footnote w:id="11">
    <w:p w:rsidR="003715BF" w:rsidRPr="00931023" w:rsidRDefault="003715BF" w:rsidP="003715BF">
      <w:pPr>
        <w:pStyle w:val="FootnoteText"/>
      </w:pPr>
      <w:r w:rsidRPr="00931023">
        <w:rPr>
          <w:rStyle w:val="FootnoteReference"/>
        </w:rPr>
        <w:footnoteRef/>
      </w:r>
      <w:r w:rsidRPr="00931023">
        <w:tab/>
      </w:r>
      <w:r w:rsidRPr="00931023">
        <w:rPr>
          <w:rStyle w:val="Hyperlink"/>
        </w:rPr>
        <w:t>https://doi.org/10.17895/ices.advice.27202560</w:t>
      </w:r>
      <w:r w:rsidR="00931023">
        <w:t>.</w:t>
      </w:r>
    </w:p>
  </w:footnote>
  <w:footnote w:id="12">
    <w:p w:rsidR="00FD0D94" w:rsidRPr="00931023" w:rsidRDefault="00FD0D94">
      <w:pPr>
        <w:pStyle w:val="FootnoteText"/>
      </w:pPr>
      <w:r w:rsidRPr="00931023">
        <w:rPr>
          <w:rStyle w:val="FootnoteReference"/>
        </w:rPr>
        <w:footnoteRef/>
      </w:r>
      <w:r w:rsidRPr="00931023">
        <w:tab/>
        <w:t>A se vedea nota de subsol 8.</w:t>
      </w:r>
    </w:p>
  </w:footnote>
  <w:footnote w:id="13">
    <w:p w:rsidR="002A4949" w:rsidRPr="00931023" w:rsidRDefault="002A4949">
      <w:pPr>
        <w:pStyle w:val="FootnoteText"/>
      </w:pPr>
      <w:r w:rsidRPr="00931023">
        <w:rPr>
          <w:rStyle w:val="FootnoteReference"/>
        </w:rPr>
        <w:footnoteRef/>
      </w:r>
      <w:r w:rsidRPr="00931023">
        <w:tab/>
        <w:t>A se vedea nota de subsol 9.</w:t>
      </w:r>
    </w:p>
  </w:footnote>
  <w:footnote w:id="14">
    <w:p w:rsidR="001940E0" w:rsidRPr="00931023" w:rsidRDefault="001940E0" w:rsidP="001940E0">
      <w:pPr>
        <w:pStyle w:val="FootnoteText"/>
      </w:pPr>
      <w:r w:rsidRPr="00931023">
        <w:rPr>
          <w:rStyle w:val="FootnoteReference"/>
        </w:rPr>
        <w:footnoteRef/>
      </w:r>
      <w:r w:rsidRPr="00931023">
        <w:tab/>
      </w:r>
      <w:hyperlink r:id="rId10" w:history="1">
        <w:r w:rsidRPr="00931023">
          <w:rPr>
            <w:rStyle w:val="Hyperlink"/>
          </w:rPr>
          <w:t>https://doi.org/10.17895/ices.advice.27202773</w:t>
        </w:r>
      </w:hyperlink>
      <w:r w:rsidR="00931023">
        <w:t>.</w:t>
      </w:r>
    </w:p>
  </w:footnote>
  <w:footnote w:id="15">
    <w:p w:rsidR="003715BF" w:rsidRPr="00931023" w:rsidRDefault="003715BF" w:rsidP="003715BF">
      <w:pPr>
        <w:pStyle w:val="FootnoteText"/>
      </w:pPr>
      <w:r w:rsidRPr="00931023">
        <w:rPr>
          <w:rStyle w:val="FootnoteReference"/>
        </w:rPr>
        <w:footnoteRef/>
      </w:r>
      <w:r w:rsidRPr="00931023">
        <w:tab/>
      </w:r>
      <w:r w:rsidRPr="00931023">
        <w:rPr>
          <w:rStyle w:val="Hyperlink"/>
        </w:rPr>
        <w:t>https://doi.org/10.17895/ices.advice.27202614</w:t>
      </w:r>
      <w:r w:rsidR="00931023">
        <w:t>.</w:t>
      </w:r>
    </w:p>
  </w:footnote>
  <w:footnote w:id="16">
    <w:p w:rsidR="001B5CD7" w:rsidRPr="00931023" w:rsidRDefault="001B5CD7">
      <w:pPr>
        <w:pStyle w:val="FootnoteText"/>
      </w:pPr>
      <w:r w:rsidRPr="00931023">
        <w:rPr>
          <w:rStyle w:val="FootnoteReference"/>
        </w:rPr>
        <w:footnoteRef/>
      </w:r>
      <w:r w:rsidRPr="00931023">
        <w:tab/>
        <w:t>A se vedea nota de subsol 8.</w:t>
      </w:r>
    </w:p>
  </w:footnote>
  <w:footnote w:id="17">
    <w:p w:rsidR="00153C89" w:rsidRPr="00931023" w:rsidRDefault="00153C89">
      <w:pPr>
        <w:pStyle w:val="FootnoteText"/>
      </w:pPr>
      <w:r w:rsidRPr="00931023">
        <w:rPr>
          <w:rStyle w:val="FootnoteReference"/>
        </w:rPr>
        <w:footnoteRef/>
      </w:r>
      <w:r w:rsidRPr="00931023">
        <w:tab/>
      </w:r>
      <w:hyperlink r:id="rId11" w:history="1">
        <w:r w:rsidRPr="00931023">
          <w:rPr>
            <w:rStyle w:val="Hyperlink"/>
          </w:rPr>
          <w:t>https://doi.org/10.17895/ices.advice.27202623</w:t>
        </w:r>
      </w:hyperlink>
      <w:r w:rsidR="00931023">
        <w:t>.</w:t>
      </w:r>
    </w:p>
  </w:footnote>
  <w:footnote w:id="18">
    <w:p w:rsidR="00E10ABC" w:rsidRPr="00931023" w:rsidRDefault="00E10ABC">
      <w:pPr>
        <w:pStyle w:val="FootnoteText"/>
      </w:pPr>
      <w:r w:rsidRPr="00931023">
        <w:rPr>
          <w:rStyle w:val="FootnoteReference"/>
        </w:rPr>
        <w:footnoteRef/>
      </w:r>
      <w:r w:rsidRPr="00931023">
        <w:tab/>
      </w:r>
      <w:hyperlink r:id="rId12" w:history="1">
        <w:r w:rsidRPr="00931023">
          <w:rPr>
            <w:rStyle w:val="Hyperlink"/>
          </w:rPr>
          <w:t>https://doi.org/10.17895/ices.advice.28512521</w:t>
        </w:r>
      </w:hyperlink>
      <w:r w:rsidR="00931023">
        <w:t>.</w:t>
      </w:r>
    </w:p>
  </w:footnote>
  <w:footnote w:id="19">
    <w:p w:rsidR="003715BF" w:rsidRPr="00931023" w:rsidRDefault="003715BF" w:rsidP="003715BF">
      <w:pPr>
        <w:pStyle w:val="FootnoteText"/>
      </w:pPr>
      <w:r w:rsidRPr="00931023">
        <w:rPr>
          <w:rStyle w:val="FootnoteReference"/>
        </w:rPr>
        <w:footnoteRef/>
      </w:r>
      <w:r w:rsidRPr="00931023">
        <w:tab/>
      </w:r>
      <w:r w:rsidRPr="00931023">
        <w:rPr>
          <w:rStyle w:val="Hyperlink"/>
        </w:rPr>
        <w:t>https://doi.org/10.17895/ices.advice.27202617</w:t>
      </w:r>
      <w:r w:rsidR="00931023">
        <w:t>.</w:t>
      </w:r>
    </w:p>
  </w:footnote>
  <w:footnote w:id="20">
    <w:p w:rsidR="00E10ABC" w:rsidRPr="00931023" w:rsidRDefault="00E10ABC" w:rsidP="00E10ABC">
      <w:pPr>
        <w:pStyle w:val="FootnoteText"/>
      </w:pPr>
      <w:r w:rsidRPr="00931023">
        <w:rPr>
          <w:rStyle w:val="FootnoteReference"/>
        </w:rPr>
        <w:footnoteRef/>
      </w:r>
      <w:r w:rsidRPr="00931023">
        <w:tab/>
        <w:t>A se vedea nota de subsol 17.</w:t>
      </w:r>
    </w:p>
  </w:footnote>
  <w:footnote w:id="21">
    <w:p w:rsidR="000F1CA1" w:rsidRPr="00931023" w:rsidRDefault="000F1CA1" w:rsidP="000F1CA1">
      <w:pPr>
        <w:pStyle w:val="FootnoteText"/>
      </w:pPr>
      <w:r w:rsidRPr="00931023">
        <w:rPr>
          <w:rStyle w:val="FootnoteReference"/>
        </w:rPr>
        <w:footnoteRef/>
      </w:r>
      <w:r w:rsidRPr="00931023">
        <w:tab/>
      </w:r>
      <w:r w:rsidRPr="00931023">
        <w:rPr>
          <w:rStyle w:val="Hyperlink"/>
        </w:rPr>
        <w:t>https://doi.org/10.17895/ices.advice.27202620</w:t>
      </w:r>
      <w:r w:rsidR="00931023" w:rsidRPr="00931023">
        <w:rPr>
          <w:rStyle w:val="Hyperlink"/>
          <w:u w:val="none"/>
        </w:rPr>
        <w:t>.</w:t>
      </w:r>
    </w:p>
  </w:footnote>
  <w:footnote w:id="22">
    <w:p w:rsidR="003715BF" w:rsidRPr="00931023" w:rsidRDefault="003715BF" w:rsidP="003715BF">
      <w:pPr>
        <w:pStyle w:val="FootnoteText"/>
      </w:pPr>
      <w:r w:rsidRPr="00931023">
        <w:rPr>
          <w:rStyle w:val="FootnoteReference"/>
        </w:rPr>
        <w:footnoteRef/>
      </w:r>
      <w:r w:rsidRPr="00931023">
        <w:tab/>
      </w:r>
      <w:r w:rsidRPr="00931023">
        <w:rPr>
          <w:rStyle w:val="Hyperlink"/>
        </w:rPr>
        <w:t>https://doi.org/10.17895/ices.advice.27202893</w:t>
      </w:r>
      <w:r w:rsidR="00931023">
        <w:t>.</w:t>
      </w:r>
    </w:p>
  </w:footnote>
  <w:footnote w:id="23">
    <w:p w:rsidR="00BC1057" w:rsidRPr="00931023" w:rsidRDefault="00BC1057" w:rsidP="00BC1057">
      <w:pPr>
        <w:pStyle w:val="FootnoteText"/>
      </w:pPr>
      <w:r w:rsidRPr="00931023">
        <w:rPr>
          <w:rStyle w:val="FootnoteReference"/>
        </w:rPr>
        <w:footnoteRef/>
      </w:r>
      <w:r w:rsidRPr="00931023">
        <w:tab/>
      </w:r>
      <w:hyperlink r:id="rId13" w:history="1">
        <w:r w:rsidRPr="00931023">
          <w:rPr>
            <w:rStyle w:val="Hyperlink"/>
          </w:rPr>
          <w:t>https://doi.org/10.17895/ices.advice.27202839</w:t>
        </w:r>
      </w:hyperlink>
      <w:r w:rsidR="00931023">
        <w:t>.</w:t>
      </w:r>
    </w:p>
  </w:footnote>
  <w:footnote w:id="24">
    <w:p w:rsidR="001940E0" w:rsidRPr="00931023" w:rsidRDefault="001940E0" w:rsidP="001940E0">
      <w:pPr>
        <w:pStyle w:val="FootnoteText"/>
      </w:pPr>
      <w:r w:rsidRPr="00931023">
        <w:rPr>
          <w:rStyle w:val="FootnoteReference"/>
        </w:rPr>
        <w:footnoteRef/>
      </w:r>
      <w:r w:rsidRPr="00931023">
        <w:tab/>
      </w:r>
      <w:hyperlink r:id="rId14" w:history="1">
        <w:r w:rsidRPr="00931023">
          <w:rPr>
            <w:rStyle w:val="Hyperlink"/>
          </w:rPr>
          <w:t>https://doi.org/10.17895/ices.advice.27202842</w:t>
        </w:r>
      </w:hyperlink>
      <w:r w:rsidR="00931023">
        <w:t>.</w:t>
      </w:r>
    </w:p>
  </w:footnote>
  <w:footnote w:id="25">
    <w:p w:rsidR="000E3CB5" w:rsidRPr="00931023" w:rsidRDefault="000E3CB5" w:rsidP="000E3CB5">
      <w:pPr>
        <w:pStyle w:val="FootnoteText"/>
      </w:pPr>
      <w:r w:rsidRPr="00931023">
        <w:rPr>
          <w:rStyle w:val="FootnoteReference"/>
        </w:rPr>
        <w:footnoteRef/>
      </w:r>
      <w:r w:rsidRPr="00931023">
        <w:tab/>
        <w:t>Regulamentul (UE) nr. 1380/2013 al Parlamentului European și al Consiliului din 11 decembrie 2013 privind politica comună în domeniul pescuitului, de modificare a Regulamentelor (CE) nr. 1954/2003 și (CE) nr. 1224/2009 ale Consiliului și de abrogare a Regulamentelor (CE) nr. 2371/2002 și (CE) nr. 639/2004 ale Consiliului și a Deciziei 2004/585/CE a Consiliului (JO</w:t>
      </w:r>
      <w:r w:rsidR="00931023">
        <w:t> </w:t>
      </w:r>
      <w:r w:rsidRPr="00931023">
        <w:t>L 354, 28.12.2013, p. 22, ELI: </w:t>
      </w:r>
      <w:hyperlink r:id="rId15" w:tooltip="Oferă acces la acest document prin identificatorul său uniform de resurse ELI." w:history="1">
        <w:r w:rsidRPr="00931023">
          <w:rPr>
            <w:rStyle w:val="Hyperlink"/>
          </w:rPr>
          <w:t>http://data.europa.eu/eli/reg/2013/1380/oj</w:t>
        </w:r>
      </w:hyperlink>
      <w:r w:rsidRPr="00931023">
        <w:t>).</w:t>
      </w:r>
    </w:p>
  </w:footnote>
  <w:footnote w:id="26">
    <w:p w:rsidR="004162A2" w:rsidRPr="00931023" w:rsidRDefault="004162A2" w:rsidP="004162A2">
      <w:pPr>
        <w:pStyle w:val="FootnoteText"/>
      </w:pPr>
      <w:r w:rsidRPr="00931023">
        <w:rPr>
          <w:rStyle w:val="FootnoteReference"/>
        </w:rPr>
        <w:footnoteRef/>
      </w:r>
      <w:r w:rsidRPr="00931023">
        <w:tab/>
        <w:t xml:space="preserve">Regulamentul (UE) 2016/1139 al Parlamentului European și al Consiliului din 6 iulie 2016 de stabilire a unui plan multianual pentru stocurile de cod, hering și șprot din Marea Baltică și pentru activitățile de pescuit care exploatează stocurile respective, de modificare a Regulamentului (CE) nr. 2187/2005 al Consiliului și de abrogare a Regulamentului (CE) nr. 1098/2007 al Consiliului (JO L 191, 15.7.2016, p. 1, ELI: </w:t>
      </w:r>
      <w:hyperlink r:id="rId16" w:history="1">
        <w:r w:rsidRPr="00931023">
          <w:rPr>
            <w:rStyle w:val="Hyperlink"/>
          </w:rPr>
          <w:t>http://data.europa.eu/eli/reg/2016/1139/oj</w:t>
        </w:r>
      </w:hyperlink>
      <w:r w:rsidRPr="00931023">
        <w:t>).</w:t>
      </w:r>
    </w:p>
  </w:footnote>
  <w:footnote w:id="27">
    <w:p w:rsidR="004162A2" w:rsidRPr="00931023" w:rsidRDefault="004162A2" w:rsidP="004162A2">
      <w:pPr>
        <w:pStyle w:val="FootnoteText"/>
      </w:pPr>
      <w:r w:rsidRPr="00931023">
        <w:rPr>
          <w:rStyle w:val="FootnoteReference"/>
        </w:rPr>
        <w:footnoteRef/>
      </w:r>
      <w:r w:rsidRPr="00931023">
        <w:tab/>
        <w:t>Regulamentul (CE) nr. 1224/2009 al Consiliului din 20 noiembrie 2009 de stabilire a unui sistem de control al Uniunii pentru asigurarea respectării normelor politicii comune în domeniul pescuitului, de modificare a Regulamentelor (CE) nr. 847/96, (CE) nr. 2371/2002, (CE) nr. 811/2004, (CE) nr. 768/2005, (CE) nr. 2115/2005, (CE) nr. 2166/2005, (CE) nr. 388/2006, (CE) nr. 509/2007, (CE) nr. 676/2007, (CE) nr. 1098/2007, (CE) nr. 1300/2008, (CE) nr. 1342/2008 și de abrogare a Regulamentelor (CEE) nr. 2847/93, (CE) nr. 1627/94 și (CE) nr. 1966/2006 (</w:t>
      </w:r>
      <w:hyperlink r:id="rId17" w:history="1">
        <w:r w:rsidRPr="00931023">
          <w:t>JO L 343, 22.12.2009, p. 1</w:t>
        </w:r>
      </w:hyperlink>
      <w:r w:rsidRPr="00931023">
        <w:t xml:space="preserve">, ELI: </w:t>
      </w:r>
      <w:hyperlink r:id="rId18" w:history="1">
        <w:r w:rsidRPr="00931023">
          <w:rPr>
            <w:rStyle w:val="Hyperlink"/>
          </w:rPr>
          <w:t>http://data.europa.eu/eli/reg/2009/1224/oj</w:t>
        </w:r>
      </w:hyperlink>
      <w:r w:rsidRPr="00931023">
        <w:t>).</w:t>
      </w:r>
    </w:p>
  </w:footnote>
  <w:footnote w:id="28">
    <w:p w:rsidR="004162A2" w:rsidRPr="00931023" w:rsidRDefault="004162A2" w:rsidP="004162A2">
      <w:pPr>
        <w:pStyle w:val="FootnoteText"/>
      </w:pPr>
      <w:r w:rsidRPr="00931023">
        <w:rPr>
          <w:rStyle w:val="FootnoteReference"/>
        </w:rPr>
        <w:footnoteRef/>
      </w:r>
      <w:r w:rsidRPr="00931023">
        <w:tab/>
        <w:t xml:space="preserve">Regulamentul (CE) nr. 847/96 al Consiliului din 6 mai 1996 privind introducerea unor condiții suplimentare pentru gestionarea interanuală a totalurilor admise de captură (TAC) și a cotelor de pescuit (JO L 115, 9.5.1996, p. 3, ELI: </w:t>
      </w:r>
      <w:hyperlink r:id="rId19" w:history="1">
        <w:r w:rsidRPr="00931023">
          <w:rPr>
            <w:rStyle w:val="Hyperlink"/>
          </w:rPr>
          <w:t>http://data.europa.eu/eli/reg/1996/847/oj</w:t>
        </w:r>
      </w:hyperlink>
      <w:r w:rsidRPr="00931023">
        <w:t>).</w:t>
      </w:r>
    </w:p>
  </w:footnote>
  <w:footnote w:id="29">
    <w:p w:rsidR="00494753" w:rsidRPr="00931023" w:rsidRDefault="00494753">
      <w:pPr>
        <w:pStyle w:val="FootnoteText"/>
      </w:pPr>
      <w:r w:rsidRPr="00931023">
        <w:rPr>
          <w:rStyle w:val="FootnoteReference"/>
        </w:rPr>
        <w:footnoteRef/>
      </w:r>
      <w:r w:rsidRPr="00931023">
        <w:tab/>
        <w:t>JO</w:t>
      </w:r>
      <w:r w:rsidR="00931023">
        <w:t> </w:t>
      </w:r>
      <w:r w:rsidRPr="00931023">
        <w:t xml:space="preserve">L 149, 30.4.2021, p. 10, ELI: </w:t>
      </w:r>
      <w:hyperlink r:id="rId20" w:history="1">
        <w:r w:rsidRPr="00931023">
          <w:rPr>
            <w:rStyle w:val="Hyperlink"/>
          </w:rPr>
          <w:t>http://data.europa.eu/eli/agree_internation/2021/689(1)/oj</w:t>
        </w:r>
      </w:hyperlink>
      <w:r w:rsidRPr="00931023">
        <w:t>.</w:t>
      </w:r>
    </w:p>
  </w:footnote>
  <w:footnote w:id="30">
    <w:p w:rsidR="006F5D22" w:rsidRPr="00931023" w:rsidRDefault="006F5D22" w:rsidP="006F5D22">
      <w:pPr>
        <w:pStyle w:val="FootnoteText"/>
      </w:pPr>
      <w:r w:rsidRPr="00931023">
        <w:rPr>
          <w:rStyle w:val="FootnoteReference"/>
        </w:rPr>
        <w:footnoteRef/>
      </w:r>
      <w:r w:rsidRPr="00931023">
        <w:tab/>
        <w:t xml:space="preserve">Decizia (UE) 2021/1875 a Consiliului din 22 octombrie 2021 privind poziția care urmează să fie adoptată în numele Uniunii în cadrul consultărilor anuale cu Regatul Unit pentru a se conveni asupra capturilor totale admisibile (JO L 378, 26.10.2021, p. 6, ELI: </w:t>
      </w:r>
      <w:hyperlink r:id="rId21" w:history="1">
        <w:r w:rsidRPr="00931023">
          <w:rPr>
            <w:rStyle w:val="Hyperlink"/>
          </w:rPr>
          <w:t>http://data.europa.eu/eli/dec/2021/1875/oj</w:t>
        </w:r>
      </w:hyperlink>
      <w:r w:rsidRPr="00931023">
        <w:t>).</w:t>
      </w:r>
    </w:p>
  </w:footnote>
  <w:footnote w:id="31">
    <w:p w:rsidR="002E79F0" w:rsidRPr="00931023" w:rsidRDefault="002E79F0">
      <w:pPr>
        <w:pStyle w:val="FootnoteText"/>
      </w:pPr>
      <w:r w:rsidRPr="00931023">
        <w:rPr>
          <w:rStyle w:val="FootnoteReference"/>
        </w:rPr>
        <w:footnoteRef/>
      </w:r>
      <w:r w:rsidRPr="00931023">
        <w:tab/>
        <w:t>Regulamentul (UE) 2025/202 al Consiliului din 30 ianuarie 2025 de stabilire, pentru anii 2025 și 2026, a posibilităților de pescuit pentru anumite stocuri de pește, aplicabile în apele Uniunii și, pentru navele de pescuit din Uniune, în anumite ape din afara Uniunii, și de modificare a Regulamentului (UE) 2024/257 în ceea ce privește posibilitățile de pescuit pentru anul 2025 (JO</w:t>
      </w:r>
      <w:r w:rsidR="00AD12E1">
        <w:t> </w:t>
      </w:r>
      <w:r w:rsidRPr="00931023">
        <w:t xml:space="preserve">L, 2025/202, 31.1.2025, ELI: </w:t>
      </w:r>
      <w:hyperlink r:id="rId22" w:history="1">
        <w:r w:rsidRPr="00931023">
          <w:rPr>
            <w:rStyle w:val="Hyperlink"/>
          </w:rPr>
          <w:t>http://data.europa.eu/eli/reg/2025/202/oj</w:t>
        </w:r>
      </w:hyperlink>
      <w:r w:rsidRPr="00931023">
        <w:t>).</w:t>
      </w:r>
    </w:p>
  </w:footnote>
  <w:footnote w:id="32">
    <w:p w:rsidR="000415DE" w:rsidRPr="00931023" w:rsidRDefault="000415DE" w:rsidP="00055781">
      <w:pPr>
        <w:pStyle w:val="FootnoteText"/>
      </w:pPr>
      <w:r w:rsidRPr="00931023">
        <w:rPr>
          <w:rStyle w:val="FootnoteReference"/>
        </w:rPr>
        <w:footnoteRef/>
      </w:r>
      <w:r w:rsidRPr="00931023">
        <w:tab/>
        <w:t xml:space="preserve">Regulamentul (CE) nr. 218/2009 al Parlamentului European și al Consiliului din 11 martie 2009 privind comunicarea datelor statistice referitoare la capturile nominale de către statele membre care practică pescuitul în Atlanticul de Nord-Est (JO L 87, 31.3.2009, p. 70, ELI: http://data.europa.eu/eli/reg/2009/218/oj). </w:t>
      </w:r>
    </w:p>
  </w:footnote>
  <w:footnote w:id="33">
    <w:p w:rsidR="00EE7BDD" w:rsidRPr="001F34EA" w:rsidRDefault="00EE7BDD">
      <w:pPr>
        <w:pStyle w:val="FootnoteText"/>
        <w:rPr>
          <w:lang w:val="fr-FR"/>
        </w:rPr>
      </w:pPr>
      <w:r w:rsidRPr="00931023">
        <w:rPr>
          <w:rStyle w:val="FootnoteReference"/>
        </w:rPr>
        <w:footnoteRef/>
      </w:r>
      <w:r w:rsidRPr="00931023">
        <w:tab/>
        <w:t>Regulamentul (UE) 2019/1241 al Parlamentului European și al Consiliului din 20 iunie 2019 privind conservarea resurselor piscicole și protecția ecosistemelor marine prin măsuri tehnice, de modificare a Regulamentelor (CE) nr. 1967/2006 și (CE) nr. 1224/2009 ale Consiliului și a Regulamentelor (UE) nr. 1380/2013, (UE) 2016/1139, (UE) 2018/973, (UE) 2019/472 și (UE) 2019/1022 ale Parlamentului European și ale Consiliului și de abrogare a Regulamentelor (CE) nr. 894/97, (CE) nr. 850/98, (CE) nr. 2549/2000, (CE) nr. 254/2002, (CE) nr. 812/2004 și (CE) nr. 2187/2005 ale Consiliului (JO</w:t>
      </w:r>
      <w:r w:rsidR="00AD12E1">
        <w:t> </w:t>
      </w:r>
      <w:r w:rsidRPr="00931023">
        <w:t xml:space="preserve">L 198, 25.7.2019, p. 105, ELI: </w:t>
      </w:r>
      <w:hyperlink r:id="rId23" w:history="1">
        <w:r w:rsidRPr="00931023">
          <w:rPr>
            <w:rStyle w:val="Hyperlink"/>
          </w:rPr>
          <w:t>http://data.europa.eu/eli/reg/2019/1241/oj</w:t>
        </w:r>
      </w:hyperlink>
      <w:r w:rsidRPr="00931023">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FA2" w:rsidRDefault="00615F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FA2" w:rsidRDefault="00615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80403A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DC48556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6B66A8F8"/>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45C89C4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9780522"/>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73CD02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0B86EA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8230D3A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0"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15:restartNumberingAfterBreak="0">
    <w:nsid w:val="2D293CE3"/>
    <w:multiLevelType w:val="multilevel"/>
    <w:tmpl w:val="8D7C4D2A"/>
    <w:lvl w:ilvl="0">
      <w:start w:val="1"/>
      <w:numFmt w:val="decimal"/>
      <w:lvlText w:val="%1."/>
      <w:lvlJc w:val="left"/>
      <w:pPr>
        <w:ind w:left="476" w:hanging="476"/>
      </w:pPr>
      <w:rPr>
        <w:rFonts w:hint="default"/>
      </w:rPr>
    </w:lvl>
    <w:lvl w:ilvl="1">
      <w:start w:val="1"/>
      <w:numFmt w:val="lowerLetter"/>
      <w:pStyle w:val="LegalNumPar"/>
      <w:lvlText w:val="%2."/>
      <w:lvlJc w:val="left"/>
      <w:pPr>
        <w:ind w:left="953" w:hanging="477"/>
      </w:pPr>
      <w:rPr>
        <w:rFonts w:hint="default"/>
      </w:rPr>
    </w:lvl>
    <w:lvl w:ilvl="2">
      <w:start w:val="1"/>
      <w:numFmt w:val="lowerRoman"/>
      <w:pStyle w:val="LegalNumPar"/>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7"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2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3"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6"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1"/>
  </w:num>
  <w:num w:numId="10">
    <w:abstractNumId w:val="12"/>
  </w:num>
  <w:num w:numId="11">
    <w:abstractNumId w:val="21"/>
    <w:lvlOverride w:ilvl="0">
      <w:startOverride w:val="1"/>
    </w:lvlOverride>
  </w:num>
  <w:num w:numId="12">
    <w:abstractNumId w:val="11"/>
    <w:lvlOverride w:ilvl="0">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6"/>
  </w:num>
  <w:num w:numId="22">
    <w:abstractNumId w:val="23"/>
  </w:num>
  <w:num w:numId="23">
    <w:abstractNumId w:val="22"/>
  </w:num>
  <w:num w:numId="24">
    <w:abstractNumId w:val="9"/>
  </w:num>
  <w:num w:numId="25">
    <w:abstractNumId w:val="17"/>
  </w:num>
  <w:num w:numId="26">
    <w:abstractNumId w:val="10"/>
  </w:num>
  <w:num w:numId="27">
    <w:abstractNumId w:val="15"/>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18"/>
  </w:num>
  <w:num w:numId="39">
    <w:abstractNumId w:val="29"/>
  </w:num>
  <w:num w:numId="40">
    <w:abstractNumId w:val="14"/>
  </w:num>
  <w:num w:numId="41">
    <w:abstractNumId w:val="19"/>
  </w:num>
  <w:num w:numId="42">
    <w:abstractNumId w:val="20"/>
  </w:num>
  <w:num w:numId="43">
    <w:abstractNumId w:val="12"/>
  </w:num>
  <w:num w:numId="44">
    <w:abstractNumId w:val="28"/>
  </w:num>
  <w:num w:numId="45">
    <w:abstractNumId w:val="11"/>
  </w:num>
  <w:num w:numId="46">
    <w:abstractNumId w:val="21"/>
  </w:num>
  <w:num w:numId="47">
    <w:abstractNumId w:val="25"/>
  </w:num>
  <w:num w:numId="48">
    <w:abstractNumId w:val="26"/>
  </w:num>
  <w:num w:numId="49">
    <w:abstractNumId w:val="13"/>
  </w:num>
  <w:num w:numId="50">
    <w:abstractNumId w:val="24"/>
  </w:num>
  <w:num w:numId="51">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s-ES" w:vendorID="64" w:dllVersion="0"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BE" w:vendorID="64" w:dllVersion="0" w:nlCheck="1" w:checkStyle="0"/>
  <w:activeWritingStyle w:appName="MSWord" w:lang="it-IT" w:vendorID="64" w:dllVersion="0" w:nlCheck="1" w:checkStyle="0"/>
  <w:activeWritingStyle w:appName="MSWord" w:lang="fr-FR" w:vendorID="64" w:dllVersion="0" w:nlCheck="1" w:checkStyle="0"/>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QCDateTime" w:val="2025-08-22 16:55:59"/>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AD70C10B-E50E-4799-A7DB-0BB09D5815B4"/>
    <w:docVar w:name="LW_COVERPAGE_TYPE" w:val="1"/>
    <w:docVar w:name="LW_CROSSREFERENCE" w:val="&lt;UNUSED&gt;"/>
    <w:docVar w:name="LW_DocType" w:val="COM"/>
    <w:docVar w:name="LW_EMISSION" w:val="26.8.2025"/>
    <w:docVar w:name="LW_EMISSION_ISODATE" w:val="2025-08-26"/>
    <w:docVar w:name="LW_EMISSION_LOCATION" w:val="BRX"/>
    <w:docVar w:name="LW_EMISSION_PREFIX" w:val="Bruxelles,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RO"/>
    <w:docVar w:name="LW_LEVEL_OF_SENSITIVITY" w:val="Standard treatment"/>
    <w:docVar w:name="LW_NOM.INST" w:val="COMISIA EUROPEAN\u258?"/>
    <w:docVar w:name="LW_NOM.INST_JOINTDOC" w:val="&lt;EMPTY&gt;"/>
    <w:docVar w:name="LW_PART_NBR" w:val="1"/>
    <w:docVar w:name="LW_PART_NBR_TOTAL" w:val="1"/>
    <w:docVar w:name="LW_REF.II.NEW.CP" w:val="NLE"/>
    <w:docVar w:name="LW_REF.II.NEW.CP_NUMBER" w:val="0253"/>
    <w:docVar w:name="LW_REF.II.NEW.CP_YEAR" w:val="2025"/>
    <w:docVar w:name="LW_REF.INST.NEW" w:val="COM"/>
    <w:docVar w:name="LW_REF.INST.NEW_ADOPTED" w:val="final"/>
    <w:docVar w:name="LW_REF.INST.NEW_TEXT" w:val="(2025) 458"/>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Propunere de"/>
    <w:docVar w:name="LW_SUPERTITRE" w:val="&lt;UNUSED&gt;"/>
    <w:docVar w:name="LW_TITRE.OBJ.CP" w:val="de stabilire, pentru anul 2026, a posibilit\u259?\u539?ilor de pescuit pentru anumite stocuri de pe\u537?te \u537?i grupuri de stocuri de pe\u537?te aplicabile în Marea Baltic\u259? \u537?i de modificare a Regulamentului (UE) 2025/202 în ceea ce prive\u537?te anumite posibilit\u259?\u539?i de pescuit în alte ape"/>
    <w:docVar w:name="LW_TYPE.DOC.CP" w:val="REGULAMENT AL CONSILIULUI"/>
    <w:docVar w:name="LwApiVersions" w:val="LW4CoDe 1.24.5.0; LW 9.0, Build 20240221"/>
  </w:docVars>
  <w:rsids>
    <w:rsidRoot w:val="002963AE"/>
    <w:rsid w:val="00000464"/>
    <w:rsid w:val="000007CF"/>
    <w:rsid w:val="0000143A"/>
    <w:rsid w:val="00001885"/>
    <w:rsid w:val="000030C9"/>
    <w:rsid w:val="000039BC"/>
    <w:rsid w:val="00003B9E"/>
    <w:rsid w:val="00004578"/>
    <w:rsid w:val="00004CF8"/>
    <w:rsid w:val="00005339"/>
    <w:rsid w:val="00005A5D"/>
    <w:rsid w:val="00005CE3"/>
    <w:rsid w:val="00006184"/>
    <w:rsid w:val="0000625B"/>
    <w:rsid w:val="000075BE"/>
    <w:rsid w:val="000100A4"/>
    <w:rsid w:val="00010CD9"/>
    <w:rsid w:val="00012245"/>
    <w:rsid w:val="00012552"/>
    <w:rsid w:val="000133E7"/>
    <w:rsid w:val="00013482"/>
    <w:rsid w:val="00014813"/>
    <w:rsid w:val="00014E87"/>
    <w:rsid w:val="0001577E"/>
    <w:rsid w:val="00016051"/>
    <w:rsid w:val="00016BDE"/>
    <w:rsid w:val="00017650"/>
    <w:rsid w:val="000179CA"/>
    <w:rsid w:val="00017D50"/>
    <w:rsid w:val="000201C7"/>
    <w:rsid w:val="00020A09"/>
    <w:rsid w:val="000210CF"/>
    <w:rsid w:val="00021E6A"/>
    <w:rsid w:val="00021EF3"/>
    <w:rsid w:val="00022AB0"/>
    <w:rsid w:val="00023399"/>
    <w:rsid w:val="000236AD"/>
    <w:rsid w:val="00024A52"/>
    <w:rsid w:val="000252CE"/>
    <w:rsid w:val="000261C5"/>
    <w:rsid w:val="00026C88"/>
    <w:rsid w:val="0003041A"/>
    <w:rsid w:val="0003046A"/>
    <w:rsid w:val="000311BA"/>
    <w:rsid w:val="00031C55"/>
    <w:rsid w:val="00032263"/>
    <w:rsid w:val="00032467"/>
    <w:rsid w:val="000338EB"/>
    <w:rsid w:val="0003405E"/>
    <w:rsid w:val="00036F59"/>
    <w:rsid w:val="00037C89"/>
    <w:rsid w:val="000401ED"/>
    <w:rsid w:val="000415DE"/>
    <w:rsid w:val="000429A9"/>
    <w:rsid w:val="00045060"/>
    <w:rsid w:val="0004506B"/>
    <w:rsid w:val="00045B4D"/>
    <w:rsid w:val="00046220"/>
    <w:rsid w:val="000463D7"/>
    <w:rsid w:val="00046839"/>
    <w:rsid w:val="00047013"/>
    <w:rsid w:val="000473A7"/>
    <w:rsid w:val="00047C17"/>
    <w:rsid w:val="00050967"/>
    <w:rsid w:val="00050A9D"/>
    <w:rsid w:val="00050E91"/>
    <w:rsid w:val="0005170C"/>
    <w:rsid w:val="00054CDC"/>
    <w:rsid w:val="00055465"/>
    <w:rsid w:val="00055638"/>
    <w:rsid w:val="00055781"/>
    <w:rsid w:val="00055AC4"/>
    <w:rsid w:val="000579A3"/>
    <w:rsid w:val="00060015"/>
    <w:rsid w:val="000605B5"/>
    <w:rsid w:val="000606B1"/>
    <w:rsid w:val="00060D7D"/>
    <w:rsid w:val="00060DF8"/>
    <w:rsid w:val="000619BE"/>
    <w:rsid w:val="000624C6"/>
    <w:rsid w:val="00062DEE"/>
    <w:rsid w:val="000639D9"/>
    <w:rsid w:val="000662CD"/>
    <w:rsid w:val="00067122"/>
    <w:rsid w:val="0006793A"/>
    <w:rsid w:val="00070E22"/>
    <w:rsid w:val="00072163"/>
    <w:rsid w:val="00072353"/>
    <w:rsid w:val="0007280E"/>
    <w:rsid w:val="00072EEC"/>
    <w:rsid w:val="000733EE"/>
    <w:rsid w:val="00075556"/>
    <w:rsid w:val="00076FB5"/>
    <w:rsid w:val="00077A44"/>
    <w:rsid w:val="00080735"/>
    <w:rsid w:val="00080BF9"/>
    <w:rsid w:val="000818B4"/>
    <w:rsid w:val="00081FC9"/>
    <w:rsid w:val="000837E2"/>
    <w:rsid w:val="00084652"/>
    <w:rsid w:val="00086349"/>
    <w:rsid w:val="00086CD2"/>
    <w:rsid w:val="00087371"/>
    <w:rsid w:val="000876E9"/>
    <w:rsid w:val="000876FB"/>
    <w:rsid w:val="00091903"/>
    <w:rsid w:val="00091F2C"/>
    <w:rsid w:val="00092386"/>
    <w:rsid w:val="00093077"/>
    <w:rsid w:val="00093D7E"/>
    <w:rsid w:val="00093EB6"/>
    <w:rsid w:val="000946DD"/>
    <w:rsid w:val="00094A5E"/>
    <w:rsid w:val="00096168"/>
    <w:rsid w:val="00096303"/>
    <w:rsid w:val="00096B49"/>
    <w:rsid w:val="00099391"/>
    <w:rsid w:val="000A0C2A"/>
    <w:rsid w:val="000A10B1"/>
    <w:rsid w:val="000A10C9"/>
    <w:rsid w:val="000A203B"/>
    <w:rsid w:val="000A2F0F"/>
    <w:rsid w:val="000A306E"/>
    <w:rsid w:val="000A3941"/>
    <w:rsid w:val="000A3E37"/>
    <w:rsid w:val="000A404E"/>
    <w:rsid w:val="000A4814"/>
    <w:rsid w:val="000A491F"/>
    <w:rsid w:val="000A4FC6"/>
    <w:rsid w:val="000A5436"/>
    <w:rsid w:val="000A5DB4"/>
    <w:rsid w:val="000A67ED"/>
    <w:rsid w:val="000A6C86"/>
    <w:rsid w:val="000A6D85"/>
    <w:rsid w:val="000A6EA3"/>
    <w:rsid w:val="000A7F79"/>
    <w:rsid w:val="000B0CDA"/>
    <w:rsid w:val="000B1496"/>
    <w:rsid w:val="000B17D0"/>
    <w:rsid w:val="000B219D"/>
    <w:rsid w:val="000B2317"/>
    <w:rsid w:val="000B2D63"/>
    <w:rsid w:val="000B47CD"/>
    <w:rsid w:val="000B47FB"/>
    <w:rsid w:val="000B61DC"/>
    <w:rsid w:val="000B678A"/>
    <w:rsid w:val="000B6D06"/>
    <w:rsid w:val="000B76E0"/>
    <w:rsid w:val="000B7AC0"/>
    <w:rsid w:val="000C0163"/>
    <w:rsid w:val="000C1456"/>
    <w:rsid w:val="000C176E"/>
    <w:rsid w:val="000C1A27"/>
    <w:rsid w:val="000C1EB0"/>
    <w:rsid w:val="000C2277"/>
    <w:rsid w:val="000C33F0"/>
    <w:rsid w:val="000C34EB"/>
    <w:rsid w:val="000C4460"/>
    <w:rsid w:val="000C57E7"/>
    <w:rsid w:val="000C659B"/>
    <w:rsid w:val="000C6D7D"/>
    <w:rsid w:val="000C7422"/>
    <w:rsid w:val="000C77E2"/>
    <w:rsid w:val="000D0583"/>
    <w:rsid w:val="000D07EF"/>
    <w:rsid w:val="000D0C6C"/>
    <w:rsid w:val="000D0D49"/>
    <w:rsid w:val="000D1C41"/>
    <w:rsid w:val="000D20B0"/>
    <w:rsid w:val="000D4056"/>
    <w:rsid w:val="000D486F"/>
    <w:rsid w:val="000D5B41"/>
    <w:rsid w:val="000D6468"/>
    <w:rsid w:val="000D7D00"/>
    <w:rsid w:val="000E0979"/>
    <w:rsid w:val="000E1627"/>
    <w:rsid w:val="000E2215"/>
    <w:rsid w:val="000E2E17"/>
    <w:rsid w:val="000E2F15"/>
    <w:rsid w:val="000E30E8"/>
    <w:rsid w:val="000E3679"/>
    <w:rsid w:val="000E3CB5"/>
    <w:rsid w:val="000E54D8"/>
    <w:rsid w:val="000E60C8"/>
    <w:rsid w:val="000E65F8"/>
    <w:rsid w:val="000E7D4A"/>
    <w:rsid w:val="000F14F6"/>
    <w:rsid w:val="000F1C7F"/>
    <w:rsid w:val="000F1CA1"/>
    <w:rsid w:val="000F326C"/>
    <w:rsid w:val="000F343A"/>
    <w:rsid w:val="000F38D2"/>
    <w:rsid w:val="000F452E"/>
    <w:rsid w:val="000F5286"/>
    <w:rsid w:val="000F5B2C"/>
    <w:rsid w:val="000F5C87"/>
    <w:rsid w:val="000F5E69"/>
    <w:rsid w:val="000F5EDA"/>
    <w:rsid w:val="000F6155"/>
    <w:rsid w:val="00100803"/>
    <w:rsid w:val="00100831"/>
    <w:rsid w:val="00100C17"/>
    <w:rsid w:val="00103D8C"/>
    <w:rsid w:val="0010505A"/>
    <w:rsid w:val="001058BA"/>
    <w:rsid w:val="00105C57"/>
    <w:rsid w:val="0010620C"/>
    <w:rsid w:val="001062C0"/>
    <w:rsid w:val="001063BA"/>
    <w:rsid w:val="001069E0"/>
    <w:rsid w:val="001071A9"/>
    <w:rsid w:val="0010749C"/>
    <w:rsid w:val="00107990"/>
    <w:rsid w:val="001079D2"/>
    <w:rsid w:val="00107DB9"/>
    <w:rsid w:val="00110FFD"/>
    <w:rsid w:val="00111901"/>
    <w:rsid w:val="00111EF0"/>
    <w:rsid w:val="001120EE"/>
    <w:rsid w:val="00113738"/>
    <w:rsid w:val="00113AA4"/>
    <w:rsid w:val="00113E5A"/>
    <w:rsid w:val="00114C30"/>
    <w:rsid w:val="0011622F"/>
    <w:rsid w:val="001165A5"/>
    <w:rsid w:val="001165B5"/>
    <w:rsid w:val="00117EB7"/>
    <w:rsid w:val="00120B29"/>
    <w:rsid w:val="001212BF"/>
    <w:rsid w:val="00121BA3"/>
    <w:rsid w:val="001221EA"/>
    <w:rsid w:val="00122B20"/>
    <w:rsid w:val="001232B2"/>
    <w:rsid w:val="001235D4"/>
    <w:rsid w:val="00125BF2"/>
    <w:rsid w:val="00125EF9"/>
    <w:rsid w:val="00126DED"/>
    <w:rsid w:val="001278A1"/>
    <w:rsid w:val="00127D0B"/>
    <w:rsid w:val="00127F09"/>
    <w:rsid w:val="001302DB"/>
    <w:rsid w:val="0013053C"/>
    <w:rsid w:val="00130CD3"/>
    <w:rsid w:val="001311B4"/>
    <w:rsid w:val="001312BB"/>
    <w:rsid w:val="0013136F"/>
    <w:rsid w:val="00131E92"/>
    <w:rsid w:val="00132BD2"/>
    <w:rsid w:val="00133811"/>
    <w:rsid w:val="00135E1F"/>
    <w:rsid w:val="0013601C"/>
    <w:rsid w:val="0013622B"/>
    <w:rsid w:val="001365A7"/>
    <w:rsid w:val="001368C6"/>
    <w:rsid w:val="00136D93"/>
    <w:rsid w:val="0013785A"/>
    <w:rsid w:val="001378DE"/>
    <w:rsid w:val="00137EC5"/>
    <w:rsid w:val="0014042B"/>
    <w:rsid w:val="00140B2E"/>
    <w:rsid w:val="001410CA"/>
    <w:rsid w:val="001412F0"/>
    <w:rsid w:val="00141AE7"/>
    <w:rsid w:val="00141E59"/>
    <w:rsid w:val="00142205"/>
    <w:rsid w:val="001440CF"/>
    <w:rsid w:val="0014438D"/>
    <w:rsid w:val="00144616"/>
    <w:rsid w:val="00144693"/>
    <w:rsid w:val="00144920"/>
    <w:rsid w:val="00144E53"/>
    <w:rsid w:val="00145C73"/>
    <w:rsid w:val="00146248"/>
    <w:rsid w:val="0014721F"/>
    <w:rsid w:val="0015196C"/>
    <w:rsid w:val="001519F3"/>
    <w:rsid w:val="00151A5D"/>
    <w:rsid w:val="00151A71"/>
    <w:rsid w:val="0015286D"/>
    <w:rsid w:val="00153876"/>
    <w:rsid w:val="00153C89"/>
    <w:rsid w:val="001540A1"/>
    <w:rsid w:val="00154974"/>
    <w:rsid w:val="00154B87"/>
    <w:rsid w:val="00155D95"/>
    <w:rsid w:val="001560EA"/>
    <w:rsid w:val="0015649F"/>
    <w:rsid w:val="001573B1"/>
    <w:rsid w:val="00157FC2"/>
    <w:rsid w:val="00160D80"/>
    <w:rsid w:val="00161127"/>
    <w:rsid w:val="00161F4B"/>
    <w:rsid w:val="00161FA2"/>
    <w:rsid w:val="00162538"/>
    <w:rsid w:val="00162657"/>
    <w:rsid w:val="0016299A"/>
    <w:rsid w:val="00163D50"/>
    <w:rsid w:val="00164472"/>
    <w:rsid w:val="00164696"/>
    <w:rsid w:val="00164CC3"/>
    <w:rsid w:val="0016556E"/>
    <w:rsid w:val="001669E0"/>
    <w:rsid w:val="00166F6A"/>
    <w:rsid w:val="00167793"/>
    <w:rsid w:val="001677B9"/>
    <w:rsid w:val="00170194"/>
    <w:rsid w:val="001703DB"/>
    <w:rsid w:val="00170739"/>
    <w:rsid w:val="00171129"/>
    <w:rsid w:val="001715A6"/>
    <w:rsid w:val="00171F55"/>
    <w:rsid w:val="00172CA4"/>
    <w:rsid w:val="00172CC0"/>
    <w:rsid w:val="0017301F"/>
    <w:rsid w:val="001734FD"/>
    <w:rsid w:val="00173C2C"/>
    <w:rsid w:val="00174072"/>
    <w:rsid w:val="00174287"/>
    <w:rsid w:val="00174513"/>
    <w:rsid w:val="00174B68"/>
    <w:rsid w:val="00175591"/>
    <w:rsid w:val="00175B16"/>
    <w:rsid w:val="001763A0"/>
    <w:rsid w:val="0017655C"/>
    <w:rsid w:val="001765A4"/>
    <w:rsid w:val="001765B3"/>
    <w:rsid w:val="00176EC5"/>
    <w:rsid w:val="001772D6"/>
    <w:rsid w:val="0017772F"/>
    <w:rsid w:val="00177B7F"/>
    <w:rsid w:val="0018067E"/>
    <w:rsid w:val="00183F49"/>
    <w:rsid w:val="00183F89"/>
    <w:rsid w:val="001841DC"/>
    <w:rsid w:val="00184573"/>
    <w:rsid w:val="00184B59"/>
    <w:rsid w:val="001865D1"/>
    <w:rsid w:val="00186EE4"/>
    <w:rsid w:val="001873F1"/>
    <w:rsid w:val="0018753B"/>
    <w:rsid w:val="00187C85"/>
    <w:rsid w:val="001927DC"/>
    <w:rsid w:val="00192E42"/>
    <w:rsid w:val="00192EA7"/>
    <w:rsid w:val="001930DC"/>
    <w:rsid w:val="00193B15"/>
    <w:rsid w:val="001940E0"/>
    <w:rsid w:val="00194513"/>
    <w:rsid w:val="00194C0F"/>
    <w:rsid w:val="00195751"/>
    <w:rsid w:val="00195764"/>
    <w:rsid w:val="00195F4E"/>
    <w:rsid w:val="001963C4"/>
    <w:rsid w:val="0019667E"/>
    <w:rsid w:val="0019798A"/>
    <w:rsid w:val="00197E3A"/>
    <w:rsid w:val="001A1888"/>
    <w:rsid w:val="001A1E14"/>
    <w:rsid w:val="001A2082"/>
    <w:rsid w:val="001A2EB0"/>
    <w:rsid w:val="001A3114"/>
    <w:rsid w:val="001A62A8"/>
    <w:rsid w:val="001A6353"/>
    <w:rsid w:val="001A6C41"/>
    <w:rsid w:val="001A7763"/>
    <w:rsid w:val="001A787C"/>
    <w:rsid w:val="001A7C04"/>
    <w:rsid w:val="001A7D1A"/>
    <w:rsid w:val="001B0572"/>
    <w:rsid w:val="001B1536"/>
    <w:rsid w:val="001B1944"/>
    <w:rsid w:val="001B1C51"/>
    <w:rsid w:val="001B26E2"/>
    <w:rsid w:val="001B31AB"/>
    <w:rsid w:val="001B33B0"/>
    <w:rsid w:val="001B3DC5"/>
    <w:rsid w:val="001B3FF1"/>
    <w:rsid w:val="001B4024"/>
    <w:rsid w:val="001B4729"/>
    <w:rsid w:val="001B5811"/>
    <w:rsid w:val="001B5BCE"/>
    <w:rsid w:val="001B5CD7"/>
    <w:rsid w:val="001B61F9"/>
    <w:rsid w:val="001B6216"/>
    <w:rsid w:val="001B642D"/>
    <w:rsid w:val="001B6949"/>
    <w:rsid w:val="001B7598"/>
    <w:rsid w:val="001B7D4E"/>
    <w:rsid w:val="001C1B3E"/>
    <w:rsid w:val="001C26E2"/>
    <w:rsid w:val="001C33B2"/>
    <w:rsid w:val="001C3E1B"/>
    <w:rsid w:val="001C451E"/>
    <w:rsid w:val="001C4E81"/>
    <w:rsid w:val="001C55CB"/>
    <w:rsid w:val="001C5981"/>
    <w:rsid w:val="001C5DB2"/>
    <w:rsid w:val="001C6C39"/>
    <w:rsid w:val="001D0089"/>
    <w:rsid w:val="001D14DC"/>
    <w:rsid w:val="001D1A0A"/>
    <w:rsid w:val="001D1E9A"/>
    <w:rsid w:val="001D386D"/>
    <w:rsid w:val="001D4F6D"/>
    <w:rsid w:val="001D5875"/>
    <w:rsid w:val="001D6EA8"/>
    <w:rsid w:val="001D6FAA"/>
    <w:rsid w:val="001E097C"/>
    <w:rsid w:val="001E14B6"/>
    <w:rsid w:val="001E1C8B"/>
    <w:rsid w:val="001E34CB"/>
    <w:rsid w:val="001E439D"/>
    <w:rsid w:val="001E51F2"/>
    <w:rsid w:val="001E54DA"/>
    <w:rsid w:val="001E60F5"/>
    <w:rsid w:val="001E6B8F"/>
    <w:rsid w:val="001E7C9B"/>
    <w:rsid w:val="001F0589"/>
    <w:rsid w:val="001F09D3"/>
    <w:rsid w:val="001F0EEF"/>
    <w:rsid w:val="001F122A"/>
    <w:rsid w:val="001F286A"/>
    <w:rsid w:val="001F34EA"/>
    <w:rsid w:val="001F3BB1"/>
    <w:rsid w:val="001F3C09"/>
    <w:rsid w:val="001F4F68"/>
    <w:rsid w:val="001F506B"/>
    <w:rsid w:val="001F55EE"/>
    <w:rsid w:val="001F5645"/>
    <w:rsid w:val="001F5671"/>
    <w:rsid w:val="001F5E8B"/>
    <w:rsid w:val="001F5F65"/>
    <w:rsid w:val="001F7A04"/>
    <w:rsid w:val="0020135D"/>
    <w:rsid w:val="0020231A"/>
    <w:rsid w:val="0020269D"/>
    <w:rsid w:val="00202791"/>
    <w:rsid w:val="00203616"/>
    <w:rsid w:val="00203BEB"/>
    <w:rsid w:val="00204544"/>
    <w:rsid w:val="0020499E"/>
    <w:rsid w:val="00204EBD"/>
    <w:rsid w:val="00204FFF"/>
    <w:rsid w:val="00205BC7"/>
    <w:rsid w:val="0020684B"/>
    <w:rsid w:val="002103A8"/>
    <w:rsid w:val="002109D8"/>
    <w:rsid w:val="00210BFE"/>
    <w:rsid w:val="00210DA7"/>
    <w:rsid w:val="002114B6"/>
    <w:rsid w:val="00211866"/>
    <w:rsid w:val="0021198F"/>
    <w:rsid w:val="00211AFA"/>
    <w:rsid w:val="00212577"/>
    <w:rsid w:val="00212DF3"/>
    <w:rsid w:val="002133AD"/>
    <w:rsid w:val="002133AF"/>
    <w:rsid w:val="00213449"/>
    <w:rsid w:val="00213822"/>
    <w:rsid w:val="00213DC9"/>
    <w:rsid w:val="00214103"/>
    <w:rsid w:val="002148BA"/>
    <w:rsid w:val="00216673"/>
    <w:rsid w:val="00220704"/>
    <w:rsid w:val="00220CD2"/>
    <w:rsid w:val="00220E59"/>
    <w:rsid w:val="00223FC7"/>
    <w:rsid w:val="00224096"/>
    <w:rsid w:val="002251D6"/>
    <w:rsid w:val="00225A01"/>
    <w:rsid w:val="00226A12"/>
    <w:rsid w:val="00226B83"/>
    <w:rsid w:val="002270B9"/>
    <w:rsid w:val="00227B98"/>
    <w:rsid w:val="00227EDD"/>
    <w:rsid w:val="00230665"/>
    <w:rsid w:val="00230A3C"/>
    <w:rsid w:val="00230BA9"/>
    <w:rsid w:val="00230C13"/>
    <w:rsid w:val="00230D81"/>
    <w:rsid w:val="00231336"/>
    <w:rsid w:val="00231BC7"/>
    <w:rsid w:val="00231C85"/>
    <w:rsid w:val="00231E70"/>
    <w:rsid w:val="00231F1D"/>
    <w:rsid w:val="00232CF8"/>
    <w:rsid w:val="00232EA0"/>
    <w:rsid w:val="002333BB"/>
    <w:rsid w:val="002334EF"/>
    <w:rsid w:val="00233A0E"/>
    <w:rsid w:val="00234CAF"/>
    <w:rsid w:val="00235C02"/>
    <w:rsid w:val="00235E60"/>
    <w:rsid w:val="00236445"/>
    <w:rsid w:val="002407D4"/>
    <w:rsid w:val="00240B60"/>
    <w:rsid w:val="00240FE7"/>
    <w:rsid w:val="00241052"/>
    <w:rsid w:val="002418B0"/>
    <w:rsid w:val="002419A2"/>
    <w:rsid w:val="002429AF"/>
    <w:rsid w:val="00243183"/>
    <w:rsid w:val="00243522"/>
    <w:rsid w:val="002437A8"/>
    <w:rsid w:val="00243C0F"/>
    <w:rsid w:val="00243C6A"/>
    <w:rsid w:val="00243CE7"/>
    <w:rsid w:val="0024502D"/>
    <w:rsid w:val="00245A35"/>
    <w:rsid w:val="00245F2F"/>
    <w:rsid w:val="00246415"/>
    <w:rsid w:val="00247A08"/>
    <w:rsid w:val="00247A73"/>
    <w:rsid w:val="00250346"/>
    <w:rsid w:val="00250389"/>
    <w:rsid w:val="00250D60"/>
    <w:rsid w:val="00251250"/>
    <w:rsid w:val="00252023"/>
    <w:rsid w:val="002530D0"/>
    <w:rsid w:val="00253341"/>
    <w:rsid w:val="00253AFD"/>
    <w:rsid w:val="00253C73"/>
    <w:rsid w:val="00254462"/>
    <w:rsid w:val="002550C8"/>
    <w:rsid w:val="00256575"/>
    <w:rsid w:val="00256852"/>
    <w:rsid w:val="00256EA1"/>
    <w:rsid w:val="00256F5A"/>
    <w:rsid w:val="00257035"/>
    <w:rsid w:val="002577A0"/>
    <w:rsid w:val="00260C13"/>
    <w:rsid w:val="00262A02"/>
    <w:rsid w:val="00262D1F"/>
    <w:rsid w:val="00263574"/>
    <w:rsid w:val="002637A1"/>
    <w:rsid w:val="00263AB8"/>
    <w:rsid w:val="00263D08"/>
    <w:rsid w:val="002644F6"/>
    <w:rsid w:val="00265FAD"/>
    <w:rsid w:val="0026653F"/>
    <w:rsid w:val="0026685D"/>
    <w:rsid w:val="002676A3"/>
    <w:rsid w:val="00267906"/>
    <w:rsid w:val="00267AB6"/>
    <w:rsid w:val="00267B31"/>
    <w:rsid w:val="00267E88"/>
    <w:rsid w:val="00270BEC"/>
    <w:rsid w:val="00270E22"/>
    <w:rsid w:val="00270F04"/>
    <w:rsid w:val="00270FFA"/>
    <w:rsid w:val="00271094"/>
    <w:rsid w:val="002712F6"/>
    <w:rsid w:val="00272124"/>
    <w:rsid w:val="002726CF"/>
    <w:rsid w:val="00273DDE"/>
    <w:rsid w:val="00274C61"/>
    <w:rsid w:val="00274C77"/>
    <w:rsid w:val="00275AD1"/>
    <w:rsid w:val="00275C13"/>
    <w:rsid w:val="002762F9"/>
    <w:rsid w:val="0027640C"/>
    <w:rsid w:val="00276D81"/>
    <w:rsid w:val="002777D6"/>
    <w:rsid w:val="00277C35"/>
    <w:rsid w:val="00280E59"/>
    <w:rsid w:val="00281A92"/>
    <w:rsid w:val="0028327B"/>
    <w:rsid w:val="00283514"/>
    <w:rsid w:val="0028467A"/>
    <w:rsid w:val="00284C73"/>
    <w:rsid w:val="00284D9A"/>
    <w:rsid w:val="00284EB6"/>
    <w:rsid w:val="00285126"/>
    <w:rsid w:val="0028591B"/>
    <w:rsid w:val="00285CDA"/>
    <w:rsid w:val="00286216"/>
    <w:rsid w:val="00287219"/>
    <w:rsid w:val="002879CF"/>
    <w:rsid w:val="002879DF"/>
    <w:rsid w:val="0029063A"/>
    <w:rsid w:val="002915D7"/>
    <w:rsid w:val="00292776"/>
    <w:rsid w:val="00292B19"/>
    <w:rsid w:val="00294DA3"/>
    <w:rsid w:val="00295286"/>
    <w:rsid w:val="0029571B"/>
    <w:rsid w:val="002962E7"/>
    <w:rsid w:val="002963AE"/>
    <w:rsid w:val="00296F80"/>
    <w:rsid w:val="00297B5B"/>
    <w:rsid w:val="002A2061"/>
    <w:rsid w:val="002A263A"/>
    <w:rsid w:val="002A2E51"/>
    <w:rsid w:val="002A4949"/>
    <w:rsid w:val="002A4C28"/>
    <w:rsid w:val="002A6294"/>
    <w:rsid w:val="002A663D"/>
    <w:rsid w:val="002A6E41"/>
    <w:rsid w:val="002AD9D1"/>
    <w:rsid w:val="002B0322"/>
    <w:rsid w:val="002B033A"/>
    <w:rsid w:val="002B077E"/>
    <w:rsid w:val="002B088B"/>
    <w:rsid w:val="002B0BBD"/>
    <w:rsid w:val="002B1CB9"/>
    <w:rsid w:val="002B334F"/>
    <w:rsid w:val="002B50C5"/>
    <w:rsid w:val="002B50E9"/>
    <w:rsid w:val="002B5599"/>
    <w:rsid w:val="002B594A"/>
    <w:rsid w:val="002B61B9"/>
    <w:rsid w:val="002B712D"/>
    <w:rsid w:val="002B7159"/>
    <w:rsid w:val="002B7AC8"/>
    <w:rsid w:val="002C05FD"/>
    <w:rsid w:val="002C0E56"/>
    <w:rsid w:val="002C1E52"/>
    <w:rsid w:val="002C1EE9"/>
    <w:rsid w:val="002C26C5"/>
    <w:rsid w:val="002C2846"/>
    <w:rsid w:val="002C2875"/>
    <w:rsid w:val="002C33FF"/>
    <w:rsid w:val="002C38A7"/>
    <w:rsid w:val="002C398F"/>
    <w:rsid w:val="002C3BA8"/>
    <w:rsid w:val="002C3C0C"/>
    <w:rsid w:val="002C477E"/>
    <w:rsid w:val="002C5002"/>
    <w:rsid w:val="002C5534"/>
    <w:rsid w:val="002C5694"/>
    <w:rsid w:val="002C58DC"/>
    <w:rsid w:val="002C5BCB"/>
    <w:rsid w:val="002C616D"/>
    <w:rsid w:val="002C67B6"/>
    <w:rsid w:val="002C77AC"/>
    <w:rsid w:val="002C789B"/>
    <w:rsid w:val="002D01F6"/>
    <w:rsid w:val="002D05B3"/>
    <w:rsid w:val="002D12A1"/>
    <w:rsid w:val="002D1771"/>
    <w:rsid w:val="002D1DDA"/>
    <w:rsid w:val="002D1F1D"/>
    <w:rsid w:val="002D238C"/>
    <w:rsid w:val="002D289B"/>
    <w:rsid w:val="002D2F8C"/>
    <w:rsid w:val="002D3AF0"/>
    <w:rsid w:val="002D3B62"/>
    <w:rsid w:val="002D572C"/>
    <w:rsid w:val="002D5C6E"/>
    <w:rsid w:val="002D62AA"/>
    <w:rsid w:val="002D6492"/>
    <w:rsid w:val="002D6C54"/>
    <w:rsid w:val="002D71AB"/>
    <w:rsid w:val="002E0D55"/>
    <w:rsid w:val="002E11F2"/>
    <w:rsid w:val="002E343B"/>
    <w:rsid w:val="002E3612"/>
    <w:rsid w:val="002E39C7"/>
    <w:rsid w:val="002E3AEC"/>
    <w:rsid w:val="002E4C4E"/>
    <w:rsid w:val="002E7566"/>
    <w:rsid w:val="002E77D0"/>
    <w:rsid w:val="002E79F0"/>
    <w:rsid w:val="002E7D4F"/>
    <w:rsid w:val="002F0107"/>
    <w:rsid w:val="002F01E6"/>
    <w:rsid w:val="002F0822"/>
    <w:rsid w:val="002F09F6"/>
    <w:rsid w:val="002F15B7"/>
    <w:rsid w:val="002F1C13"/>
    <w:rsid w:val="002F2F21"/>
    <w:rsid w:val="002F34B2"/>
    <w:rsid w:val="002F42F8"/>
    <w:rsid w:val="002F4D9C"/>
    <w:rsid w:val="002F4E49"/>
    <w:rsid w:val="002F524E"/>
    <w:rsid w:val="002F5489"/>
    <w:rsid w:val="002F5587"/>
    <w:rsid w:val="002F5BA3"/>
    <w:rsid w:val="002F5D89"/>
    <w:rsid w:val="002F5FB9"/>
    <w:rsid w:val="002F6C78"/>
    <w:rsid w:val="002F6F3A"/>
    <w:rsid w:val="002F7581"/>
    <w:rsid w:val="002F7CF6"/>
    <w:rsid w:val="00300687"/>
    <w:rsid w:val="00300ED4"/>
    <w:rsid w:val="003015FF"/>
    <w:rsid w:val="00301741"/>
    <w:rsid w:val="00302291"/>
    <w:rsid w:val="00302EC8"/>
    <w:rsid w:val="003031BD"/>
    <w:rsid w:val="0030382C"/>
    <w:rsid w:val="00303FDE"/>
    <w:rsid w:val="00304023"/>
    <w:rsid w:val="00304580"/>
    <w:rsid w:val="00304647"/>
    <w:rsid w:val="00304DE3"/>
    <w:rsid w:val="00304F58"/>
    <w:rsid w:val="00305208"/>
    <w:rsid w:val="00305CB9"/>
    <w:rsid w:val="00305E75"/>
    <w:rsid w:val="003065D8"/>
    <w:rsid w:val="00306E83"/>
    <w:rsid w:val="0030754B"/>
    <w:rsid w:val="00307D30"/>
    <w:rsid w:val="00310613"/>
    <w:rsid w:val="0031185F"/>
    <w:rsid w:val="00312BE8"/>
    <w:rsid w:val="00312FCE"/>
    <w:rsid w:val="00313463"/>
    <w:rsid w:val="0031557B"/>
    <w:rsid w:val="00315F6A"/>
    <w:rsid w:val="00316026"/>
    <w:rsid w:val="003162DC"/>
    <w:rsid w:val="0031696E"/>
    <w:rsid w:val="0031710D"/>
    <w:rsid w:val="003176D5"/>
    <w:rsid w:val="0032134D"/>
    <w:rsid w:val="00322BE2"/>
    <w:rsid w:val="00323F89"/>
    <w:rsid w:val="0032454F"/>
    <w:rsid w:val="003247AF"/>
    <w:rsid w:val="00324EC7"/>
    <w:rsid w:val="0032680A"/>
    <w:rsid w:val="00326840"/>
    <w:rsid w:val="00326FEF"/>
    <w:rsid w:val="0032722B"/>
    <w:rsid w:val="00327CCD"/>
    <w:rsid w:val="00330D16"/>
    <w:rsid w:val="0033314F"/>
    <w:rsid w:val="00333751"/>
    <w:rsid w:val="00333DC0"/>
    <w:rsid w:val="003343D8"/>
    <w:rsid w:val="003347B7"/>
    <w:rsid w:val="0033483B"/>
    <w:rsid w:val="00334B01"/>
    <w:rsid w:val="00335CBE"/>
    <w:rsid w:val="00335E77"/>
    <w:rsid w:val="00336827"/>
    <w:rsid w:val="00336DD5"/>
    <w:rsid w:val="00337D59"/>
    <w:rsid w:val="0034298D"/>
    <w:rsid w:val="003433F0"/>
    <w:rsid w:val="003446DC"/>
    <w:rsid w:val="00346B52"/>
    <w:rsid w:val="00347033"/>
    <w:rsid w:val="003474D1"/>
    <w:rsid w:val="00350792"/>
    <w:rsid w:val="00350B0B"/>
    <w:rsid w:val="0035135A"/>
    <w:rsid w:val="003519CB"/>
    <w:rsid w:val="00351B65"/>
    <w:rsid w:val="00351DAA"/>
    <w:rsid w:val="003539D5"/>
    <w:rsid w:val="003558F5"/>
    <w:rsid w:val="003559FB"/>
    <w:rsid w:val="00356AAE"/>
    <w:rsid w:val="00356FEE"/>
    <w:rsid w:val="00357009"/>
    <w:rsid w:val="003574EA"/>
    <w:rsid w:val="0035796D"/>
    <w:rsid w:val="0036064B"/>
    <w:rsid w:val="00360734"/>
    <w:rsid w:val="0036098F"/>
    <w:rsid w:val="00360C33"/>
    <w:rsid w:val="00361205"/>
    <w:rsid w:val="00362DD5"/>
    <w:rsid w:val="003634CA"/>
    <w:rsid w:val="003641E4"/>
    <w:rsid w:val="003663F6"/>
    <w:rsid w:val="003668D7"/>
    <w:rsid w:val="00366E91"/>
    <w:rsid w:val="003677D6"/>
    <w:rsid w:val="00367F0E"/>
    <w:rsid w:val="00371083"/>
    <w:rsid w:val="003715BF"/>
    <w:rsid w:val="00372533"/>
    <w:rsid w:val="00372568"/>
    <w:rsid w:val="00373926"/>
    <w:rsid w:val="00374F91"/>
    <w:rsid w:val="00375987"/>
    <w:rsid w:val="00375FAA"/>
    <w:rsid w:val="00376E8D"/>
    <w:rsid w:val="00376F94"/>
    <w:rsid w:val="003827DA"/>
    <w:rsid w:val="00382B70"/>
    <w:rsid w:val="003837A3"/>
    <w:rsid w:val="00385419"/>
    <w:rsid w:val="00385E06"/>
    <w:rsid w:val="00385E97"/>
    <w:rsid w:val="00387044"/>
    <w:rsid w:val="00387163"/>
    <w:rsid w:val="0038718D"/>
    <w:rsid w:val="00387C32"/>
    <w:rsid w:val="00387EB5"/>
    <w:rsid w:val="0039028A"/>
    <w:rsid w:val="003916F7"/>
    <w:rsid w:val="003922D3"/>
    <w:rsid w:val="0039502F"/>
    <w:rsid w:val="0039553B"/>
    <w:rsid w:val="00395C45"/>
    <w:rsid w:val="00396B80"/>
    <w:rsid w:val="00396D54"/>
    <w:rsid w:val="003977D6"/>
    <w:rsid w:val="003A002A"/>
    <w:rsid w:val="003A073F"/>
    <w:rsid w:val="003A1471"/>
    <w:rsid w:val="003A1D87"/>
    <w:rsid w:val="003A22E7"/>
    <w:rsid w:val="003A2480"/>
    <w:rsid w:val="003A325C"/>
    <w:rsid w:val="003A35F9"/>
    <w:rsid w:val="003A445B"/>
    <w:rsid w:val="003A6E37"/>
    <w:rsid w:val="003B0666"/>
    <w:rsid w:val="003B0ED7"/>
    <w:rsid w:val="003B1BA1"/>
    <w:rsid w:val="003B1EB0"/>
    <w:rsid w:val="003B24F4"/>
    <w:rsid w:val="003B3095"/>
    <w:rsid w:val="003B37B0"/>
    <w:rsid w:val="003B3DC1"/>
    <w:rsid w:val="003B3F32"/>
    <w:rsid w:val="003B4160"/>
    <w:rsid w:val="003B4637"/>
    <w:rsid w:val="003B6381"/>
    <w:rsid w:val="003B64D7"/>
    <w:rsid w:val="003B7546"/>
    <w:rsid w:val="003B75AC"/>
    <w:rsid w:val="003B7C4D"/>
    <w:rsid w:val="003C0E20"/>
    <w:rsid w:val="003C1A12"/>
    <w:rsid w:val="003C1A65"/>
    <w:rsid w:val="003C2A65"/>
    <w:rsid w:val="003C2B8B"/>
    <w:rsid w:val="003C34AF"/>
    <w:rsid w:val="003C3BC4"/>
    <w:rsid w:val="003C4B5E"/>
    <w:rsid w:val="003C4FD0"/>
    <w:rsid w:val="003C5292"/>
    <w:rsid w:val="003C5603"/>
    <w:rsid w:val="003C5902"/>
    <w:rsid w:val="003C5E94"/>
    <w:rsid w:val="003C6728"/>
    <w:rsid w:val="003C6987"/>
    <w:rsid w:val="003C77F1"/>
    <w:rsid w:val="003C7B3B"/>
    <w:rsid w:val="003D03C6"/>
    <w:rsid w:val="003D0C5A"/>
    <w:rsid w:val="003D1EF0"/>
    <w:rsid w:val="003D2B94"/>
    <w:rsid w:val="003D316F"/>
    <w:rsid w:val="003D3E0D"/>
    <w:rsid w:val="003D43CE"/>
    <w:rsid w:val="003D4B41"/>
    <w:rsid w:val="003D4B61"/>
    <w:rsid w:val="003D5A0A"/>
    <w:rsid w:val="003D5F90"/>
    <w:rsid w:val="003D6503"/>
    <w:rsid w:val="003D6F9E"/>
    <w:rsid w:val="003D7CA0"/>
    <w:rsid w:val="003E00CF"/>
    <w:rsid w:val="003E0463"/>
    <w:rsid w:val="003E0EF4"/>
    <w:rsid w:val="003E0F83"/>
    <w:rsid w:val="003E1090"/>
    <w:rsid w:val="003E1B78"/>
    <w:rsid w:val="003E1D74"/>
    <w:rsid w:val="003E24FC"/>
    <w:rsid w:val="003E3ABF"/>
    <w:rsid w:val="003E41EC"/>
    <w:rsid w:val="003E4514"/>
    <w:rsid w:val="003E6D2F"/>
    <w:rsid w:val="003E7027"/>
    <w:rsid w:val="003E71E9"/>
    <w:rsid w:val="003E7C98"/>
    <w:rsid w:val="003F1661"/>
    <w:rsid w:val="003F1EA6"/>
    <w:rsid w:val="003F2C1E"/>
    <w:rsid w:val="003F341C"/>
    <w:rsid w:val="003F45F2"/>
    <w:rsid w:val="003F59CE"/>
    <w:rsid w:val="003F761A"/>
    <w:rsid w:val="0040010F"/>
    <w:rsid w:val="004007B8"/>
    <w:rsid w:val="00400991"/>
    <w:rsid w:val="004012F3"/>
    <w:rsid w:val="0040275E"/>
    <w:rsid w:val="00403410"/>
    <w:rsid w:val="00403BDD"/>
    <w:rsid w:val="00403D50"/>
    <w:rsid w:val="0040528A"/>
    <w:rsid w:val="00405684"/>
    <w:rsid w:val="00405829"/>
    <w:rsid w:val="00405863"/>
    <w:rsid w:val="0040680C"/>
    <w:rsid w:val="00406AAA"/>
    <w:rsid w:val="004072E4"/>
    <w:rsid w:val="004076CE"/>
    <w:rsid w:val="00411650"/>
    <w:rsid w:val="004118B6"/>
    <w:rsid w:val="00411B0F"/>
    <w:rsid w:val="00412178"/>
    <w:rsid w:val="004129DE"/>
    <w:rsid w:val="00412EA4"/>
    <w:rsid w:val="00413709"/>
    <w:rsid w:val="00413A6B"/>
    <w:rsid w:val="00413D79"/>
    <w:rsid w:val="00414A84"/>
    <w:rsid w:val="00415942"/>
    <w:rsid w:val="00415C36"/>
    <w:rsid w:val="004162A2"/>
    <w:rsid w:val="00417B6A"/>
    <w:rsid w:val="00420FFF"/>
    <w:rsid w:val="0042148F"/>
    <w:rsid w:val="004219DF"/>
    <w:rsid w:val="00422203"/>
    <w:rsid w:val="0042223C"/>
    <w:rsid w:val="00422293"/>
    <w:rsid w:val="00422700"/>
    <w:rsid w:val="0042299A"/>
    <w:rsid w:val="00423CD2"/>
    <w:rsid w:val="00424F01"/>
    <w:rsid w:val="004258CD"/>
    <w:rsid w:val="00425934"/>
    <w:rsid w:val="00425BEB"/>
    <w:rsid w:val="00425F9A"/>
    <w:rsid w:val="00426B37"/>
    <w:rsid w:val="00426BB3"/>
    <w:rsid w:val="00427637"/>
    <w:rsid w:val="00427D99"/>
    <w:rsid w:val="004305AD"/>
    <w:rsid w:val="00430738"/>
    <w:rsid w:val="00432513"/>
    <w:rsid w:val="00432EC0"/>
    <w:rsid w:val="004330E5"/>
    <w:rsid w:val="004336D2"/>
    <w:rsid w:val="00433EF4"/>
    <w:rsid w:val="00434001"/>
    <w:rsid w:val="00434021"/>
    <w:rsid w:val="00434227"/>
    <w:rsid w:val="00434FD5"/>
    <w:rsid w:val="00437362"/>
    <w:rsid w:val="004374F7"/>
    <w:rsid w:val="00437B7D"/>
    <w:rsid w:val="00437F2A"/>
    <w:rsid w:val="0044038E"/>
    <w:rsid w:val="00441B65"/>
    <w:rsid w:val="00441C07"/>
    <w:rsid w:val="00441E0C"/>
    <w:rsid w:val="0044225E"/>
    <w:rsid w:val="00444195"/>
    <w:rsid w:val="00445D06"/>
    <w:rsid w:val="004469A3"/>
    <w:rsid w:val="00447271"/>
    <w:rsid w:val="00447A3A"/>
    <w:rsid w:val="00450148"/>
    <w:rsid w:val="00450B05"/>
    <w:rsid w:val="00451E4C"/>
    <w:rsid w:val="00452C21"/>
    <w:rsid w:val="00452C37"/>
    <w:rsid w:val="00452C54"/>
    <w:rsid w:val="00453199"/>
    <w:rsid w:val="00453912"/>
    <w:rsid w:val="0045405A"/>
    <w:rsid w:val="004548EF"/>
    <w:rsid w:val="0045490A"/>
    <w:rsid w:val="0045596B"/>
    <w:rsid w:val="004559E2"/>
    <w:rsid w:val="004562D8"/>
    <w:rsid w:val="004562EA"/>
    <w:rsid w:val="00456315"/>
    <w:rsid w:val="0045637D"/>
    <w:rsid w:val="00457B92"/>
    <w:rsid w:val="00457CED"/>
    <w:rsid w:val="00460E90"/>
    <w:rsid w:val="00460FAB"/>
    <w:rsid w:val="00461A6A"/>
    <w:rsid w:val="00461BA2"/>
    <w:rsid w:val="00462099"/>
    <w:rsid w:val="00462ACC"/>
    <w:rsid w:val="004631C1"/>
    <w:rsid w:val="004632B7"/>
    <w:rsid w:val="00463522"/>
    <w:rsid w:val="00464893"/>
    <w:rsid w:val="00466E21"/>
    <w:rsid w:val="00467B21"/>
    <w:rsid w:val="00467DAF"/>
    <w:rsid w:val="00467DD5"/>
    <w:rsid w:val="00471F24"/>
    <w:rsid w:val="00471F28"/>
    <w:rsid w:val="004736FC"/>
    <w:rsid w:val="00474194"/>
    <w:rsid w:val="00475453"/>
    <w:rsid w:val="00475461"/>
    <w:rsid w:val="00475962"/>
    <w:rsid w:val="00476566"/>
    <w:rsid w:val="004765C8"/>
    <w:rsid w:val="00476B0E"/>
    <w:rsid w:val="00480057"/>
    <w:rsid w:val="00480447"/>
    <w:rsid w:val="0048159E"/>
    <w:rsid w:val="00481AAF"/>
    <w:rsid w:val="00483529"/>
    <w:rsid w:val="00483671"/>
    <w:rsid w:val="004838BF"/>
    <w:rsid w:val="00483A78"/>
    <w:rsid w:val="0048437E"/>
    <w:rsid w:val="004844F0"/>
    <w:rsid w:val="00487248"/>
    <w:rsid w:val="00487C7C"/>
    <w:rsid w:val="0049068B"/>
    <w:rsid w:val="004906B5"/>
    <w:rsid w:val="00491316"/>
    <w:rsid w:val="004919DE"/>
    <w:rsid w:val="004920BD"/>
    <w:rsid w:val="004927D6"/>
    <w:rsid w:val="00492DA3"/>
    <w:rsid w:val="00492FFD"/>
    <w:rsid w:val="00493B06"/>
    <w:rsid w:val="00493F88"/>
    <w:rsid w:val="004940A6"/>
    <w:rsid w:val="00494753"/>
    <w:rsid w:val="00494E09"/>
    <w:rsid w:val="00496D10"/>
    <w:rsid w:val="00496DCB"/>
    <w:rsid w:val="00497158"/>
    <w:rsid w:val="004A0187"/>
    <w:rsid w:val="004A02EA"/>
    <w:rsid w:val="004A0ABE"/>
    <w:rsid w:val="004A10D8"/>
    <w:rsid w:val="004A1784"/>
    <w:rsid w:val="004A27FC"/>
    <w:rsid w:val="004A282E"/>
    <w:rsid w:val="004A2DDA"/>
    <w:rsid w:val="004A3D97"/>
    <w:rsid w:val="004A43FE"/>
    <w:rsid w:val="004A474E"/>
    <w:rsid w:val="004A48FF"/>
    <w:rsid w:val="004A4C60"/>
    <w:rsid w:val="004A5063"/>
    <w:rsid w:val="004A5814"/>
    <w:rsid w:val="004A5832"/>
    <w:rsid w:val="004A5EBD"/>
    <w:rsid w:val="004A5FC2"/>
    <w:rsid w:val="004A62AE"/>
    <w:rsid w:val="004A66C4"/>
    <w:rsid w:val="004A724F"/>
    <w:rsid w:val="004A79EE"/>
    <w:rsid w:val="004B0C31"/>
    <w:rsid w:val="004B1031"/>
    <w:rsid w:val="004B2287"/>
    <w:rsid w:val="004B2F48"/>
    <w:rsid w:val="004B327F"/>
    <w:rsid w:val="004B4A5E"/>
    <w:rsid w:val="004B5480"/>
    <w:rsid w:val="004B6362"/>
    <w:rsid w:val="004B700A"/>
    <w:rsid w:val="004B7285"/>
    <w:rsid w:val="004B75E3"/>
    <w:rsid w:val="004B7ABD"/>
    <w:rsid w:val="004C0693"/>
    <w:rsid w:val="004C0AF7"/>
    <w:rsid w:val="004C12A6"/>
    <w:rsid w:val="004C1738"/>
    <w:rsid w:val="004C18E8"/>
    <w:rsid w:val="004C196E"/>
    <w:rsid w:val="004C1DD5"/>
    <w:rsid w:val="004C33E2"/>
    <w:rsid w:val="004C3548"/>
    <w:rsid w:val="004C396A"/>
    <w:rsid w:val="004C3B76"/>
    <w:rsid w:val="004C3C7A"/>
    <w:rsid w:val="004C4D63"/>
    <w:rsid w:val="004C515E"/>
    <w:rsid w:val="004C56C4"/>
    <w:rsid w:val="004C60BF"/>
    <w:rsid w:val="004C7D42"/>
    <w:rsid w:val="004D0890"/>
    <w:rsid w:val="004D0F53"/>
    <w:rsid w:val="004D1129"/>
    <w:rsid w:val="004D1553"/>
    <w:rsid w:val="004D1C49"/>
    <w:rsid w:val="004D1EEA"/>
    <w:rsid w:val="004D21A9"/>
    <w:rsid w:val="004D2A85"/>
    <w:rsid w:val="004D3AFA"/>
    <w:rsid w:val="004D3BDC"/>
    <w:rsid w:val="004D3EE0"/>
    <w:rsid w:val="004D404F"/>
    <w:rsid w:val="004D40C1"/>
    <w:rsid w:val="004D5280"/>
    <w:rsid w:val="004D52ED"/>
    <w:rsid w:val="004D5492"/>
    <w:rsid w:val="004D5A31"/>
    <w:rsid w:val="004D5AB3"/>
    <w:rsid w:val="004D5C91"/>
    <w:rsid w:val="004D6924"/>
    <w:rsid w:val="004D7267"/>
    <w:rsid w:val="004D7803"/>
    <w:rsid w:val="004D78E8"/>
    <w:rsid w:val="004D7FAB"/>
    <w:rsid w:val="004E02AD"/>
    <w:rsid w:val="004E04D5"/>
    <w:rsid w:val="004E0D8F"/>
    <w:rsid w:val="004E2231"/>
    <w:rsid w:val="004E2FAE"/>
    <w:rsid w:val="004E3A8C"/>
    <w:rsid w:val="004E4143"/>
    <w:rsid w:val="004E5CD7"/>
    <w:rsid w:val="004E60E4"/>
    <w:rsid w:val="004E6810"/>
    <w:rsid w:val="004E6840"/>
    <w:rsid w:val="004E6B53"/>
    <w:rsid w:val="004E7410"/>
    <w:rsid w:val="004E7485"/>
    <w:rsid w:val="004F16B4"/>
    <w:rsid w:val="004F2012"/>
    <w:rsid w:val="004F252B"/>
    <w:rsid w:val="004F3F23"/>
    <w:rsid w:val="004F4A81"/>
    <w:rsid w:val="004F4B87"/>
    <w:rsid w:val="004F4D59"/>
    <w:rsid w:val="004F581E"/>
    <w:rsid w:val="004F5A3A"/>
    <w:rsid w:val="004F5BF1"/>
    <w:rsid w:val="004F6740"/>
    <w:rsid w:val="004F725A"/>
    <w:rsid w:val="004F79D9"/>
    <w:rsid w:val="0050050A"/>
    <w:rsid w:val="0050098A"/>
    <w:rsid w:val="00500BF1"/>
    <w:rsid w:val="00501099"/>
    <w:rsid w:val="00501193"/>
    <w:rsid w:val="00501650"/>
    <w:rsid w:val="00501BD7"/>
    <w:rsid w:val="005023BE"/>
    <w:rsid w:val="00503DC1"/>
    <w:rsid w:val="005047E5"/>
    <w:rsid w:val="00504C9C"/>
    <w:rsid w:val="00504D9C"/>
    <w:rsid w:val="00505528"/>
    <w:rsid w:val="00506D5E"/>
    <w:rsid w:val="00507501"/>
    <w:rsid w:val="00507FA6"/>
    <w:rsid w:val="0051233E"/>
    <w:rsid w:val="00512B59"/>
    <w:rsid w:val="00512CC3"/>
    <w:rsid w:val="0051313E"/>
    <w:rsid w:val="00514403"/>
    <w:rsid w:val="005151D4"/>
    <w:rsid w:val="00515F43"/>
    <w:rsid w:val="00516D22"/>
    <w:rsid w:val="00517B4E"/>
    <w:rsid w:val="00520039"/>
    <w:rsid w:val="00520A39"/>
    <w:rsid w:val="00522DA6"/>
    <w:rsid w:val="00523727"/>
    <w:rsid w:val="00523E82"/>
    <w:rsid w:val="0052486F"/>
    <w:rsid w:val="00525ABC"/>
    <w:rsid w:val="00525F1A"/>
    <w:rsid w:val="00525FC7"/>
    <w:rsid w:val="0052768B"/>
    <w:rsid w:val="00527FCD"/>
    <w:rsid w:val="00531278"/>
    <w:rsid w:val="00531570"/>
    <w:rsid w:val="0053305D"/>
    <w:rsid w:val="00533F1B"/>
    <w:rsid w:val="005347A2"/>
    <w:rsid w:val="00534B1D"/>
    <w:rsid w:val="00534DA4"/>
    <w:rsid w:val="00535D74"/>
    <w:rsid w:val="00536A31"/>
    <w:rsid w:val="00536B2A"/>
    <w:rsid w:val="00536C0B"/>
    <w:rsid w:val="00536D05"/>
    <w:rsid w:val="005375C1"/>
    <w:rsid w:val="00537721"/>
    <w:rsid w:val="00537B77"/>
    <w:rsid w:val="00540CF9"/>
    <w:rsid w:val="00541795"/>
    <w:rsid w:val="00542E16"/>
    <w:rsid w:val="00542F3B"/>
    <w:rsid w:val="00543EC1"/>
    <w:rsid w:val="005440C0"/>
    <w:rsid w:val="0054502F"/>
    <w:rsid w:val="00545A4F"/>
    <w:rsid w:val="00545A61"/>
    <w:rsid w:val="00547D1A"/>
    <w:rsid w:val="00550366"/>
    <w:rsid w:val="0055062C"/>
    <w:rsid w:val="00550DE4"/>
    <w:rsid w:val="005511BE"/>
    <w:rsid w:val="0055129D"/>
    <w:rsid w:val="00551DF7"/>
    <w:rsid w:val="00552AD3"/>
    <w:rsid w:val="005536BA"/>
    <w:rsid w:val="00553898"/>
    <w:rsid w:val="005548FE"/>
    <w:rsid w:val="005564E0"/>
    <w:rsid w:val="00556E8D"/>
    <w:rsid w:val="00560290"/>
    <w:rsid w:val="00560443"/>
    <w:rsid w:val="0056069D"/>
    <w:rsid w:val="00560892"/>
    <w:rsid w:val="00560F5F"/>
    <w:rsid w:val="0056144E"/>
    <w:rsid w:val="0056179E"/>
    <w:rsid w:val="00561A8F"/>
    <w:rsid w:val="00561E54"/>
    <w:rsid w:val="005621B4"/>
    <w:rsid w:val="0056237B"/>
    <w:rsid w:val="00563863"/>
    <w:rsid w:val="00564325"/>
    <w:rsid w:val="00565C0F"/>
    <w:rsid w:val="0056641D"/>
    <w:rsid w:val="005702F4"/>
    <w:rsid w:val="0057147E"/>
    <w:rsid w:val="00571E17"/>
    <w:rsid w:val="005724E1"/>
    <w:rsid w:val="00572C38"/>
    <w:rsid w:val="00573A6D"/>
    <w:rsid w:val="0057629A"/>
    <w:rsid w:val="00576A79"/>
    <w:rsid w:val="00576F8C"/>
    <w:rsid w:val="00577517"/>
    <w:rsid w:val="00577F3F"/>
    <w:rsid w:val="00580595"/>
    <w:rsid w:val="0058095E"/>
    <w:rsid w:val="00581D64"/>
    <w:rsid w:val="00581F2C"/>
    <w:rsid w:val="00582250"/>
    <w:rsid w:val="00582B17"/>
    <w:rsid w:val="005839AD"/>
    <w:rsid w:val="0058409C"/>
    <w:rsid w:val="005847A0"/>
    <w:rsid w:val="005858AD"/>
    <w:rsid w:val="00585B4C"/>
    <w:rsid w:val="00585EE8"/>
    <w:rsid w:val="005873AE"/>
    <w:rsid w:val="0059038F"/>
    <w:rsid w:val="005903A2"/>
    <w:rsid w:val="00590C3F"/>
    <w:rsid w:val="00591AC7"/>
    <w:rsid w:val="005927D9"/>
    <w:rsid w:val="00592DD6"/>
    <w:rsid w:val="00593A7A"/>
    <w:rsid w:val="005946CC"/>
    <w:rsid w:val="00594EA9"/>
    <w:rsid w:val="00595AEA"/>
    <w:rsid w:val="00595BAC"/>
    <w:rsid w:val="00595BDC"/>
    <w:rsid w:val="0059604E"/>
    <w:rsid w:val="0059672A"/>
    <w:rsid w:val="00596995"/>
    <w:rsid w:val="005A01A2"/>
    <w:rsid w:val="005A0B65"/>
    <w:rsid w:val="005A0E0B"/>
    <w:rsid w:val="005A12D7"/>
    <w:rsid w:val="005A2E15"/>
    <w:rsid w:val="005A4066"/>
    <w:rsid w:val="005A4213"/>
    <w:rsid w:val="005A47FA"/>
    <w:rsid w:val="005A4897"/>
    <w:rsid w:val="005A48DB"/>
    <w:rsid w:val="005A4FA1"/>
    <w:rsid w:val="005A5561"/>
    <w:rsid w:val="005A5A18"/>
    <w:rsid w:val="005A677E"/>
    <w:rsid w:val="005A6F4B"/>
    <w:rsid w:val="005A713B"/>
    <w:rsid w:val="005A7C9D"/>
    <w:rsid w:val="005A7DB6"/>
    <w:rsid w:val="005B035B"/>
    <w:rsid w:val="005B0F49"/>
    <w:rsid w:val="005B233B"/>
    <w:rsid w:val="005B24FD"/>
    <w:rsid w:val="005B2A0D"/>
    <w:rsid w:val="005B368C"/>
    <w:rsid w:val="005B3C97"/>
    <w:rsid w:val="005B522B"/>
    <w:rsid w:val="005B5B4E"/>
    <w:rsid w:val="005B6AFA"/>
    <w:rsid w:val="005B771F"/>
    <w:rsid w:val="005C0211"/>
    <w:rsid w:val="005C0EAC"/>
    <w:rsid w:val="005C14E9"/>
    <w:rsid w:val="005C1859"/>
    <w:rsid w:val="005C18FA"/>
    <w:rsid w:val="005C25DF"/>
    <w:rsid w:val="005C3A74"/>
    <w:rsid w:val="005C5A07"/>
    <w:rsid w:val="005C64B8"/>
    <w:rsid w:val="005C65E3"/>
    <w:rsid w:val="005C693C"/>
    <w:rsid w:val="005C6BB7"/>
    <w:rsid w:val="005C6BC8"/>
    <w:rsid w:val="005C6F15"/>
    <w:rsid w:val="005C798F"/>
    <w:rsid w:val="005C7D46"/>
    <w:rsid w:val="005D00DF"/>
    <w:rsid w:val="005D0A12"/>
    <w:rsid w:val="005D0FB8"/>
    <w:rsid w:val="005D16F9"/>
    <w:rsid w:val="005D176A"/>
    <w:rsid w:val="005D1A80"/>
    <w:rsid w:val="005D343F"/>
    <w:rsid w:val="005D3FF3"/>
    <w:rsid w:val="005D4434"/>
    <w:rsid w:val="005D54C2"/>
    <w:rsid w:val="005D55C7"/>
    <w:rsid w:val="005D6787"/>
    <w:rsid w:val="005E0BEE"/>
    <w:rsid w:val="005E1ADE"/>
    <w:rsid w:val="005E1F04"/>
    <w:rsid w:val="005E3A06"/>
    <w:rsid w:val="005E3B53"/>
    <w:rsid w:val="005E3C5A"/>
    <w:rsid w:val="005E3DCC"/>
    <w:rsid w:val="005E4887"/>
    <w:rsid w:val="005E498E"/>
    <w:rsid w:val="005E55B8"/>
    <w:rsid w:val="005E5639"/>
    <w:rsid w:val="005F010A"/>
    <w:rsid w:val="005F0116"/>
    <w:rsid w:val="005F02B7"/>
    <w:rsid w:val="005F0494"/>
    <w:rsid w:val="005F0C26"/>
    <w:rsid w:val="005F1473"/>
    <w:rsid w:val="005F163B"/>
    <w:rsid w:val="005F3282"/>
    <w:rsid w:val="005F4DA5"/>
    <w:rsid w:val="005F4FBB"/>
    <w:rsid w:val="005F5475"/>
    <w:rsid w:val="005F5912"/>
    <w:rsid w:val="005F5E04"/>
    <w:rsid w:val="005F64F2"/>
    <w:rsid w:val="005F676E"/>
    <w:rsid w:val="00600684"/>
    <w:rsid w:val="00600E85"/>
    <w:rsid w:val="0060128A"/>
    <w:rsid w:val="00601CE8"/>
    <w:rsid w:val="00601E6C"/>
    <w:rsid w:val="006029F8"/>
    <w:rsid w:val="006030EA"/>
    <w:rsid w:val="00603552"/>
    <w:rsid w:val="00603838"/>
    <w:rsid w:val="00603B32"/>
    <w:rsid w:val="00603E50"/>
    <w:rsid w:val="006044E4"/>
    <w:rsid w:val="00604D5C"/>
    <w:rsid w:val="006053B8"/>
    <w:rsid w:val="0060640E"/>
    <w:rsid w:val="006073E6"/>
    <w:rsid w:val="006107D8"/>
    <w:rsid w:val="00610E5B"/>
    <w:rsid w:val="00611CCC"/>
    <w:rsid w:val="006139DF"/>
    <w:rsid w:val="00613B42"/>
    <w:rsid w:val="0061443C"/>
    <w:rsid w:val="0061475E"/>
    <w:rsid w:val="00615FA2"/>
    <w:rsid w:val="00616244"/>
    <w:rsid w:val="00616C22"/>
    <w:rsid w:val="0062074D"/>
    <w:rsid w:val="00621423"/>
    <w:rsid w:val="0062163C"/>
    <w:rsid w:val="00622CDF"/>
    <w:rsid w:val="00622FCD"/>
    <w:rsid w:val="006230DA"/>
    <w:rsid w:val="006232D5"/>
    <w:rsid w:val="00623786"/>
    <w:rsid w:val="00625692"/>
    <w:rsid w:val="00627DA8"/>
    <w:rsid w:val="00630CD3"/>
    <w:rsid w:val="00632E92"/>
    <w:rsid w:val="0063414F"/>
    <w:rsid w:val="00635672"/>
    <w:rsid w:val="006358B1"/>
    <w:rsid w:val="00635A4E"/>
    <w:rsid w:val="00635F17"/>
    <w:rsid w:val="00635FB0"/>
    <w:rsid w:val="006360CB"/>
    <w:rsid w:val="0063615E"/>
    <w:rsid w:val="00636267"/>
    <w:rsid w:val="00636ACA"/>
    <w:rsid w:val="00637FCD"/>
    <w:rsid w:val="006400A8"/>
    <w:rsid w:val="00640B27"/>
    <w:rsid w:val="00640B5A"/>
    <w:rsid w:val="00640EFD"/>
    <w:rsid w:val="006426BD"/>
    <w:rsid w:val="00642EEA"/>
    <w:rsid w:val="0064333A"/>
    <w:rsid w:val="00643812"/>
    <w:rsid w:val="00643865"/>
    <w:rsid w:val="0064491C"/>
    <w:rsid w:val="00644C1F"/>
    <w:rsid w:val="00644D88"/>
    <w:rsid w:val="00645320"/>
    <w:rsid w:val="006466CD"/>
    <w:rsid w:val="00647C35"/>
    <w:rsid w:val="00650AA5"/>
    <w:rsid w:val="00650B2A"/>
    <w:rsid w:val="00650DDA"/>
    <w:rsid w:val="00651010"/>
    <w:rsid w:val="0065132F"/>
    <w:rsid w:val="00652854"/>
    <w:rsid w:val="00652BDC"/>
    <w:rsid w:val="00652DB3"/>
    <w:rsid w:val="00653486"/>
    <w:rsid w:val="00653F2E"/>
    <w:rsid w:val="006547B2"/>
    <w:rsid w:val="00654905"/>
    <w:rsid w:val="00655072"/>
    <w:rsid w:val="006552FA"/>
    <w:rsid w:val="00655323"/>
    <w:rsid w:val="00655FBF"/>
    <w:rsid w:val="006605A8"/>
    <w:rsid w:val="006606E6"/>
    <w:rsid w:val="00660CDD"/>
    <w:rsid w:val="006622D1"/>
    <w:rsid w:val="00662D5A"/>
    <w:rsid w:val="00663B1E"/>
    <w:rsid w:val="00663F80"/>
    <w:rsid w:val="00664635"/>
    <w:rsid w:val="00664667"/>
    <w:rsid w:val="0066505B"/>
    <w:rsid w:val="0066546C"/>
    <w:rsid w:val="00665F70"/>
    <w:rsid w:val="00666392"/>
    <w:rsid w:val="006666E4"/>
    <w:rsid w:val="00670255"/>
    <w:rsid w:val="006702F3"/>
    <w:rsid w:val="006708AE"/>
    <w:rsid w:val="00670DD8"/>
    <w:rsid w:val="006711E2"/>
    <w:rsid w:val="00673C19"/>
    <w:rsid w:val="00673EC1"/>
    <w:rsid w:val="0067400C"/>
    <w:rsid w:val="0067530D"/>
    <w:rsid w:val="00675397"/>
    <w:rsid w:val="0067703D"/>
    <w:rsid w:val="0067705D"/>
    <w:rsid w:val="006771EB"/>
    <w:rsid w:val="00677246"/>
    <w:rsid w:val="006776C1"/>
    <w:rsid w:val="00677DFA"/>
    <w:rsid w:val="00681009"/>
    <w:rsid w:val="00681335"/>
    <w:rsid w:val="00681382"/>
    <w:rsid w:val="00681A3F"/>
    <w:rsid w:val="00682D6E"/>
    <w:rsid w:val="006830C3"/>
    <w:rsid w:val="00683777"/>
    <w:rsid w:val="006859EC"/>
    <w:rsid w:val="00685B8A"/>
    <w:rsid w:val="00686C58"/>
    <w:rsid w:val="00686E5F"/>
    <w:rsid w:val="00687542"/>
    <w:rsid w:val="0069182A"/>
    <w:rsid w:val="0069311C"/>
    <w:rsid w:val="00694A0F"/>
    <w:rsid w:val="00696087"/>
    <w:rsid w:val="00696769"/>
    <w:rsid w:val="0069680D"/>
    <w:rsid w:val="00697324"/>
    <w:rsid w:val="0069762F"/>
    <w:rsid w:val="00697DC2"/>
    <w:rsid w:val="00697F99"/>
    <w:rsid w:val="006A052F"/>
    <w:rsid w:val="006A0A03"/>
    <w:rsid w:val="006A14BD"/>
    <w:rsid w:val="006A14E8"/>
    <w:rsid w:val="006A1710"/>
    <w:rsid w:val="006A2469"/>
    <w:rsid w:val="006A248A"/>
    <w:rsid w:val="006A4E46"/>
    <w:rsid w:val="006A5C12"/>
    <w:rsid w:val="006A5D32"/>
    <w:rsid w:val="006A629A"/>
    <w:rsid w:val="006A6541"/>
    <w:rsid w:val="006A73B6"/>
    <w:rsid w:val="006A79B6"/>
    <w:rsid w:val="006A7C7B"/>
    <w:rsid w:val="006A7D97"/>
    <w:rsid w:val="006B0135"/>
    <w:rsid w:val="006B0D58"/>
    <w:rsid w:val="006B0F30"/>
    <w:rsid w:val="006B1084"/>
    <w:rsid w:val="006B1536"/>
    <w:rsid w:val="006B2411"/>
    <w:rsid w:val="006B2784"/>
    <w:rsid w:val="006B2CB2"/>
    <w:rsid w:val="006B31A4"/>
    <w:rsid w:val="006B3335"/>
    <w:rsid w:val="006B4048"/>
    <w:rsid w:val="006B4322"/>
    <w:rsid w:val="006B58B2"/>
    <w:rsid w:val="006B640E"/>
    <w:rsid w:val="006B6F96"/>
    <w:rsid w:val="006B726C"/>
    <w:rsid w:val="006C0A24"/>
    <w:rsid w:val="006C0E94"/>
    <w:rsid w:val="006C1080"/>
    <w:rsid w:val="006C13BF"/>
    <w:rsid w:val="006C1441"/>
    <w:rsid w:val="006C1F77"/>
    <w:rsid w:val="006C2B4A"/>
    <w:rsid w:val="006C3758"/>
    <w:rsid w:val="006C430E"/>
    <w:rsid w:val="006C4C77"/>
    <w:rsid w:val="006C5112"/>
    <w:rsid w:val="006C52B5"/>
    <w:rsid w:val="006C5CD4"/>
    <w:rsid w:val="006C60B6"/>
    <w:rsid w:val="006C6280"/>
    <w:rsid w:val="006C6440"/>
    <w:rsid w:val="006C6A13"/>
    <w:rsid w:val="006D1855"/>
    <w:rsid w:val="006D1ED0"/>
    <w:rsid w:val="006D28AB"/>
    <w:rsid w:val="006D411D"/>
    <w:rsid w:val="006D490A"/>
    <w:rsid w:val="006D58E9"/>
    <w:rsid w:val="006D623C"/>
    <w:rsid w:val="006D6651"/>
    <w:rsid w:val="006D6A38"/>
    <w:rsid w:val="006D6DA7"/>
    <w:rsid w:val="006D6E03"/>
    <w:rsid w:val="006D755F"/>
    <w:rsid w:val="006D7FE1"/>
    <w:rsid w:val="006E0141"/>
    <w:rsid w:val="006E0751"/>
    <w:rsid w:val="006E0E63"/>
    <w:rsid w:val="006E15BB"/>
    <w:rsid w:val="006E2014"/>
    <w:rsid w:val="006E243B"/>
    <w:rsid w:val="006E53DE"/>
    <w:rsid w:val="006E57CE"/>
    <w:rsid w:val="006E5C22"/>
    <w:rsid w:val="006E5F94"/>
    <w:rsid w:val="006E6108"/>
    <w:rsid w:val="006F20BF"/>
    <w:rsid w:val="006F2527"/>
    <w:rsid w:val="006F2A43"/>
    <w:rsid w:val="006F2EAF"/>
    <w:rsid w:val="006F3303"/>
    <w:rsid w:val="006F3454"/>
    <w:rsid w:val="006F3B87"/>
    <w:rsid w:val="006F3BC6"/>
    <w:rsid w:val="006F3F2B"/>
    <w:rsid w:val="006F3FBF"/>
    <w:rsid w:val="006F4274"/>
    <w:rsid w:val="006F4D4B"/>
    <w:rsid w:val="006F58E9"/>
    <w:rsid w:val="006F5D22"/>
    <w:rsid w:val="006F5D34"/>
    <w:rsid w:val="006F77FC"/>
    <w:rsid w:val="007001C1"/>
    <w:rsid w:val="00700330"/>
    <w:rsid w:val="007016C5"/>
    <w:rsid w:val="00701FF0"/>
    <w:rsid w:val="007023F5"/>
    <w:rsid w:val="00702A32"/>
    <w:rsid w:val="00702BE3"/>
    <w:rsid w:val="00702C87"/>
    <w:rsid w:val="00702D7B"/>
    <w:rsid w:val="00702EFC"/>
    <w:rsid w:val="00702FAC"/>
    <w:rsid w:val="007031D5"/>
    <w:rsid w:val="007033E6"/>
    <w:rsid w:val="00703725"/>
    <w:rsid w:val="00704258"/>
    <w:rsid w:val="007047FB"/>
    <w:rsid w:val="00704C4F"/>
    <w:rsid w:val="00705150"/>
    <w:rsid w:val="0070655B"/>
    <w:rsid w:val="0070750F"/>
    <w:rsid w:val="00707D56"/>
    <w:rsid w:val="0071022B"/>
    <w:rsid w:val="007104FF"/>
    <w:rsid w:val="007106A0"/>
    <w:rsid w:val="00711327"/>
    <w:rsid w:val="00711350"/>
    <w:rsid w:val="00711389"/>
    <w:rsid w:val="00712F1D"/>
    <w:rsid w:val="00712FAA"/>
    <w:rsid w:val="00713351"/>
    <w:rsid w:val="007142D0"/>
    <w:rsid w:val="00714685"/>
    <w:rsid w:val="00714689"/>
    <w:rsid w:val="007158C3"/>
    <w:rsid w:val="0071626D"/>
    <w:rsid w:val="00716727"/>
    <w:rsid w:val="0071685E"/>
    <w:rsid w:val="00717703"/>
    <w:rsid w:val="00721AFA"/>
    <w:rsid w:val="0072201E"/>
    <w:rsid w:val="00723632"/>
    <w:rsid w:val="00723A8A"/>
    <w:rsid w:val="00723E05"/>
    <w:rsid w:val="00723F67"/>
    <w:rsid w:val="007241DC"/>
    <w:rsid w:val="00724A2D"/>
    <w:rsid w:val="00724AD7"/>
    <w:rsid w:val="00724B41"/>
    <w:rsid w:val="00724C80"/>
    <w:rsid w:val="0072501D"/>
    <w:rsid w:val="00725177"/>
    <w:rsid w:val="007258B3"/>
    <w:rsid w:val="00725DA9"/>
    <w:rsid w:val="00726F5D"/>
    <w:rsid w:val="007277EF"/>
    <w:rsid w:val="007300FE"/>
    <w:rsid w:val="007308E5"/>
    <w:rsid w:val="00730B4C"/>
    <w:rsid w:val="00730DEF"/>
    <w:rsid w:val="007315EA"/>
    <w:rsid w:val="007336BF"/>
    <w:rsid w:val="00734283"/>
    <w:rsid w:val="0073468F"/>
    <w:rsid w:val="00735634"/>
    <w:rsid w:val="00736068"/>
    <w:rsid w:val="007368BD"/>
    <w:rsid w:val="00736B7C"/>
    <w:rsid w:val="00737B12"/>
    <w:rsid w:val="00737FFB"/>
    <w:rsid w:val="00740D83"/>
    <w:rsid w:val="007410FF"/>
    <w:rsid w:val="00741740"/>
    <w:rsid w:val="00741829"/>
    <w:rsid w:val="00741B06"/>
    <w:rsid w:val="00742DD2"/>
    <w:rsid w:val="007430CA"/>
    <w:rsid w:val="00743B5A"/>
    <w:rsid w:val="0074407D"/>
    <w:rsid w:val="00744482"/>
    <w:rsid w:val="00746870"/>
    <w:rsid w:val="00746FE8"/>
    <w:rsid w:val="00747A78"/>
    <w:rsid w:val="00750EC3"/>
    <w:rsid w:val="00751442"/>
    <w:rsid w:val="0075148A"/>
    <w:rsid w:val="007515BA"/>
    <w:rsid w:val="00751B99"/>
    <w:rsid w:val="00752298"/>
    <w:rsid w:val="00752606"/>
    <w:rsid w:val="00752752"/>
    <w:rsid w:val="00753198"/>
    <w:rsid w:val="007534CF"/>
    <w:rsid w:val="0075512A"/>
    <w:rsid w:val="007553C1"/>
    <w:rsid w:val="00755721"/>
    <w:rsid w:val="00755DA9"/>
    <w:rsid w:val="007563C2"/>
    <w:rsid w:val="00760D2A"/>
    <w:rsid w:val="0076135A"/>
    <w:rsid w:val="00761F9E"/>
    <w:rsid w:val="007620B5"/>
    <w:rsid w:val="0076262E"/>
    <w:rsid w:val="00762695"/>
    <w:rsid w:val="00762FEA"/>
    <w:rsid w:val="007633E7"/>
    <w:rsid w:val="00763AB4"/>
    <w:rsid w:val="00763D74"/>
    <w:rsid w:val="007641D2"/>
    <w:rsid w:val="007648CC"/>
    <w:rsid w:val="007654B8"/>
    <w:rsid w:val="007676DB"/>
    <w:rsid w:val="007679B8"/>
    <w:rsid w:val="00770651"/>
    <w:rsid w:val="00771CAC"/>
    <w:rsid w:val="00772272"/>
    <w:rsid w:val="0077390D"/>
    <w:rsid w:val="007742DD"/>
    <w:rsid w:val="00774F63"/>
    <w:rsid w:val="007754AF"/>
    <w:rsid w:val="00775B0A"/>
    <w:rsid w:val="00775CDE"/>
    <w:rsid w:val="00775DC2"/>
    <w:rsid w:val="00776080"/>
    <w:rsid w:val="007760FD"/>
    <w:rsid w:val="007765C7"/>
    <w:rsid w:val="00776DA7"/>
    <w:rsid w:val="00776F7C"/>
    <w:rsid w:val="007802BC"/>
    <w:rsid w:val="00780524"/>
    <w:rsid w:val="00780D1A"/>
    <w:rsid w:val="00780F97"/>
    <w:rsid w:val="007811AE"/>
    <w:rsid w:val="00781282"/>
    <w:rsid w:val="0078175B"/>
    <w:rsid w:val="00781FE4"/>
    <w:rsid w:val="0078284E"/>
    <w:rsid w:val="00783879"/>
    <w:rsid w:val="00784184"/>
    <w:rsid w:val="00785800"/>
    <w:rsid w:val="0078586B"/>
    <w:rsid w:val="00785B20"/>
    <w:rsid w:val="00785F01"/>
    <w:rsid w:val="007873F2"/>
    <w:rsid w:val="0078777D"/>
    <w:rsid w:val="00787844"/>
    <w:rsid w:val="00787B44"/>
    <w:rsid w:val="00787CAC"/>
    <w:rsid w:val="007902FE"/>
    <w:rsid w:val="00790349"/>
    <w:rsid w:val="00790478"/>
    <w:rsid w:val="00790769"/>
    <w:rsid w:val="00791190"/>
    <w:rsid w:val="00791C91"/>
    <w:rsid w:val="00793CA8"/>
    <w:rsid w:val="00794047"/>
    <w:rsid w:val="007941DE"/>
    <w:rsid w:val="007942B9"/>
    <w:rsid w:val="00794D96"/>
    <w:rsid w:val="007950EB"/>
    <w:rsid w:val="007952DA"/>
    <w:rsid w:val="007969A6"/>
    <w:rsid w:val="007974E1"/>
    <w:rsid w:val="007975AF"/>
    <w:rsid w:val="00797E34"/>
    <w:rsid w:val="007A0D06"/>
    <w:rsid w:val="007A0EDB"/>
    <w:rsid w:val="007A1257"/>
    <w:rsid w:val="007A1501"/>
    <w:rsid w:val="007A2748"/>
    <w:rsid w:val="007A36D4"/>
    <w:rsid w:val="007A3F40"/>
    <w:rsid w:val="007A4012"/>
    <w:rsid w:val="007A4D74"/>
    <w:rsid w:val="007A5125"/>
    <w:rsid w:val="007A5884"/>
    <w:rsid w:val="007A5DA5"/>
    <w:rsid w:val="007A65DB"/>
    <w:rsid w:val="007A697E"/>
    <w:rsid w:val="007A7124"/>
    <w:rsid w:val="007A7D20"/>
    <w:rsid w:val="007B0144"/>
    <w:rsid w:val="007B0227"/>
    <w:rsid w:val="007B07D4"/>
    <w:rsid w:val="007B0A2E"/>
    <w:rsid w:val="007B0F36"/>
    <w:rsid w:val="007B1280"/>
    <w:rsid w:val="007B1BC3"/>
    <w:rsid w:val="007B29F0"/>
    <w:rsid w:val="007B3B5A"/>
    <w:rsid w:val="007B4541"/>
    <w:rsid w:val="007B4974"/>
    <w:rsid w:val="007B4A13"/>
    <w:rsid w:val="007B576D"/>
    <w:rsid w:val="007B60E3"/>
    <w:rsid w:val="007B6141"/>
    <w:rsid w:val="007B678D"/>
    <w:rsid w:val="007B678F"/>
    <w:rsid w:val="007B77FC"/>
    <w:rsid w:val="007C005F"/>
    <w:rsid w:val="007C158E"/>
    <w:rsid w:val="007C25AE"/>
    <w:rsid w:val="007C41C2"/>
    <w:rsid w:val="007C540C"/>
    <w:rsid w:val="007C580E"/>
    <w:rsid w:val="007C6443"/>
    <w:rsid w:val="007C67B7"/>
    <w:rsid w:val="007C6FD2"/>
    <w:rsid w:val="007C723D"/>
    <w:rsid w:val="007C7496"/>
    <w:rsid w:val="007C7730"/>
    <w:rsid w:val="007D1024"/>
    <w:rsid w:val="007D1BEF"/>
    <w:rsid w:val="007D1D22"/>
    <w:rsid w:val="007D214F"/>
    <w:rsid w:val="007D362C"/>
    <w:rsid w:val="007D44DD"/>
    <w:rsid w:val="007D5180"/>
    <w:rsid w:val="007D5EEB"/>
    <w:rsid w:val="007D67E9"/>
    <w:rsid w:val="007D6968"/>
    <w:rsid w:val="007D7E22"/>
    <w:rsid w:val="007E1843"/>
    <w:rsid w:val="007E1B20"/>
    <w:rsid w:val="007E1E6B"/>
    <w:rsid w:val="007E239C"/>
    <w:rsid w:val="007E279D"/>
    <w:rsid w:val="007E4260"/>
    <w:rsid w:val="007E42AD"/>
    <w:rsid w:val="007E4329"/>
    <w:rsid w:val="007E4C3F"/>
    <w:rsid w:val="007E4F1E"/>
    <w:rsid w:val="007E5697"/>
    <w:rsid w:val="007E5D52"/>
    <w:rsid w:val="007E67FE"/>
    <w:rsid w:val="007E6B65"/>
    <w:rsid w:val="007E759C"/>
    <w:rsid w:val="007E762D"/>
    <w:rsid w:val="007E78FF"/>
    <w:rsid w:val="007E7A2B"/>
    <w:rsid w:val="007E7BAC"/>
    <w:rsid w:val="007F064B"/>
    <w:rsid w:val="007F0D18"/>
    <w:rsid w:val="007F0DA7"/>
    <w:rsid w:val="007F0DAB"/>
    <w:rsid w:val="007F108E"/>
    <w:rsid w:val="007F11B0"/>
    <w:rsid w:val="007F28CB"/>
    <w:rsid w:val="007F327E"/>
    <w:rsid w:val="007F4326"/>
    <w:rsid w:val="007F4E78"/>
    <w:rsid w:val="007F5402"/>
    <w:rsid w:val="007F5C8B"/>
    <w:rsid w:val="007F7309"/>
    <w:rsid w:val="00800103"/>
    <w:rsid w:val="008004D4"/>
    <w:rsid w:val="008005AE"/>
    <w:rsid w:val="00800B87"/>
    <w:rsid w:val="00800BB2"/>
    <w:rsid w:val="00801B32"/>
    <w:rsid w:val="008025F6"/>
    <w:rsid w:val="008026E7"/>
    <w:rsid w:val="00802A47"/>
    <w:rsid w:val="00803117"/>
    <w:rsid w:val="00803D6B"/>
    <w:rsid w:val="008048C2"/>
    <w:rsid w:val="008049F7"/>
    <w:rsid w:val="00805009"/>
    <w:rsid w:val="008050F2"/>
    <w:rsid w:val="008054DC"/>
    <w:rsid w:val="00805B61"/>
    <w:rsid w:val="00806E91"/>
    <w:rsid w:val="00807C93"/>
    <w:rsid w:val="00807CD6"/>
    <w:rsid w:val="00807E56"/>
    <w:rsid w:val="00811D2D"/>
    <w:rsid w:val="008123A8"/>
    <w:rsid w:val="00813075"/>
    <w:rsid w:val="00815087"/>
    <w:rsid w:val="008152AF"/>
    <w:rsid w:val="00815DFC"/>
    <w:rsid w:val="008165D9"/>
    <w:rsid w:val="008175B6"/>
    <w:rsid w:val="00817B27"/>
    <w:rsid w:val="0082010A"/>
    <w:rsid w:val="0082121D"/>
    <w:rsid w:val="008219F2"/>
    <w:rsid w:val="00821CDF"/>
    <w:rsid w:val="00821F02"/>
    <w:rsid w:val="00822D45"/>
    <w:rsid w:val="00822F14"/>
    <w:rsid w:val="00823479"/>
    <w:rsid w:val="008246CA"/>
    <w:rsid w:val="00825307"/>
    <w:rsid w:val="008253DA"/>
    <w:rsid w:val="00825430"/>
    <w:rsid w:val="00826763"/>
    <w:rsid w:val="0082697F"/>
    <w:rsid w:val="00827664"/>
    <w:rsid w:val="00827D6C"/>
    <w:rsid w:val="00827E6C"/>
    <w:rsid w:val="00830F9A"/>
    <w:rsid w:val="00831773"/>
    <w:rsid w:val="00832851"/>
    <w:rsid w:val="00832D7E"/>
    <w:rsid w:val="00833100"/>
    <w:rsid w:val="00833D25"/>
    <w:rsid w:val="00834D21"/>
    <w:rsid w:val="00834D8E"/>
    <w:rsid w:val="008356F7"/>
    <w:rsid w:val="008356FD"/>
    <w:rsid w:val="00835835"/>
    <w:rsid w:val="008358DB"/>
    <w:rsid w:val="00836598"/>
    <w:rsid w:val="0083661C"/>
    <w:rsid w:val="008371E7"/>
    <w:rsid w:val="00837883"/>
    <w:rsid w:val="00840CC1"/>
    <w:rsid w:val="00840DC4"/>
    <w:rsid w:val="00840E84"/>
    <w:rsid w:val="008416DA"/>
    <w:rsid w:val="00841A17"/>
    <w:rsid w:val="008428E0"/>
    <w:rsid w:val="00842F8C"/>
    <w:rsid w:val="00844F45"/>
    <w:rsid w:val="00844FB8"/>
    <w:rsid w:val="00845E6A"/>
    <w:rsid w:val="00846042"/>
    <w:rsid w:val="00846049"/>
    <w:rsid w:val="008465C0"/>
    <w:rsid w:val="00846C1A"/>
    <w:rsid w:val="00847019"/>
    <w:rsid w:val="00847A04"/>
    <w:rsid w:val="00850033"/>
    <w:rsid w:val="0085054A"/>
    <w:rsid w:val="008519ED"/>
    <w:rsid w:val="00851FB3"/>
    <w:rsid w:val="008526B1"/>
    <w:rsid w:val="00853058"/>
    <w:rsid w:val="008531C4"/>
    <w:rsid w:val="0085360E"/>
    <w:rsid w:val="00854D47"/>
    <w:rsid w:val="0085560F"/>
    <w:rsid w:val="00855841"/>
    <w:rsid w:val="008563BB"/>
    <w:rsid w:val="00856569"/>
    <w:rsid w:val="00856D51"/>
    <w:rsid w:val="00857175"/>
    <w:rsid w:val="00857795"/>
    <w:rsid w:val="00857A26"/>
    <w:rsid w:val="00857D3E"/>
    <w:rsid w:val="008607D6"/>
    <w:rsid w:val="008610F2"/>
    <w:rsid w:val="00861B0A"/>
    <w:rsid w:val="0086257D"/>
    <w:rsid w:val="008626FB"/>
    <w:rsid w:val="00862A4B"/>
    <w:rsid w:val="0086320D"/>
    <w:rsid w:val="00863A68"/>
    <w:rsid w:val="0086489D"/>
    <w:rsid w:val="00865092"/>
    <w:rsid w:val="008652C3"/>
    <w:rsid w:val="00865C58"/>
    <w:rsid w:val="00866BA8"/>
    <w:rsid w:val="00867682"/>
    <w:rsid w:val="00867903"/>
    <w:rsid w:val="00867A52"/>
    <w:rsid w:val="00867BFC"/>
    <w:rsid w:val="008705C8"/>
    <w:rsid w:val="0087123A"/>
    <w:rsid w:val="00871E7C"/>
    <w:rsid w:val="0087212C"/>
    <w:rsid w:val="00872273"/>
    <w:rsid w:val="0087300F"/>
    <w:rsid w:val="00873249"/>
    <w:rsid w:val="00873E18"/>
    <w:rsid w:val="008744C6"/>
    <w:rsid w:val="00874B99"/>
    <w:rsid w:val="00875BA0"/>
    <w:rsid w:val="00875DCF"/>
    <w:rsid w:val="00876105"/>
    <w:rsid w:val="00877014"/>
    <w:rsid w:val="008779AA"/>
    <w:rsid w:val="00880095"/>
    <w:rsid w:val="0088015C"/>
    <w:rsid w:val="00880A00"/>
    <w:rsid w:val="00880F31"/>
    <w:rsid w:val="0088114C"/>
    <w:rsid w:val="00881857"/>
    <w:rsid w:val="0088248E"/>
    <w:rsid w:val="00882717"/>
    <w:rsid w:val="008843AF"/>
    <w:rsid w:val="00884F34"/>
    <w:rsid w:val="0088583E"/>
    <w:rsid w:val="008868FB"/>
    <w:rsid w:val="00886B9F"/>
    <w:rsid w:val="00887F7C"/>
    <w:rsid w:val="00890710"/>
    <w:rsid w:val="0089085A"/>
    <w:rsid w:val="00890966"/>
    <w:rsid w:val="00890B3C"/>
    <w:rsid w:val="00890B9F"/>
    <w:rsid w:val="008917A5"/>
    <w:rsid w:val="008938A3"/>
    <w:rsid w:val="008942BD"/>
    <w:rsid w:val="008942DE"/>
    <w:rsid w:val="00894327"/>
    <w:rsid w:val="008949D2"/>
    <w:rsid w:val="00894A94"/>
    <w:rsid w:val="00894DE6"/>
    <w:rsid w:val="008951E0"/>
    <w:rsid w:val="00895AFC"/>
    <w:rsid w:val="00895D7A"/>
    <w:rsid w:val="00896123"/>
    <w:rsid w:val="00896B47"/>
    <w:rsid w:val="00896BBB"/>
    <w:rsid w:val="00896C65"/>
    <w:rsid w:val="00896C93"/>
    <w:rsid w:val="00897163"/>
    <w:rsid w:val="00897829"/>
    <w:rsid w:val="008A0520"/>
    <w:rsid w:val="008A09EA"/>
    <w:rsid w:val="008A0E2C"/>
    <w:rsid w:val="008A11F9"/>
    <w:rsid w:val="008A15EA"/>
    <w:rsid w:val="008A257B"/>
    <w:rsid w:val="008A2FC7"/>
    <w:rsid w:val="008A3389"/>
    <w:rsid w:val="008A3C8B"/>
    <w:rsid w:val="008A4E75"/>
    <w:rsid w:val="008A54FB"/>
    <w:rsid w:val="008A6323"/>
    <w:rsid w:val="008A6906"/>
    <w:rsid w:val="008A6FE0"/>
    <w:rsid w:val="008B02FA"/>
    <w:rsid w:val="008B10AB"/>
    <w:rsid w:val="008B2A2D"/>
    <w:rsid w:val="008B2B89"/>
    <w:rsid w:val="008B35B3"/>
    <w:rsid w:val="008B3A6A"/>
    <w:rsid w:val="008B3CB3"/>
    <w:rsid w:val="008B43B6"/>
    <w:rsid w:val="008B480A"/>
    <w:rsid w:val="008B5622"/>
    <w:rsid w:val="008B6219"/>
    <w:rsid w:val="008B6905"/>
    <w:rsid w:val="008C0528"/>
    <w:rsid w:val="008C0C09"/>
    <w:rsid w:val="008C1336"/>
    <w:rsid w:val="008C171D"/>
    <w:rsid w:val="008C17E1"/>
    <w:rsid w:val="008C191D"/>
    <w:rsid w:val="008C1C91"/>
    <w:rsid w:val="008C2219"/>
    <w:rsid w:val="008C3E53"/>
    <w:rsid w:val="008C460A"/>
    <w:rsid w:val="008C4CB3"/>
    <w:rsid w:val="008C6B25"/>
    <w:rsid w:val="008C7FFC"/>
    <w:rsid w:val="008D01A4"/>
    <w:rsid w:val="008D0421"/>
    <w:rsid w:val="008D1128"/>
    <w:rsid w:val="008D11DF"/>
    <w:rsid w:val="008D1326"/>
    <w:rsid w:val="008D1653"/>
    <w:rsid w:val="008D1E8B"/>
    <w:rsid w:val="008D25AC"/>
    <w:rsid w:val="008D2648"/>
    <w:rsid w:val="008D2F47"/>
    <w:rsid w:val="008D323C"/>
    <w:rsid w:val="008D3340"/>
    <w:rsid w:val="008D4080"/>
    <w:rsid w:val="008D4434"/>
    <w:rsid w:val="008D558F"/>
    <w:rsid w:val="008D5DBF"/>
    <w:rsid w:val="008D6C3C"/>
    <w:rsid w:val="008D6FCF"/>
    <w:rsid w:val="008D6FD0"/>
    <w:rsid w:val="008D7633"/>
    <w:rsid w:val="008D7DAE"/>
    <w:rsid w:val="008E0561"/>
    <w:rsid w:val="008E0C4B"/>
    <w:rsid w:val="008E1709"/>
    <w:rsid w:val="008E1AE7"/>
    <w:rsid w:val="008E1B70"/>
    <w:rsid w:val="008E1B80"/>
    <w:rsid w:val="008E2598"/>
    <w:rsid w:val="008E48DE"/>
    <w:rsid w:val="008E4ED6"/>
    <w:rsid w:val="008E55A8"/>
    <w:rsid w:val="008E6929"/>
    <w:rsid w:val="008E6EC8"/>
    <w:rsid w:val="008E7E82"/>
    <w:rsid w:val="008E7E8B"/>
    <w:rsid w:val="008F01EF"/>
    <w:rsid w:val="008F0C34"/>
    <w:rsid w:val="008F0D08"/>
    <w:rsid w:val="008F117A"/>
    <w:rsid w:val="008F20A8"/>
    <w:rsid w:val="008F2186"/>
    <w:rsid w:val="008F3135"/>
    <w:rsid w:val="008F35BB"/>
    <w:rsid w:val="008F3A12"/>
    <w:rsid w:val="008F4E61"/>
    <w:rsid w:val="008F5F06"/>
    <w:rsid w:val="008F601F"/>
    <w:rsid w:val="008F6C1D"/>
    <w:rsid w:val="008F7931"/>
    <w:rsid w:val="008F7965"/>
    <w:rsid w:val="008F7ABA"/>
    <w:rsid w:val="008F7CB3"/>
    <w:rsid w:val="0090022D"/>
    <w:rsid w:val="009007A9"/>
    <w:rsid w:val="00900A52"/>
    <w:rsid w:val="00902030"/>
    <w:rsid w:val="009024D7"/>
    <w:rsid w:val="00902A0E"/>
    <w:rsid w:val="00905312"/>
    <w:rsid w:val="009055C1"/>
    <w:rsid w:val="009055E3"/>
    <w:rsid w:val="0090599E"/>
    <w:rsid w:val="00905FD8"/>
    <w:rsid w:val="0090606F"/>
    <w:rsid w:val="00906A58"/>
    <w:rsid w:val="00906D8B"/>
    <w:rsid w:val="00910B52"/>
    <w:rsid w:val="00910D61"/>
    <w:rsid w:val="009111A8"/>
    <w:rsid w:val="009112F7"/>
    <w:rsid w:val="009123E1"/>
    <w:rsid w:val="00912A3F"/>
    <w:rsid w:val="00913A86"/>
    <w:rsid w:val="009144A9"/>
    <w:rsid w:val="0091458C"/>
    <w:rsid w:val="00914C66"/>
    <w:rsid w:val="00915BAE"/>
    <w:rsid w:val="009161B4"/>
    <w:rsid w:val="00917722"/>
    <w:rsid w:val="00917C5F"/>
    <w:rsid w:val="00917C65"/>
    <w:rsid w:val="00920217"/>
    <w:rsid w:val="0092082A"/>
    <w:rsid w:val="00920A03"/>
    <w:rsid w:val="00921387"/>
    <w:rsid w:val="009216BE"/>
    <w:rsid w:val="009216E3"/>
    <w:rsid w:val="00922EA3"/>
    <w:rsid w:val="00923186"/>
    <w:rsid w:val="00923188"/>
    <w:rsid w:val="009241A0"/>
    <w:rsid w:val="00924C6A"/>
    <w:rsid w:val="00924FE0"/>
    <w:rsid w:val="00925135"/>
    <w:rsid w:val="00925245"/>
    <w:rsid w:val="00925CCC"/>
    <w:rsid w:val="00926352"/>
    <w:rsid w:val="00927532"/>
    <w:rsid w:val="00927E91"/>
    <w:rsid w:val="0093024E"/>
    <w:rsid w:val="00930C19"/>
    <w:rsid w:val="00931023"/>
    <w:rsid w:val="00931546"/>
    <w:rsid w:val="00931FA8"/>
    <w:rsid w:val="009320A7"/>
    <w:rsid w:val="009322A3"/>
    <w:rsid w:val="009330F7"/>
    <w:rsid w:val="00933654"/>
    <w:rsid w:val="00934336"/>
    <w:rsid w:val="00934DFF"/>
    <w:rsid w:val="0093509E"/>
    <w:rsid w:val="00935DAB"/>
    <w:rsid w:val="00936EF6"/>
    <w:rsid w:val="00937AA4"/>
    <w:rsid w:val="0094062F"/>
    <w:rsid w:val="00940F0A"/>
    <w:rsid w:val="00941266"/>
    <w:rsid w:val="009416FB"/>
    <w:rsid w:val="009423A1"/>
    <w:rsid w:val="009429B6"/>
    <w:rsid w:val="00942C10"/>
    <w:rsid w:val="00943658"/>
    <w:rsid w:val="00943E49"/>
    <w:rsid w:val="00944073"/>
    <w:rsid w:val="00945602"/>
    <w:rsid w:val="00945951"/>
    <w:rsid w:val="009461C1"/>
    <w:rsid w:val="00946BA0"/>
    <w:rsid w:val="00947D0F"/>
    <w:rsid w:val="00950D82"/>
    <w:rsid w:val="0095122F"/>
    <w:rsid w:val="0095123E"/>
    <w:rsid w:val="00951CFD"/>
    <w:rsid w:val="00953513"/>
    <w:rsid w:val="009536F8"/>
    <w:rsid w:val="009537DC"/>
    <w:rsid w:val="009538CC"/>
    <w:rsid w:val="00954B13"/>
    <w:rsid w:val="00954E31"/>
    <w:rsid w:val="00955E1E"/>
    <w:rsid w:val="00955E97"/>
    <w:rsid w:val="0095652C"/>
    <w:rsid w:val="009569BD"/>
    <w:rsid w:val="00956B71"/>
    <w:rsid w:val="00956BA6"/>
    <w:rsid w:val="00956C28"/>
    <w:rsid w:val="00957DF0"/>
    <w:rsid w:val="00960DB3"/>
    <w:rsid w:val="00961392"/>
    <w:rsid w:val="009613BB"/>
    <w:rsid w:val="00961C0C"/>
    <w:rsid w:val="00962B26"/>
    <w:rsid w:val="00962D7A"/>
    <w:rsid w:val="0096355B"/>
    <w:rsid w:val="00963D15"/>
    <w:rsid w:val="00963F74"/>
    <w:rsid w:val="00964014"/>
    <w:rsid w:val="0096403D"/>
    <w:rsid w:val="0096461C"/>
    <w:rsid w:val="009648E4"/>
    <w:rsid w:val="009653A8"/>
    <w:rsid w:val="00965CDC"/>
    <w:rsid w:val="00965D85"/>
    <w:rsid w:val="00966680"/>
    <w:rsid w:val="00966B65"/>
    <w:rsid w:val="00967469"/>
    <w:rsid w:val="00967DE3"/>
    <w:rsid w:val="009705DC"/>
    <w:rsid w:val="0097210E"/>
    <w:rsid w:val="00972A06"/>
    <w:rsid w:val="00973D6F"/>
    <w:rsid w:val="00974834"/>
    <w:rsid w:val="009748E4"/>
    <w:rsid w:val="009750F1"/>
    <w:rsid w:val="0097528C"/>
    <w:rsid w:val="009754F5"/>
    <w:rsid w:val="00975A18"/>
    <w:rsid w:val="00976273"/>
    <w:rsid w:val="009779DB"/>
    <w:rsid w:val="00981E05"/>
    <w:rsid w:val="00981FEC"/>
    <w:rsid w:val="0098209C"/>
    <w:rsid w:val="00984504"/>
    <w:rsid w:val="00985700"/>
    <w:rsid w:val="00985B31"/>
    <w:rsid w:val="009864E4"/>
    <w:rsid w:val="009878DC"/>
    <w:rsid w:val="00987B05"/>
    <w:rsid w:val="00987DCF"/>
    <w:rsid w:val="0099051C"/>
    <w:rsid w:val="00990B43"/>
    <w:rsid w:val="00991896"/>
    <w:rsid w:val="00992243"/>
    <w:rsid w:val="009928F2"/>
    <w:rsid w:val="009929EF"/>
    <w:rsid w:val="00993293"/>
    <w:rsid w:val="009937AC"/>
    <w:rsid w:val="00993A4D"/>
    <w:rsid w:val="00994407"/>
    <w:rsid w:val="0099448A"/>
    <w:rsid w:val="00994FA7"/>
    <w:rsid w:val="0099590F"/>
    <w:rsid w:val="0099608D"/>
    <w:rsid w:val="00996652"/>
    <w:rsid w:val="00996870"/>
    <w:rsid w:val="0099688A"/>
    <w:rsid w:val="00997C4F"/>
    <w:rsid w:val="009A1203"/>
    <w:rsid w:val="009A1911"/>
    <w:rsid w:val="009A1C5E"/>
    <w:rsid w:val="009A26B3"/>
    <w:rsid w:val="009A283F"/>
    <w:rsid w:val="009A3612"/>
    <w:rsid w:val="009A3865"/>
    <w:rsid w:val="009A394C"/>
    <w:rsid w:val="009A3CAD"/>
    <w:rsid w:val="009A4CD3"/>
    <w:rsid w:val="009A508E"/>
    <w:rsid w:val="009A5B0C"/>
    <w:rsid w:val="009A6AA7"/>
    <w:rsid w:val="009A6C2D"/>
    <w:rsid w:val="009A6F8D"/>
    <w:rsid w:val="009A7274"/>
    <w:rsid w:val="009A75E1"/>
    <w:rsid w:val="009A7A68"/>
    <w:rsid w:val="009B0204"/>
    <w:rsid w:val="009B0894"/>
    <w:rsid w:val="009B08FF"/>
    <w:rsid w:val="009B2825"/>
    <w:rsid w:val="009B30D4"/>
    <w:rsid w:val="009B3534"/>
    <w:rsid w:val="009B36BD"/>
    <w:rsid w:val="009B3E27"/>
    <w:rsid w:val="009B4358"/>
    <w:rsid w:val="009B48BB"/>
    <w:rsid w:val="009B4C91"/>
    <w:rsid w:val="009B4DA5"/>
    <w:rsid w:val="009B538B"/>
    <w:rsid w:val="009B542E"/>
    <w:rsid w:val="009B6C8F"/>
    <w:rsid w:val="009C0611"/>
    <w:rsid w:val="009C0C29"/>
    <w:rsid w:val="009C1010"/>
    <w:rsid w:val="009C162C"/>
    <w:rsid w:val="009C195A"/>
    <w:rsid w:val="009C1E37"/>
    <w:rsid w:val="009C2312"/>
    <w:rsid w:val="009C26C4"/>
    <w:rsid w:val="009C26F1"/>
    <w:rsid w:val="009C3D8C"/>
    <w:rsid w:val="009C4412"/>
    <w:rsid w:val="009C47B5"/>
    <w:rsid w:val="009C50FE"/>
    <w:rsid w:val="009C5D1D"/>
    <w:rsid w:val="009C6702"/>
    <w:rsid w:val="009C6888"/>
    <w:rsid w:val="009C69D4"/>
    <w:rsid w:val="009C708C"/>
    <w:rsid w:val="009C7C2F"/>
    <w:rsid w:val="009C7DEE"/>
    <w:rsid w:val="009D042A"/>
    <w:rsid w:val="009D0A15"/>
    <w:rsid w:val="009D11C6"/>
    <w:rsid w:val="009D1E8A"/>
    <w:rsid w:val="009D22D0"/>
    <w:rsid w:val="009D2647"/>
    <w:rsid w:val="009D29A6"/>
    <w:rsid w:val="009D351E"/>
    <w:rsid w:val="009D3961"/>
    <w:rsid w:val="009D492A"/>
    <w:rsid w:val="009D56BD"/>
    <w:rsid w:val="009D60B9"/>
    <w:rsid w:val="009D6364"/>
    <w:rsid w:val="009D6EB7"/>
    <w:rsid w:val="009D71D0"/>
    <w:rsid w:val="009D73E5"/>
    <w:rsid w:val="009D7ACC"/>
    <w:rsid w:val="009E0058"/>
    <w:rsid w:val="009E08CD"/>
    <w:rsid w:val="009E09F8"/>
    <w:rsid w:val="009E1648"/>
    <w:rsid w:val="009E1B59"/>
    <w:rsid w:val="009E2288"/>
    <w:rsid w:val="009E280E"/>
    <w:rsid w:val="009E38C2"/>
    <w:rsid w:val="009E3A81"/>
    <w:rsid w:val="009E42C7"/>
    <w:rsid w:val="009E45CF"/>
    <w:rsid w:val="009E572A"/>
    <w:rsid w:val="009E5DB1"/>
    <w:rsid w:val="009E62DB"/>
    <w:rsid w:val="009E6FDE"/>
    <w:rsid w:val="009E7173"/>
    <w:rsid w:val="009F0A94"/>
    <w:rsid w:val="009F1528"/>
    <w:rsid w:val="009F280F"/>
    <w:rsid w:val="009F2C71"/>
    <w:rsid w:val="009F40DE"/>
    <w:rsid w:val="009F4E0B"/>
    <w:rsid w:val="009F57A0"/>
    <w:rsid w:val="009F68ED"/>
    <w:rsid w:val="009F6C57"/>
    <w:rsid w:val="00A0023F"/>
    <w:rsid w:val="00A007A8"/>
    <w:rsid w:val="00A037BB"/>
    <w:rsid w:val="00A04040"/>
    <w:rsid w:val="00A0412E"/>
    <w:rsid w:val="00A04485"/>
    <w:rsid w:val="00A04589"/>
    <w:rsid w:val="00A04B6E"/>
    <w:rsid w:val="00A050B1"/>
    <w:rsid w:val="00A0579A"/>
    <w:rsid w:val="00A06850"/>
    <w:rsid w:val="00A06A78"/>
    <w:rsid w:val="00A07E16"/>
    <w:rsid w:val="00A10BF5"/>
    <w:rsid w:val="00A11214"/>
    <w:rsid w:val="00A114A4"/>
    <w:rsid w:val="00A11B1F"/>
    <w:rsid w:val="00A128C0"/>
    <w:rsid w:val="00A143B8"/>
    <w:rsid w:val="00A14A93"/>
    <w:rsid w:val="00A1523E"/>
    <w:rsid w:val="00A15657"/>
    <w:rsid w:val="00A15BA2"/>
    <w:rsid w:val="00A165CF"/>
    <w:rsid w:val="00A1665D"/>
    <w:rsid w:val="00A1666E"/>
    <w:rsid w:val="00A174B6"/>
    <w:rsid w:val="00A20A7E"/>
    <w:rsid w:val="00A20AA3"/>
    <w:rsid w:val="00A21491"/>
    <w:rsid w:val="00A2193A"/>
    <w:rsid w:val="00A2309A"/>
    <w:rsid w:val="00A23A29"/>
    <w:rsid w:val="00A23C01"/>
    <w:rsid w:val="00A240F4"/>
    <w:rsid w:val="00A2428A"/>
    <w:rsid w:val="00A247AC"/>
    <w:rsid w:val="00A250BF"/>
    <w:rsid w:val="00A2524F"/>
    <w:rsid w:val="00A25B4A"/>
    <w:rsid w:val="00A25F04"/>
    <w:rsid w:val="00A2741A"/>
    <w:rsid w:val="00A274C5"/>
    <w:rsid w:val="00A30C90"/>
    <w:rsid w:val="00A312F1"/>
    <w:rsid w:val="00A316F3"/>
    <w:rsid w:val="00A317FB"/>
    <w:rsid w:val="00A31D59"/>
    <w:rsid w:val="00A32408"/>
    <w:rsid w:val="00A337D3"/>
    <w:rsid w:val="00A33A34"/>
    <w:rsid w:val="00A34702"/>
    <w:rsid w:val="00A3516A"/>
    <w:rsid w:val="00A35819"/>
    <w:rsid w:val="00A3684B"/>
    <w:rsid w:val="00A36925"/>
    <w:rsid w:val="00A36AAC"/>
    <w:rsid w:val="00A3E33D"/>
    <w:rsid w:val="00A405AE"/>
    <w:rsid w:val="00A4080B"/>
    <w:rsid w:val="00A40EBC"/>
    <w:rsid w:val="00A40FDB"/>
    <w:rsid w:val="00A410F1"/>
    <w:rsid w:val="00A42040"/>
    <w:rsid w:val="00A4280B"/>
    <w:rsid w:val="00A42CB9"/>
    <w:rsid w:val="00A43109"/>
    <w:rsid w:val="00A435D1"/>
    <w:rsid w:val="00A43B4C"/>
    <w:rsid w:val="00A43F87"/>
    <w:rsid w:val="00A45081"/>
    <w:rsid w:val="00A45BF0"/>
    <w:rsid w:val="00A46E01"/>
    <w:rsid w:val="00A47FEE"/>
    <w:rsid w:val="00A50C65"/>
    <w:rsid w:val="00A50F6E"/>
    <w:rsid w:val="00A52C7C"/>
    <w:rsid w:val="00A543AD"/>
    <w:rsid w:val="00A548AF"/>
    <w:rsid w:val="00A54AAC"/>
    <w:rsid w:val="00A54E47"/>
    <w:rsid w:val="00A54EBE"/>
    <w:rsid w:val="00A55A3F"/>
    <w:rsid w:val="00A56600"/>
    <w:rsid w:val="00A569FD"/>
    <w:rsid w:val="00A57752"/>
    <w:rsid w:val="00A57D39"/>
    <w:rsid w:val="00A60A45"/>
    <w:rsid w:val="00A60C00"/>
    <w:rsid w:val="00A60E9F"/>
    <w:rsid w:val="00A61EE8"/>
    <w:rsid w:val="00A6285A"/>
    <w:rsid w:val="00A62BA1"/>
    <w:rsid w:val="00A6318D"/>
    <w:rsid w:val="00A63B23"/>
    <w:rsid w:val="00A63D81"/>
    <w:rsid w:val="00A651C8"/>
    <w:rsid w:val="00A653E5"/>
    <w:rsid w:val="00A65D7C"/>
    <w:rsid w:val="00A66CE6"/>
    <w:rsid w:val="00A67912"/>
    <w:rsid w:val="00A7162D"/>
    <w:rsid w:val="00A725DB"/>
    <w:rsid w:val="00A72600"/>
    <w:rsid w:val="00A727F7"/>
    <w:rsid w:val="00A745E3"/>
    <w:rsid w:val="00A74DC1"/>
    <w:rsid w:val="00A75B36"/>
    <w:rsid w:val="00A75F41"/>
    <w:rsid w:val="00A76A66"/>
    <w:rsid w:val="00A77D07"/>
    <w:rsid w:val="00A805BE"/>
    <w:rsid w:val="00A80B87"/>
    <w:rsid w:val="00A81EA6"/>
    <w:rsid w:val="00A82173"/>
    <w:rsid w:val="00A82392"/>
    <w:rsid w:val="00A83044"/>
    <w:rsid w:val="00A84591"/>
    <w:rsid w:val="00A85634"/>
    <w:rsid w:val="00A856E2"/>
    <w:rsid w:val="00A861C1"/>
    <w:rsid w:val="00A862A2"/>
    <w:rsid w:val="00A869FD"/>
    <w:rsid w:val="00A86F6C"/>
    <w:rsid w:val="00A875B8"/>
    <w:rsid w:val="00A91002"/>
    <w:rsid w:val="00A91A78"/>
    <w:rsid w:val="00A93DC8"/>
    <w:rsid w:val="00A93FB8"/>
    <w:rsid w:val="00A94A3A"/>
    <w:rsid w:val="00A966BB"/>
    <w:rsid w:val="00A96C42"/>
    <w:rsid w:val="00A97F39"/>
    <w:rsid w:val="00A97FA8"/>
    <w:rsid w:val="00AA0779"/>
    <w:rsid w:val="00AA154B"/>
    <w:rsid w:val="00AA1EED"/>
    <w:rsid w:val="00AA2468"/>
    <w:rsid w:val="00AA2485"/>
    <w:rsid w:val="00AA2B18"/>
    <w:rsid w:val="00AA3260"/>
    <w:rsid w:val="00AA3C95"/>
    <w:rsid w:val="00AA5AC2"/>
    <w:rsid w:val="00AA5C9D"/>
    <w:rsid w:val="00AA6558"/>
    <w:rsid w:val="00AA667C"/>
    <w:rsid w:val="00AA6B52"/>
    <w:rsid w:val="00AA7BF0"/>
    <w:rsid w:val="00AB02C4"/>
    <w:rsid w:val="00AB032C"/>
    <w:rsid w:val="00AB0D6E"/>
    <w:rsid w:val="00AB0E1E"/>
    <w:rsid w:val="00AB0F11"/>
    <w:rsid w:val="00AB113B"/>
    <w:rsid w:val="00AB1833"/>
    <w:rsid w:val="00AB1AE6"/>
    <w:rsid w:val="00AB2253"/>
    <w:rsid w:val="00AB2AD8"/>
    <w:rsid w:val="00AB2B6C"/>
    <w:rsid w:val="00AB346F"/>
    <w:rsid w:val="00AB4311"/>
    <w:rsid w:val="00AB431D"/>
    <w:rsid w:val="00AB4665"/>
    <w:rsid w:val="00AB49C5"/>
    <w:rsid w:val="00AB4FDF"/>
    <w:rsid w:val="00AB5627"/>
    <w:rsid w:val="00AB56FC"/>
    <w:rsid w:val="00AB5898"/>
    <w:rsid w:val="00AB6016"/>
    <w:rsid w:val="00AB688C"/>
    <w:rsid w:val="00AB69E6"/>
    <w:rsid w:val="00AB6B2D"/>
    <w:rsid w:val="00AB762C"/>
    <w:rsid w:val="00AB7C6D"/>
    <w:rsid w:val="00AC02FD"/>
    <w:rsid w:val="00AC140B"/>
    <w:rsid w:val="00AC31CE"/>
    <w:rsid w:val="00AC358A"/>
    <w:rsid w:val="00AC3610"/>
    <w:rsid w:val="00AC3C4C"/>
    <w:rsid w:val="00AC4730"/>
    <w:rsid w:val="00AC5545"/>
    <w:rsid w:val="00AC7772"/>
    <w:rsid w:val="00AD12E1"/>
    <w:rsid w:val="00AD1513"/>
    <w:rsid w:val="00AD2153"/>
    <w:rsid w:val="00AD22C7"/>
    <w:rsid w:val="00AD28A5"/>
    <w:rsid w:val="00AD2ADB"/>
    <w:rsid w:val="00AD30D4"/>
    <w:rsid w:val="00AD39B4"/>
    <w:rsid w:val="00AD3F58"/>
    <w:rsid w:val="00AD4776"/>
    <w:rsid w:val="00AD6A34"/>
    <w:rsid w:val="00AD732C"/>
    <w:rsid w:val="00AD794B"/>
    <w:rsid w:val="00AE10F5"/>
    <w:rsid w:val="00AE1826"/>
    <w:rsid w:val="00AE24D1"/>
    <w:rsid w:val="00AE31C6"/>
    <w:rsid w:val="00AE3753"/>
    <w:rsid w:val="00AE3955"/>
    <w:rsid w:val="00AE53E4"/>
    <w:rsid w:val="00AE54F0"/>
    <w:rsid w:val="00AE570C"/>
    <w:rsid w:val="00AE5C49"/>
    <w:rsid w:val="00AE5CD7"/>
    <w:rsid w:val="00AE674B"/>
    <w:rsid w:val="00AE6917"/>
    <w:rsid w:val="00AE759C"/>
    <w:rsid w:val="00AEA842"/>
    <w:rsid w:val="00AF0B39"/>
    <w:rsid w:val="00AF0EAD"/>
    <w:rsid w:val="00AF16D7"/>
    <w:rsid w:val="00AF2E61"/>
    <w:rsid w:val="00AF43B8"/>
    <w:rsid w:val="00AF4CB5"/>
    <w:rsid w:val="00AF5096"/>
    <w:rsid w:val="00AF56FD"/>
    <w:rsid w:val="00AF57B1"/>
    <w:rsid w:val="00AF5B39"/>
    <w:rsid w:val="00AF6231"/>
    <w:rsid w:val="00AF6A7D"/>
    <w:rsid w:val="00AF6A80"/>
    <w:rsid w:val="00AF6E32"/>
    <w:rsid w:val="00AF6F3B"/>
    <w:rsid w:val="00AF7E7D"/>
    <w:rsid w:val="00B006DA"/>
    <w:rsid w:val="00B010B2"/>
    <w:rsid w:val="00B01397"/>
    <w:rsid w:val="00B01413"/>
    <w:rsid w:val="00B02344"/>
    <w:rsid w:val="00B024C1"/>
    <w:rsid w:val="00B05B47"/>
    <w:rsid w:val="00B06A7A"/>
    <w:rsid w:val="00B076EA"/>
    <w:rsid w:val="00B07DBC"/>
    <w:rsid w:val="00B10C93"/>
    <w:rsid w:val="00B111C1"/>
    <w:rsid w:val="00B11A71"/>
    <w:rsid w:val="00B11D09"/>
    <w:rsid w:val="00B12053"/>
    <w:rsid w:val="00B1211B"/>
    <w:rsid w:val="00B12B3E"/>
    <w:rsid w:val="00B13673"/>
    <w:rsid w:val="00B13BA7"/>
    <w:rsid w:val="00B141E2"/>
    <w:rsid w:val="00B14A4D"/>
    <w:rsid w:val="00B14E49"/>
    <w:rsid w:val="00B150F9"/>
    <w:rsid w:val="00B15CF9"/>
    <w:rsid w:val="00B15D15"/>
    <w:rsid w:val="00B16014"/>
    <w:rsid w:val="00B16454"/>
    <w:rsid w:val="00B165C9"/>
    <w:rsid w:val="00B16C48"/>
    <w:rsid w:val="00B16F8A"/>
    <w:rsid w:val="00B17E84"/>
    <w:rsid w:val="00B20874"/>
    <w:rsid w:val="00B20B1C"/>
    <w:rsid w:val="00B21ED9"/>
    <w:rsid w:val="00B226C3"/>
    <w:rsid w:val="00B22A61"/>
    <w:rsid w:val="00B22B80"/>
    <w:rsid w:val="00B245C5"/>
    <w:rsid w:val="00B26093"/>
    <w:rsid w:val="00B267C8"/>
    <w:rsid w:val="00B27505"/>
    <w:rsid w:val="00B27938"/>
    <w:rsid w:val="00B30956"/>
    <w:rsid w:val="00B31EFA"/>
    <w:rsid w:val="00B31FB6"/>
    <w:rsid w:val="00B327C6"/>
    <w:rsid w:val="00B33418"/>
    <w:rsid w:val="00B3389E"/>
    <w:rsid w:val="00B341BE"/>
    <w:rsid w:val="00B34A22"/>
    <w:rsid w:val="00B34FEC"/>
    <w:rsid w:val="00B35EF1"/>
    <w:rsid w:val="00B364FA"/>
    <w:rsid w:val="00B36548"/>
    <w:rsid w:val="00B3692D"/>
    <w:rsid w:val="00B3775C"/>
    <w:rsid w:val="00B37A36"/>
    <w:rsid w:val="00B401B1"/>
    <w:rsid w:val="00B417B5"/>
    <w:rsid w:val="00B425C8"/>
    <w:rsid w:val="00B42AE8"/>
    <w:rsid w:val="00B4554C"/>
    <w:rsid w:val="00B455B7"/>
    <w:rsid w:val="00B46008"/>
    <w:rsid w:val="00B469CD"/>
    <w:rsid w:val="00B5040A"/>
    <w:rsid w:val="00B5087A"/>
    <w:rsid w:val="00B50E6C"/>
    <w:rsid w:val="00B52089"/>
    <w:rsid w:val="00B52C42"/>
    <w:rsid w:val="00B53C7F"/>
    <w:rsid w:val="00B53E4E"/>
    <w:rsid w:val="00B5481C"/>
    <w:rsid w:val="00B55E6A"/>
    <w:rsid w:val="00B56871"/>
    <w:rsid w:val="00B56D91"/>
    <w:rsid w:val="00B576CE"/>
    <w:rsid w:val="00B60272"/>
    <w:rsid w:val="00B6039C"/>
    <w:rsid w:val="00B60444"/>
    <w:rsid w:val="00B60958"/>
    <w:rsid w:val="00B60B2F"/>
    <w:rsid w:val="00B60C15"/>
    <w:rsid w:val="00B6108D"/>
    <w:rsid w:val="00B63089"/>
    <w:rsid w:val="00B637F4"/>
    <w:rsid w:val="00B63D5D"/>
    <w:rsid w:val="00B64243"/>
    <w:rsid w:val="00B646D1"/>
    <w:rsid w:val="00B6573A"/>
    <w:rsid w:val="00B664F7"/>
    <w:rsid w:val="00B6689A"/>
    <w:rsid w:val="00B66D57"/>
    <w:rsid w:val="00B67349"/>
    <w:rsid w:val="00B7013D"/>
    <w:rsid w:val="00B70577"/>
    <w:rsid w:val="00B71390"/>
    <w:rsid w:val="00B716CE"/>
    <w:rsid w:val="00B71BF1"/>
    <w:rsid w:val="00B74780"/>
    <w:rsid w:val="00B74ADB"/>
    <w:rsid w:val="00B75D26"/>
    <w:rsid w:val="00B75D34"/>
    <w:rsid w:val="00B77331"/>
    <w:rsid w:val="00B77A9F"/>
    <w:rsid w:val="00B80EFD"/>
    <w:rsid w:val="00B82E30"/>
    <w:rsid w:val="00B831A3"/>
    <w:rsid w:val="00B83C33"/>
    <w:rsid w:val="00B86114"/>
    <w:rsid w:val="00B90628"/>
    <w:rsid w:val="00B906F3"/>
    <w:rsid w:val="00B92267"/>
    <w:rsid w:val="00B9312A"/>
    <w:rsid w:val="00B93C76"/>
    <w:rsid w:val="00B943FD"/>
    <w:rsid w:val="00B94AB8"/>
    <w:rsid w:val="00B95C00"/>
    <w:rsid w:val="00B96121"/>
    <w:rsid w:val="00B97096"/>
    <w:rsid w:val="00B978FB"/>
    <w:rsid w:val="00B97E2A"/>
    <w:rsid w:val="00B97E45"/>
    <w:rsid w:val="00BA0117"/>
    <w:rsid w:val="00BA0E9B"/>
    <w:rsid w:val="00BA2C2E"/>
    <w:rsid w:val="00BA3C70"/>
    <w:rsid w:val="00BA579E"/>
    <w:rsid w:val="00BA5A69"/>
    <w:rsid w:val="00BA638D"/>
    <w:rsid w:val="00BA7637"/>
    <w:rsid w:val="00BB0917"/>
    <w:rsid w:val="00BB14B6"/>
    <w:rsid w:val="00BB1712"/>
    <w:rsid w:val="00BB1A8E"/>
    <w:rsid w:val="00BB1D01"/>
    <w:rsid w:val="00BB1EC6"/>
    <w:rsid w:val="00BB2E82"/>
    <w:rsid w:val="00BB37DC"/>
    <w:rsid w:val="00BB4AA9"/>
    <w:rsid w:val="00BB57BE"/>
    <w:rsid w:val="00BB59A6"/>
    <w:rsid w:val="00BB7258"/>
    <w:rsid w:val="00BB76A8"/>
    <w:rsid w:val="00BC1057"/>
    <w:rsid w:val="00BC1174"/>
    <w:rsid w:val="00BC1523"/>
    <w:rsid w:val="00BC2770"/>
    <w:rsid w:val="00BC3901"/>
    <w:rsid w:val="00BC405E"/>
    <w:rsid w:val="00BC4E9B"/>
    <w:rsid w:val="00BC5570"/>
    <w:rsid w:val="00BC61E4"/>
    <w:rsid w:val="00BC657F"/>
    <w:rsid w:val="00BC674C"/>
    <w:rsid w:val="00BC6E2B"/>
    <w:rsid w:val="00BC7639"/>
    <w:rsid w:val="00BC770D"/>
    <w:rsid w:val="00BC7C52"/>
    <w:rsid w:val="00BD1035"/>
    <w:rsid w:val="00BD14E5"/>
    <w:rsid w:val="00BD1BC4"/>
    <w:rsid w:val="00BD1E7E"/>
    <w:rsid w:val="00BD22AB"/>
    <w:rsid w:val="00BD294B"/>
    <w:rsid w:val="00BD4A5E"/>
    <w:rsid w:val="00BD511D"/>
    <w:rsid w:val="00BD53D1"/>
    <w:rsid w:val="00BD548C"/>
    <w:rsid w:val="00BD62B0"/>
    <w:rsid w:val="00BD64C2"/>
    <w:rsid w:val="00BD6D20"/>
    <w:rsid w:val="00BD7022"/>
    <w:rsid w:val="00BD7958"/>
    <w:rsid w:val="00BD7A6F"/>
    <w:rsid w:val="00BD7CEE"/>
    <w:rsid w:val="00BE0EB5"/>
    <w:rsid w:val="00BE0FEC"/>
    <w:rsid w:val="00BE2762"/>
    <w:rsid w:val="00BE2C62"/>
    <w:rsid w:val="00BE2E29"/>
    <w:rsid w:val="00BE3481"/>
    <w:rsid w:val="00BE3EEC"/>
    <w:rsid w:val="00BE42B7"/>
    <w:rsid w:val="00BE45F0"/>
    <w:rsid w:val="00BE4DDB"/>
    <w:rsid w:val="00BE6040"/>
    <w:rsid w:val="00BE672F"/>
    <w:rsid w:val="00BE76AC"/>
    <w:rsid w:val="00BE7F3D"/>
    <w:rsid w:val="00BF038A"/>
    <w:rsid w:val="00BF11D0"/>
    <w:rsid w:val="00BF14CC"/>
    <w:rsid w:val="00BF1640"/>
    <w:rsid w:val="00BF1E63"/>
    <w:rsid w:val="00BF22EF"/>
    <w:rsid w:val="00BF2D2D"/>
    <w:rsid w:val="00BF2F52"/>
    <w:rsid w:val="00BF30EC"/>
    <w:rsid w:val="00BF37F2"/>
    <w:rsid w:val="00BF3B19"/>
    <w:rsid w:val="00BF4136"/>
    <w:rsid w:val="00BF4CF7"/>
    <w:rsid w:val="00BF53ED"/>
    <w:rsid w:val="00BF54D9"/>
    <w:rsid w:val="00BF75D6"/>
    <w:rsid w:val="00BF7B65"/>
    <w:rsid w:val="00BF7BCA"/>
    <w:rsid w:val="00C0193E"/>
    <w:rsid w:val="00C024F2"/>
    <w:rsid w:val="00C03D0B"/>
    <w:rsid w:val="00C03E13"/>
    <w:rsid w:val="00C04A96"/>
    <w:rsid w:val="00C0589B"/>
    <w:rsid w:val="00C05BCC"/>
    <w:rsid w:val="00C0608F"/>
    <w:rsid w:val="00C063E0"/>
    <w:rsid w:val="00C07B7F"/>
    <w:rsid w:val="00C102E7"/>
    <w:rsid w:val="00C1266B"/>
    <w:rsid w:val="00C1360B"/>
    <w:rsid w:val="00C1537B"/>
    <w:rsid w:val="00C15DBD"/>
    <w:rsid w:val="00C162ED"/>
    <w:rsid w:val="00C1696C"/>
    <w:rsid w:val="00C16A5E"/>
    <w:rsid w:val="00C16BA8"/>
    <w:rsid w:val="00C174ED"/>
    <w:rsid w:val="00C19C62"/>
    <w:rsid w:val="00C2047D"/>
    <w:rsid w:val="00C20583"/>
    <w:rsid w:val="00C20C10"/>
    <w:rsid w:val="00C2118E"/>
    <w:rsid w:val="00C212F1"/>
    <w:rsid w:val="00C2183A"/>
    <w:rsid w:val="00C224F3"/>
    <w:rsid w:val="00C22A96"/>
    <w:rsid w:val="00C22DB0"/>
    <w:rsid w:val="00C22FA7"/>
    <w:rsid w:val="00C24475"/>
    <w:rsid w:val="00C24738"/>
    <w:rsid w:val="00C24B5F"/>
    <w:rsid w:val="00C24BD6"/>
    <w:rsid w:val="00C24CEA"/>
    <w:rsid w:val="00C25295"/>
    <w:rsid w:val="00C2568F"/>
    <w:rsid w:val="00C26822"/>
    <w:rsid w:val="00C276FF"/>
    <w:rsid w:val="00C31517"/>
    <w:rsid w:val="00C318FC"/>
    <w:rsid w:val="00C3205A"/>
    <w:rsid w:val="00C32213"/>
    <w:rsid w:val="00C32ACA"/>
    <w:rsid w:val="00C33454"/>
    <w:rsid w:val="00C33D87"/>
    <w:rsid w:val="00C341D9"/>
    <w:rsid w:val="00C35807"/>
    <w:rsid w:val="00C35C3A"/>
    <w:rsid w:val="00C364C0"/>
    <w:rsid w:val="00C369DF"/>
    <w:rsid w:val="00C36D33"/>
    <w:rsid w:val="00C37428"/>
    <w:rsid w:val="00C3750A"/>
    <w:rsid w:val="00C40E36"/>
    <w:rsid w:val="00C41565"/>
    <w:rsid w:val="00C4156C"/>
    <w:rsid w:val="00C41580"/>
    <w:rsid w:val="00C41852"/>
    <w:rsid w:val="00C4217F"/>
    <w:rsid w:val="00C42277"/>
    <w:rsid w:val="00C42287"/>
    <w:rsid w:val="00C432C1"/>
    <w:rsid w:val="00C44530"/>
    <w:rsid w:val="00C45524"/>
    <w:rsid w:val="00C4606F"/>
    <w:rsid w:val="00C46851"/>
    <w:rsid w:val="00C47F2F"/>
    <w:rsid w:val="00C505BD"/>
    <w:rsid w:val="00C50A51"/>
    <w:rsid w:val="00C51C7C"/>
    <w:rsid w:val="00C52AC5"/>
    <w:rsid w:val="00C52F1B"/>
    <w:rsid w:val="00C533D2"/>
    <w:rsid w:val="00C53939"/>
    <w:rsid w:val="00C53B2E"/>
    <w:rsid w:val="00C545C4"/>
    <w:rsid w:val="00C553B6"/>
    <w:rsid w:val="00C554A2"/>
    <w:rsid w:val="00C555C4"/>
    <w:rsid w:val="00C5573A"/>
    <w:rsid w:val="00C566C0"/>
    <w:rsid w:val="00C567B8"/>
    <w:rsid w:val="00C56B20"/>
    <w:rsid w:val="00C62A5F"/>
    <w:rsid w:val="00C62E07"/>
    <w:rsid w:val="00C63068"/>
    <w:rsid w:val="00C635C7"/>
    <w:rsid w:val="00C63D8E"/>
    <w:rsid w:val="00C64027"/>
    <w:rsid w:val="00C645F6"/>
    <w:rsid w:val="00C6461F"/>
    <w:rsid w:val="00C647A7"/>
    <w:rsid w:val="00C651BE"/>
    <w:rsid w:val="00C6624B"/>
    <w:rsid w:val="00C66F8F"/>
    <w:rsid w:val="00C676B8"/>
    <w:rsid w:val="00C67ADF"/>
    <w:rsid w:val="00C67D70"/>
    <w:rsid w:val="00C67E19"/>
    <w:rsid w:val="00C70231"/>
    <w:rsid w:val="00C70966"/>
    <w:rsid w:val="00C71002"/>
    <w:rsid w:val="00C71437"/>
    <w:rsid w:val="00C71792"/>
    <w:rsid w:val="00C724AE"/>
    <w:rsid w:val="00C72677"/>
    <w:rsid w:val="00C727C1"/>
    <w:rsid w:val="00C72F5F"/>
    <w:rsid w:val="00C7369A"/>
    <w:rsid w:val="00C741AE"/>
    <w:rsid w:val="00C74874"/>
    <w:rsid w:val="00C74928"/>
    <w:rsid w:val="00C74EC9"/>
    <w:rsid w:val="00C74F44"/>
    <w:rsid w:val="00C7589C"/>
    <w:rsid w:val="00C761C8"/>
    <w:rsid w:val="00C7715C"/>
    <w:rsid w:val="00C7749B"/>
    <w:rsid w:val="00C7787C"/>
    <w:rsid w:val="00C7794A"/>
    <w:rsid w:val="00C80049"/>
    <w:rsid w:val="00C812FA"/>
    <w:rsid w:val="00C81674"/>
    <w:rsid w:val="00C81A0D"/>
    <w:rsid w:val="00C8242F"/>
    <w:rsid w:val="00C830D3"/>
    <w:rsid w:val="00C83D3D"/>
    <w:rsid w:val="00C84E10"/>
    <w:rsid w:val="00C859CE"/>
    <w:rsid w:val="00C85C74"/>
    <w:rsid w:val="00C860CA"/>
    <w:rsid w:val="00C86AFF"/>
    <w:rsid w:val="00C86CE6"/>
    <w:rsid w:val="00C87568"/>
    <w:rsid w:val="00C87B45"/>
    <w:rsid w:val="00C87BB5"/>
    <w:rsid w:val="00C87D4D"/>
    <w:rsid w:val="00C903DA"/>
    <w:rsid w:val="00C907EB"/>
    <w:rsid w:val="00C90BE5"/>
    <w:rsid w:val="00C90D24"/>
    <w:rsid w:val="00C914AE"/>
    <w:rsid w:val="00C91C73"/>
    <w:rsid w:val="00C91E67"/>
    <w:rsid w:val="00C924FB"/>
    <w:rsid w:val="00C92668"/>
    <w:rsid w:val="00C93104"/>
    <w:rsid w:val="00C93A28"/>
    <w:rsid w:val="00C93BFE"/>
    <w:rsid w:val="00C95083"/>
    <w:rsid w:val="00C9738F"/>
    <w:rsid w:val="00CA0476"/>
    <w:rsid w:val="00CA0C4D"/>
    <w:rsid w:val="00CA0E2B"/>
    <w:rsid w:val="00CA229D"/>
    <w:rsid w:val="00CA26E5"/>
    <w:rsid w:val="00CA2821"/>
    <w:rsid w:val="00CA30A0"/>
    <w:rsid w:val="00CA559D"/>
    <w:rsid w:val="00CA7B1A"/>
    <w:rsid w:val="00CB03D3"/>
    <w:rsid w:val="00CB179F"/>
    <w:rsid w:val="00CB20BB"/>
    <w:rsid w:val="00CB2AA9"/>
    <w:rsid w:val="00CB2D05"/>
    <w:rsid w:val="00CB36A2"/>
    <w:rsid w:val="00CB5F53"/>
    <w:rsid w:val="00CB7200"/>
    <w:rsid w:val="00CB7D56"/>
    <w:rsid w:val="00CB7DD5"/>
    <w:rsid w:val="00CC0C4E"/>
    <w:rsid w:val="00CC1782"/>
    <w:rsid w:val="00CC2A45"/>
    <w:rsid w:val="00CC4940"/>
    <w:rsid w:val="00CC4E73"/>
    <w:rsid w:val="00CC5853"/>
    <w:rsid w:val="00CC5943"/>
    <w:rsid w:val="00CC603B"/>
    <w:rsid w:val="00CC6994"/>
    <w:rsid w:val="00CC6A57"/>
    <w:rsid w:val="00CC7772"/>
    <w:rsid w:val="00CC7CD8"/>
    <w:rsid w:val="00CC7F41"/>
    <w:rsid w:val="00CD0EF0"/>
    <w:rsid w:val="00CD179B"/>
    <w:rsid w:val="00CD4F49"/>
    <w:rsid w:val="00CD504E"/>
    <w:rsid w:val="00CD58DD"/>
    <w:rsid w:val="00CD62C4"/>
    <w:rsid w:val="00CD65B7"/>
    <w:rsid w:val="00CD65F0"/>
    <w:rsid w:val="00CD75E4"/>
    <w:rsid w:val="00CD7A6D"/>
    <w:rsid w:val="00CE0131"/>
    <w:rsid w:val="00CE0708"/>
    <w:rsid w:val="00CE0EDA"/>
    <w:rsid w:val="00CE1391"/>
    <w:rsid w:val="00CE16E8"/>
    <w:rsid w:val="00CE208B"/>
    <w:rsid w:val="00CE3010"/>
    <w:rsid w:val="00CE3471"/>
    <w:rsid w:val="00CE3E33"/>
    <w:rsid w:val="00CE3ED3"/>
    <w:rsid w:val="00CE420C"/>
    <w:rsid w:val="00CE4765"/>
    <w:rsid w:val="00CE4A5E"/>
    <w:rsid w:val="00CE50CF"/>
    <w:rsid w:val="00CE5C36"/>
    <w:rsid w:val="00CE62B3"/>
    <w:rsid w:val="00CE640C"/>
    <w:rsid w:val="00CE6DA1"/>
    <w:rsid w:val="00CE704F"/>
    <w:rsid w:val="00CE74F5"/>
    <w:rsid w:val="00CF0186"/>
    <w:rsid w:val="00CF035F"/>
    <w:rsid w:val="00CF0E3C"/>
    <w:rsid w:val="00CF1635"/>
    <w:rsid w:val="00CF2681"/>
    <w:rsid w:val="00CF2A16"/>
    <w:rsid w:val="00CF2CC6"/>
    <w:rsid w:val="00CF3E6B"/>
    <w:rsid w:val="00CF41EE"/>
    <w:rsid w:val="00CF55A1"/>
    <w:rsid w:val="00CF58E2"/>
    <w:rsid w:val="00CF65CE"/>
    <w:rsid w:val="00CF6AB2"/>
    <w:rsid w:val="00CF6C6B"/>
    <w:rsid w:val="00CF73D9"/>
    <w:rsid w:val="00CF757F"/>
    <w:rsid w:val="00D00909"/>
    <w:rsid w:val="00D01DDA"/>
    <w:rsid w:val="00D01FDF"/>
    <w:rsid w:val="00D03B9A"/>
    <w:rsid w:val="00D03E8D"/>
    <w:rsid w:val="00D04493"/>
    <w:rsid w:val="00D04BE8"/>
    <w:rsid w:val="00D053D1"/>
    <w:rsid w:val="00D053F3"/>
    <w:rsid w:val="00D06431"/>
    <w:rsid w:val="00D065B4"/>
    <w:rsid w:val="00D07B98"/>
    <w:rsid w:val="00D07BD8"/>
    <w:rsid w:val="00D10278"/>
    <w:rsid w:val="00D113C4"/>
    <w:rsid w:val="00D1157D"/>
    <w:rsid w:val="00D12122"/>
    <w:rsid w:val="00D133BA"/>
    <w:rsid w:val="00D14C68"/>
    <w:rsid w:val="00D15331"/>
    <w:rsid w:val="00D166FF"/>
    <w:rsid w:val="00D1785F"/>
    <w:rsid w:val="00D20822"/>
    <w:rsid w:val="00D211BA"/>
    <w:rsid w:val="00D21A73"/>
    <w:rsid w:val="00D2354C"/>
    <w:rsid w:val="00D238A3"/>
    <w:rsid w:val="00D23CED"/>
    <w:rsid w:val="00D24A89"/>
    <w:rsid w:val="00D24AD7"/>
    <w:rsid w:val="00D24D0F"/>
    <w:rsid w:val="00D2522B"/>
    <w:rsid w:val="00D25947"/>
    <w:rsid w:val="00D270A0"/>
    <w:rsid w:val="00D27D8F"/>
    <w:rsid w:val="00D30136"/>
    <w:rsid w:val="00D30AC9"/>
    <w:rsid w:val="00D31080"/>
    <w:rsid w:val="00D31325"/>
    <w:rsid w:val="00D317F3"/>
    <w:rsid w:val="00D31A04"/>
    <w:rsid w:val="00D31D1B"/>
    <w:rsid w:val="00D31DDF"/>
    <w:rsid w:val="00D324E6"/>
    <w:rsid w:val="00D32A47"/>
    <w:rsid w:val="00D333A3"/>
    <w:rsid w:val="00D3396F"/>
    <w:rsid w:val="00D342DD"/>
    <w:rsid w:val="00D34408"/>
    <w:rsid w:val="00D35E1D"/>
    <w:rsid w:val="00D36BEA"/>
    <w:rsid w:val="00D4072B"/>
    <w:rsid w:val="00D4162D"/>
    <w:rsid w:val="00D41865"/>
    <w:rsid w:val="00D42783"/>
    <w:rsid w:val="00D4335B"/>
    <w:rsid w:val="00D433AE"/>
    <w:rsid w:val="00D43DDD"/>
    <w:rsid w:val="00D45D1D"/>
    <w:rsid w:val="00D45F5C"/>
    <w:rsid w:val="00D46168"/>
    <w:rsid w:val="00D46DEB"/>
    <w:rsid w:val="00D474FA"/>
    <w:rsid w:val="00D50C58"/>
    <w:rsid w:val="00D51315"/>
    <w:rsid w:val="00D519D3"/>
    <w:rsid w:val="00D535A7"/>
    <w:rsid w:val="00D536DC"/>
    <w:rsid w:val="00D553B4"/>
    <w:rsid w:val="00D55B35"/>
    <w:rsid w:val="00D57402"/>
    <w:rsid w:val="00D601EA"/>
    <w:rsid w:val="00D60ACE"/>
    <w:rsid w:val="00D61112"/>
    <w:rsid w:val="00D63231"/>
    <w:rsid w:val="00D632D4"/>
    <w:rsid w:val="00D639AC"/>
    <w:rsid w:val="00D647AD"/>
    <w:rsid w:val="00D64C1C"/>
    <w:rsid w:val="00D65073"/>
    <w:rsid w:val="00D65DFD"/>
    <w:rsid w:val="00D6613B"/>
    <w:rsid w:val="00D66D38"/>
    <w:rsid w:val="00D70160"/>
    <w:rsid w:val="00D710D3"/>
    <w:rsid w:val="00D71619"/>
    <w:rsid w:val="00D717E5"/>
    <w:rsid w:val="00D71E77"/>
    <w:rsid w:val="00D71F36"/>
    <w:rsid w:val="00D71FFF"/>
    <w:rsid w:val="00D721E2"/>
    <w:rsid w:val="00D72980"/>
    <w:rsid w:val="00D7327C"/>
    <w:rsid w:val="00D73739"/>
    <w:rsid w:val="00D73CA6"/>
    <w:rsid w:val="00D7502C"/>
    <w:rsid w:val="00D75BC5"/>
    <w:rsid w:val="00D76A7F"/>
    <w:rsid w:val="00D76EF3"/>
    <w:rsid w:val="00D777BA"/>
    <w:rsid w:val="00D77CED"/>
    <w:rsid w:val="00D8023E"/>
    <w:rsid w:val="00D80393"/>
    <w:rsid w:val="00D80556"/>
    <w:rsid w:val="00D810FF"/>
    <w:rsid w:val="00D82DBA"/>
    <w:rsid w:val="00D836D9"/>
    <w:rsid w:val="00D83AAE"/>
    <w:rsid w:val="00D84776"/>
    <w:rsid w:val="00D84C40"/>
    <w:rsid w:val="00D850EF"/>
    <w:rsid w:val="00D853B3"/>
    <w:rsid w:val="00D871DC"/>
    <w:rsid w:val="00D87217"/>
    <w:rsid w:val="00D879B0"/>
    <w:rsid w:val="00D90857"/>
    <w:rsid w:val="00D90A84"/>
    <w:rsid w:val="00D91E8F"/>
    <w:rsid w:val="00D923BB"/>
    <w:rsid w:val="00D93A29"/>
    <w:rsid w:val="00D94C0E"/>
    <w:rsid w:val="00D96ADA"/>
    <w:rsid w:val="00D96F4A"/>
    <w:rsid w:val="00D97451"/>
    <w:rsid w:val="00D97872"/>
    <w:rsid w:val="00DA03A8"/>
    <w:rsid w:val="00DA03AF"/>
    <w:rsid w:val="00DA052D"/>
    <w:rsid w:val="00DA27AE"/>
    <w:rsid w:val="00DA2A74"/>
    <w:rsid w:val="00DA2B0E"/>
    <w:rsid w:val="00DA34E5"/>
    <w:rsid w:val="00DA350E"/>
    <w:rsid w:val="00DA41E9"/>
    <w:rsid w:val="00DA432E"/>
    <w:rsid w:val="00DA47AE"/>
    <w:rsid w:val="00DA49FD"/>
    <w:rsid w:val="00DA4FDD"/>
    <w:rsid w:val="00DA5F51"/>
    <w:rsid w:val="00DA68BC"/>
    <w:rsid w:val="00DA6AA4"/>
    <w:rsid w:val="00DA6CE3"/>
    <w:rsid w:val="00DA7176"/>
    <w:rsid w:val="00DB04D1"/>
    <w:rsid w:val="00DB0EB0"/>
    <w:rsid w:val="00DB12BB"/>
    <w:rsid w:val="00DB3D28"/>
    <w:rsid w:val="00DB45C0"/>
    <w:rsid w:val="00DB4C5C"/>
    <w:rsid w:val="00DB5D28"/>
    <w:rsid w:val="00DB601A"/>
    <w:rsid w:val="00DB618A"/>
    <w:rsid w:val="00DC02D5"/>
    <w:rsid w:val="00DC07F6"/>
    <w:rsid w:val="00DC0B50"/>
    <w:rsid w:val="00DC0BE7"/>
    <w:rsid w:val="00DC1684"/>
    <w:rsid w:val="00DC1B76"/>
    <w:rsid w:val="00DC1E15"/>
    <w:rsid w:val="00DC1F1F"/>
    <w:rsid w:val="00DC1FB6"/>
    <w:rsid w:val="00DC24A6"/>
    <w:rsid w:val="00DC35A0"/>
    <w:rsid w:val="00DC35F0"/>
    <w:rsid w:val="00DC3634"/>
    <w:rsid w:val="00DC4DAD"/>
    <w:rsid w:val="00DC51E7"/>
    <w:rsid w:val="00DC6317"/>
    <w:rsid w:val="00DC64D3"/>
    <w:rsid w:val="00DC73E9"/>
    <w:rsid w:val="00DD02E6"/>
    <w:rsid w:val="00DD2532"/>
    <w:rsid w:val="00DD31F4"/>
    <w:rsid w:val="00DD3BF2"/>
    <w:rsid w:val="00DD406C"/>
    <w:rsid w:val="00DD44FA"/>
    <w:rsid w:val="00DD4EAC"/>
    <w:rsid w:val="00DD5482"/>
    <w:rsid w:val="00DD61B1"/>
    <w:rsid w:val="00DD714D"/>
    <w:rsid w:val="00DD7A9F"/>
    <w:rsid w:val="00DE02AF"/>
    <w:rsid w:val="00DE07F6"/>
    <w:rsid w:val="00DE252E"/>
    <w:rsid w:val="00DE258C"/>
    <w:rsid w:val="00DE2D8F"/>
    <w:rsid w:val="00DE375C"/>
    <w:rsid w:val="00DE384E"/>
    <w:rsid w:val="00DE43EA"/>
    <w:rsid w:val="00DE4996"/>
    <w:rsid w:val="00DE5B6E"/>
    <w:rsid w:val="00DE5DEE"/>
    <w:rsid w:val="00DE6AEB"/>
    <w:rsid w:val="00DE6B12"/>
    <w:rsid w:val="00DE7266"/>
    <w:rsid w:val="00DE7F3B"/>
    <w:rsid w:val="00DF0262"/>
    <w:rsid w:val="00DF0B33"/>
    <w:rsid w:val="00DF209A"/>
    <w:rsid w:val="00DF24B2"/>
    <w:rsid w:val="00DF296A"/>
    <w:rsid w:val="00DF3491"/>
    <w:rsid w:val="00DF39FE"/>
    <w:rsid w:val="00DF42C7"/>
    <w:rsid w:val="00DF4C2A"/>
    <w:rsid w:val="00DF4EFD"/>
    <w:rsid w:val="00DF5C4F"/>
    <w:rsid w:val="00DF6339"/>
    <w:rsid w:val="00DF6788"/>
    <w:rsid w:val="00DF6AF7"/>
    <w:rsid w:val="00DF6FDD"/>
    <w:rsid w:val="00E00330"/>
    <w:rsid w:val="00E00FAB"/>
    <w:rsid w:val="00E0207D"/>
    <w:rsid w:val="00E020D5"/>
    <w:rsid w:val="00E0215C"/>
    <w:rsid w:val="00E024C1"/>
    <w:rsid w:val="00E02528"/>
    <w:rsid w:val="00E02A9C"/>
    <w:rsid w:val="00E02B60"/>
    <w:rsid w:val="00E02F2E"/>
    <w:rsid w:val="00E02F5A"/>
    <w:rsid w:val="00E036CC"/>
    <w:rsid w:val="00E03897"/>
    <w:rsid w:val="00E05BF7"/>
    <w:rsid w:val="00E10ABC"/>
    <w:rsid w:val="00E10FDB"/>
    <w:rsid w:val="00E121DD"/>
    <w:rsid w:val="00E12C2C"/>
    <w:rsid w:val="00E138E2"/>
    <w:rsid w:val="00E13E15"/>
    <w:rsid w:val="00E14F29"/>
    <w:rsid w:val="00E16783"/>
    <w:rsid w:val="00E1735D"/>
    <w:rsid w:val="00E17627"/>
    <w:rsid w:val="00E176B0"/>
    <w:rsid w:val="00E2093E"/>
    <w:rsid w:val="00E21002"/>
    <w:rsid w:val="00E21C51"/>
    <w:rsid w:val="00E229B8"/>
    <w:rsid w:val="00E23465"/>
    <w:rsid w:val="00E24135"/>
    <w:rsid w:val="00E250F1"/>
    <w:rsid w:val="00E25642"/>
    <w:rsid w:val="00E25C88"/>
    <w:rsid w:val="00E26500"/>
    <w:rsid w:val="00E26549"/>
    <w:rsid w:val="00E2697F"/>
    <w:rsid w:val="00E26A3A"/>
    <w:rsid w:val="00E26C6C"/>
    <w:rsid w:val="00E26CAF"/>
    <w:rsid w:val="00E27A65"/>
    <w:rsid w:val="00E27C25"/>
    <w:rsid w:val="00E30677"/>
    <w:rsid w:val="00E30923"/>
    <w:rsid w:val="00E30C02"/>
    <w:rsid w:val="00E31A30"/>
    <w:rsid w:val="00E32758"/>
    <w:rsid w:val="00E32DD6"/>
    <w:rsid w:val="00E33621"/>
    <w:rsid w:val="00E33DAE"/>
    <w:rsid w:val="00E349B8"/>
    <w:rsid w:val="00E35F28"/>
    <w:rsid w:val="00E36005"/>
    <w:rsid w:val="00E3614F"/>
    <w:rsid w:val="00E366B2"/>
    <w:rsid w:val="00E368A0"/>
    <w:rsid w:val="00E369B4"/>
    <w:rsid w:val="00E37538"/>
    <w:rsid w:val="00E418EE"/>
    <w:rsid w:val="00E41A1D"/>
    <w:rsid w:val="00E42355"/>
    <w:rsid w:val="00E432FD"/>
    <w:rsid w:val="00E43387"/>
    <w:rsid w:val="00E435E8"/>
    <w:rsid w:val="00E44063"/>
    <w:rsid w:val="00E44B32"/>
    <w:rsid w:val="00E453A8"/>
    <w:rsid w:val="00E45538"/>
    <w:rsid w:val="00E45E0F"/>
    <w:rsid w:val="00E45E61"/>
    <w:rsid w:val="00E4629F"/>
    <w:rsid w:val="00E462F1"/>
    <w:rsid w:val="00E47669"/>
    <w:rsid w:val="00E47C80"/>
    <w:rsid w:val="00E50055"/>
    <w:rsid w:val="00E50772"/>
    <w:rsid w:val="00E50B1F"/>
    <w:rsid w:val="00E51077"/>
    <w:rsid w:val="00E51A42"/>
    <w:rsid w:val="00E51A92"/>
    <w:rsid w:val="00E52458"/>
    <w:rsid w:val="00E5274B"/>
    <w:rsid w:val="00E5282D"/>
    <w:rsid w:val="00E52E58"/>
    <w:rsid w:val="00E53ACB"/>
    <w:rsid w:val="00E53FB2"/>
    <w:rsid w:val="00E543F8"/>
    <w:rsid w:val="00E548C7"/>
    <w:rsid w:val="00E54BAC"/>
    <w:rsid w:val="00E55009"/>
    <w:rsid w:val="00E559B5"/>
    <w:rsid w:val="00E57354"/>
    <w:rsid w:val="00E574E1"/>
    <w:rsid w:val="00E57B40"/>
    <w:rsid w:val="00E57B54"/>
    <w:rsid w:val="00E60700"/>
    <w:rsid w:val="00E60BAC"/>
    <w:rsid w:val="00E60E73"/>
    <w:rsid w:val="00E61059"/>
    <w:rsid w:val="00E62428"/>
    <w:rsid w:val="00E625A4"/>
    <w:rsid w:val="00E62C7F"/>
    <w:rsid w:val="00E63487"/>
    <w:rsid w:val="00E63FB1"/>
    <w:rsid w:val="00E64088"/>
    <w:rsid w:val="00E6438E"/>
    <w:rsid w:val="00E64AD7"/>
    <w:rsid w:val="00E64B7E"/>
    <w:rsid w:val="00E64CF8"/>
    <w:rsid w:val="00E658D5"/>
    <w:rsid w:val="00E65C09"/>
    <w:rsid w:val="00E65F28"/>
    <w:rsid w:val="00E66646"/>
    <w:rsid w:val="00E66695"/>
    <w:rsid w:val="00E66D34"/>
    <w:rsid w:val="00E711FD"/>
    <w:rsid w:val="00E71235"/>
    <w:rsid w:val="00E71835"/>
    <w:rsid w:val="00E71C2D"/>
    <w:rsid w:val="00E725E3"/>
    <w:rsid w:val="00E7305F"/>
    <w:rsid w:val="00E743FD"/>
    <w:rsid w:val="00E7452C"/>
    <w:rsid w:val="00E75117"/>
    <w:rsid w:val="00E7517C"/>
    <w:rsid w:val="00E759A0"/>
    <w:rsid w:val="00E76155"/>
    <w:rsid w:val="00E769E9"/>
    <w:rsid w:val="00E76CE4"/>
    <w:rsid w:val="00E773A6"/>
    <w:rsid w:val="00E80D24"/>
    <w:rsid w:val="00E81371"/>
    <w:rsid w:val="00E82761"/>
    <w:rsid w:val="00E82E10"/>
    <w:rsid w:val="00E83A9B"/>
    <w:rsid w:val="00E8445C"/>
    <w:rsid w:val="00E8479B"/>
    <w:rsid w:val="00E84840"/>
    <w:rsid w:val="00E85DD7"/>
    <w:rsid w:val="00E87284"/>
    <w:rsid w:val="00E87E7F"/>
    <w:rsid w:val="00E900A3"/>
    <w:rsid w:val="00E90140"/>
    <w:rsid w:val="00E90515"/>
    <w:rsid w:val="00E91736"/>
    <w:rsid w:val="00E920A6"/>
    <w:rsid w:val="00E92C6E"/>
    <w:rsid w:val="00E93A38"/>
    <w:rsid w:val="00E9421B"/>
    <w:rsid w:val="00E960F5"/>
    <w:rsid w:val="00E96C7A"/>
    <w:rsid w:val="00EA0485"/>
    <w:rsid w:val="00EA07F1"/>
    <w:rsid w:val="00EA1D89"/>
    <w:rsid w:val="00EA2473"/>
    <w:rsid w:val="00EA2554"/>
    <w:rsid w:val="00EA340D"/>
    <w:rsid w:val="00EA3677"/>
    <w:rsid w:val="00EA3A7D"/>
    <w:rsid w:val="00EA447B"/>
    <w:rsid w:val="00EA5215"/>
    <w:rsid w:val="00EA5DA2"/>
    <w:rsid w:val="00EA6824"/>
    <w:rsid w:val="00EA6B02"/>
    <w:rsid w:val="00EA718E"/>
    <w:rsid w:val="00EA7B1C"/>
    <w:rsid w:val="00EB0909"/>
    <w:rsid w:val="00EB09F8"/>
    <w:rsid w:val="00EB1BFE"/>
    <w:rsid w:val="00EB2FA8"/>
    <w:rsid w:val="00EB345D"/>
    <w:rsid w:val="00EB3C5E"/>
    <w:rsid w:val="00EB4A8C"/>
    <w:rsid w:val="00EB5AF7"/>
    <w:rsid w:val="00EB67FD"/>
    <w:rsid w:val="00EB697D"/>
    <w:rsid w:val="00EB79F0"/>
    <w:rsid w:val="00EB7F38"/>
    <w:rsid w:val="00EC0497"/>
    <w:rsid w:val="00EC0AEC"/>
    <w:rsid w:val="00EC0B20"/>
    <w:rsid w:val="00EC1A88"/>
    <w:rsid w:val="00EC1E33"/>
    <w:rsid w:val="00EC1F9A"/>
    <w:rsid w:val="00EC2002"/>
    <w:rsid w:val="00EC22C9"/>
    <w:rsid w:val="00EC2F18"/>
    <w:rsid w:val="00EC3A23"/>
    <w:rsid w:val="00EC4E85"/>
    <w:rsid w:val="00EC5004"/>
    <w:rsid w:val="00EC6045"/>
    <w:rsid w:val="00EC68E9"/>
    <w:rsid w:val="00EC78D9"/>
    <w:rsid w:val="00EC79AE"/>
    <w:rsid w:val="00ED09BE"/>
    <w:rsid w:val="00ED0F1B"/>
    <w:rsid w:val="00ED1AEB"/>
    <w:rsid w:val="00ED23AB"/>
    <w:rsid w:val="00ED364E"/>
    <w:rsid w:val="00ED36B5"/>
    <w:rsid w:val="00ED476D"/>
    <w:rsid w:val="00ED6454"/>
    <w:rsid w:val="00ED7524"/>
    <w:rsid w:val="00EE034E"/>
    <w:rsid w:val="00EE066A"/>
    <w:rsid w:val="00EE102D"/>
    <w:rsid w:val="00EE1228"/>
    <w:rsid w:val="00EE1F87"/>
    <w:rsid w:val="00EE27BD"/>
    <w:rsid w:val="00EE2B41"/>
    <w:rsid w:val="00EE2BB5"/>
    <w:rsid w:val="00EE33CB"/>
    <w:rsid w:val="00EE3C80"/>
    <w:rsid w:val="00EE41D9"/>
    <w:rsid w:val="00EE46B6"/>
    <w:rsid w:val="00EE4D32"/>
    <w:rsid w:val="00EE5B36"/>
    <w:rsid w:val="00EE5EEB"/>
    <w:rsid w:val="00EE5F6E"/>
    <w:rsid w:val="00EE61CD"/>
    <w:rsid w:val="00EE6424"/>
    <w:rsid w:val="00EE6FE1"/>
    <w:rsid w:val="00EE7BDD"/>
    <w:rsid w:val="00EF1414"/>
    <w:rsid w:val="00EF1F52"/>
    <w:rsid w:val="00EF248A"/>
    <w:rsid w:val="00EF28AE"/>
    <w:rsid w:val="00EF2CFB"/>
    <w:rsid w:val="00EF36A5"/>
    <w:rsid w:val="00EF4029"/>
    <w:rsid w:val="00EF5D33"/>
    <w:rsid w:val="00F003D0"/>
    <w:rsid w:val="00F01792"/>
    <w:rsid w:val="00F01F9D"/>
    <w:rsid w:val="00F021DC"/>
    <w:rsid w:val="00F033C2"/>
    <w:rsid w:val="00F03DCA"/>
    <w:rsid w:val="00F03F31"/>
    <w:rsid w:val="00F05596"/>
    <w:rsid w:val="00F0601F"/>
    <w:rsid w:val="00F06AC0"/>
    <w:rsid w:val="00F06D1C"/>
    <w:rsid w:val="00F06D9E"/>
    <w:rsid w:val="00F07364"/>
    <w:rsid w:val="00F07F07"/>
    <w:rsid w:val="00F10984"/>
    <w:rsid w:val="00F114EF"/>
    <w:rsid w:val="00F127EE"/>
    <w:rsid w:val="00F13126"/>
    <w:rsid w:val="00F13604"/>
    <w:rsid w:val="00F13EDF"/>
    <w:rsid w:val="00F140CD"/>
    <w:rsid w:val="00F14885"/>
    <w:rsid w:val="00F14939"/>
    <w:rsid w:val="00F15A62"/>
    <w:rsid w:val="00F15B99"/>
    <w:rsid w:val="00F15E36"/>
    <w:rsid w:val="00F16EFB"/>
    <w:rsid w:val="00F16F54"/>
    <w:rsid w:val="00F20E0D"/>
    <w:rsid w:val="00F20E96"/>
    <w:rsid w:val="00F20EFA"/>
    <w:rsid w:val="00F20FBB"/>
    <w:rsid w:val="00F23E30"/>
    <w:rsid w:val="00F249F6"/>
    <w:rsid w:val="00F24C79"/>
    <w:rsid w:val="00F26BBD"/>
    <w:rsid w:val="00F26E61"/>
    <w:rsid w:val="00F26FA8"/>
    <w:rsid w:val="00F2759C"/>
    <w:rsid w:val="00F27CFC"/>
    <w:rsid w:val="00F303BD"/>
    <w:rsid w:val="00F3041A"/>
    <w:rsid w:val="00F30FCB"/>
    <w:rsid w:val="00F31355"/>
    <w:rsid w:val="00F321B6"/>
    <w:rsid w:val="00F321D5"/>
    <w:rsid w:val="00F3260E"/>
    <w:rsid w:val="00F32652"/>
    <w:rsid w:val="00F339AB"/>
    <w:rsid w:val="00F34AA2"/>
    <w:rsid w:val="00F34B76"/>
    <w:rsid w:val="00F351C3"/>
    <w:rsid w:val="00F3637B"/>
    <w:rsid w:val="00F36B0B"/>
    <w:rsid w:val="00F36BB4"/>
    <w:rsid w:val="00F373B6"/>
    <w:rsid w:val="00F37B07"/>
    <w:rsid w:val="00F4000A"/>
    <w:rsid w:val="00F404E6"/>
    <w:rsid w:val="00F40540"/>
    <w:rsid w:val="00F405FB"/>
    <w:rsid w:val="00F414AE"/>
    <w:rsid w:val="00F416A4"/>
    <w:rsid w:val="00F41AFA"/>
    <w:rsid w:val="00F41B32"/>
    <w:rsid w:val="00F41F6D"/>
    <w:rsid w:val="00F424D3"/>
    <w:rsid w:val="00F42504"/>
    <w:rsid w:val="00F429C3"/>
    <w:rsid w:val="00F42FEF"/>
    <w:rsid w:val="00F43093"/>
    <w:rsid w:val="00F432F4"/>
    <w:rsid w:val="00F4393C"/>
    <w:rsid w:val="00F46915"/>
    <w:rsid w:val="00F501FE"/>
    <w:rsid w:val="00F50BA2"/>
    <w:rsid w:val="00F50E27"/>
    <w:rsid w:val="00F51CB5"/>
    <w:rsid w:val="00F51EA6"/>
    <w:rsid w:val="00F52212"/>
    <w:rsid w:val="00F52493"/>
    <w:rsid w:val="00F52776"/>
    <w:rsid w:val="00F537E7"/>
    <w:rsid w:val="00F53B32"/>
    <w:rsid w:val="00F53FE3"/>
    <w:rsid w:val="00F54892"/>
    <w:rsid w:val="00F55123"/>
    <w:rsid w:val="00F57027"/>
    <w:rsid w:val="00F5737A"/>
    <w:rsid w:val="00F57EAA"/>
    <w:rsid w:val="00F57EFB"/>
    <w:rsid w:val="00F60776"/>
    <w:rsid w:val="00F60823"/>
    <w:rsid w:val="00F60EF7"/>
    <w:rsid w:val="00F61675"/>
    <w:rsid w:val="00F61C18"/>
    <w:rsid w:val="00F6219E"/>
    <w:rsid w:val="00F6262C"/>
    <w:rsid w:val="00F62F2A"/>
    <w:rsid w:val="00F63265"/>
    <w:rsid w:val="00F6434A"/>
    <w:rsid w:val="00F64778"/>
    <w:rsid w:val="00F64974"/>
    <w:rsid w:val="00F65589"/>
    <w:rsid w:val="00F65F0C"/>
    <w:rsid w:val="00F66509"/>
    <w:rsid w:val="00F66F49"/>
    <w:rsid w:val="00F6711B"/>
    <w:rsid w:val="00F7015B"/>
    <w:rsid w:val="00F70978"/>
    <w:rsid w:val="00F709E2"/>
    <w:rsid w:val="00F71A51"/>
    <w:rsid w:val="00F72635"/>
    <w:rsid w:val="00F73E0B"/>
    <w:rsid w:val="00F74183"/>
    <w:rsid w:val="00F74CDF"/>
    <w:rsid w:val="00F74EDE"/>
    <w:rsid w:val="00F7554F"/>
    <w:rsid w:val="00F765C1"/>
    <w:rsid w:val="00F77966"/>
    <w:rsid w:val="00F77E05"/>
    <w:rsid w:val="00F81283"/>
    <w:rsid w:val="00F8135D"/>
    <w:rsid w:val="00F82EAA"/>
    <w:rsid w:val="00F8379A"/>
    <w:rsid w:val="00F83CFD"/>
    <w:rsid w:val="00F8444A"/>
    <w:rsid w:val="00F84CCF"/>
    <w:rsid w:val="00F8520C"/>
    <w:rsid w:val="00F8570E"/>
    <w:rsid w:val="00F85CC7"/>
    <w:rsid w:val="00F85F51"/>
    <w:rsid w:val="00F8610A"/>
    <w:rsid w:val="00F864E7"/>
    <w:rsid w:val="00F869F1"/>
    <w:rsid w:val="00F87635"/>
    <w:rsid w:val="00F87CE4"/>
    <w:rsid w:val="00F9035B"/>
    <w:rsid w:val="00F906B3"/>
    <w:rsid w:val="00F90C5A"/>
    <w:rsid w:val="00F90FD9"/>
    <w:rsid w:val="00F916EF"/>
    <w:rsid w:val="00F921A5"/>
    <w:rsid w:val="00F92638"/>
    <w:rsid w:val="00F93347"/>
    <w:rsid w:val="00F93514"/>
    <w:rsid w:val="00F935F8"/>
    <w:rsid w:val="00F9387B"/>
    <w:rsid w:val="00F93CBF"/>
    <w:rsid w:val="00F94622"/>
    <w:rsid w:val="00F94EB2"/>
    <w:rsid w:val="00F951FF"/>
    <w:rsid w:val="00F95C97"/>
    <w:rsid w:val="00F963FB"/>
    <w:rsid w:val="00F96B44"/>
    <w:rsid w:val="00F96DCB"/>
    <w:rsid w:val="00F9738B"/>
    <w:rsid w:val="00F97EF4"/>
    <w:rsid w:val="00F97F99"/>
    <w:rsid w:val="00FA0476"/>
    <w:rsid w:val="00FA0EB4"/>
    <w:rsid w:val="00FA129C"/>
    <w:rsid w:val="00FA19BC"/>
    <w:rsid w:val="00FA1AC2"/>
    <w:rsid w:val="00FA1BB5"/>
    <w:rsid w:val="00FA1D68"/>
    <w:rsid w:val="00FA28D3"/>
    <w:rsid w:val="00FA5F2E"/>
    <w:rsid w:val="00FA6492"/>
    <w:rsid w:val="00FA6911"/>
    <w:rsid w:val="00FA6F53"/>
    <w:rsid w:val="00FA7729"/>
    <w:rsid w:val="00FA785C"/>
    <w:rsid w:val="00FA7DBE"/>
    <w:rsid w:val="00FB0024"/>
    <w:rsid w:val="00FB0429"/>
    <w:rsid w:val="00FB0D8E"/>
    <w:rsid w:val="00FB0EE3"/>
    <w:rsid w:val="00FB2270"/>
    <w:rsid w:val="00FB2C23"/>
    <w:rsid w:val="00FB30A9"/>
    <w:rsid w:val="00FB329D"/>
    <w:rsid w:val="00FB3A73"/>
    <w:rsid w:val="00FB43FB"/>
    <w:rsid w:val="00FB44AD"/>
    <w:rsid w:val="00FB538D"/>
    <w:rsid w:val="00FB591B"/>
    <w:rsid w:val="00FB5F16"/>
    <w:rsid w:val="00FB67D3"/>
    <w:rsid w:val="00FB6A8F"/>
    <w:rsid w:val="00FB6FA8"/>
    <w:rsid w:val="00FB721F"/>
    <w:rsid w:val="00FB7328"/>
    <w:rsid w:val="00FC03EE"/>
    <w:rsid w:val="00FC0C4F"/>
    <w:rsid w:val="00FC19F5"/>
    <w:rsid w:val="00FC227D"/>
    <w:rsid w:val="00FC3250"/>
    <w:rsid w:val="00FC3FD3"/>
    <w:rsid w:val="00FC41EF"/>
    <w:rsid w:val="00FC4487"/>
    <w:rsid w:val="00FC45E0"/>
    <w:rsid w:val="00FC472F"/>
    <w:rsid w:val="00FC5FFC"/>
    <w:rsid w:val="00FC7A50"/>
    <w:rsid w:val="00FC7BDD"/>
    <w:rsid w:val="00FD0093"/>
    <w:rsid w:val="00FD0D94"/>
    <w:rsid w:val="00FD0FCE"/>
    <w:rsid w:val="00FD158D"/>
    <w:rsid w:val="00FD26FF"/>
    <w:rsid w:val="00FD2F07"/>
    <w:rsid w:val="00FD3549"/>
    <w:rsid w:val="00FD4806"/>
    <w:rsid w:val="00FD4A07"/>
    <w:rsid w:val="00FD578B"/>
    <w:rsid w:val="00FD5C06"/>
    <w:rsid w:val="00FD5D85"/>
    <w:rsid w:val="00FD6C56"/>
    <w:rsid w:val="00FD7251"/>
    <w:rsid w:val="00FD7649"/>
    <w:rsid w:val="00FD76EF"/>
    <w:rsid w:val="00FD7E77"/>
    <w:rsid w:val="00FE0013"/>
    <w:rsid w:val="00FE0640"/>
    <w:rsid w:val="00FE0B6A"/>
    <w:rsid w:val="00FE0E12"/>
    <w:rsid w:val="00FE1A06"/>
    <w:rsid w:val="00FE2306"/>
    <w:rsid w:val="00FE2A84"/>
    <w:rsid w:val="00FE3136"/>
    <w:rsid w:val="00FE46BC"/>
    <w:rsid w:val="00FE49A5"/>
    <w:rsid w:val="00FE4C0E"/>
    <w:rsid w:val="00FE4E9D"/>
    <w:rsid w:val="00FE6BD0"/>
    <w:rsid w:val="00FE738A"/>
    <w:rsid w:val="00FE74DB"/>
    <w:rsid w:val="00FE772B"/>
    <w:rsid w:val="00FE7A9C"/>
    <w:rsid w:val="00FF032D"/>
    <w:rsid w:val="00FF05BC"/>
    <w:rsid w:val="00FF0D2F"/>
    <w:rsid w:val="00FF1188"/>
    <w:rsid w:val="00FF128B"/>
    <w:rsid w:val="00FF1D9A"/>
    <w:rsid w:val="00FF2336"/>
    <w:rsid w:val="00FF35FB"/>
    <w:rsid w:val="00FF381A"/>
    <w:rsid w:val="00FF435F"/>
    <w:rsid w:val="00FF5C01"/>
    <w:rsid w:val="00FF61BD"/>
    <w:rsid w:val="00FF642F"/>
    <w:rsid w:val="00FF73E5"/>
    <w:rsid w:val="012058AE"/>
    <w:rsid w:val="01583B45"/>
    <w:rsid w:val="018F993A"/>
    <w:rsid w:val="01B49C20"/>
    <w:rsid w:val="01C8D647"/>
    <w:rsid w:val="0239D75E"/>
    <w:rsid w:val="0258B85B"/>
    <w:rsid w:val="02622AD0"/>
    <w:rsid w:val="0272D806"/>
    <w:rsid w:val="02B32A07"/>
    <w:rsid w:val="02C881D2"/>
    <w:rsid w:val="02DCDBF9"/>
    <w:rsid w:val="02E38F08"/>
    <w:rsid w:val="02E8E977"/>
    <w:rsid w:val="02F34C8E"/>
    <w:rsid w:val="0329BBE8"/>
    <w:rsid w:val="033FDBF6"/>
    <w:rsid w:val="03465A21"/>
    <w:rsid w:val="0350BB78"/>
    <w:rsid w:val="0366BBE3"/>
    <w:rsid w:val="037F9DB1"/>
    <w:rsid w:val="0396C44B"/>
    <w:rsid w:val="03D1DBA2"/>
    <w:rsid w:val="03D8B8C0"/>
    <w:rsid w:val="0405EF76"/>
    <w:rsid w:val="043556A1"/>
    <w:rsid w:val="04876654"/>
    <w:rsid w:val="049018E7"/>
    <w:rsid w:val="04CC9D58"/>
    <w:rsid w:val="04E6CB11"/>
    <w:rsid w:val="04EA98F7"/>
    <w:rsid w:val="04EFAA04"/>
    <w:rsid w:val="04F9F1EF"/>
    <w:rsid w:val="0511D9EA"/>
    <w:rsid w:val="05272228"/>
    <w:rsid w:val="053BECAD"/>
    <w:rsid w:val="056E258C"/>
    <w:rsid w:val="057DFD6E"/>
    <w:rsid w:val="05A1155F"/>
    <w:rsid w:val="05A90776"/>
    <w:rsid w:val="05FCF37C"/>
    <w:rsid w:val="06053ADD"/>
    <w:rsid w:val="0611B79F"/>
    <w:rsid w:val="0616DCC5"/>
    <w:rsid w:val="061A9FEB"/>
    <w:rsid w:val="06203236"/>
    <w:rsid w:val="06514606"/>
    <w:rsid w:val="068289ED"/>
    <w:rsid w:val="06848A65"/>
    <w:rsid w:val="069823E7"/>
    <w:rsid w:val="069B148D"/>
    <w:rsid w:val="06BD18D8"/>
    <w:rsid w:val="06CFA60C"/>
    <w:rsid w:val="07620239"/>
    <w:rsid w:val="076F2B07"/>
    <w:rsid w:val="07B8FA04"/>
    <w:rsid w:val="07BECC0A"/>
    <w:rsid w:val="07D664CA"/>
    <w:rsid w:val="07DE38E0"/>
    <w:rsid w:val="07FA6028"/>
    <w:rsid w:val="08105668"/>
    <w:rsid w:val="08330975"/>
    <w:rsid w:val="0850FAAD"/>
    <w:rsid w:val="085F5810"/>
    <w:rsid w:val="088C9DBA"/>
    <w:rsid w:val="08A3C511"/>
    <w:rsid w:val="08B7CA68"/>
    <w:rsid w:val="08C399BE"/>
    <w:rsid w:val="08D29025"/>
    <w:rsid w:val="08EB5A10"/>
    <w:rsid w:val="08F4ECB1"/>
    <w:rsid w:val="090CEBFD"/>
    <w:rsid w:val="093660A3"/>
    <w:rsid w:val="09502C20"/>
    <w:rsid w:val="09638DFD"/>
    <w:rsid w:val="096CD5A9"/>
    <w:rsid w:val="096E70BD"/>
    <w:rsid w:val="09A45989"/>
    <w:rsid w:val="09B40965"/>
    <w:rsid w:val="09B41C77"/>
    <w:rsid w:val="09D2B54F"/>
    <w:rsid w:val="09D6B989"/>
    <w:rsid w:val="09E827DE"/>
    <w:rsid w:val="09FA03C4"/>
    <w:rsid w:val="0A286E1B"/>
    <w:rsid w:val="0A409E62"/>
    <w:rsid w:val="0A4A0071"/>
    <w:rsid w:val="0A4BE2B3"/>
    <w:rsid w:val="0A5C30B0"/>
    <w:rsid w:val="0A63661C"/>
    <w:rsid w:val="0A7F5644"/>
    <w:rsid w:val="0A875E2C"/>
    <w:rsid w:val="0A888940"/>
    <w:rsid w:val="0A93DC9C"/>
    <w:rsid w:val="0A965EB0"/>
    <w:rsid w:val="0AB7DCDD"/>
    <w:rsid w:val="0AC492A4"/>
    <w:rsid w:val="0AF0267B"/>
    <w:rsid w:val="0B0B7C28"/>
    <w:rsid w:val="0B1D0E9A"/>
    <w:rsid w:val="0B1FBDD6"/>
    <w:rsid w:val="0B9C5B42"/>
    <w:rsid w:val="0BC43E7C"/>
    <w:rsid w:val="0BC80089"/>
    <w:rsid w:val="0BD9ADCF"/>
    <w:rsid w:val="0BFEAF5F"/>
    <w:rsid w:val="0C109F1F"/>
    <w:rsid w:val="0C52D248"/>
    <w:rsid w:val="0C583AE8"/>
    <w:rsid w:val="0C65DF10"/>
    <w:rsid w:val="0C86C682"/>
    <w:rsid w:val="0C933E41"/>
    <w:rsid w:val="0CB68D32"/>
    <w:rsid w:val="0D4D4FFA"/>
    <w:rsid w:val="0D512851"/>
    <w:rsid w:val="0D85332C"/>
    <w:rsid w:val="0DB1A427"/>
    <w:rsid w:val="0E0C5F07"/>
    <w:rsid w:val="0E20D3C3"/>
    <w:rsid w:val="0E8CFE15"/>
    <w:rsid w:val="0E94A497"/>
    <w:rsid w:val="0EB10468"/>
    <w:rsid w:val="0EBB8EA6"/>
    <w:rsid w:val="0EC20F9C"/>
    <w:rsid w:val="0EC3236E"/>
    <w:rsid w:val="0F1D33D7"/>
    <w:rsid w:val="0F35BAF0"/>
    <w:rsid w:val="0F57FCF5"/>
    <w:rsid w:val="0F66295A"/>
    <w:rsid w:val="0F719C11"/>
    <w:rsid w:val="0F8B2051"/>
    <w:rsid w:val="0F8E062B"/>
    <w:rsid w:val="0F8E0770"/>
    <w:rsid w:val="0F9BDAE1"/>
    <w:rsid w:val="0FA02F8A"/>
    <w:rsid w:val="0FA9E040"/>
    <w:rsid w:val="0FCCD68F"/>
    <w:rsid w:val="0FE33860"/>
    <w:rsid w:val="0FF2A00B"/>
    <w:rsid w:val="10060572"/>
    <w:rsid w:val="1057659D"/>
    <w:rsid w:val="107576C5"/>
    <w:rsid w:val="1090FDB0"/>
    <w:rsid w:val="10DFDD45"/>
    <w:rsid w:val="10E17ED9"/>
    <w:rsid w:val="10ED7008"/>
    <w:rsid w:val="110E652A"/>
    <w:rsid w:val="113E5DF1"/>
    <w:rsid w:val="1150F451"/>
    <w:rsid w:val="1159E4B2"/>
    <w:rsid w:val="116F6D65"/>
    <w:rsid w:val="1176C1F5"/>
    <w:rsid w:val="1178CCE8"/>
    <w:rsid w:val="11CAD02D"/>
    <w:rsid w:val="11DB2E21"/>
    <w:rsid w:val="11E5FDF1"/>
    <w:rsid w:val="12276E70"/>
    <w:rsid w:val="123506E0"/>
    <w:rsid w:val="12529F9F"/>
    <w:rsid w:val="129BFC41"/>
    <w:rsid w:val="12AEE980"/>
    <w:rsid w:val="12BD4FB9"/>
    <w:rsid w:val="12C210CA"/>
    <w:rsid w:val="12E4C1F8"/>
    <w:rsid w:val="1331CC43"/>
    <w:rsid w:val="135AAD91"/>
    <w:rsid w:val="137F8373"/>
    <w:rsid w:val="13914958"/>
    <w:rsid w:val="13D9E8FE"/>
    <w:rsid w:val="13F4E19F"/>
    <w:rsid w:val="14293171"/>
    <w:rsid w:val="142FB5D0"/>
    <w:rsid w:val="143092C7"/>
    <w:rsid w:val="1435538D"/>
    <w:rsid w:val="1455CFB4"/>
    <w:rsid w:val="14C5782B"/>
    <w:rsid w:val="14CFC1F2"/>
    <w:rsid w:val="14E127B4"/>
    <w:rsid w:val="14F6D089"/>
    <w:rsid w:val="1501E381"/>
    <w:rsid w:val="15146C1F"/>
    <w:rsid w:val="155AADA6"/>
    <w:rsid w:val="15B11265"/>
    <w:rsid w:val="15BA123F"/>
    <w:rsid w:val="15C9B342"/>
    <w:rsid w:val="15D2F9A7"/>
    <w:rsid w:val="15D3FEA1"/>
    <w:rsid w:val="15F8F2C0"/>
    <w:rsid w:val="1659CB95"/>
    <w:rsid w:val="166E4C87"/>
    <w:rsid w:val="16711922"/>
    <w:rsid w:val="167C04F1"/>
    <w:rsid w:val="167D91A2"/>
    <w:rsid w:val="16D3A17D"/>
    <w:rsid w:val="16DE6F89"/>
    <w:rsid w:val="170673F8"/>
    <w:rsid w:val="174A54BC"/>
    <w:rsid w:val="174BFE42"/>
    <w:rsid w:val="17531FB3"/>
    <w:rsid w:val="17580F26"/>
    <w:rsid w:val="176FE02B"/>
    <w:rsid w:val="17AB2532"/>
    <w:rsid w:val="17C5B6AA"/>
    <w:rsid w:val="17C8A5AF"/>
    <w:rsid w:val="17CC1B67"/>
    <w:rsid w:val="17F1762A"/>
    <w:rsid w:val="180D8781"/>
    <w:rsid w:val="1831A7E5"/>
    <w:rsid w:val="1873072E"/>
    <w:rsid w:val="18BA0BA0"/>
    <w:rsid w:val="18C08240"/>
    <w:rsid w:val="18DE43BD"/>
    <w:rsid w:val="18E0D145"/>
    <w:rsid w:val="18F2FF95"/>
    <w:rsid w:val="18FF250B"/>
    <w:rsid w:val="1901BD45"/>
    <w:rsid w:val="19521ACE"/>
    <w:rsid w:val="196D2089"/>
    <w:rsid w:val="19747BF2"/>
    <w:rsid w:val="19B80A05"/>
    <w:rsid w:val="19BADA59"/>
    <w:rsid w:val="19F817BF"/>
    <w:rsid w:val="1A416535"/>
    <w:rsid w:val="1A6D74BA"/>
    <w:rsid w:val="1A8B6ECF"/>
    <w:rsid w:val="1AB4ED57"/>
    <w:rsid w:val="1B1FA3A0"/>
    <w:rsid w:val="1B49943C"/>
    <w:rsid w:val="1B600A21"/>
    <w:rsid w:val="1BA9ABB6"/>
    <w:rsid w:val="1BAE5B99"/>
    <w:rsid w:val="1BB3959A"/>
    <w:rsid w:val="1BB9E3CA"/>
    <w:rsid w:val="1BF7E35D"/>
    <w:rsid w:val="1C02C801"/>
    <w:rsid w:val="1C076A13"/>
    <w:rsid w:val="1C087359"/>
    <w:rsid w:val="1C0C5B44"/>
    <w:rsid w:val="1C1497E2"/>
    <w:rsid w:val="1CAF0FBE"/>
    <w:rsid w:val="1CB4D0C8"/>
    <w:rsid w:val="1CB4FCDC"/>
    <w:rsid w:val="1D075FB3"/>
    <w:rsid w:val="1D3C69D1"/>
    <w:rsid w:val="1D3CF158"/>
    <w:rsid w:val="1D4C68C3"/>
    <w:rsid w:val="1DB43433"/>
    <w:rsid w:val="1DC6D6C2"/>
    <w:rsid w:val="1DCE8334"/>
    <w:rsid w:val="1DD0F09B"/>
    <w:rsid w:val="1DE5970B"/>
    <w:rsid w:val="1DFA4712"/>
    <w:rsid w:val="1E273701"/>
    <w:rsid w:val="1E3BA19E"/>
    <w:rsid w:val="1E46C281"/>
    <w:rsid w:val="1E47B26A"/>
    <w:rsid w:val="1E498D5A"/>
    <w:rsid w:val="1EC5D1FE"/>
    <w:rsid w:val="1ECC08A6"/>
    <w:rsid w:val="1ED08D4B"/>
    <w:rsid w:val="1ED3BE76"/>
    <w:rsid w:val="1EEE6C94"/>
    <w:rsid w:val="1F0F6EC4"/>
    <w:rsid w:val="1F854532"/>
    <w:rsid w:val="1F8E7009"/>
    <w:rsid w:val="1FA878CB"/>
    <w:rsid w:val="1FACEB04"/>
    <w:rsid w:val="1FB13CD3"/>
    <w:rsid w:val="1FB342A1"/>
    <w:rsid w:val="2004F85B"/>
    <w:rsid w:val="20211768"/>
    <w:rsid w:val="203F054B"/>
    <w:rsid w:val="2041D684"/>
    <w:rsid w:val="2047ECC4"/>
    <w:rsid w:val="206BE052"/>
    <w:rsid w:val="209BA989"/>
    <w:rsid w:val="20A38520"/>
    <w:rsid w:val="20C4B8DE"/>
    <w:rsid w:val="210F8583"/>
    <w:rsid w:val="215B765C"/>
    <w:rsid w:val="216F0684"/>
    <w:rsid w:val="21A55E1C"/>
    <w:rsid w:val="21A5AA23"/>
    <w:rsid w:val="21CAE6EB"/>
    <w:rsid w:val="2234F1E7"/>
    <w:rsid w:val="2242D66B"/>
    <w:rsid w:val="226CBC6E"/>
    <w:rsid w:val="227454A8"/>
    <w:rsid w:val="22799062"/>
    <w:rsid w:val="227FBDBA"/>
    <w:rsid w:val="228A9500"/>
    <w:rsid w:val="22A956AC"/>
    <w:rsid w:val="22AF65F2"/>
    <w:rsid w:val="2309C79D"/>
    <w:rsid w:val="2320D401"/>
    <w:rsid w:val="23317CF7"/>
    <w:rsid w:val="233A7EE9"/>
    <w:rsid w:val="233E0CE2"/>
    <w:rsid w:val="235EAF54"/>
    <w:rsid w:val="23A11622"/>
    <w:rsid w:val="23A5689F"/>
    <w:rsid w:val="23CE91D5"/>
    <w:rsid w:val="242D7744"/>
    <w:rsid w:val="24345956"/>
    <w:rsid w:val="247BFACA"/>
    <w:rsid w:val="24B51FB0"/>
    <w:rsid w:val="25004C88"/>
    <w:rsid w:val="257E3A94"/>
    <w:rsid w:val="2594F190"/>
    <w:rsid w:val="25AD0B33"/>
    <w:rsid w:val="25AE5661"/>
    <w:rsid w:val="25CF9D1C"/>
    <w:rsid w:val="264194C9"/>
    <w:rsid w:val="2653F156"/>
    <w:rsid w:val="265ACEAF"/>
    <w:rsid w:val="265BDF22"/>
    <w:rsid w:val="2664A495"/>
    <w:rsid w:val="26AB4FF1"/>
    <w:rsid w:val="26AB8B17"/>
    <w:rsid w:val="26C2094C"/>
    <w:rsid w:val="26DCBB04"/>
    <w:rsid w:val="26F5EE03"/>
    <w:rsid w:val="277FFF69"/>
    <w:rsid w:val="27A88597"/>
    <w:rsid w:val="27DEC602"/>
    <w:rsid w:val="281ACFD1"/>
    <w:rsid w:val="285768CD"/>
    <w:rsid w:val="28610E52"/>
    <w:rsid w:val="28784BF1"/>
    <w:rsid w:val="2899756C"/>
    <w:rsid w:val="28A709E4"/>
    <w:rsid w:val="28EB95F6"/>
    <w:rsid w:val="28EE9FF3"/>
    <w:rsid w:val="28FE6138"/>
    <w:rsid w:val="290C86C8"/>
    <w:rsid w:val="29249EBB"/>
    <w:rsid w:val="2924D503"/>
    <w:rsid w:val="2928B4EC"/>
    <w:rsid w:val="292F8AB9"/>
    <w:rsid w:val="293A2ACD"/>
    <w:rsid w:val="293DB3D7"/>
    <w:rsid w:val="297392F3"/>
    <w:rsid w:val="297A67E7"/>
    <w:rsid w:val="29901FEC"/>
    <w:rsid w:val="29CD404E"/>
    <w:rsid w:val="29E240B0"/>
    <w:rsid w:val="29EBDBEB"/>
    <w:rsid w:val="2A37466A"/>
    <w:rsid w:val="2A715702"/>
    <w:rsid w:val="2A955747"/>
    <w:rsid w:val="2AB750A9"/>
    <w:rsid w:val="2ACF549C"/>
    <w:rsid w:val="2AFBC6C8"/>
    <w:rsid w:val="2B0924E9"/>
    <w:rsid w:val="2B1A6B1B"/>
    <w:rsid w:val="2B31975B"/>
    <w:rsid w:val="2B3AFFCB"/>
    <w:rsid w:val="2B3CDC94"/>
    <w:rsid w:val="2B3D0337"/>
    <w:rsid w:val="2BB0CC57"/>
    <w:rsid w:val="2C078E28"/>
    <w:rsid w:val="2C270D5D"/>
    <w:rsid w:val="2C310722"/>
    <w:rsid w:val="2C4B5382"/>
    <w:rsid w:val="2C79A4A6"/>
    <w:rsid w:val="2C91C973"/>
    <w:rsid w:val="2CB40639"/>
    <w:rsid w:val="2CF04889"/>
    <w:rsid w:val="2CF3B67E"/>
    <w:rsid w:val="2D1583AD"/>
    <w:rsid w:val="2D2A97B0"/>
    <w:rsid w:val="2D2BA76F"/>
    <w:rsid w:val="2D83A7D9"/>
    <w:rsid w:val="2D8F7159"/>
    <w:rsid w:val="2D92D95C"/>
    <w:rsid w:val="2DA393DA"/>
    <w:rsid w:val="2DB0A5BD"/>
    <w:rsid w:val="2DC8E455"/>
    <w:rsid w:val="2DDDEF91"/>
    <w:rsid w:val="2E071BD2"/>
    <w:rsid w:val="2E2C95D8"/>
    <w:rsid w:val="2E332625"/>
    <w:rsid w:val="2E57AF92"/>
    <w:rsid w:val="2E9A296B"/>
    <w:rsid w:val="2EBC0E9E"/>
    <w:rsid w:val="2EDEAA71"/>
    <w:rsid w:val="2EE514C2"/>
    <w:rsid w:val="2F3FC2AB"/>
    <w:rsid w:val="2F4A9D0A"/>
    <w:rsid w:val="2F58630C"/>
    <w:rsid w:val="2F5A6629"/>
    <w:rsid w:val="2F79EF41"/>
    <w:rsid w:val="2FD1075A"/>
    <w:rsid w:val="2FD96A63"/>
    <w:rsid w:val="301037EC"/>
    <w:rsid w:val="302706BB"/>
    <w:rsid w:val="305CC0E3"/>
    <w:rsid w:val="306F3274"/>
    <w:rsid w:val="30837A80"/>
    <w:rsid w:val="308C4023"/>
    <w:rsid w:val="30A4514C"/>
    <w:rsid w:val="30B30034"/>
    <w:rsid w:val="30BB498C"/>
    <w:rsid w:val="30E76E82"/>
    <w:rsid w:val="30F33745"/>
    <w:rsid w:val="31239F4F"/>
    <w:rsid w:val="3143FA8F"/>
    <w:rsid w:val="31709A40"/>
    <w:rsid w:val="3185CF17"/>
    <w:rsid w:val="318D906F"/>
    <w:rsid w:val="31A176B8"/>
    <w:rsid w:val="31B1498D"/>
    <w:rsid w:val="31EF4F1A"/>
    <w:rsid w:val="321AC8E9"/>
    <w:rsid w:val="321F2F91"/>
    <w:rsid w:val="324301E8"/>
    <w:rsid w:val="3292CC78"/>
    <w:rsid w:val="336A13A3"/>
    <w:rsid w:val="337D3873"/>
    <w:rsid w:val="3382A66B"/>
    <w:rsid w:val="338C06E6"/>
    <w:rsid w:val="33F5F532"/>
    <w:rsid w:val="33FE8B68"/>
    <w:rsid w:val="3416D3D7"/>
    <w:rsid w:val="342C7153"/>
    <w:rsid w:val="34427CA5"/>
    <w:rsid w:val="344B6F7B"/>
    <w:rsid w:val="3452520C"/>
    <w:rsid w:val="3470043F"/>
    <w:rsid w:val="34791F87"/>
    <w:rsid w:val="347A0E90"/>
    <w:rsid w:val="347A9396"/>
    <w:rsid w:val="348EABE6"/>
    <w:rsid w:val="34A99448"/>
    <w:rsid w:val="34AB4C8B"/>
    <w:rsid w:val="3513D147"/>
    <w:rsid w:val="356E0286"/>
    <w:rsid w:val="358FC282"/>
    <w:rsid w:val="35952636"/>
    <w:rsid w:val="35BBD0EA"/>
    <w:rsid w:val="35EB566E"/>
    <w:rsid w:val="35FEBD4B"/>
    <w:rsid w:val="3610EE74"/>
    <w:rsid w:val="362EC69A"/>
    <w:rsid w:val="363D30BE"/>
    <w:rsid w:val="363E0130"/>
    <w:rsid w:val="36613CCB"/>
    <w:rsid w:val="366EB77D"/>
    <w:rsid w:val="36A7A1BB"/>
    <w:rsid w:val="36AC6C68"/>
    <w:rsid w:val="36AFE1D1"/>
    <w:rsid w:val="36B71D59"/>
    <w:rsid w:val="36CEB281"/>
    <w:rsid w:val="36E8B55E"/>
    <w:rsid w:val="36F3D16E"/>
    <w:rsid w:val="3740714E"/>
    <w:rsid w:val="3765C97F"/>
    <w:rsid w:val="37A8CAD6"/>
    <w:rsid w:val="37D52E0C"/>
    <w:rsid w:val="37D557B9"/>
    <w:rsid w:val="38381053"/>
    <w:rsid w:val="3867F43D"/>
    <w:rsid w:val="38797107"/>
    <w:rsid w:val="38BD2470"/>
    <w:rsid w:val="39233813"/>
    <w:rsid w:val="3986D21C"/>
    <w:rsid w:val="399868D7"/>
    <w:rsid w:val="39A3361F"/>
    <w:rsid w:val="39A97DF2"/>
    <w:rsid w:val="3A01CA2C"/>
    <w:rsid w:val="3A16E945"/>
    <w:rsid w:val="3A2E3D58"/>
    <w:rsid w:val="3A36278A"/>
    <w:rsid w:val="3A4478D8"/>
    <w:rsid w:val="3A9BCC48"/>
    <w:rsid w:val="3AD9F688"/>
    <w:rsid w:val="3AF8D4B9"/>
    <w:rsid w:val="3B095153"/>
    <w:rsid w:val="3B1EB214"/>
    <w:rsid w:val="3B5A7A3C"/>
    <w:rsid w:val="3B6233D3"/>
    <w:rsid w:val="3BEAFA2B"/>
    <w:rsid w:val="3C0637DE"/>
    <w:rsid w:val="3C0CA217"/>
    <w:rsid w:val="3C2A6309"/>
    <w:rsid w:val="3C4483D1"/>
    <w:rsid w:val="3C5C7967"/>
    <w:rsid w:val="3CB7388E"/>
    <w:rsid w:val="3D1F7F7C"/>
    <w:rsid w:val="3D4216BD"/>
    <w:rsid w:val="3D625DC5"/>
    <w:rsid w:val="3D64826E"/>
    <w:rsid w:val="3D74621C"/>
    <w:rsid w:val="3DCFE90A"/>
    <w:rsid w:val="3DFB2FFA"/>
    <w:rsid w:val="3E0F1871"/>
    <w:rsid w:val="3E1CA077"/>
    <w:rsid w:val="3E4C10C2"/>
    <w:rsid w:val="3E8FF776"/>
    <w:rsid w:val="3E93FC24"/>
    <w:rsid w:val="3EAFA9D1"/>
    <w:rsid w:val="3EC31624"/>
    <w:rsid w:val="3ED214E4"/>
    <w:rsid w:val="3EDA7802"/>
    <w:rsid w:val="3EDE756A"/>
    <w:rsid w:val="3F00EE3B"/>
    <w:rsid w:val="3F1ECA87"/>
    <w:rsid w:val="3F29D545"/>
    <w:rsid w:val="3FA57B7C"/>
    <w:rsid w:val="3FCCE266"/>
    <w:rsid w:val="3FD03FFD"/>
    <w:rsid w:val="3FE50A39"/>
    <w:rsid w:val="3FEC46BC"/>
    <w:rsid w:val="3FF5738B"/>
    <w:rsid w:val="403E6B36"/>
    <w:rsid w:val="4046D712"/>
    <w:rsid w:val="408A9076"/>
    <w:rsid w:val="408F905B"/>
    <w:rsid w:val="40900C1A"/>
    <w:rsid w:val="409596BD"/>
    <w:rsid w:val="40A8DC79"/>
    <w:rsid w:val="40BF108D"/>
    <w:rsid w:val="40CF2A7A"/>
    <w:rsid w:val="41272415"/>
    <w:rsid w:val="413F5139"/>
    <w:rsid w:val="41622B8E"/>
    <w:rsid w:val="417300FE"/>
    <w:rsid w:val="41AD2224"/>
    <w:rsid w:val="41C51595"/>
    <w:rsid w:val="41DAC727"/>
    <w:rsid w:val="41E105BA"/>
    <w:rsid w:val="41EEB78F"/>
    <w:rsid w:val="4222CCE0"/>
    <w:rsid w:val="425B8936"/>
    <w:rsid w:val="4272B7D5"/>
    <w:rsid w:val="427A483E"/>
    <w:rsid w:val="42922DA8"/>
    <w:rsid w:val="42A1A7DE"/>
    <w:rsid w:val="42EE0666"/>
    <w:rsid w:val="42F796A9"/>
    <w:rsid w:val="431D18A1"/>
    <w:rsid w:val="432E7934"/>
    <w:rsid w:val="4331CC6F"/>
    <w:rsid w:val="4358EBAD"/>
    <w:rsid w:val="435912F3"/>
    <w:rsid w:val="43C7A5DD"/>
    <w:rsid w:val="43C843A3"/>
    <w:rsid w:val="43F272D1"/>
    <w:rsid w:val="43FD726D"/>
    <w:rsid w:val="4401F0E8"/>
    <w:rsid w:val="4407B23E"/>
    <w:rsid w:val="442732B9"/>
    <w:rsid w:val="44392C66"/>
    <w:rsid w:val="445E6931"/>
    <w:rsid w:val="44C3E779"/>
    <w:rsid w:val="44DB6D3A"/>
    <w:rsid w:val="44DC6D7B"/>
    <w:rsid w:val="4537E74E"/>
    <w:rsid w:val="45529439"/>
    <w:rsid w:val="45644906"/>
    <w:rsid w:val="459CE59C"/>
    <w:rsid w:val="45FB4FD0"/>
    <w:rsid w:val="4608B617"/>
    <w:rsid w:val="4643E881"/>
    <w:rsid w:val="4658FDEC"/>
    <w:rsid w:val="466BEFDE"/>
    <w:rsid w:val="4684CEA5"/>
    <w:rsid w:val="46AD6466"/>
    <w:rsid w:val="46E13063"/>
    <w:rsid w:val="46EA2CB4"/>
    <w:rsid w:val="470345C5"/>
    <w:rsid w:val="47176464"/>
    <w:rsid w:val="471FFFB9"/>
    <w:rsid w:val="4726F0A2"/>
    <w:rsid w:val="47346304"/>
    <w:rsid w:val="474832AD"/>
    <w:rsid w:val="4793441D"/>
    <w:rsid w:val="47E3FB07"/>
    <w:rsid w:val="47FFAC0C"/>
    <w:rsid w:val="4801CE2D"/>
    <w:rsid w:val="4812BC40"/>
    <w:rsid w:val="48209F06"/>
    <w:rsid w:val="4836D2C7"/>
    <w:rsid w:val="4837E08F"/>
    <w:rsid w:val="485F10B2"/>
    <w:rsid w:val="48614E32"/>
    <w:rsid w:val="48F030AA"/>
    <w:rsid w:val="4900FA6F"/>
    <w:rsid w:val="4910A489"/>
    <w:rsid w:val="4911B031"/>
    <w:rsid w:val="491F8FB9"/>
    <w:rsid w:val="4921B18C"/>
    <w:rsid w:val="493FE0D6"/>
    <w:rsid w:val="4951006E"/>
    <w:rsid w:val="4968BE04"/>
    <w:rsid w:val="496A98FE"/>
    <w:rsid w:val="49BC6F67"/>
    <w:rsid w:val="49E86CEF"/>
    <w:rsid w:val="4A03787A"/>
    <w:rsid w:val="4A0998E0"/>
    <w:rsid w:val="4A125983"/>
    <w:rsid w:val="4A1CBB1C"/>
    <w:rsid w:val="4A47448B"/>
    <w:rsid w:val="4A5CD550"/>
    <w:rsid w:val="4A8FD901"/>
    <w:rsid w:val="4A939CCD"/>
    <w:rsid w:val="4AA09A2F"/>
    <w:rsid w:val="4ABF3E32"/>
    <w:rsid w:val="4ADB0539"/>
    <w:rsid w:val="4B0B8DD7"/>
    <w:rsid w:val="4B4A5D02"/>
    <w:rsid w:val="4B59D888"/>
    <w:rsid w:val="4B85B15E"/>
    <w:rsid w:val="4B88BC2B"/>
    <w:rsid w:val="4BC477E4"/>
    <w:rsid w:val="4BDEFDF1"/>
    <w:rsid w:val="4C2BB0BF"/>
    <w:rsid w:val="4C3EE09F"/>
    <w:rsid w:val="4C3F775D"/>
    <w:rsid w:val="4C7CA582"/>
    <w:rsid w:val="4C91C0A3"/>
    <w:rsid w:val="4CD971BF"/>
    <w:rsid w:val="4D19D504"/>
    <w:rsid w:val="4D41269E"/>
    <w:rsid w:val="4D69720F"/>
    <w:rsid w:val="4D7EE54D"/>
    <w:rsid w:val="4D964D64"/>
    <w:rsid w:val="4DD6FD18"/>
    <w:rsid w:val="4DF87A9B"/>
    <w:rsid w:val="4E099B3E"/>
    <w:rsid w:val="4E4DB2CE"/>
    <w:rsid w:val="4E58787A"/>
    <w:rsid w:val="4E5EEE0A"/>
    <w:rsid w:val="4E77ADC1"/>
    <w:rsid w:val="4E898D46"/>
    <w:rsid w:val="4EE43552"/>
    <w:rsid w:val="4F0765B0"/>
    <w:rsid w:val="4F0DCBB9"/>
    <w:rsid w:val="4F12D142"/>
    <w:rsid w:val="4F6098F6"/>
    <w:rsid w:val="4F61AA9A"/>
    <w:rsid w:val="4F798834"/>
    <w:rsid w:val="4F7B517A"/>
    <w:rsid w:val="4F9B9D14"/>
    <w:rsid w:val="4FA7F513"/>
    <w:rsid w:val="4FBACD84"/>
    <w:rsid w:val="4FCEDAFD"/>
    <w:rsid w:val="5022CFEC"/>
    <w:rsid w:val="50C2CD18"/>
    <w:rsid w:val="5119E0C0"/>
    <w:rsid w:val="511A02F6"/>
    <w:rsid w:val="511F5231"/>
    <w:rsid w:val="51501426"/>
    <w:rsid w:val="51548701"/>
    <w:rsid w:val="51895326"/>
    <w:rsid w:val="5193B558"/>
    <w:rsid w:val="51C5F284"/>
    <w:rsid w:val="51CADD4D"/>
    <w:rsid w:val="51FAC8C4"/>
    <w:rsid w:val="521F6AD3"/>
    <w:rsid w:val="523E8050"/>
    <w:rsid w:val="52C2FEAF"/>
    <w:rsid w:val="52E0F448"/>
    <w:rsid w:val="52E4DDF9"/>
    <w:rsid w:val="52E9B4EC"/>
    <w:rsid w:val="532E4CFE"/>
    <w:rsid w:val="5399962E"/>
    <w:rsid w:val="53A9DE12"/>
    <w:rsid w:val="53AD76D6"/>
    <w:rsid w:val="53BDA268"/>
    <w:rsid w:val="53C85928"/>
    <w:rsid w:val="53CDE405"/>
    <w:rsid w:val="53D358EF"/>
    <w:rsid w:val="53DED80F"/>
    <w:rsid w:val="540AC78A"/>
    <w:rsid w:val="544C407D"/>
    <w:rsid w:val="548A54B2"/>
    <w:rsid w:val="54A35D1E"/>
    <w:rsid w:val="54C25DA9"/>
    <w:rsid w:val="54D887D2"/>
    <w:rsid w:val="550D51FC"/>
    <w:rsid w:val="554EBCE4"/>
    <w:rsid w:val="555A34AB"/>
    <w:rsid w:val="55692098"/>
    <w:rsid w:val="559F084A"/>
    <w:rsid w:val="55B28A8C"/>
    <w:rsid w:val="55D6203F"/>
    <w:rsid w:val="55E262CD"/>
    <w:rsid w:val="560421DA"/>
    <w:rsid w:val="562155AE"/>
    <w:rsid w:val="5627D9D6"/>
    <w:rsid w:val="5643DD6A"/>
    <w:rsid w:val="56468E05"/>
    <w:rsid w:val="56660B46"/>
    <w:rsid w:val="56706BD7"/>
    <w:rsid w:val="5672AC83"/>
    <w:rsid w:val="5674E414"/>
    <w:rsid w:val="568765C8"/>
    <w:rsid w:val="5691514F"/>
    <w:rsid w:val="56B24DA1"/>
    <w:rsid w:val="570F607A"/>
    <w:rsid w:val="572AF5D4"/>
    <w:rsid w:val="5739624F"/>
    <w:rsid w:val="5767AA3F"/>
    <w:rsid w:val="578310E2"/>
    <w:rsid w:val="578BE2AD"/>
    <w:rsid w:val="5796A854"/>
    <w:rsid w:val="579FF23B"/>
    <w:rsid w:val="57D9B763"/>
    <w:rsid w:val="57DE54AA"/>
    <w:rsid w:val="57E15965"/>
    <w:rsid w:val="57E547D5"/>
    <w:rsid w:val="5823CC56"/>
    <w:rsid w:val="58268B82"/>
    <w:rsid w:val="585564FF"/>
    <w:rsid w:val="587A2652"/>
    <w:rsid w:val="588188DC"/>
    <w:rsid w:val="5883C069"/>
    <w:rsid w:val="58BB05F9"/>
    <w:rsid w:val="58C5C007"/>
    <w:rsid w:val="58CFA2F7"/>
    <w:rsid w:val="590AE54A"/>
    <w:rsid w:val="590DF55B"/>
    <w:rsid w:val="5915A59F"/>
    <w:rsid w:val="5953EB1A"/>
    <w:rsid w:val="595A8670"/>
    <w:rsid w:val="5971E497"/>
    <w:rsid w:val="59992386"/>
    <w:rsid w:val="59A61689"/>
    <w:rsid w:val="59A7B4FE"/>
    <w:rsid w:val="59F1C240"/>
    <w:rsid w:val="5A3BEAC2"/>
    <w:rsid w:val="5A443FF8"/>
    <w:rsid w:val="5A489E9F"/>
    <w:rsid w:val="5A499235"/>
    <w:rsid w:val="5A6965F2"/>
    <w:rsid w:val="5A7659EE"/>
    <w:rsid w:val="5A76C156"/>
    <w:rsid w:val="5A78C505"/>
    <w:rsid w:val="5A8FB8DD"/>
    <w:rsid w:val="5A913B05"/>
    <w:rsid w:val="5AAF5793"/>
    <w:rsid w:val="5B124EEC"/>
    <w:rsid w:val="5B231923"/>
    <w:rsid w:val="5B2758D1"/>
    <w:rsid w:val="5B2AEF10"/>
    <w:rsid w:val="5B5982A2"/>
    <w:rsid w:val="5B6E4C35"/>
    <w:rsid w:val="5B8AAFF7"/>
    <w:rsid w:val="5B929E26"/>
    <w:rsid w:val="5BB48DFB"/>
    <w:rsid w:val="5BB9C76D"/>
    <w:rsid w:val="5BBC3A96"/>
    <w:rsid w:val="5BBE7A52"/>
    <w:rsid w:val="5BDEDBB6"/>
    <w:rsid w:val="5BF54E19"/>
    <w:rsid w:val="5C0CEDD4"/>
    <w:rsid w:val="5C1CD567"/>
    <w:rsid w:val="5C3DD713"/>
    <w:rsid w:val="5C5711F3"/>
    <w:rsid w:val="5C88828C"/>
    <w:rsid w:val="5C9F42CC"/>
    <w:rsid w:val="5CE202DD"/>
    <w:rsid w:val="5CFECA05"/>
    <w:rsid w:val="5D71F935"/>
    <w:rsid w:val="5DA32A76"/>
    <w:rsid w:val="5DB92714"/>
    <w:rsid w:val="5DDB089E"/>
    <w:rsid w:val="5DE4CE89"/>
    <w:rsid w:val="5E1D6E16"/>
    <w:rsid w:val="5E2DD3EC"/>
    <w:rsid w:val="5E37F2DD"/>
    <w:rsid w:val="5E49BC44"/>
    <w:rsid w:val="5EA26A7D"/>
    <w:rsid w:val="5EBA5FEB"/>
    <w:rsid w:val="5EDF29A1"/>
    <w:rsid w:val="5EE04326"/>
    <w:rsid w:val="5EF883FF"/>
    <w:rsid w:val="5F268D40"/>
    <w:rsid w:val="5F5993C7"/>
    <w:rsid w:val="5FC1B2ED"/>
    <w:rsid w:val="5FDC7136"/>
    <w:rsid w:val="5FF6582A"/>
    <w:rsid w:val="6045A999"/>
    <w:rsid w:val="60765C0F"/>
    <w:rsid w:val="60794497"/>
    <w:rsid w:val="6081F579"/>
    <w:rsid w:val="6109904D"/>
    <w:rsid w:val="6158CDCE"/>
    <w:rsid w:val="615CAC27"/>
    <w:rsid w:val="61DB2177"/>
    <w:rsid w:val="61EDCD9A"/>
    <w:rsid w:val="61F2B823"/>
    <w:rsid w:val="62066FF6"/>
    <w:rsid w:val="620F9C32"/>
    <w:rsid w:val="6227D00C"/>
    <w:rsid w:val="622FD8C4"/>
    <w:rsid w:val="624D2001"/>
    <w:rsid w:val="625F0ED5"/>
    <w:rsid w:val="62916D75"/>
    <w:rsid w:val="62AF4278"/>
    <w:rsid w:val="62BE753C"/>
    <w:rsid w:val="62C15F8A"/>
    <w:rsid w:val="62C7CC85"/>
    <w:rsid w:val="62F95601"/>
    <w:rsid w:val="633AB4F7"/>
    <w:rsid w:val="6341FCF4"/>
    <w:rsid w:val="6385543D"/>
    <w:rsid w:val="63AB4D08"/>
    <w:rsid w:val="640B7C33"/>
    <w:rsid w:val="64886581"/>
    <w:rsid w:val="6491096B"/>
    <w:rsid w:val="649E8F0C"/>
    <w:rsid w:val="64A211BB"/>
    <w:rsid w:val="64D5C492"/>
    <w:rsid w:val="64E970E8"/>
    <w:rsid w:val="64EB6DA3"/>
    <w:rsid w:val="64FE47A4"/>
    <w:rsid w:val="6508226D"/>
    <w:rsid w:val="6512EC50"/>
    <w:rsid w:val="6515210F"/>
    <w:rsid w:val="65212E72"/>
    <w:rsid w:val="653D2877"/>
    <w:rsid w:val="654047EB"/>
    <w:rsid w:val="65529C32"/>
    <w:rsid w:val="657E9D49"/>
    <w:rsid w:val="659C2E36"/>
    <w:rsid w:val="65BF3FB5"/>
    <w:rsid w:val="65C21416"/>
    <w:rsid w:val="65CED9BF"/>
    <w:rsid w:val="65CEE2F9"/>
    <w:rsid w:val="65DA750F"/>
    <w:rsid w:val="65ECEBF7"/>
    <w:rsid w:val="65F644BF"/>
    <w:rsid w:val="66301659"/>
    <w:rsid w:val="663A52F4"/>
    <w:rsid w:val="6647F544"/>
    <w:rsid w:val="66496A0B"/>
    <w:rsid w:val="66552DCF"/>
    <w:rsid w:val="665859CC"/>
    <w:rsid w:val="66887C68"/>
    <w:rsid w:val="66B55F72"/>
    <w:rsid w:val="66D0FBE4"/>
    <w:rsid w:val="6720FB8D"/>
    <w:rsid w:val="6740EC60"/>
    <w:rsid w:val="674BD411"/>
    <w:rsid w:val="67529019"/>
    <w:rsid w:val="676EDE0C"/>
    <w:rsid w:val="67F2FFF7"/>
    <w:rsid w:val="68052A07"/>
    <w:rsid w:val="6818FE66"/>
    <w:rsid w:val="6838C030"/>
    <w:rsid w:val="68430295"/>
    <w:rsid w:val="68B9665F"/>
    <w:rsid w:val="68BA7B93"/>
    <w:rsid w:val="68CBF008"/>
    <w:rsid w:val="68CF6C31"/>
    <w:rsid w:val="691A68B0"/>
    <w:rsid w:val="6931052D"/>
    <w:rsid w:val="6943146C"/>
    <w:rsid w:val="696749EE"/>
    <w:rsid w:val="69767633"/>
    <w:rsid w:val="6985E390"/>
    <w:rsid w:val="699827E2"/>
    <w:rsid w:val="69A8A9C8"/>
    <w:rsid w:val="69AA3EAD"/>
    <w:rsid w:val="69B5C5AA"/>
    <w:rsid w:val="69C12695"/>
    <w:rsid w:val="69D53172"/>
    <w:rsid w:val="6A0BD16A"/>
    <w:rsid w:val="6A1EADF1"/>
    <w:rsid w:val="6A2773E5"/>
    <w:rsid w:val="6A2E4705"/>
    <w:rsid w:val="6A8D3349"/>
    <w:rsid w:val="6AB0F312"/>
    <w:rsid w:val="6AE21CC2"/>
    <w:rsid w:val="6B1395B3"/>
    <w:rsid w:val="6B3838BA"/>
    <w:rsid w:val="6B39D7F5"/>
    <w:rsid w:val="6B67B4C1"/>
    <w:rsid w:val="6B7101D3"/>
    <w:rsid w:val="6B961E3F"/>
    <w:rsid w:val="6B9DD45F"/>
    <w:rsid w:val="6BAF9D47"/>
    <w:rsid w:val="6BEEA875"/>
    <w:rsid w:val="6BF9EED6"/>
    <w:rsid w:val="6BFAEAEE"/>
    <w:rsid w:val="6C57C324"/>
    <w:rsid w:val="6CA224A1"/>
    <w:rsid w:val="6CCCB1A0"/>
    <w:rsid w:val="6CD620F6"/>
    <w:rsid w:val="6CE81B46"/>
    <w:rsid w:val="6CE8B740"/>
    <w:rsid w:val="6CEF4953"/>
    <w:rsid w:val="6D031AD5"/>
    <w:rsid w:val="6D0E9F38"/>
    <w:rsid w:val="6D243850"/>
    <w:rsid w:val="6D3B2CBB"/>
    <w:rsid w:val="6DB8EEBE"/>
    <w:rsid w:val="6DBCAB53"/>
    <w:rsid w:val="6DCC7468"/>
    <w:rsid w:val="6DD3E730"/>
    <w:rsid w:val="6DE41E66"/>
    <w:rsid w:val="6DFA10F4"/>
    <w:rsid w:val="6E002A22"/>
    <w:rsid w:val="6E076291"/>
    <w:rsid w:val="6E0B4144"/>
    <w:rsid w:val="6E1BAFC8"/>
    <w:rsid w:val="6E337AA8"/>
    <w:rsid w:val="6EBB8771"/>
    <w:rsid w:val="6F28CC11"/>
    <w:rsid w:val="6F3BFA07"/>
    <w:rsid w:val="6F6952BB"/>
    <w:rsid w:val="6F7730E0"/>
    <w:rsid w:val="6FB8ECC3"/>
    <w:rsid w:val="6FC24D9C"/>
    <w:rsid w:val="6FDF666D"/>
    <w:rsid w:val="6FE4D3FE"/>
    <w:rsid w:val="6FEA29E3"/>
    <w:rsid w:val="70226410"/>
    <w:rsid w:val="7038EDF4"/>
    <w:rsid w:val="70492E22"/>
    <w:rsid w:val="704BC3DB"/>
    <w:rsid w:val="705473FA"/>
    <w:rsid w:val="70CAB1B1"/>
    <w:rsid w:val="70D4B6EA"/>
    <w:rsid w:val="70DB5B30"/>
    <w:rsid w:val="71101563"/>
    <w:rsid w:val="7130713E"/>
    <w:rsid w:val="713C34C7"/>
    <w:rsid w:val="71411686"/>
    <w:rsid w:val="7143248E"/>
    <w:rsid w:val="71461FFE"/>
    <w:rsid w:val="71A2D42B"/>
    <w:rsid w:val="71B393B2"/>
    <w:rsid w:val="71F59D77"/>
    <w:rsid w:val="72149BB1"/>
    <w:rsid w:val="7235F538"/>
    <w:rsid w:val="725933C7"/>
    <w:rsid w:val="7273B82E"/>
    <w:rsid w:val="7281A740"/>
    <w:rsid w:val="7283DF39"/>
    <w:rsid w:val="72980F98"/>
    <w:rsid w:val="72B5C2C1"/>
    <w:rsid w:val="72C44B1B"/>
    <w:rsid w:val="72DF9471"/>
    <w:rsid w:val="7306D56D"/>
    <w:rsid w:val="73148C2B"/>
    <w:rsid w:val="7343F689"/>
    <w:rsid w:val="736AAD23"/>
    <w:rsid w:val="737074D6"/>
    <w:rsid w:val="7372BD8D"/>
    <w:rsid w:val="737A9543"/>
    <w:rsid w:val="739F68E6"/>
    <w:rsid w:val="73FE7B9E"/>
    <w:rsid w:val="740D12EE"/>
    <w:rsid w:val="749B57FC"/>
    <w:rsid w:val="74CE89CB"/>
    <w:rsid w:val="74EBF96B"/>
    <w:rsid w:val="75418395"/>
    <w:rsid w:val="75622A73"/>
    <w:rsid w:val="75826C4F"/>
    <w:rsid w:val="75839855"/>
    <w:rsid w:val="758FD4AD"/>
    <w:rsid w:val="75AD457B"/>
    <w:rsid w:val="75E7605E"/>
    <w:rsid w:val="760ABBCB"/>
    <w:rsid w:val="76563405"/>
    <w:rsid w:val="767D033C"/>
    <w:rsid w:val="76878141"/>
    <w:rsid w:val="76A55CDC"/>
    <w:rsid w:val="76CB5922"/>
    <w:rsid w:val="76EE1487"/>
    <w:rsid w:val="7704B7BD"/>
    <w:rsid w:val="772BB423"/>
    <w:rsid w:val="7735B1CA"/>
    <w:rsid w:val="773965A3"/>
    <w:rsid w:val="773CEE9D"/>
    <w:rsid w:val="77618683"/>
    <w:rsid w:val="776DCD9C"/>
    <w:rsid w:val="77ACE5B6"/>
    <w:rsid w:val="77CC0D58"/>
    <w:rsid w:val="77DD0DA3"/>
    <w:rsid w:val="77DFD333"/>
    <w:rsid w:val="78060B35"/>
    <w:rsid w:val="78070D65"/>
    <w:rsid w:val="7814F06A"/>
    <w:rsid w:val="783D13EA"/>
    <w:rsid w:val="7847CBD2"/>
    <w:rsid w:val="7851E69E"/>
    <w:rsid w:val="78573335"/>
    <w:rsid w:val="789B4D2B"/>
    <w:rsid w:val="78BAA29A"/>
    <w:rsid w:val="78EDE491"/>
    <w:rsid w:val="78FF4341"/>
    <w:rsid w:val="79168B7E"/>
    <w:rsid w:val="791E875D"/>
    <w:rsid w:val="79D8D887"/>
    <w:rsid w:val="79E3D68C"/>
    <w:rsid w:val="7A50C8AD"/>
    <w:rsid w:val="7A736B11"/>
    <w:rsid w:val="7AC44FB2"/>
    <w:rsid w:val="7B3C998E"/>
    <w:rsid w:val="7B466E46"/>
    <w:rsid w:val="7B63FF8F"/>
    <w:rsid w:val="7B8F27F6"/>
    <w:rsid w:val="7B960CCE"/>
    <w:rsid w:val="7BED44BD"/>
    <w:rsid w:val="7BF657BA"/>
    <w:rsid w:val="7BFBB8F4"/>
    <w:rsid w:val="7C248346"/>
    <w:rsid w:val="7C6AB359"/>
    <w:rsid w:val="7C8134F0"/>
    <w:rsid w:val="7CAC008A"/>
    <w:rsid w:val="7CB44DAB"/>
    <w:rsid w:val="7CDFC774"/>
    <w:rsid w:val="7CF2263F"/>
    <w:rsid w:val="7CF8409A"/>
    <w:rsid w:val="7CFC198D"/>
    <w:rsid w:val="7D139F44"/>
    <w:rsid w:val="7D1446D6"/>
    <w:rsid w:val="7D252D32"/>
    <w:rsid w:val="7D283B3B"/>
    <w:rsid w:val="7D6C8E15"/>
    <w:rsid w:val="7D9E2D3A"/>
    <w:rsid w:val="7DC4EE8E"/>
    <w:rsid w:val="7E1F241C"/>
    <w:rsid w:val="7E546750"/>
    <w:rsid w:val="7E84903E"/>
    <w:rsid w:val="7EA4C105"/>
    <w:rsid w:val="7EA9B611"/>
    <w:rsid w:val="7EC468E3"/>
    <w:rsid w:val="7EDC3D30"/>
    <w:rsid w:val="7EDD388D"/>
    <w:rsid w:val="7EDE74C3"/>
    <w:rsid w:val="7EEF333E"/>
    <w:rsid w:val="7F086E16"/>
    <w:rsid w:val="7F12D7E0"/>
    <w:rsid w:val="7F3BB2E5"/>
    <w:rsid w:val="7F3C5580"/>
    <w:rsid w:val="7FB70324"/>
    <w:rsid w:val="7FBAFC29"/>
    <w:rsid w:val="7FC90D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4BA25BA5-805A-442B-A4E1-C307BD3D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ro-RO"/>
    </w:rPr>
  </w:style>
  <w:style w:type="paragraph" w:styleId="Heading1">
    <w:name w:val="heading 1"/>
    <w:basedOn w:val="Normal"/>
    <w:next w:val="Text1"/>
    <w:link w:val="Heading1Char"/>
    <w:uiPriority w:val="9"/>
    <w:qFormat/>
    <w:pPr>
      <w:keepNext/>
      <w:numPr>
        <w:numId w:val="4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4"/>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4"/>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4"/>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ide">
    <w:name w:val="Conside"/>
    <w:basedOn w:val="Formuledadoption"/>
  </w:style>
  <w:style w:type="character" w:styleId="Hyperlink">
    <w:name w:val="Hyperlink"/>
    <w:uiPriority w:val="99"/>
    <w:rPr>
      <w:color w:val="0000FF"/>
      <w:u w:val="single"/>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ro-RO"/>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ro-RO"/>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ro-RO"/>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paragraph" w:styleId="ListParagraph">
    <w:name w:val="List Paragraph"/>
    <w:aliases w:val="F5 List Paragraph,Dot pt,List Paragraph1,No Spacing1,List Paragraph Char Char Char,Indicator Text,Numbered Para 1,Colorful List - Accent 11,Bullet Points,List Paragraph2,MAIN CONTENT,Normal numbered,List Paragraph12,Recommendatio"/>
    <w:basedOn w:val="Normal"/>
    <w:link w:val="ListParagraphChar"/>
    <w:uiPriority w:val="34"/>
    <w:qFormat/>
    <w:pPr>
      <w:spacing w:before="0" w:after="0"/>
      <w:ind w:left="720"/>
      <w:jc w:val="left"/>
    </w:pPr>
    <w:rPr>
      <w:rFonts w:ascii="Calibri" w:hAnsi="Calibri"/>
      <w:sz w:val="22"/>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nhideWhenUsed/>
    <w:rPr>
      <w:color w:val="800080" w:themeColor="followedHyperlink"/>
      <w:u w:val="single"/>
    </w:rPr>
  </w:style>
  <w:style w:type="paragraph" w:customStyle="1" w:styleId="Footn">
    <w:name w:val="Footn"/>
    <w:basedOn w:val="FootnoteText"/>
  </w:style>
  <w:style w:type="paragraph" w:customStyle="1" w:styleId="title-doc-first">
    <w:name w:val="title-doc-first"/>
    <w:basedOn w:val="Normal"/>
    <w:rsid w:val="00017650"/>
    <w:pPr>
      <w:spacing w:before="100" w:beforeAutospacing="1" w:after="100" w:afterAutospacing="1"/>
      <w:jc w:val="left"/>
    </w:pPr>
    <w:rPr>
      <w:rFonts w:eastAsia="Times New Roman"/>
      <w:szCs w:val="24"/>
      <w:lang w:eastAsia="en-GB"/>
    </w:rPr>
  </w:style>
  <w:style w:type="paragraph" w:customStyle="1" w:styleId="title-doc-last">
    <w:name w:val="title-doc-last"/>
    <w:basedOn w:val="Normal"/>
    <w:rsid w:val="00017650"/>
    <w:pPr>
      <w:spacing w:before="100" w:beforeAutospacing="1" w:after="100" w:afterAutospacing="1"/>
      <w:jc w:val="left"/>
    </w:pPr>
    <w:rPr>
      <w:rFonts w:eastAsia="Times New Roman"/>
      <w:szCs w:val="24"/>
      <w:lang w:eastAsia="en-GB"/>
    </w:rPr>
  </w:style>
  <w:style w:type="paragraph" w:styleId="NormalWeb">
    <w:name w:val="Normal (Web)"/>
    <w:basedOn w:val="Normal"/>
    <w:uiPriority w:val="99"/>
    <w:semiHidden/>
    <w:unhideWhenUsed/>
    <w:rsid w:val="00C224F3"/>
    <w:pPr>
      <w:spacing w:before="100" w:beforeAutospacing="1" w:after="100" w:afterAutospacing="1"/>
      <w:jc w:val="left"/>
    </w:pPr>
    <w:rPr>
      <w:rFonts w:eastAsia="Times New Roman"/>
      <w:szCs w:val="24"/>
      <w:lang w:eastAsia="en-GB"/>
    </w:rPr>
  </w:style>
  <w:style w:type="paragraph" w:customStyle="1" w:styleId="Time">
    <w:name w:val="Time"/>
    <w:basedOn w:val="Normal"/>
    <w:rsid w:val="004162A2"/>
    <w:rPr>
      <w:rFonts w:eastAsia="Times New Roman"/>
      <w:szCs w:val="24"/>
      <w:lang w:eastAsia="de-DE"/>
    </w:rPr>
  </w:style>
  <w:style w:type="character" w:customStyle="1" w:styleId="UnresolvedMention">
    <w:name w:val="Unresolved Mention"/>
    <w:basedOn w:val="DefaultParagraphFont"/>
    <w:uiPriority w:val="99"/>
    <w:unhideWhenUsed/>
    <w:rsid w:val="00C44530"/>
    <w:rPr>
      <w:color w:val="605E5C"/>
      <w:shd w:val="clear" w:color="auto" w:fill="E1DFDD"/>
    </w:rPr>
  </w:style>
  <w:style w:type="character" w:customStyle="1" w:styleId="Mention">
    <w:name w:val="Mention"/>
    <w:basedOn w:val="DefaultParagraphFont"/>
    <w:uiPriority w:val="99"/>
    <w:unhideWhenUsed/>
    <w:rsid w:val="00C44530"/>
    <w:rPr>
      <w:color w:val="2B579A"/>
      <w:shd w:val="clear" w:color="auto" w:fill="E1DFDD"/>
    </w:rPr>
  </w:style>
  <w:style w:type="paragraph" w:customStyle="1" w:styleId="li">
    <w:name w:val="li"/>
    <w:basedOn w:val="Normal"/>
    <w:rsid w:val="0066505B"/>
    <w:pPr>
      <w:spacing w:before="100" w:beforeAutospacing="1" w:after="100" w:afterAutospacing="1"/>
      <w:jc w:val="left"/>
    </w:pPr>
    <w:rPr>
      <w:rFonts w:eastAsia="Times New Roman"/>
      <w:szCs w:val="24"/>
      <w:lang w:eastAsia="en-IE"/>
    </w:rPr>
  </w:style>
  <w:style w:type="character" w:customStyle="1" w:styleId="num">
    <w:name w:val="num"/>
    <w:basedOn w:val="DefaultParagraphFont"/>
    <w:rsid w:val="0066505B"/>
  </w:style>
  <w:style w:type="character" w:customStyle="1" w:styleId="Mention1">
    <w:name w:val="Mention1"/>
    <w:basedOn w:val="DefaultParagraphFont"/>
    <w:uiPriority w:val="99"/>
    <w:unhideWhenUsed/>
    <w:rsid w:val="00E36005"/>
    <w:rPr>
      <w:color w:val="2B579A"/>
      <w:shd w:val="clear" w:color="auto" w:fill="E6E6E6"/>
    </w:rPr>
  </w:style>
  <w:style w:type="character" w:customStyle="1" w:styleId="ListParagraphChar">
    <w:name w:val="List Paragraph Char"/>
    <w:aliases w:val="F5 List Paragraph Char,Dot pt Char,List Paragraph1 Char,No Spacing1 Char,List Paragraph Char Char Char Char,Indicator Text Char,Numbered Para 1 Char,Colorful List - Accent 11 Char,Bullet Points Char,List Paragraph2 Char"/>
    <w:basedOn w:val="DefaultParagraphFont"/>
    <w:link w:val="ListParagraph"/>
    <w:uiPriority w:val="34"/>
    <w:qFormat/>
    <w:locked/>
    <w:rsid w:val="00E36005"/>
    <w:rPr>
      <w:rFonts w:ascii="Calibri" w:hAnsi="Calibri" w:cs="Times New Roman"/>
      <w:lang w:val="ro-RO"/>
    </w:rPr>
  </w:style>
  <w:style w:type="paragraph" w:customStyle="1" w:styleId="oj-normal">
    <w:name w:val="oj-normal"/>
    <w:basedOn w:val="Normal"/>
    <w:rsid w:val="00E36005"/>
    <w:pPr>
      <w:spacing w:before="100" w:beforeAutospacing="1" w:after="100" w:afterAutospacing="1"/>
      <w:jc w:val="left"/>
    </w:pPr>
    <w:rPr>
      <w:rFonts w:eastAsia="Times New Roman"/>
      <w:szCs w:val="24"/>
      <w:lang w:eastAsia="en-IE"/>
    </w:rPr>
  </w:style>
  <w:style w:type="character" w:customStyle="1" w:styleId="UnresolvedMention1">
    <w:name w:val="Unresolved Mention1"/>
    <w:basedOn w:val="DefaultParagraphFont"/>
    <w:uiPriority w:val="99"/>
    <w:semiHidden/>
    <w:unhideWhenUsed/>
    <w:rsid w:val="00E36005"/>
    <w:rPr>
      <w:color w:val="605E5C"/>
      <w:shd w:val="clear" w:color="auto" w:fill="E1DFDD"/>
    </w:rPr>
  </w:style>
  <w:style w:type="character" w:styleId="Emphasis">
    <w:name w:val="Emphasis"/>
    <w:basedOn w:val="DefaultParagraphFont"/>
    <w:qFormat/>
    <w:rsid w:val="00E36005"/>
    <w:rPr>
      <w:i/>
      <w:iCs/>
    </w:rPr>
  </w:style>
  <w:style w:type="paragraph" w:customStyle="1" w:styleId="ManualNumPar110">
    <w:name w:val="Manual NumPar 110"/>
    <w:basedOn w:val="Normal"/>
    <w:next w:val="Text1"/>
    <w:rsid w:val="00E36005"/>
    <w:pPr>
      <w:ind w:left="850" w:hanging="850"/>
    </w:pPr>
  </w:style>
  <w:style w:type="paragraph" w:customStyle="1" w:styleId="ListBullet1">
    <w:name w:val="List Bullet 1"/>
    <w:basedOn w:val="Normal"/>
    <w:rsid w:val="00E36005"/>
    <w:pPr>
      <w:numPr>
        <w:numId w:val="20"/>
      </w:numPr>
    </w:pPr>
    <w:rPr>
      <w:rFonts w:eastAsia="Times New Roman"/>
      <w:lang w:eastAsia="de-DE"/>
    </w:rPr>
  </w:style>
  <w:style w:type="paragraph" w:customStyle="1" w:styleId="ListDash">
    <w:name w:val="List Dash"/>
    <w:basedOn w:val="Normal"/>
    <w:rsid w:val="00E36005"/>
    <w:pPr>
      <w:numPr>
        <w:numId w:val="21"/>
      </w:numPr>
    </w:pPr>
    <w:rPr>
      <w:rFonts w:eastAsia="Times New Roman"/>
      <w:lang w:eastAsia="de-DE"/>
    </w:rPr>
  </w:style>
  <w:style w:type="paragraph" w:customStyle="1" w:styleId="ListDash1">
    <w:name w:val="List Dash 1"/>
    <w:basedOn w:val="Normal"/>
    <w:rsid w:val="00E36005"/>
    <w:pPr>
      <w:numPr>
        <w:numId w:val="22"/>
      </w:numPr>
    </w:pPr>
    <w:rPr>
      <w:rFonts w:eastAsia="Times New Roman"/>
      <w:lang w:eastAsia="de-DE"/>
    </w:rPr>
  </w:style>
  <w:style w:type="paragraph" w:customStyle="1" w:styleId="ListDash2">
    <w:name w:val="List Dash 2"/>
    <w:basedOn w:val="Normal"/>
    <w:rsid w:val="00E36005"/>
    <w:pPr>
      <w:numPr>
        <w:numId w:val="23"/>
      </w:numPr>
    </w:pPr>
    <w:rPr>
      <w:rFonts w:eastAsia="Times New Roman"/>
      <w:lang w:eastAsia="de-DE"/>
    </w:rPr>
  </w:style>
  <w:style w:type="paragraph" w:customStyle="1" w:styleId="ListNumberLevel2">
    <w:name w:val="List Number (Level 2)"/>
    <w:basedOn w:val="Normal"/>
    <w:rsid w:val="00E36005"/>
    <w:pPr>
      <w:tabs>
        <w:tab w:val="num" w:pos="1417"/>
      </w:tabs>
      <w:ind w:left="1417" w:hanging="708"/>
    </w:pPr>
    <w:rPr>
      <w:rFonts w:eastAsia="Times New Roman"/>
      <w:lang w:eastAsia="de-DE"/>
    </w:rPr>
  </w:style>
  <w:style w:type="paragraph" w:customStyle="1" w:styleId="ListNumberLevel3">
    <w:name w:val="List Number (Level 3)"/>
    <w:basedOn w:val="Normal"/>
    <w:rsid w:val="00E36005"/>
    <w:pPr>
      <w:tabs>
        <w:tab w:val="num" w:pos="2126"/>
      </w:tabs>
      <w:ind w:left="2126" w:hanging="709"/>
    </w:pPr>
    <w:rPr>
      <w:rFonts w:eastAsia="Times New Roman"/>
      <w:lang w:eastAsia="de-DE"/>
    </w:rPr>
  </w:style>
  <w:style w:type="paragraph" w:customStyle="1" w:styleId="ListNumberLevel4">
    <w:name w:val="List Number (Level 4)"/>
    <w:basedOn w:val="Normal"/>
    <w:rsid w:val="00E36005"/>
    <w:pPr>
      <w:tabs>
        <w:tab w:val="num" w:pos="2835"/>
      </w:tabs>
      <w:ind w:left="2835" w:hanging="709"/>
    </w:pPr>
    <w:rPr>
      <w:rFonts w:eastAsia="Times New Roman"/>
      <w:lang w:eastAsia="de-DE"/>
    </w:rPr>
  </w:style>
  <w:style w:type="table" w:styleId="TableGrid">
    <w:name w:val="Table Grid"/>
    <w:basedOn w:val="TableNormal"/>
    <w:uiPriority w:val="39"/>
    <w:rsid w:val="00E36005"/>
    <w:pPr>
      <w:spacing w:before="120" w:after="120" w:line="240" w:lineRule="auto"/>
      <w:jc w:val="both"/>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3">
    <w:name w:val="List Dash 3"/>
    <w:basedOn w:val="Normal"/>
    <w:rsid w:val="00E36005"/>
    <w:pPr>
      <w:numPr>
        <w:numId w:val="24"/>
      </w:numPr>
    </w:pPr>
    <w:rPr>
      <w:rFonts w:eastAsia="Times New Roman"/>
      <w:lang w:eastAsia="en-GB"/>
    </w:rPr>
  </w:style>
  <w:style w:type="paragraph" w:customStyle="1" w:styleId="ListDash4">
    <w:name w:val="List Dash 4"/>
    <w:basedOn w:val="Normal"/>
    <w:rsid w:val="00E36005"/>
    <w:pPr>
      <w:numPr>
        <w:numId w:val="25"/>
      </w:numPr>
    </w:pPr>
    <w:rPr>
      <w:rFonts w:eastAsia="Times New Roman"/>
      <w:lang w:eastAsia="en-GB"/>
    </w:rPr>
  </w:style>
  <w:style w:type="paragraph" w:customStyle="1" w:styleId="ListNumber1">
    <w:name w:val="List Number 1"/>
    <w:basedOn w:val="Text1"/>
    <w:rsid w:val="00E36005"/>
    <w:pPr>
      <w:numPr>
        <w:numId w:val="26"/>
      </w:numPr>
    </w:pPr>
    <w:rPr>
      <w:rFonts w:eastAsia="Times New Roman"/>
      <w:lang w:eastAsia="en-GB"/>
    </w:rPr>
  </w:style>
  <w:style w:type="paragraph" w:customStyle="1" w:styleId="ListNumber1Level2">
    <w:name w:val="List Number 1 (Level 2)"/>
    <w:basedOn w:val="Text1"/>
    <w:rsid w:val="00E36005"/>
    <w:pPr>
      <w:tabs>
        <w:tab w:val="num" w:pos="2268"/>
      </w:tabs>
      <w:ind w:left="2268" w:hanging="708"/>
    </w:pPr>
    <w:rPr>
      <w:rFonts w:eastAsia="Times New Roman"/>
      <w:lang w:eastAsia="en-GB"/>
    </w:rPr>
  </w:style>
  <w:style w:type="paragraph" w:customStyle="1" w:styleId="ListNumber2Level2">
    <w:name w:val="List Number 2 (Level 2)"/>
    <w:basedOn w:val="Text2"/>
    <w:rsid w:val="00E36005"/>
    <w:pPr>
      <w:tabs>
        <w:tab w:val="num" w:pos="2268"/>
      </w:tabs>
      <w:ind w:left="2268" w:hanging="708"/>
    </w:pPr>
    <w:rPr>
      <w:rFonts w:eastAsia="Times New Roman"/>
      <w:lang w:eastAsia="en-GB"/>
    </w:rPr>
  </w:style>
  <w:style w:type="paragraph" w:customStyle="1" w:styleId="ListNumber3Level2">
    <w:name w:val="List Number 3 (Level 2)"/>
    <w:basedOn w:val="Text3"/>
    <w:rsid w:val="00E36005"/>
    <w:pPr>
      <w:tabs>
        <w:tab w:val="num" w:pos="2268"/>
      </w:tabs>
      <w:ind w:left="2268" w:hanging="708"/>
    </w:pPr>
    <w:rPr>
      <w:rFonts w:eastAsia="Times New Roman"/>
      <w:lang w:eastAsia="en-GB"/>
    </w:rPr>
  </w:style>
  <w:style w:type="paragraph" w:customStyle="1" w:styleId="ListNumber4Level2">
    <w:name w:val="List Number 4 (Level 2)"/>
    <w:basedOn w:val="Text4"/>
    <w:rsid w:val="00E36005"/>
    <w:pPr>
      <w:tabs>
        <w:tab w:val="num" w:pos="2268"/>
      </w:tabs>
      <w:ind w:left="2268" w:hanging="708"/>
    </w:pPr>
    <w:rPr>
      <w:rFonts w:eastAsia="Times New Roman"/>
      <w:lang w:eastAsia="en-GB"/>
    </w:rPr>
  </w:style>
  <w:style w:type="paragraph" w:customStyle="1" w:styleId="ListNumber1Level3">
    <w:name w:val="List Number 1 (Level 3)"/>
    <w:basedOn w:val="Text1"/>
    <w:rsid w:val="00E36005"/>
    <w:pPr>
      <w:numPr>
        <w:ilvl w:val="2"/>
        <w:numId w:val="26"/>
      </w:numPr>
    </w:pPr>
    <w:rPr>
      <w:rFonts w:eastAsia="Times New Roman"/>
      <w:lang w:eastAsia="en-GB"/>
    </w:rPr>
  </w:style>
  <w:style w:type="paragraph" w:customStyle="1" w:styleId="ListNumber2Level3">
    <w:name w:val="List Number 2 (Level 3)"/>
    <w:basedOn w:val="Text2"/>
    <w:rsid w:val="00E36005"/>
    <w:pPr>
      <w:tabs>
        <w:tab w:val="num" w:pos="2977"/>
      </w:tabs>
      <w:ind w:left="2977" w:hanging="709"/>
    </w:pPr>
    <w:rPr>
      <w:rFonts w:eastAsia="Times New Roman"/>
      <w:lang w:eastAsia="en-GB"/>
    </w:rPr>
  </w:style>
  <w:style w:type="paragraph" w:customStyle="1" w:styleId="ListNumber3Level3">
    <w:name w:val="List Number 3 (Level 3)"/>
    <w:basedOn w:val="Text3"/>
    <w:rsid w:val="00E36005"/>
    <w:pPr>
      <w:tabs>
        <w:tab w:val="num" w:pos="2977"/>
      </w:tabs>
      <w:ind w:left="2977" w:hanging="709"/>
    </w:pPr>
    <w:rPr>
      <w:rFonts w:eastAsia="Times New Roman"/>
      <w:lang w:eastAsia="en-GB"/>
    </w:rPr>
  </w:style>
  <w:style w:type="paragraph" w:customStyle="1" w:styleId="ListNumber4Level3">
    <w:name w:val="List Number 4 (Level 3)"/>
    <w:basedOn w:val="Text4"/>
    <w:rsid w:val="00E36005"/>
    <w:pPr>
      <w:tabs>
        <w:tab w:val="num" w:pos="2977"/>
      </w:tabs>
      <w:ind w:left="2977" w:hanging="709"/>
    </w:pPr>
    <w:rPr>
      <w:rFonts w:eastAsia="Times New Roman"/>
      <w:lang w:eastAsia="en-GB"/>
    </w:rPr>
  </w:style>
  <w:style w:type="paragraph" w:customStyle="1" w:styleId="ListNumber1Level4">
    <w:name w:val="List Number 1 (Level 4)"/>
    <w:basedOn w:val="Text1"/>
    <w:rsid w:val="00E36005"/>
    <w:pPr>
      <w:numPr>
        <w:ilvl w:val="3"/>
        <w:numId w:val="26"/>
      </w:numPr>
    </w:pPr>
    <w:rPr>
      <w:rFonts w:eastAsia="Times New Roman"/>
      <w:lang w:eastAsia="en-GB"/>
    </w:rPr>
  </w:style>
  <w:style w:type="paragraph" w:customStyle="1" w:styleId="ListNumber2Level4">
    <w:name w:val="List Number 2 (Level 4)"/>
    <w:basedOn w:val="Text2"/>
    <w:rsid w:val="00E36005"/>
    <w:pPr>
      <w:tabs>
        <w:tab w:val="num" w:pos="3686"/>
      </w:tabs>
      <w:ind w:left="3686" w:hanging="709"/>
    </w:pPr>
    <w:rPr>
      <w:rFonts w:eastAsia="Times New Roman"/>
      <w:lang w:eastAsia="en-GB"/>
    </w:rPr>
  </w:style>
  <w:style w:type="paragraph" w:customStyle="1" w:styleId="ListNumber3Level4">
    <w:name w:val="List Number 3 (Level 4)"/>
    <w:basedOn w:val="Text3"/>
    <w:rsid w:val="00E36005"/>
    <w:pPr>
      <w:tabs>
        <w:tab w:val="num" w:pos="3686"/>
      </w:tabs>
      <w:ind w:left="3686" w:hanging="709"/>
    </w:pPr>
    <w:rPr>
      <w:rFonts w:eastAsia="Times New Roman"/>
      <w:lang w:eastAsia="en-GB"/>
    </w:rPr>
  </w:style>
  <w:style w:type="paragraph" w:customStyle="1" w:styleId="ListNumber4Level4">
    <w:name w:val="List Number 4 (Level 4)"/>
    <w:basedOn w:val="Text4"/>
    <w:rsid w:val="00E36005"/>
    <w:pPr>
      <w:tabs>
        <w:tab w:val="num" w:pos="3686"/>
      </w:tabs>
      <w:ind w:left="3686" w:hanging="709"/>
    </w:pPr>
    <w:rPr>
      <w:rFonts w:eastAsia="Times New Roman"/>
      <w:lang w:eastAsia="en-GB"/>
    </w:rPr>
  </w:style>
  <w:style w:type="paragraph" w:customStyle="1" w:styleId="Annexetitreacte">
    <w:name w:val="Annexe titre (acte)"/>
    <w:basedOn w:val="Normal"/>
    <w:next w:val="Normal"/>
    <w:rsid w:val="00E36005"/>
    <w:pPr>
      <w:jc w:val="center"/>
    </w:pPr>
    <w:rPr>
      <w:rFonts w:eastAsia="Times New Roman"/>
      <w:b/>
      <w:u w:val="single"/>
      <w:lang w:eastAsia="en-GB"/>
    </w:rPr>
  </w:style>
  <w:style w:type="paragraph" w:customStyle="1" w:styleId="Annexetitreexposglobal">
    <w:name w:val="Annexe titre (exposé global)"/>
    <w:basedOn w:val="Normal"/>
    <w:next w:val="Normal"/>
    <w:rsid w:val="00E36005"/>
    <w:pPr>
      <w:jc w:val="center"/>
    </w:pPr>
    <w:rPr>
      <w:rFonts w:eastAsia="Times New Roman"/>
      <w:b/>
      <w:u w:val="single"/>
      <w:lang w:eastAsia="en-GB"/>
    </w:rPr>
  </w:style>
  <w:style w:type="paragraph" w:customStyle="1" w:styleId="Annexetitrefichefinacte">
    <w:name w:val="Annexe titre (fiche fin. acte)"/>
    <w:basedOn w:val="Normal"/>
    <w:next w:val="Normal"/>
    <w:rsid w:val="00E36005"/>
    <w:pPr>
      <w:jc w:val="center"/>
    </w:pPr>
    <w:rPr>
      <w:rFonts w:eastAsia="Times New Roman"/>
      <w:b/>
      <w:u w:val="single"/>
      <w:lang w:eastAsia="en-GB"/>
    </w:rPr>
  </w:style>
  <w:style w:type="paragraph" w:customStyle="1" w:styleId="Annexetitrefichefinglobale">
    <w:name w:val="Annexe titre (fiche fin. globale)"/>
    <w:basedOn w:val="Normal"/>
    <w:next w:val="Normal"/>
    <w:rsid w:val="00E36005"/>
    <w:pPr>
      <w:jc w:val="center"/>
    </w:pPr>
    <w:rPr>
      <w:rFonts w:eastAsia="Times New Roman"/>
      <w:b/>
      <w:u w:val="single"/>
      <w:lang w:eastAsia="en-GB"/>
    </w:rPr>
  </w:style>
  <w:style w:type="paragraph" w:customStyle="1" w:styleId="Annexetitreglobale">
    <w:name w:val="Annexe titre (globale)"/>
    <w:basedOn w:val="Normal"/>
    <w:next w:val="Normal"/>
    <w:rsid w:val="00E36005"/>
    <w:pPr>
      <w:jc w:val="center"/>
    </w:pPr>
    <w:rPr>
      <w:rFonts w:eastAsia="Times New Roman"/>
      <w:b/>
      <w:u w:val="single"/>
      <w:lang w:eastAsia="en-GB"/>
    </w:rPr>
  </w:style>
  <w:style w:type="paragraph" w:customStyle="1" w:styleId="Exposdesmotifstitreglobal">
    <w:name w:val="Exposé des motifs titre (global)"/>
    <w:basedOn w:val="Normal"/>
    <w:next w:val="Normal"/>
    <w:rsid w:val="00E36005"/>
    <w:pPr>
      <w:jc w:val="center"/>
    </w:pPr>
    <w:rPr>
      <w:rFonts w:eastAsia="Times New Roman"/>
      <w:b/>
      <w:u w:val="single"/>
      <w:lang w:eastAsia="en-GB"/>
    </w:rPr>
  </w:style>
  <w:style w:type="paragraph" w:customStyle="1" w:styleId="Langueoriginale">
    <w:name w:val="Langue originale"/>
    <w:basedOn w:val="Normal"/>
    <w:rsid w:val="00E36005"/>
    <w:pPr>
      <w:spacing w:before="360"/>
      <w:jc w:val="center"/>
    </w:pPr>
    <w:rPr>
      <w:rFonts w:eastAsia="Times New Roman"/>
      <w:caps/>
      <w:lang w:eastAsia="en-GB"/>
    </w:rPr>
  </w:style>
  <w:style w:type="paragraph" w:customStyle="1" w:styleId="Phrasefinale">
    <w:name w:val="Phrase finale"/>
    <w:basedOn w:val="Normal"/>
    <w:next w:val="Normal"/>
    <w:rsid w:val="00E36005"/>
    <w:pPr>
      <w:spacing w:before="360" w:after="0"/>
      <w:jc w:val="center"/>
    </w:pPr>
    <w:rPr>
      <w:rFonts w:eastAsia="Times New Roman"/>
      <w:lang w:eastAsia="en-GB"/>
    </w:rPr>
  </w:style>
  <w:style w:type="paragraph" w:customStyle="1" w:styleId="Prliminairetitre">
    <w:name w:val="Préliminaire titre"/>
    <w:basedOn w:val="Normal"/>
    <w:next w:val="Normal"/>
    <w:rsid w:val="00E36005"/>
    <w:pPr>
      <w:spacing w:before="360" w:after="360"/>
      <w:jc w:val="center"/>
    </w:pPr>
    <w:rPr>
      <w:rFonts w:eastAsia="Times New Roman"/>
      <w:b/>
      <w:lang w:eastAsia="en-GB"/>
    </w:rPr>
  </w:style>
  <w:style w:type="paragraph" w:customStyle="1" w:styleId="Prliminairetype">
    <w:name w:val="Préliminaire type"/>
    <w:basedOn w:val="Normal"/>
    <w:next w:val="Normal"/>
    <w:rsid w:val="00E36005"/>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E36005"/>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E36005"/>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E36005"/>
    <w:pPr>
      <w:spacing w:before="0" w:after="0"/>
      <w:ind w:left="5103"/>
      <w:jc w:val="left"/>
    </w:pPr>
    <w:rPr>
      <w:rFonts w:eastAsia="Times New Roman"/>
      <w:lang w:eastAsia="en-GB"/>
    </w:rPr>
  </w:style>
  <w:style w:type="paragraph" w:customStyle="1" w:styleId="Sous-titreobjetprliminaire">
    <w:name w:val="Sous-titre objet (préliminaire)"/>
    <w:basedOn w:val="Normal"/>
    <w:rsid w:val="00E36005"/>
    <w:pPr>
      <w:spacing w:before="0" w:after="0"/>
      <w:jc w:val="center"/>
    </w:pPr>
    <w:rPr>
      <w:rFonts w:eastAsia="Times New Roman"/>
      <w:b/>
      <w:lang w:eastAsia="en-GB"/>
    </w:rPr>
  </w:style>
  <w:style w:type="paragraph" w:customStyle="1" w:styleId="Statutprliminaire">
    <w:name w:val="Statut (préliminaire)"/>
    <w:basedOn w:val="Normal"/>
    <w:next w:val="Normal"/>
    <w:rsid w:val="00E36005"/>
    <w:pPr>
      <w:spacing w:before="360" w:after="0"/>
      <w:jc w:val="center"/>
    </w:pPr>
    <w:rPr>
      <w:rFonts w:eastAsia="Times New Roman"/>
      <w:lang w:eastAsia="en-GB"/>
    </w:rPr>
  </w:style>
  <w:style w:type="paragraph" w:customStyle="1" w:styleId="Titreobjetprliminaire">
    <w:name w:val="Titre objet (préliminaire)"/>
    <w:basedOn w:val="Normal"/>
    <w:next w:val="Normal"/>
    <w:rsid w:val="00E36005"/>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E36005"/>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E36005"/>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E36005"/>
    <w:pPr>
      <w:jc w:val="center"/>
    </w:pPr>
    <w:rPr>
      <w:rFonts w:eastAsia="Times New Roman"/>
      <w:b/>
      <w:u w:val="single"/>
      <w:lang w:eastAsia="en-GB"/>
    </w:rPr>
  </w:style>
  <w:style w:type="paragraph" w:customStyle="1" w:styleId="Fichefinanciretravailtitre">
    <w:name w:val="Fiche financière (travail) titre"/>
    <w:basedOn w:val="Normal"/>
    <w:next w:val="Normal"/>
    <w:rsid w:val="00E36005"/>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E36005"/>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E36005"/>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E36005"/>
    <w:pPr>
      <w:jc w:val="center"/>
    </w:pPr>
    <w:rPr>
      <w:rFonts w:eastAsia="Times New Roman"/>
      <w:b/>
      <w:u w:val="single"/>
      <w:lang w:eastAsia="en-GB"/>
    </w:rPr>
  </w:style>
  <w:style w:type="character" w:styleId="PageNumber">
    <w:name w:val="page number"/>
    <w:rsid w:val="00E36005"/>
  </w:style>
  <w:style w:type="character" w:customStyle="1" w:styleId="tw4winMark">
    <w:name w:val="tw4winMark"/>
    <w:rsid w:val="00E36005"/>
    <w:rPr>
      <w:vanish/>
      <w:color w:val="800080"/>
      <w:vertAlign w:val="subscript"/>
    </w:rPr>
  </w:style>
  <w:style w:type="paragraph" w:customStyle="1" w:styleId="FooterCoverPage">
    <w:name w:val="Footer Cover Page"/>
    <w:basedOn w:val="Normal"/>
    <w:link w:val="FooterCoverPageChar"/>
    <w:rsid w:val="00E36005"/>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E36005"/>
    <w:rPr>
      <w:rFonts w:ascii="Times New Roman" w:hAnsi="Times New Roman" w:cs="Times New Roman"/>
      <w:b/>
      <w:sz w:val="28"/>
      <w:lang w:val="ro-RO"/>
    </w:rPr>
  </w:style>
  <w:style w:type="character" w:customStyle="1" w:styleId="FooterCoverPageChar">
    <w:name w:val="Footer Cover Page Char"/>
    <w:link w:val="FooterCoverPage"/>
    <w:rsid w:val="00E36005"/>
    <w:rPr>
      <w:rFonts w:ascii="Times New Roman" w:eastAsia="Calibri" w:hAnsi="Times New Roman" w:cs="Times New Roman"/>
      <w:sz w:val="24"/>
      <w:lang w:val="ro-RO" w:eastAsia="en-GB"/>
    </w:rPr>
  </w:style>
  <w:style w:type="paragraph" w:customStyle="1" w:styleId="HeaderCoverPage">
    <w:name w:val="Header Cover Page"/>
    <w:basedOn w:val="Normal"/>
    <w:link w:val="HeaderCoverPageChar"/>
    <w:rsid w:val="00E36005"/>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E36005"/>
    <w:rPr>
      <w:rFonts w:ascii="Times New Roman" w:eastAsia="Calibri" w:hAnsi="Times New Roman" w:cs="Times New Roman"/>
      <w:sz w:val="24"/>
      <w:lang w:val="ro-RO" w:eastAsia="en-GB"/>
    </w:rPr>
  </w:style>
  <w:style w:type="character" w:customStyle="1" w:styleId="FooterSensitivityChar">
    <w:name w:val="Footer Sensitivity Char"/>
    <w:rsid w:val="00E36005"/>
    <w:rPr>
      <w:rFonts w:ascii="Times New Roman" w:hAnsi="Times New Roman" w:cs="Times New Roman"/>
      <w:b/>
      <w:sz w:val="32"/>
      <w:lang w:val="ro-RO"/>
    </w:rPr>
  </w:style>
  <w:style w:type="character" w:customStyle="1" w:styleId="HeaderSensitivityChar">
    <w:name w:val="Header Sensitivity Char"/>
    <w:rsid w:val="00E36005"/>
    <w:rPr>
      <w:rFonts w:ascii="Times New Roman" w:hAnsi="Times New Roman" w:cs="Times New Roman"/>
      <w:b/>
      <w:sz w:val="32"/>
      <w:lang w:val="ro-RO"/>
    </w:rPr>
  </w:style>
  <w:style w:type="character" w:customStyle="1" w:styleId="HeaderSensitivityRightChar">
    <w:name w:val="Header Sensitivity Right Char"/>
    <w:rsid w:val="00E36005"/>
    <w:rPr>
      <w:rFonts w:ascii="Times New Roman" w:hAnsi="Times New Roman" w:cs="Times New Roman"/>
      <w:sz w:val="28"/>
      <w:lang w:val="ro-RO"/>
    </w:rPr>
  </w:style>
  <w:style w:type="paragraph" w:customStyle="1" w:styleId="LegalNumPar">
    <w:name w:val="LegalNumPar"/>
    <w:basedOn w:val="Normal"/>
    <w:rsid w:val="00E36005"/>
    <w:pPr>
      <w:numPr>
        <w:ilvl w:val="1"/>
        <w:numId w:val="27"/>
      </w:numPr>
      <w:spacing w:line="360" w:lineRule="auto"/>
      <w:ind w:left="476" w:hanging="476"/>
    </w:pPr>
    <w:rPr>
      <w:rFonts w:eastAsia="Times New Roman"/>
      <w:lang w:eastAsia="en-GB"/>
    </w:rPr>
  </w:style>
  <w:style w:type="paragraph" w:customStyle="1" w:styleId="LegalNumPar2">
    <w:name w:val="LegalNumPar2"/>
    <w:basedOn w:val="Normal"/>
    <w:rsid w:val="00E36005"/>
    <w:pPr>
      <w:spacing w:line="360" w:lineRule="auto"/>
      <w:ind w:left="953" w:hanging="477"/>
    </w:pPr>
    <w:rPr>
      <w:rFonts w:eastAsia="Times New Roman"/>
      <w:lang w:eastAsia="en-GB"/>
    </w:rPr>
  </w:style>
  <w:style w:type="paragraph" w:customStyle="1" w:styleId="LegalNumPar3">
    <w:name w:val="LegalNumPar3"/>
    <w:basedOn w:val="Normal"/>
    <w:rsid w:val="00E36005"/>
    <w:pPr>
      <w:tabs>
        <w:tab w:val="num" w:pos="3685"/>
      </w:tabs>
      <w:spacing w:line="360" w:lineRule="auto"/>
      <w:ind w:left="3685" w:hanging="567"/>
    </w:pPr>
    <w:rPr>
      <w:rFonts w:eastAsia="Times New Roman"/>
      <w:lang w:eastAsia="en-GB"/>
    </w:rPr>
  </w:style>
  <w:style w:type="character" w:styleId="Strong">
    <w:name w:val="Strong"/>
    <w:basedOn w:val="DefaultParagraphFont"/>
    <w:qFormat/>
    <w:rsid w:val="00E36005"/>
    <w:rPr>
      <w:b/>
      <w:bCs/>
    </w:rPr>
  </w:style>
  <w:style w:type="character" w:customStyle="1" w:styleId="normaltextrun">
    <w:name w:val="normaltextrun"/>
    <w:basedOn w:val="DefaultParagraphFont"/>
    <w:rsid w:val="00E36005"/>
  </w:style>
  <w:style w:type="character" w:customStyle="1" w:styleId="eop">
    <w:name w:val="eop"/>
    <w:basedOn w:val="DefaultParagraphFont"/>
    <w:rsid w:val="00E36005"/>
  </w:style>
  <w:style w:type="character" w:customStyle="1" w:styleId="cf01">
    <w:name w:val="cf01"/>
    <w:basedOn w:val="DefaultParagraphFont"/>
    <w:rsid w:val="00E36005"/>
    <w:rPr>
      <w:rFonts w:ascii="Segoe UI" w:hAnsi="Segoe UI" w:cs="Segoe UI" w:hint="default"/>
      <w:sz w:val="18"/>
      <w:szCs w:val="18"/>
    </w:rPr>
  </w:style>
  <w:style w:type="character" w:customStyle="1" w:styleId="HeaderChar">
    <w:name w:val="Header Char"/>
    <w:basedOn w:val="DefaultParagraphFont"/>
    <w:link w:val="Header"/>
    <w:uiPriority w:val="99"/>
    <w:rsid w:val="00615FA2"/>
    <w:rPr>
      <w:rFonts w:ascii="Times New Roman" w:hAnsi="Times New Roman" w:cs="Times New Roman"/>
      <w:sz w:val="24"/>
      <w:lang w:val="ro-RO"/>
    </w:rPr>
  </w:style>
  <w:style w:type="character" w:customStyle="1" w:styleId="FooterChar">
    <w:name w:val="Footer Char"/>
    <w:basedOn w:val="DefaultParagraphFont"/>
    <w:link w:val="Footer"/>
    <w:uiPriority w:val="99"/>
    <w:rsid w:val="00615FA2"/>
    <w:rPr>
      <w:rFonts w:ascii="Times New Roman" w:hAnsi="Times New Roman" w:cs="Times New Roman"/>
      <w:sz w:val="24"/>
      <w:lang w:val="ro-RO"/>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ro-RO"/>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ro-RO"/>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ro-RO"/>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ro-RO"/>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ro-RO"/>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ro-RO"/>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ro-RO"/>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615FA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615FA2"/>
    <w:pPr>
      <w:spacing w:before="0"/>
      <w:jc w:val="right"/>
    </w:pPr>
    <w:rPr>
      <w:sz w:val="28"/>
    </w:rPr>
  </w:style>
  <w:style w:type="paragraph" w:customStyle="1" w:styleId="FooterSensitivity">
    <w:name w:val="Footer Sensitivity"/>
    <w:basedOn w:val="Normal"/>
    <w:rsid w:val="00615FA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Tiret5">
    <w:name w:val="Tiret 5"/>
    <w:basedOn w:val="Point5"/>
    <w:pPr>
      <w:numPr>
        <w:numId w:val="4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3"/>
      </w:numPr>
    </w:pPr>
  </w:style>
  <w:style w:type="paragraph" w:customStyle="1" w:styleId="NumPar2">
    <w:name w:val="NumPar 2"/>
    <w:basedOn w:val="Normal"/>
    <w:next w:val="Text1"/>
    <w:pPr>
      <w:numPr>
        <w:ilvl w:val="1"/>
        <w:numId w:val="43"/>
      </w:numPr>
    </w:pPr>
  </w:style>
  <w:style w:type="paragraph" w:customStyle="1" w:styleId="NumPar3">
    <w:name w:val="NumPar 3"/>
    <w:basedOn w:val="Normal"/>
    <w:next w:val="Text1"/>
    <w:pPr>
      <w:numPr>
        <w:ilvl w:val="2"/>
        <w:numId w:val="43"/>
      </w:numPr>
    </w:pPr>
  </w:style>
  <w:style w:type="paragraph" w:customStyle="1" w:styleId="NumPar4">
    <w:name w:val="NumPar 4"/>
    <w:basedOn w:val="Normal"/>
    <w:next w:val="Text1"/>
    <w:pPr>
      <w:numPr>
        <w:ilvl w:val="3"/>
        <w:numId w:val="43"/>
      </w:numPr>
    </w:pPr>
  </w:style>
  <w:style w:type="paragraph" w:customStyle="1" w:styleId="NumPar5">
    <w:name w:val="NumPar 5"/>
    <w:basedOn w:val="Normal"/>
    <w:next w:val="Text2"/>
    <w:pPr>
      <w:numPr>
        <w:ilvl w:val="4"/>
        <w:numId w:val="43"/>
      </w:numPr>
    </w:pPr>
  </w:style>
  <w:style w:type="paragraph" w:customStyle="1" w:styleId="NumPar6">
    <w:name w:val="NumPar 6"/>
    <w:basedOn w:val="Normal"/>
    <w:next w:val="Text2"/>
    <w:pPr>
      <w:numPr>
        <w:ilvl w:val="5"/>
        <w:numId w:val="43"/>
      </w:numPr>
    </w:pPr>
  </w:style>
  <w:style w:type="paragraph" w:customStyle="1" w:styleId="NumPar7">
    <w:name w:val="NumPar 7"/>
    <w:basedOn w:val="Normal"/>
    <w:next w:val="Text2"/>
    <w:pPr>
      <w:numPr>
        <w:ilvl w:val="6"/>
        <w:numId w:val="4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5"/>
      </w:numPr>
    </w:pPr>
  </w:style>
  <w:style w:type="paragraph" w:customStyle="1" w:styleId="Point1number">
    <w:name w:val="Point 1 (number)"/>
    <w:basedOn w:val="Normal"/>
    <w:pPr>
      <w:numPr>
        <w:ilvl w:val="2"/>
        <w:numId w:val="45"/>
      </w:numPr>
    </w:pPr>
  </w:style>
  <w:style w:type="paragraph" w:customStyle="1" w:styleId="Point2number">
    <w:name w:val="Point 2 (number)"/>
    <w:basedOn w:val="Normal"/>
    <w:pPr>
      <w:numPr>
        <w:ilvl w:val="4"/>
        <w:numId w:val="45"/>
      </w:numPr>
    </w:pPr>
  </w:style>
  <w:style w:type="paragraph" w:customStyle="1" w:styleId="Point3number">
    <w:name w:val="Point 3 (number)"/>
    <w:basedOn w:val="Normal"/>
    <w:pPr>
      <w:numPr>
        <w:ilvl w:val="6"/>
        <w:numId w:val="45"/>
      </w:numPr>
    </w:pPr>
  </w:style>
  <w:style w:type="paragraph" w:customStyle="1" w:styleId="Point0letter">
    <w:name w:val="Point 0 (letter)"/>
    <w:basedOn w:val="Normal"/>
    <w:pPr>
      <w:numPr>
        <w:ilvl w:val="1"/>
        <w:numId w:val="45"/>
      </w:numPr>
    </w:pPr>
  </w:style>
  <w:style w:type="paragraph" w:customStyle="1" w:styleId="Point1letter">
    <w:name w:val="Point 1 (letter)"/>
    <w:basedOn w:val="Normal"/>
    <w:pPr>
      <w:numPr>
        <w:ilvl w:val="3"/>
        <w:numId w:val="45"/>
      </w:numPr>
    </w:pPr>
  </w:style>
  <w:style w:type="paragraph" w:customStyle="1" w:styleId="Point2letter">
    <w:name w:val="Point 2 (letter)"/>
    <w:basedOn w:val="Normal"/>
    <w:pPr>
      <w:numPr>
        <w:ilvl w:val="5"/>
        <w:numId w:val="45"/>
      </w:numPr>
    </w:pPr>
  </w:style>
  <w:style w:type="paragraph" w:customStyle="1" w:styleId="Point3letter">
    <w:name w:val="Point 3 (letter)"/>
    <w:basedOn w:val="Normal"/>
    <w:pPr>
      <w:numPr>
        <w:ilvl w:val="7"/>
        <w:numId w:val="45"/>
      </w:numPr>
    </w:pPr>
  </w:style>
  <w:style w:type="paragraph" w:customStyle="1" w:styleId="Point4letter">
    <w:name w:val="Point 4 (letter)"/>
    <w:basedOn w:val="Normal"/>
    <w:pPr>
      <w:numPr>
        <w:ilvl w:val="8"/>
        <w:numId w:val="45"/>
      </w:numPr>
    </w:pPr>
  </w:style>
  <w:style w:type="paragraph" w:customStyle="1" w:styleId="Bullet0">
    <w:name w:val="Bullet 0"/>
    <w:basedOn w:val="Normal"/>
    <w:pPr>
      <w:numPr>
        <w:numId w:val="46"/>
      </w:numPr>
    </w:pPr>
  </w:style>
  <w:style w:type="paragraph" w:customStyle="1" w:styleId="Bullet1">
    <w:name w:val="Bullet 1"/>
    <w:basedOn w:val="Normal"/>
    <w:pPr>
      <w:numPr>
        <w:numId w:val="47"/>
      </w:numPr>
    </w:pPr>
  </w:style>
  <w:style w:type="paragraph" w:customStyle="1" w:styleId="Bullet2">
    <w:name w:val="Bullet 2"/>
    <w:basedOn w:val="Normal"/>
    <w:pPr>
      <w:numPr>
        <w:numId w:val="48"/>
      </w:numPr>
    </w:pPr>
  </w:style>
  <w:style w:type="paragraph" w:customStyle="1" w:styleId="Bullet3">
    <w:name w:val="Bullet 3"/>
    <w:basedOn w:val="Normal"/>
    <w:pPr>
      <w:numPr>
        <w:numId w:val="49"/>
      </w:numPr>
    </w:pPr>
  </w:style>
  <w:style w:type="paragraph" w:customStyle="1" w:styleId="Bullet4">
    <w:name w:val="Bullet 4"/>
    <w:basedOn w:val="Normal"/>
    <w:pPr>
      <w:numPr>
        <w:numId w:val="5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615FA2"/>
    <w:pPr>
      <w:tabs>
        <w:tab w:val="center" w:pos="4535"/>
        <w:tab w:val="right" w:pos="9071"/>
      </w:tabs>
      <w:spacing w:before="0"/>
    </w:pPr>
  </w:style>
  <w:style w:type="paragraph" w:customStyle="1" w:styleId="HeaderLandscape">
    <w:name w:val="HeaderLandscape"/>
    <w:basedOn w:val="Normal"/>
    <w:rsid w:val="00615FA2"/>
    <w:pPr>
      <w:tabs>
        <w:tab w:val="center" w:pos="7285"/>
        <w:tab w:val="right" w:pos="14003"/>
      </w:tabs>
      <w:spacing w:before="0"/>
    </w:pPr>
  </w:style>
  <w:style w:type="paragraph" w:styleId="Footer">
    <w:name w:val="footer"/>
    <w:basedOn w:val="Normal"/>
    <w:link w:val="FooterChar"/>
    <w:uiPriority w:val="99"/>
    <w:unhideWhenUsed/>
    <w:rsid w:val="00615FA2"/>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615FA2"/>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4398">
      <w:bodyDiv w:val="1"/>
      <w:marLeft w:val="0"/>
      <w:marRight w:val="0"/>
      <w:marTop w:val="0"/>
      <w:marBottom w:val="0"/>
      <w:divBdr>
        <w:top w:val="none" w:sz="0" w:space="0" w:color="auto"/>
        <w:left w:val="none" w:sz="0" w:space="0" w:color="auto"/>
        <w:bottom w:val="none" w:sz="0" w:space="0" w:color="auto"/>
        <w:right w:val="none" w:sz="0" w:space="0" w:color="auto"/>
      </w:divBdr>
    </w:div>
    <w:div w:id="54017003">
      <w:bodyDiv w:val="1"/>
      <w:marLeft w:val="390"/>
      <w:marRight w:val="390"/>
      <w:marTop w:val="0"/>
      <w:marBottom w:val="0"/>
      <w:divBdr>
        <w:top w:val="none" w:sz="0" w:space="0" w:color="auto"/>
        <w:left w:val="none" w:sz="0" w:space="0" w:color="auto"/>
        <w:bottom w:val="none" w:sz="0" w:space="0" w:color="auto"/>
        <w:right w:val="none" w:sz="0" w:space="0" w:color="auto"/>
      </w:divBdr>
    </w:div>
    <w:div w:id="62263422">
      <w:bodyDiv w:val="1"/>
      <w:marLeft w:val="0"/>
      <w:marRight w:val="0"/>
      <w:marTop w:val="0"/>
      <w:marBottom w:val="0"/>
      <w:divBdr>
        <w:top w:val="none" w:sz="0" w:space="0" w:color="auto"/>
        <w:left w:val="none" w:sz="0" w:space="0" w:color="auto"/>
        <w:bottom w:val="none" w:sz="0" w:space="0" w:color="auto"/>
        <w:right w:val="none" w:sz="0" w:space="0" w:color="auto"/>
      </w:divBdr>
    </w:div>
    <w:div w:id="95517508">
      <w:bodyDiv w:val="1"/>
      <w:marLeft w:val="390"/>
      <w:marRight w:val="390"/>
      <w:marTop w:val="0"/>
      <w:marBottom w:val="0"/>
      <w:divBdr>
        <w:top w:val="none" w:sz="0" w:space="0" w:color="auto"/>
        <w:left w:val="none" w:sz="0" w:space="0" w:color="auto"/>
        <w:bottom w:val="none" w:sz="0" w:space="0" w:color="auto"/>
        <w:right w:val="none" w:sz="0" w:space="0" w:color="auto"/>
      </w:divBdr>
    </w:div>
    <w:div w:id="173035306">
      <w:bodyDiv w:val="1"/>
      <w:marLeft w:val="390"/>
      <w:marRight w:val="390"/>
      <w:marTop w:val="0"/>
      <w:marBottom w:val="0"/>
      <w:divBdr>
        <w:top w:val="none" w:sz="0" w:space="0" w:color="auto"/>
        <w:left w:val="none" w:sz="0" w:space="0" w:color="auto"/>
        <w:bottom w:val="none" w:sz="0" w:space="0" w:color="auto"/>
        <w:right w:val="none" w:sz="0" w:space="0" w:color="auto"/>
      </w:divBdr>
    </w:div>
    <w:div w:id="245694899">
      <w:bodyDiv w:val="1"/>
      <w:marLeft w:val="0"/>
      <w:marRight w:val="0"/>
      <w:marTop w:val="0"/>
      <w:marBottom w:val="0"/>
      <w:divBdr>
        <w:top w:val="none" w:sz="0" w:space="0" w:color="auto"/>
        <w:left w:val="none" w:sz="0" w:space="0" w:color="auto"/>
        <w:bottom w:val="none" w:sz="0" w:space="0" w:color="auto"/>
        <w:right w:val="none" w:sz="0" w:space="0" w:color="auto"/>
      </w:divBdr>
    </w:div>
    <w:div w:id="322976074">
      <w:bodyDiv w:val="1"/>
      <w:marLeft w:val="0"/>
      <w:marRight w:val="0"/>
      <w:marTop w:val="0"/>
      <w:marBottom w:val="0"/>
      <w:divBdr>
        <w:top w:val="none" w:sz="0" w:space="0" w:color="auto"/>
        <w:left w:val="none" w:sz="0" w:space="0" w:color="auto"/>
        <w:bottom w:val="none" w:sz="0" w:space="0" w:color="auto"/>
        <w:right w:val="none" w:sz="0" w:space="0" w:color="auto"/>
      </w:divBdr>
    </w:div>
    <w:div w:id="435295587">
      <w:bodyDiv w:val="1"/>
      <w:marLeft w:val="0"/>
      <w:marRight w:val="0"/>
      <w:marTop w:val="0"/>
      <w:marBottom w:val="0"/>
      <w:divBdr>
        <w:top w:val="none" w:sz="0" w:space="0" w:color="auto"/>
        <w:left w:val="none" w:sz="0" w:space="0" w:color="auto"/>
        <w:bottom w:val="none" w:sz="0" w:space="0" w:color="auto"/>
        <w:right w:val="none" w:sz="0" w:space="0" w:color="auto"/>
      </w:divBdr>
    </w:div>
    <w:div w:id="519703607">
      <w:bodyDiv w:val="1"/>
      <w:marLeft w:val="0"/>
      <w:marRight w:val="0"/>
      <w:marTop w:val="0"/>
      <w:marBottom w:val="0"/>
      <w:divBdr>
        <w:top w:val="none" w:sz="0" w:space="0" w:color="auto"/>
        <w:left w:val="none" w:sz="0" w:space="0" w:color="auto"/>
        <w:bottom w:val="none" w:sz="0" w:space="0" w:color="auto"/>
        <w:right w:val="none" w:sz="0" w:space="0" w:color="auto"/>
      </w:divBdr>
    </w:div>
    <w:div w:id="528877114">
      <w:bodyDiv w:val="1"/>
      <w:marLeft w:val="390"/>
      <w:marRight w:val="390"/>
      <w:marTop w:val="0"/>
      <w:marBottom w:val="0"/>
      <w:divBdr>
        <w:top w:val="none" w:sz="0" w:space="0" w:color="auto"/>
        <w:left w:val="none" w:sz="0" w:space="0" w:color="auto"/>
        <w:bottom w:val="none" w:sz="0" w:space="0" w:color="auto"/>
        <w:right w:val="none" w:sz="0" w:space="0" w:color="auto"/>
      </w:divBdr>
    </w:div>
    <w:div w:id="995063542">
      <w:bodyDiv w:val="1"/>
      <w:marLeft w:val="0"/>
      <w:marRight w:val="0"/>
      <w:marTop w:val="0"/>
      <w:marBottom w:val="0"/>
      <w:divBdr>
        <w:top w:val="none" w:sz="0" w:space="0" w:color="auto"/>
        <w:left w:val="none" w:sz="0" w:space="0" w:color="auto"/>
        <w:bottom w:val="none" w:sz="0" w:space="0" w:color="auto"/>
        <w:right w:val="none" w:sz="0" w:space="0" w:color="auto"/>
      </w:divBdr>
    </w:div>
    <w:div w:id="1121268582">
      <w:bodyDiv w:val="1"/>
      <w:marLeft w:val="0"/>
      <w:marRight w:val="0"/>
      <w:marTop w:val="0"/>
      <w:marBottom w:val="0"/>
      <w:divBdr>
        <w:top w:val="none" w:sz="0" w:space="0" w:color="auto"/>
        <w:left w:val="none" w:sz="0" w:space="0" w:color="auto"/>
        <w:bottom w:val="none" w:sz="0" w:space="0" w:color="auto"/>
        <w:right w:val="none" w:sz="0" w:space="0" w:color="auto"/>
      </w:divBdr>
    </w:div>
    <w:div w:id="1138380475">
      <w:bodyDiv w:val="1"/>
      <w:marLeft w:val="0"/>
      <w:marRight w:val="0"/>
      <w:marTop w:val="0"/>
      <w:marBottom w:val="0"/>
      <w:divBdr>
        <w:top w:val="none" w:sz="0" w:space="0" w:color="auto"/>
        <w:left w:val="none" w:sz="0" w:space="0" w:color="auto"/>
        <w:bottom w:val="none" w:sz="0" w:space="0" w:color="auto"/>
        <w:right w:val="none" w:sz="0" w:space="0" w:color="auto"/>
      </w:divBdr>
    </w:div>
    <w:div w:id="1198352068">
      <w:bodyDiv w:val="1"/>
      <w:marLeft w:val="0"/>
      <w:marRight w:val="0"/>
      <w:marTop w:val="0"/>
      <w:marBottom w:val="0"/>
      <w:divBdr>
        <w:top w:val="none" w:sz="0" w:space="0" w:color="auto"/>
        <w:left w:val="none" w:sz="0" w:space="0" w:color="auto"/>
        <w:bottom w:val="none" w:sz="0" w:space="0" w:color="auto"/>
        <w:right w:val="none" w:sz="0" w:space="0" w:color="auto"/>
      </w:divBdr>
    </w:div>
    <w:div w:id="1330333464">
      <w:bodyDiv w:val="1"/>
      <w:marLeft w:val="0"/>
      <w:marRight w:val="0"/>
      <w:marTop w:val="0"/>
      <w:marBottom w:val="0"/>
      <w:divBdr>
        <w:top w:val="none" w:sz="0" w:space="0" w:color="auto"/>
        <w:left w:val="none" w:sz="0" w:space="0" w:color="auto"/>
        <w:bottom w:val="none" w:sz="0" w:space="0" w:color="auto"/>
        <w:right w:val="none" w:sz="0" w:space="0" w:color="auto"/>
      </w:divBdr>
    </w:div>
    <w:div w:id="1363018421">
      <w:bodyDiv w:val="1"/>
      <w:marLeft w:val="0"/>
      <w:marRight w:val="0"/>
      <w:marTop w:val="0"/>
      <w:marBottom w:val="0"/>
      <w:divBdr>
        <w:top w:val="none" w:sz="0" w:space="0" w:color="auto"/>
        <w:left w:val="none" w:sz="0" w:space="0" w:color="auto"/>
        <w:bottom w:val="none" w:sz="0" w:space="0" w:color="auto"/>
        <w:right w:val="none" w:sz="0" w:space="0" w:color="auto"/>
      </w:divBdr>
    </w:div>
    <w:div w:id="1411192304">
      <w:bodyDiv w:val="1"/>
      <w:marLeft w:val="0"/>
      <w:marRight w:val="0"/>
      <w:marTop w:val="0"/>
      <w:marBottom w:val="0"/>
      <w:divBdr>
        <w:top w:val="none" w:sz="0" w:space="0" w:color="auto"/>
        <w:left w:val="none" w:sz="0" w:space="0" w:color="auto"/>
        <w:bottom w:val="none" w:sz="0" w:space="0" w:color="auto"/>
        <w:right w:val="none" w:sz="0" w:space="0" w:color="auto"/>
      </w:divBdr>
      <w:divsChild>
        <w:div w:id="1024592645">
          <w:marLeft w:val="0"/>
          <w:marRight w:val="0"/>
          <w:marTop w:val="0"/>
          <w:marBottom w:val="0"/>
          <w:divBdr>
            <w:top w:val="none" w:sz="0" w:space="0" w:color="auto"/>
            <w:left w:val="none" w:sz="0" w:space="0" w:color="auto"/>
            <w:bottom w:val="none" w:sz="0" w:space="0" w:color="auto"/>
            <w:right w:val="none" w:sz="0" w:space="0" w:color="auto"/>
          </w:divBdr>
          <w:divsChild>
            <w:div w:id="147138708">
              <w:marLeft w:val="0"/>
              <w:marRight w:val="0"/>
              <w:marTop w:val="0"/>
              <w:marBottom w:val="0"/>
              <w:divBdr>
                <w:top w:val="none" w:sz="0" w:space="0" w:color="auto"/>
                <w:left w:val="none" w:sz="0" w:space="0" w:color="auto"/>
                <w:bottom w:val="none" w:sz="0" w:space="0" w:color="auto"/>
                <w:right w:val="none" w:sz="0" w:space="0" w:color="auto"/>
              </w:divBdr>
              <w:divsChild>
                <w:div w:id="468590407">
                  <w:marLeft w:val="0"/>
                  <w:marRight w:val="0"/>
                  <w:marTop w:val="0"/>
                  <w:marBottom w:val="0"/>
                  <w:divBdr>
                    <w:top w:val="none" w:sz="0" w:space="0" w:color="auto"/>
                    <w:left w:val="none" w:sz="0" w:space="0" w:color="auto"/>
                    <w:bottom w:val="none" w:sz="0" w:space="0" w:color="auto"/>
                    <w:right w:val="none" w:sz="0" w:space="0" w:color="auto"/>
                  </w:divBdr>
                  <w:divsChild>
                    <w:div w:id="2060395346">
                      <w:marLeft w:val="1"/>
                      <w:marRight w:val="1"/>
                      <w:marTop w:val="0"/>
                      <w:marBottom w:val="0"/>
                      <w:divBdr>
                        <w:top w:val="none" w:sz="0" w:space="0" w:color="auto"/>
                        <w:left w:val="none" w:sz="0" w:space="0" w:color="auto"/>
                        <w:bottom w:val="none" w:sz="0" w:space="0" w:color="auto"/>
                        <w:right w:val="none" w:sz="0" w:space="0" w:color="auto"/>
                      </w:divBdr>
                      <w:divsChild>
                        <w:div w:id="893085076">
                          <w:marLeft w:val="0"/>
                          <w:marRight w:val="0"/>
                          <w:marTop w:val="0"/>
                          <w:marBottom w:val="0"/>
                          <w:divBdr>
                            <w:top w:val="none" w:sz="0" w:space="0" w:color="auto"/>
                            <w:left w:val="none" w:sz="0" w:space="0" w:color="auto"/>
                            <w:bottom w:val="none" w:sz="0" w:space="0" w:color="auto"/>
                            <w:right w:val="none" w:sz="0" w:space="0" w:color="auto"/>
                          </w:divBdr>
                          <w:divsChild>
                            <w:div w:id="1975136461">
                              <w:marLeft w:val="0"/>
                              <w:marRight w:val="0"/>
                              <w:marTop w:val="0"/>
                              <w:marBottom w:val="0"/>
                              <w:divBdr>
                                <w:top w:val="none" w:sz="0" w:space="0" w:color="auto"/>
                                <w:left w:val="none" w:sz="0" w:space="0" w:color="auto"/>
                                <w:bottom w:val="none" w:sz="0" w:space="0" w:color="auto"/>
                                <w:right w:val="none" w:sz="0" w:space="0" w:color="auto"/>
                              </w:divBdr>
                              <w:divsChild>
                                <w:div w:id="130708541">
                                  <w:marLeft w:val="0"/>
                                  <w:marRight w:val="0"/>
                                  <w:marTop w:val="0"/>
                                  <w:marBottom w:val="360"/>
                                  <w:divBdr>
                                    <w:top w:val="none" w:sz="0" w:space="0" w:color="auto"/>
                                    <w:left w:val="none" w:sz="0" w:space="0" w:color="auto"/>
                                    <w:bottom w:val="none" w:sz="0" w:space="0" w:color="auto"/>
                                    <w:right w:val="none" w:sz="0" w:space="0" w:color="auto"/>
                                  </w:divBdr>
                                  <w:divsChild>
                                    <w:div w:id="1718971667">
                                      <w:marLeft w:val="0"/>
                                      <w:marRight w:val="0"/>
                                      <w:marTop w:val="0"/>
                                      <w:marBottom w:val="0"/>
                                      <w:divBdr>
                                        <w:top w:val="none" w:sz="0" w:space="0" w:color="auto"/>
                                        <w:left w:val="none" w:sz="0" w:space="0" w:color="auto"/>
                                        <w:bottom w:val="none" w:sz="0" w:space="0" w:color="auto"/>
                                        <w:right w:val="none" w:sz="0" w:space="0" w:color="auto"/>
                                      </w:divBdr>
                                      <w:divsChild>
                                        <w:div w:id="3373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311098">
      <w:bodyDiv w:val="1"/>
      <w:marLeft w:val="0"/>
      <w:marRight w:val="0"/>
      <w:marTop w:val="0"/>
      <w:marBottom w:val="0"/>
      <w:divBdr>
        <w:top w:val="none" w:sz="0" w:space="0" w:color="auto"/>
        <w:left w:val="none" w:sz="0" w:space="0" w:color="auto"/>
        <w:bottom w:val="none" w:sz="0" w:space="0" w:color="auto"/>
        <w:right w:val="none" w:sz="0" w:space="0" w:color="auto"/>
      </w:divBdr>
    </w:div>
    <w:div w:id="1475369766">
      <w:bodyDiv w:val="1"/>
      <w:marLeft w:val="0"/>
      <w:marRight w:val="0"/>
      <w:marTop w:val="0"/>
      <w:marBottom w:val="0"/>
      <w:divBdr>
        <w:top w:val="none" w:sz="0" w:space="0" w:color="auto"/>
        <w:left w:val="none" w:sz="0" w:space="0" w:color="auto"/>
        <w:bottom w:val="none" w:sz="0" w:space="0" w:color="auto"/>
        <w:right w:val="none" w:sz="0" w:space="0" w:color="auto"/>
      </w:divBdr>
    </w:div>
    <w:div w:id="1528906303">
      <w:bodyDiv w:val="1"/>
      <w:marLeft w:val="0"/>
      <w:marRight w:val="0"/>
      <w:marTop w:val="0"/>
      <w:marBottom w:val="0"/>
      <w:divBdr>
        <w:top w:val="none" w:sz="0" w:space="0" w:color="auto"/>
        <w:left w:val="none" w:sz="0" w:space="0" w:color="auto"/>
        <w:bottom w:val="none" w:sz="0" w:space="0" w:color="auto"/>
        <w:right w:val="none" w:sz="0" w:space="0" w:color="auto"/>
      </w:divBdr>
    </w:div>
    <w:div w:id="1564750886">
      <w:bodyDiv w:val="1"/>
      <w:marLeft w:val="0"/>
      <w:marRight w:val="0"/>
      <w:marTop w:val="0"/>
      <w:marBottom w:val="0"/>
      <w:divBdr>
        <w:top w:val="none" w:sz="0" w:space="0" w:color="auto"/>
        <w:left w:val="none" w:sz="0" w:space="0" w:color="auto"/>
        <w:bottom w:val="none" w:sz="0" w:space="0" w:color="auto"/>
        <w:right w:val="none" w:sz="0" w:space="0" w:color="auto"/>
      </w:divBdr>
    </w:div>
    <w:div w:id="1577740227">
      <w:bodyDiv w:val="1"/>
      <w:marLeft w:val="0"/>
      <w:marRight w:val="0"/>
      <w:marTop w:val="0"/>
      <w:marBottom w:val="0"/>
      <w:divBdr>
        <w:top w:val="none" w:sz="0" w:space="0" w:color="auto"/>
        <w:left w:val="none" w:sz="0" w:space="0" w:color="auto"/>
        <w:bottom w:val="none" w:sz="0" w:space="0" w:color="auto"/>
        <w:right w:val="none" w:sz="0" w:space="0" w:color="auto"/>
      </w:divBdr>
    </w:div>
    <w:div w:id="1681737586">
      <w:bodyDiv w:val="1"/>
      <w:marLeft w:val="0"/>
      <w:marRight w:val="0"/>
      <w:marTop w:val="0"/>
      <w:marBottom w:val="0"/>
      <w:divBdr>
        <w:top w:val="none" w:sz="0" w:space="0" w:color="auto"/>
        <w:left w:val="none" w:sz="0" w:space="0" w:color="auto"/>
        <w:bottom w:val="none" w:sz="0" w:space="0" w:color="auto"/>
        <w:right w:val="none" w:sz="0" w:space="0" w:color="auto"/>
      </w:divBdr>
    </w:div>
    <w:div w:id="1748922748">
      <w:bodyDiv w:val="1"/>
      <w:marLeft w:val="0"/>
      <w:marRight w:val="0"/>
      <w:marTop w:val="0"/>
      <w:marBottom w:val="0"/>
      <w:divBdr>
        <w:top w:val="none" w:sz="0" w:space="0" w:color="auto"/>
        <w:left w:val="none" w:sz="0" w:space="0" w:color="auto"/>
        <w:bottom w:val="none" w:sz="0" w:space="0" w:color="auto"/>
        <w:right w:val="none" w:sz="0" w:space="0" w:color="auto"/>
      </w:divBdr>
    </w:div>
    <w:div w:id="1930263281">
      <w:bodyDiv w:val="1"/>
      <w:marLeft w:val="0"/>
      <w:marRight w:val="0"/>
      <w:marTop w:val="0"/>
      <w:marBottom w:val="0"/>
      <w:divBdr>
        <w:top w:val="none" w:sz="0" w:space="0" w:color="auto"/>
        <w:left w:val="none" w:sz="0" w:space="0" w:color="auto"/>
        <w:bottom w:val="none" w:sz="0" w:space="0" w:color="auto"/>
        <w:right w:val="none" w:sz="0" w:space="0" w:color="auto"/>
      </w:divBdr>
    </w:div>
    <w:div w:id="2029327318">
      <w:bodyDiv w:val="1"/>
      <w:marLeft w:val="0"/>
      <w:marRight w:val="0"/>
      <w:marTop w:val="0"/>
      <w:marBottom w:val="0"/>
      <w:divBdr>
        <w:top w:val="none" w:sz="0" w:space="0" w:color="auto"/>
        <w:left w:val="none" w:sz="0" w:space="0" w:color="auto"/>
        <w:bottom w:val="none" w:sz="0" w:space="0" w:color="auto"/>
        <w:right w:val="none" w:sz="0" w:space="0" w:color="auto"/>
      </w:divBdr>
      <w:divsChild>
        <w:div w:id="410854020">
          <w:marLeft w:val="0"/>
          <w:marRight w:val="0"/>
          <w:marTop w:val="0"/>
          <w:marBottom w:val="0"/>
          <w:divBdr>
            <w:top w:val="none" w:sz="0" w:space="0" w:color="auto"/>
            <w:left w:val="none" w:sz="0" w:space="0" w:color="auto"/>
            <w:bottom w:val="none" w:sz="0" w:space="0" w:color="auto"/>
            <w:right w:val="none" w:sz="0" w:space="0" w:color="auto"/>
          </w:divBdr>
        </w:div>
        <w:div w:id="959457482">
          <w:marLeft w:val="0"/>
          <w:marRight w:val="0"/>
          <w:marTop w:val="0"/>
          <w:marBottom w:val="0"/>
          <w:divBdr>
            <w:top w:val="none" w:sz="0" w:space="0" w:color="auto"/>
            <w:left w:val="none" w:sz="0" w:space="0" w:color="auto"/>
            <w:bottom w:val="none" w:sz="0" w:space="0" w:color="auto"/>
            <w:right w:val="none" w:sz="0" w:space="0" w:color="auto"/>
          </w:divBdr>
        </w:div>
        <w:div w:id="1173766228">
          <w:marLeft w:val="0"/>
          <w:marRight w:val="0"/>
          <w:marTop w:val="0"/>
          <w:marBottom w:val="0"/>
          <w:divBdr>
            <w:top w:val="none" w:sz="0" w:space="0" w:color="auto"/>
            <w:left w:val="none" w:sz="0" w:space="0" w:color="auto"/>
            <w:bottom w:val="none" w:sz="0" w:space="0" w:color="auto"/>
            <w:right w:val="none" w:sz="0" w:space="0" w:color="auto"/>
          </w:divBdr>
        </w:div>
        <w:div w:id="1923948164">
          <w:marLeft w:val="0"/>
          <w:marRight w:val="0"/>
          <w:marTop w:val="0"/>
          <w:marBottom w:val="0"/>
          <w:divBdr>
            <w:top w:val="none" w:sz="0" w:space="0" w:color="auto"/>
            <w:left w:val="none" w:sz="0" w:space="0" w:color="auto"/>
            <w:bottom w:val="none" w:sz="0" w:space="0" w:color="auto"/>
            <w:right w:val="none" w:sz="0" w:space="0" w:color="auto"/>
          </w:divBdr>
        </w:div>
      </w:divsChild>
    </w:div>
    <w:div w:id="207149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doi.org/10.17895/ices.advice.24799266" TargetMode="External"/><Relationship Id="rId13" Type="http://schemas.openxmlformats.org/officeDocument/2006/relationships/hyperlink" Target="https://doi.org/10.17895/ices.advice.27202839" TargetMode="External"/><Relationship Id="rId18" Type="http://schemas.openxmlformats.org/officeDocument/2006/relationships/hyperlink" Target="http://data.europa.eu/eli/reg/2009/1224/oj" TargetMode="External"/><Relationship Id="rId3" Type="http://schemas.openxmlformats.org/officeDocument/2006/relationships/hyperlink" Target="http://www.ices.dk/advice/Pages/Latest-Advice.aspx" TargetMode="External"/><Relationship Id="rId21" Type="http://schemas.openxmlformats.org/officeDocument/2006/relationships/hyperlink" Target="http://data.europa.eu/eli/dec/2021/1875/oj" TargetMode="External"/><Relationship Id="rId7" Type="http://schemas.openxmlformats.org/officeDocument/2006/relationships/hyperlink" Target="https://doi.org/10.17895/ices.advice.5649" TargetMode="External"/><Relationship Id="rId12" Type="http://schemas.openxmlformats.org/officeDocument/2006/relationships/hyperlink" Target="https://doi.org/10.17895/ices.advice.28512521" TargetMode="External"/><Relationship Id="rId17" Type="http://schemas.openxmlformats.org/officeDocument/2006/relationships/hyperlink" Target="http://eur-lex.europa.eu/legal-content/RO/AUTO/?uri=OJ:L:2009:343:TOC" TargetMode="External"/><Relationship Id="rId2" Type="http://schemas.openxmlformats.org/officeDocument/2006/relationships/hyperlink" Target="http://data.europa.eu/eli/reg/2016/1139/oj" TargetMode="External"/><Relationship Id="rId16" Type="http://schemas.openxmlformats.org/officeDocument/2006/relationships/hyperlink" Target="http://data.europa.eu/eli/reg/2016/1139/oj" TargetMode="External"/><Relationship Id="rId20" Type="http://schemas.openxmlformats.org/officeDocument/2006/relationships/hyperlink" Target="http://data.europa.eu/eli/agree_internation/2021/689(1)/oj" TargetMode="External"/><Relationship Id="rId1" Type="http://schemas.openxmlformats.org/officeDocument/2006/relationships/hyperlink" Target="http://data.europa.eu/eli/reg/2013/1380/2023-01-01" TargetMode="External"/><Relationship Id="rId6" Type="http://schemas.openxmlformats.org/officeDocument/2006/relationships/hyperlink" Target="https://doi.org/10.17895/ices.advice.5276" TargetMode="External"/><Relationship Id="rId11" Type="http://schemas.openxmlformats.org/officeDocument/2006/relationships/hyperlink" Target="https://doi.org/10.17895/ices.advice.27202623" TargetMode="External"/><Relationship Id="rId5" Type="http://schemas.openxmlformats.org/officeDocument/2006/relationships/hyperlink" Target="https://doi.org/10.17895/ices.advice.27202563" TargetMode="External"/><Relationship Id="rId15" Type="http://schemas.openxmlformats.org/officeDocument/2006/relationships/hyperlink" Target="http://data.europa.eu/eli/reg/2013/1380/oj" TargetMode="External"/><Relationship Id="rId23" Type="http://schemas.openxmlformats.org/officeDocument/2006/relationships/hyperlink" Target="http://data.europa.eu/eli/reg/2019/1241/oj" TargetMode="External"/><Relationship Id="rId10" Type="http://schemas.openxmlformats.org/officeDocument/2006/relationships/hyperlink" Target="https://doi.org/10.17895/ices.advice.27202773" TargetMode="External"/><Relationship Id="rId19" Type="http://schemas.openxmlformats.org/officeDocument/2006/relationships/hyperlink" Target="http://data.europa.eu/eli/reg/1996/847/oj" TargetMode="External"/><Relationship Id="rId4" Type="http://schemas.openxmlformats.org/officeDocument/2006/relationships/hyperlink" Target="http://data.europa.eu/eli/reg/2009/1224/oj" TargetMode="External"/><Relationship Id="rId9" Type="http://schemas.openxmlformats.org/officeDocument/2006/relationships/hyperlink" Target="http://data.europa.eu/eli/reg_del/2024/3093/oj" TargetMode="External"/><Relationship Id="rId14" Type="http://schemas.openxmlformats.org/officeDocument/2006/relationships/hyperlink" Target="https://doi.org/10.17895/ices.advice.27202842" TargetMode="External"/><Relationship Id="rId22" Type="http://schemas.openxmlformats.org/officeDocument/2006/relationships/hyperlink" Target="http://data.europa.eu/eli/reg/2025/202/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44c03d0-0f03-451f-9d46-5279004462a4">
      <UserInfo>
        <DisplayName>GRAHAM Norman (MARE)</DisplayName>
        <AccountId>49</AccountId>
        <AccountType/>
      </UserInfo>
      <UserInfo>
        <DisplayName>LE DRAST Mael (MARE)</DisplayName>
        <AccountId>91</AccountId>
        <AccountType/>
      </UserInfo>
      <UserInfo>
        <DisplayName>CASONI Marie-Laure (MARE)</DisplayName>
        <AccountId>64</AccountId>
        <AccountType/>
      </UserInfo>
      <UserInfo>
        <DisplayName>FERRER-MONFORT Adria (MARE)</DisplayName>
        <AccountId>40</AccountId>
        <AccountType/>
      </UserInfo>
      <UserInfo>
        <DisplayName>VAN DEN BOSSCHE Koen (MARE)</DisplayName>
        <AccountId>137</AccountId>
        <AccountType/>
      </UserInfo>
      <UserInfo>
        <DisplayName>PRETTEREBNER Katrin (MARE)</DisplayName>
        <AccountId>291</AccountId>
        <AccountType/>
      </UserInfo>
      <UserInfo>
        <DisplayName>RANSHUYSEN-ESSAT Evelien (MARE)</DisplayName>
        <AccountId>182</AccountId>
        <AccountType/>
      </UserInfo>
      <UserInfo>
        <DisplayName>DE HERTOGH Fabienne (MARE)</DisplayName>
        <AccountId>288</AccountId>
        <AccountType/>
      </UserInfo>
    </SharedWithUsers>
    <EC_Collab_Reference xmlns="144c03d0-0f03-451f-9d46-5279004462a4" xsi:nil="true"/>
    <EC_Collab_Status xmlns="144c03d0-0f03-451f-9d46-5279004462a4">Not Started</EC_Collab_Status>
    <_Status xmlns="http://schemas.microsoft.com/sharepoint/v3/fields">Not Started</_Status>
    <EC_Collab_DocumentLanguage xmlns="144c03d0-0f03-451f-9d46-5279004462a4">EN</EC_Collab_DocumentLanguage>
    <lcf76f155ced4ddcb4097134ff3c332f xmlns="f7bb8512-91eb-4bfd-be42-d6f021407e9a">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144c03d0-0f03-451f-9d46-5279004462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BAD999D84E12C74482EA5120F5227F6F00217DECAAC21D6B43958DFE68658C192E" ma:contentTypeVersion="27" ma:contentTypeDescription="Create a new document in this library." ma:contentTypeScope="" ma:versionID="bad23860cd2318c376ea1539af620538">
  <xsd:schema xmlns:xsd="http://www.w3.org/2001/XMLSchema" xmlns:xs="http://www.w3.org/2001/XMLSchema" xmlns:p="http://schemas.microsoft.com/office/2006/metadata/properties" xmlns:ns2="http://schemas.microsoft.com/sharepoint/v3/fields" xmlns:ns3="144c03d0-0f03-451f-9d46-5279004462a4" xmlns:ns4="f7bb8512-91eb-4bfd-be42-d6f021407e9a" targetNamespace="http://schemas.microsoft.com/office/2006/metadata/properties" ma:root="true" ma:fieldsID="a229cbda3953121824e75c2b0a41f886" ns2:_="" ns3:_="" ns4:_="">
    <xsd:import namespace="http://schemas.microsoft.com/sharepoint/v3/fields"/>
    <xsd:import namespace="144c03d0-0f03-451f-9d46-5279004462a4"/>
    <xsd:import namespace="f7bb8512-91eb-4bfd-be42-d6f021407e9a"/>
    <xsd:element name="properties">
      <xsd:complexType>
        <xsd:sequence>
          <xsd:element name="documentManagement">
            <xsd:complexType>
              <xsd:all>
                <xsd:element ref="ns3:EC_Collab_Reference" minOccurs="0"/>
                <xsd:element ref="ns2:_Status" minOccurs="0"/>
                <xsd:element ref="ns3:EC_Collab_DocumentLanguage"/>
                <xsd:element ref="ns3:SharedWithUsers" minOccurs="0"/>
                <xsd:element ref="ns3:SharedWithDetails" minOccurs="0"/>
                <xsd:element ref="ns3:EC_Collab_Status" minOccurs="0"/>
                <xsd:element ref="ns4:MediaServiceSearchProperties" minOccurs="0"/>
                <xsd:element ref="ns4:lcf76f155ced4ddcb4097134ff3c332f" minOccurs="0"/>
                <xsd:element ref="ns3:TaxCatchAll"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État" ma:default="Non commencé" ma:hidden="true" ma:internalName="_Status" ma:readOnly="false">
      <xsd:simpleType>
        <xsd:union memberTypes="dms:Text">
          <xsd:simpleType>
            <xsd:restriction base="dms:Choice">
              <xsd:enumeration value="Non commencé"/>
              <xsd:enumeration value="Brouillon"/>
              <xsd:enumeration value="Révisé"/>
              <xsd:enumeration value="Planifié"/>
              <xsd:enumeration value="Publié"/>
              <xsd:enumeration value="Final"/>
              <xsd:enumeration value="Date d'expir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44c03d0-0f03-451f-9d46-5279004462a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ma:readOnly="false">
      <xsd:simpleType>
        <xsd:restriction base="dms:Text"/>
      </xsd:simpleType>
    </xsd:element>
    <xsd:element name="EC_Collab_DocumentLanguage" ma:index="14" ma:displayName="Language" ma:default="EN" ma:format="Dropdow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EC_Collab_Status" ma:index="17" nillable="true" ma:displayName="EC Status" ma:default="Not Started" ma:format="Dropdown" ma:internalName="EC_Collab_Status" ma:readOnly="false">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TaxCatchAll" ma:index="21" nillable="true" ma:displayName="Taxonomy Catch All Column" ma:hidden="true" ma:list="{51513471-611d-4aba-ae12-e8d0e877eea6}" ma:internalName="TaxCatchAll" ma:showField="CatchAllData" ma:web="144c03d0-0f03-451f-9d46-5279004462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bb8512-91eb-4bfd-be42-d6f021407e9a" elementFormDefault="qualified">
    <xsd:import namespace="http://schemas.microsoft.com/office/2006/documentManagement/types"/>
    <xsd:import namespace="http://schemas.microsoft.com/office/infopath/2007/PartnerControls"/>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Type de contenu"/>
        <xsd:element ref="dc:title" minOccurs="0" maxOccurs="1" ma:index="7" ma:displayName="Titr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État"/>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AC403-D11A-47C5-B31E-6333FC1C43B8}">
  <ds:schemaRefs>
    <ds:schemaRef ds:uri="http://schemas.microsoft.com/office/2006/metadata/properties"/>
    <ds:schemaRef ds:uri="http://schemas.microsoft.com/office/infopath/2007/PartnerControls"/>
    <ds:schemaRef ds:uri="144c03d0-0f03-451f-9d46-5279004462a4"/>
    <ds:schemaRef ds:uri="http://schemas.microsoft.com/sharepoint/v3/fields"/>
    <ds:schemaRef ds:uri="f7bb8512-91eb-4bfd-be42-d6f021407e9a"/>
  </ds:schemaRefs>
</ds:datastoreItem>
</file>

<file path=customXml/itemProps2.xml><?xml version="1.0" encoding="utf-8"?>
<ds:datastoreItem xmlns:ds="http://schemas.openxmlformats.org/officeDocument/2006/customXml" ds:itemID="{DC4B5EF7-4DDC-4491-B58A-74D3126356DD}">
  <ds:schemaRefs>
    <ds:schemaRef ds:uri="http://schemas.microsoft.com/sharepoint/v3/contenttype/forms"/>
  </ds:schemaRefs>
</ds:datastoreItem>
</file>

<file path=customXml/itemProps3.xml><?xml version="1.0" encoding="utf-8"?>
<ds:datastoreItem xmlns:ds="http://schemas.openxmlformats.org/officeDocument/2006/customXml" ds:itemID="{EEDD05A7-AD2F-4BBF-A1DD-D1BB8F0BE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44c03d0-0f03-451f-9d46-5279004462a4"/>
    <ds:schemaRef ds:uri="f7bb8512-91eb-4bfd-be42-d6f021407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E53369-2B19-4F00-800D-56BE165D0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31</TotalTime>
  <Pages>13</Pages>
  <Words>9803</Words>
  <Characters>55882</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
  <cp:keywords/>
  <dc:description/>
  <cp:lastModifiedBy>EC CoDe</cp:lastModifiedBy>
  <cp:revision>45</cp:revision>
  <cp:lastPrinted>2019-07-26T05:12:00Z</cp:lastPrinted>
  <dcterms:created xsi:type="dcterms:W3CDTF">2025-08-19T13:18:00Z</dcterms:created>
  <dcterms:modified xsi:type="dcterms:W3CDTF">2025-08-22T14:56:00Z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9.1, Build 20240808</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SJ-016</vt:lpwstr>
  </property>
  <property fmtid="{D5CDD505-2E9C-101B-9397-08002B2CF9AE}" pid="9" name="Level of sensitivity">
    <vt:lpwstr>Standard treatment</vt:lpwstr>
  </property>
  <property fmtid="{D5CDD505-2E9C-101B-9397-08002B2CF9AE}" pid="10" name="MSIP_Label_6bd9ddd1-4d20-43f6-abfa-fc3c07406f94_Enabled">
    <vt:lpwstr>true</vt:lpwstr>
  </property>
  <property fmtid="{D5CDD505-2E9C-101B-9397-08002B2CF9AE}" pid="11" name="MSIP_Label_6bd9ddd1-4d20-43f6-abfa-fc3c07406f94_SetDate">
    <vt:lpwstr>2022-06-09T19:48:34Z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59234b52-dcf5-48c2-ac02-d724396c76f6</vt:lpwstr>
  </property>
  <property fmtid="{D5CDD505-2E9C-101B-9397-08002B2CF9AE}" pid="16" name="MSIP_Label_6bd9ddd1-4d20-43f6-abfa-fc3c07406f94_ContentBits">
    <vt:lpwstr>0</vt:lpwstr>
  </property>
  <property fmtid="{D5CDD505-2E9C-101B-9397-08002B2CF9AE}" pid="17" name="ContentTypeId">
    <vt:lpwstr>0x010100BAD999D84E12C74482EA5120F5227F6F00217DECAAC21D6B43958DFE68658C192E</vt:lpwstr>
  </property>
  <property fmtid="{D5CDD505-2E9C-101B-9397-08002B2CF9AE}" pid="18" name="MediaServiceImageTags">
    <vt:lpwstr/>
  </property>
  <property fmtid="{D5CDD505-2E9C-101B-9397-08002B2CF9AE}" pid="19" name="DQCStatus">
    <vt:lpwstr>Green (DQC version 03)</vt:lpwstr>
  </property>
</Properties>
</file>